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val="en-US"/>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200DDFC8" w:rsidR="00C536A6" w:rsidRPr="00C536A6" w:rsidRDefault="00EB1F41" w:rsidP="00C536A6">
      <w:pPr>
        <w:pStyle w:val="Time"/>
        <w:rPr>
          <w:color w:val="FF0000"/>
          <w:szCs w:val="28"/>
        </w:rPr>
      </w:pPr>
      <w:r w:rsidRPr="00C536A6">
        <w:rPr>
          <w:szCs w:val="28"/>
        </w:rPr>
        <w:t xml:space="preserve">aSSESSMENT TYPE: </w:t>
      </w:r>
      <w:r w:rsidR="00763B02">
        <w:rPr>
          <w:color w:val="000000" w:themeColor="text1"/>
          <w:szCs w:val="28"/>
        </w:rPr>
        <w:t>Child observation</w:t>
      </w:r>
    </w:p>
    <w:p w14:paraId="0E50D627" w14:textId="34500677"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763B02">
        <w:rPr>
          <w:color w:val="000000" w:themeColor="text1"/>
          <w:szCs w:val="28"/>
        </w:rPr>
        <w:t xml:space="preserve"> 2</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4D2C8102" w14:textId="77777777" w:rsidR="00763B02" w:rsidRDefault="00763B02" w:rsidP="00763B02">
      <w:pPr>
        <w:pStyle w:val="fixed"/>
        <w:ind w:left="0" w:firstLine="0"/>
        <w:rPr>
          <w:rFonts w:ascii="Arial" w:hAnsi="Arial" w:cs="Arial"/>
          <w:b w:val="0"/>
          <w:sz w:val="22"/>
          <w:szCs w:val="22"/>
        </w:rPr>
      </w:pPr>
      <w:r>
        <w:rPr>
          <w:rFonts w:ascii="Arial" w:hAnsi="Arial" w:cs="Arial"/>
          <w:b w:val="0"/>
          <w:sz w:val="22"/>
          <w:szCs w:val="22"/>
        </w:rPr>
        <w:t xml:space="preserve">Select one of the pupils you have been observing and working with in the Foundation Phase. </w:t>
      </w:r>
    </w:p>
    <w:p w14:paraId="3F5DF674" w14:textId="77777777" w:rsidR="00763B02" w:rsidRPr="00BD10B6" w:rsidRDefault="00763B02" w:rsidP="00763B02">
      <w:pPr>
        <w:pStyle w:val="fixed"/>
        <w:ind w:left="0" w:firstLine="0"/>
        <w:rPr>
          <w:rFonts w:ascii="Arial" w:hAnsi="Arial" w:cs="Arial"/>
          <w:b w:val="0"/>
          <w:sz w:val="22"/>
          <w:szCs w:val="22"/>
        </w:rPr>
      </w:pPr>
      <w:r>
        <w:rPr>
          <w:rFonts w:ascii="Arial" w:hAnsi="Arial" w:cs="Arial"/>
          <w:b w:val="0"/>
          <w:sz w:val="22"/>
          <w:szCs w:val="22"/>
        </w:rPr>
        <w:t xml:space="preserve">Carry out an </w:t>
      </w:r>
      <w:proofErr w:type="gramStart"/>
      <w:r>
        <w:rPr>
          <w:rFonts w:ascii="Arial" w:hAnsi="Arial" w:cs="Arial"/>
          <w:b w:val="0"/>
          <w:sz w:val="22"/>
          <w:szCs w:val="22"/>
        </w:rPr>
        <w:t>in depth</w:t>
      </w:r>
      <w:proofErr w:type="gramEnd"/>
      <w:r>
        <w:rPr>
          <w:rFonts w:ascii="Arial" w:hAnsi="Arial" w:cs="Arial"/>
          <w:b w:val="0"/>
          <w:sz w:val="22"/>
          <w:szCs w:val="22"/>
        </w:rPr>
        <w:t xml:space="preserve"> analysis of their interaction with the outdoor environment in their learning and play. Focus in particular on aspects of physical development and how their interaction with the environment contributes to the development of their physical literacy.</w:t>
      </w:r>
    </w:p>
    <w:p w14:paraId="7CE5FB20" w14:textId="77777777" w:rsidR="00C3093A" w:rsidRPr="00C536A6" w:rsidRDefault="00C3093A" w:rsidP="00EB1F41">
      <w:pPr>
        <w:pStyle w:val="BodyText"/>
        <w:rPr>
          <w:b/>
          <w:color w:val="FF0000"/>
          <w:sz w:val="28"/>
          <w:szCs w:val="28"/>
          <w:u w:val="single"/>
        </w:rPr>
      </w:pP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93F22AA" w14:textId="77777777" w:rsidR="00C6371F" w:rsidRDefault="00C6371F" w:rsidP="00C6371F">
      <w:r>
        <w:tab/>
      </w:r>
      <w:r>
        <w:tab/>
      </w:r>
      <w:r>
        <w:tab/>
      </w:r>
    </w:p>
    <w:p w14:paraId="60DB2B07" w14:textId="77777777" w:rsidR="00872DA2" w:rsidRDefault="00872DA2" w:rsidP="00C6371F"/>
    <w:p w14:paraId="530E921E" w14:textId="77777777" w:rsidR="00872DA2" w:rsidRDefault="00872DA2" w:rsidP="00C6371F"/>
    <w:p w14:paraId="6621BCBB" w14:textId="77777777" w:rsidR="00C6371F" w:rsidRDefault="00C6371F" w:rsidP="00C6371F"/>
    <w:p w14:paraId="37523E22" w14:textId="77777777" w:rsidR="00C6371F" w:rsidRDefault="00C6371F" w:rsidP="00C6371F"/>
    <w:p w14:paraId="69265CEA" w14:textId="77777777" w:rsidR="00317441" w:rsidRDefault="00317441" w:rsidP="00317441">
      <w:r>
        <w:lastRenderedPageBreak/>
        <w:tab/>
      </w:r>
      <w:r>
        <w:tab/>
      </w:r>
      <w:r>
        <w:tab/>
      </w:r>
    </w:p>
    <w:p w14:paraId="7FC7708B" w14:textId="77777777" w:rsidR="00D6095A" w:rsidRPr="007A2699" w:rsidRDefault="00D6095A" w:rsidP="00D6095A">
      <w:pPr>
        <w:pStyle w:val="Title"/>
      </w:pPr>
      <w:r w:rsidRPr="007A2699">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2301093B"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1A42DC">
        <w:rPr>
          <w:b/>
          <w:bCs/>
          <w:sz w:val="24"/>
          <w:szCs w:val="24"/>
          <w:u w:val="none"/>
        </w:rPr>
        <w:t>1602179/Jason Hill</w:t>
      </w:r>
    </w:p>
    <w:p w14:paraId="317CAD03" w14:textId="1CE6D232"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sidR="001A42DC">
        <w:rPr>
          <w:b/>
          <w:bCs/>
          <w:sz w:val="24"/>
          <w:szCs w:val="24"/>
          <w:u w:val="none"/>
        </w:rPr>
        <w:t>Desks to Dens</w:t>
      </w:r>
    </w:p>
    <w:p w14:paraId="17061FCA" w14:textId="43D031AA"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1A42DC">
        <w:rPr>
          <w:b/>
          <w:bCs/>
          <w:sz w:val="24"/>
          <w:szCs w:val="24"/>
          <w:u w:val="none"/>
        </w:rPr>
        <w:tab/>
        <w:t>SHSS5080</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4375D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52729AE8" w:rsidR="00872DA2" w:rsidRPr="00313008" w:rsidRDefault="007F6E6F" w:rsidP="00872DA2">
            <w:pPr>
              <w:pStyle w:val="Subtitle"/>
              <w:rPr>
                <w:b/>
                <w:bCs/>
                <w:sz w:val="24"/>
                <w:szCs w:val="24"/>
                <w:u w:val="none"/>
              </w:rPr>
            </w:pPr>
            <w:r>
              <w:rPr>
                <w:b/>
                <w:bCs/>
                <w:sz w:val="24"/>
                <w:szCs w:val="24"/>
                <w:u w:val="none"/>
              </w:rPr>
              <w:t xml:space="preserve">Strength of references </w:t>
            </w:r>
          </w:p>
        </w:tc>
      </w:tr>
      <w:tr w:rsidR="00872DA2" w:rsidRPr="00313008" w14:paraId="39DE4F1D"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4E842FFA" w:rsidR="00872DA2" w:rsidRPr="00313008" w:rsidRDefault="007F6E6F" w:rsidP="00872DA2">
            <w:pPr>
              <w:pStyle w:val="Subtitle"/>
              <w:rPr>
                <w:b/>
                <w:bCs/>
                <w:sz w:val="24"/>
                <w:szCs w:val="24"/>
                <w:u w:val="none"/>
              </w:rPr>
            </w:pPr>
            <w:r>
              <w:rPr>
                <w:b/>
                <w:bCs/>
                <w:sz w:val="24"/>
                <w:szCs w:val="24"/>
                <w:u w:val="none"/>
              </w:rPr>
              <w:t>Layout</w:t>
            </w:r>
          </w:p>
        </w:tc>
      </w:tr>
      <w:tr w:rsidR="00872DA2" w:rsidRPr="00313008" w14:paraId="38407057"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4F3CB30A" w:rsidR="00872DA2" w:rsidRPr="00313008" w:rsidRDefault="007F6E6F" w:rsidP="00872DA2">
            <w:pPr>
              <w:pStyle w:val="Subtitle"/>
              <w:rPr>
                <w:b/>
                <w:bCs/>
                <w:sz w:val="24"/>
                <w:szCs w:val="24"/>
                <w:u w:val="none"/>
              </w:rPr>
            </w:pPr>
            <w:r>
              <w:rPr>
                <w:b/>
                <w:bCs/>
                <w:sz w:val="24"/>
                <w:szCs w:val="24"/>
                <w:u w:val="none"/>
              </w:rPr>
              <w:t>Reflecting on observations</w:t>
            </w:r>
          </w:p>
        </w:tc>
      </w:tr>
      <w:tr w:rsidR="00872DA2" w:rsidRPr="00313008" w14:paraId="503B7B0C" w14:textId="77777777" w:rsidTr="004375D8">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4375D8">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1C51DF" w:rsidRPr="00313008" w14:paraId="5D8B8564" w14:textId="77777777" w:rsidTr="004375D8">
        <w:tc>
          <w:tcPr>
            <w:tcW w:w="2305" w:type="dxa"/>
            <w:tcBorders>
              <w:top w:val="single" w:sz="6" w:space="0" w:color="auto"/>
              <w:left w:val="thinThickLargeGap" w:sz="24" w:space="0" w:color="auto"/>
              <w:bottom w:val="single" w:sz="6" w:space="0" w:color="auto"/>
            </w:tcBorders>
          </w:tcPr>
          <w:p w14:paraId="15DFD769" w14:textId="67628421" w:rsidR="001C51DF" w:rsidRPr="009B5330" w:rsidRDefault="001C51DF" w:rsidP="00872DA2">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14:paraId="4757A2AC" w14:textId="219E9CCE" w:rsidR="001C51DF" w:rsidRPr="00313008" w:rsidRDefault="001C51DF"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08087DEC"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1C51DF" w:rsidRPr="00313008" w:rsidRDefault="001C51DF"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1C51DF" w:rsidRPr="002E0D8B" w:rsidRDefault="001C51DF"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1C51DF" w:rsidRPr="00313008" w:rsidRDefault="001C51DF"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1C51DF" w:rsidRPr="00313008" w14:paraId="054D594A" w14:textId="77777777" w:rsidTr="004375D8">
        <w:tc>
          <w:tcPr>
            <w:tcW w:w="2305" w:type="dxa"/>
            <w:tcBorders>
              <w:top w:val="single" w:sz="6" w:space="0" w:color="auto"/>
              <w:left w:val="thinThickLargeGap" w:sz="24" w:space="0" w:color="auto"/>
              <w:bottom w:val="single" w:sz="6" w:space="0" w:color="auto"/>
            </w:tcBorders>
          </w:tcPr>
          <w:p w14:paraId="4C893315" w14:textId="7DCBB48D" w:rsidR="001C51DF" w:rsidRPr="009B5330" w:rsidRDefault="001C51DF" w:rsidP="00872DA2">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14:paraId="467979BB" w14:textId="57F0AAD5" w:rsidR="001C51DF" w:rsidRPr="00313008" w:rsidRDefault="001C51DF" w:rsidP="00872DA2">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3D3FD140"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1C51DF" w:rsidRPr="00313008" w:rsidRDefault="001C51DF"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1C51DF" w:rsidRPr="00313008" w:rsidRDefault="001C51DF"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1C51DF" w:rsidRDefault="001C51DF" w:rsidP="00872DA2"/>
        </w:tc>
        <w:tc>
          <w:tcPr>
            <w:tcW w:w="922" w:type="dxa"/>
            <w:gridSpan w:val="2"/>
            <w:tcBorders>
              <w:left w:val="single" w:sz="6" w:space="0" w:color="auto"/>
              <w:right w:val="single" w:sz="6" w:space="0" w:color="auto"/>
            </w:tcBorders>
          </w:tcPr>
          <w:p w14:paraId="2C47B216"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1C51DF" w:rsidRPr="00313008" w:rsidRDefault="001C51DF"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1C51DF" w:rsidRPr="00313008" w14:paraId="495309FB" w14:textId="77777777" w:rsidTr="004375D8">
        <w:tc>
          <w:tcPr>
            <w:tcW w:w="2305" w:type="dxa"/>
            <w:tcBorders>
              <w:top w:val="single" w:sz="6" w:space="0" w:color="auto"/>
              <w:left w:val="thinThickLargeGap" w:sz="24" w:space="0" w:color="auto"/>
              <w:bottom w:val="single" w:sz="6" w:space="0" w:color="auto"/>
            </w:tcBorders>
          </w:tcPr>
          <w:p w14:paraId="03672DD3" w14:textId="7B184588" w:rsidR="001C51DF" w:rsidRPr="009B5330" w:rsidRDefault="001C51DF" w:rsidP="00872DA2">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14:paraId="2855A523" w14:textId="77777777" w:rsidR="001C51DF" w:rsidRPr="00313008" w:rsidRDefault="001C51DF" w:rsidP="00872DA2">
            <w:pPr>
              <w:pStyle w:val="Subtitle"/>
              <w:rPr>
                <w:b/>
                <w:bCs/>
                <w:sz w:val="18"/>
                <w:szCs w:val="18"/>
                <w:u w:val="none"/>
              </w:rPr>
            </w:pPr>
          </w:p>
          <w:p w14:paraId="78ACED01" w14:textId="46D68E43" w:rsidR="001C51DF" w:rsidRPr="00313008" w:rsidRDefault="001C51DF" w:rsidP="00872DA2">
            <w:pPr>
              <w:pStyle w:val="Subtitle"/>
              <w:rPr>
                <w:b/>
                <w:bCs/>
                <w:sz w:val="18"/>
                <w:szCs w:val="18"/>
                <w:u w:val="none"/>
              </w:rPr>
            </w:pPr>
          </w:p>
        </w:tc>
        <w:tc>
          <w:tcPr>
            <w:tcW w:w="922" w:type="dxa"/>
            <w:tcBorders>
              <w:left w:val="single" w:sz="6" w:space="0" w:color="auto"/>
              <w:right w:val="single" w:sz="6" w:space="0" w:color="auto"/>
            </w:tcBorders>
          </w:tcPr>
          <w:p w14:paraId="1D0D2F89"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1C51DF" w:rsidRPr="00313008" w:rsidRDefault="001C51DF"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1C51DF" w:rsidRPr="00313008" w:rsidRDefault="001C51DF"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1C51DF" w:rsidRPr="00313008" w14:paraId="503A6482" w14:textId="77777777" w:rsidTr="004375D8">
        <w:tc>
          <w:tcPr>
            <w:tcW w:w="2305" w:type="dxa"/>
            <w:tcBorders>
              <w:top w:val="single" w:sz="6" w:space="0" w:color="auto"/>
              <w:left w:val="thinThickLargeGap" w:sz="24" w:space="0" w:color="auto"/>
              <w:bottom w:val="single" w:sz="4" w:space="0" w:color="auto"/>
            </w:tcBorders>
          </w:tcPr>
          <w:p w14:paraId="11B2C6AA" w14:textId="776473EF" w:rsidR="001C51DF" w:rsidRPr="009B5330" w:rsidRDefault="001C51DF" w:rsidP="00872DA2">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14:paraId="127C317E" w14:textId="301C74DC" w:rsidR="001C51DF" w:rsidRPr="00313008" w:rsidRDefault="001C51DF" w:rsidP="00872DA2">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4183580F"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1C51DF" w:rsidRPr="00313008" w:rsidRDefault="001C51DF"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1C51DF" w:rsidRPr="00313008" w:rsidRDefault="001C51DF"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1C51DF" w:rsidRPr="00313008" w:rsidRDefault="001C51DF" w:rsidP="00872DA2">
            <w:pPr>
              <w:pStyle w:val="Subtitle"/>
              <w:jc w:val="left"/>
              <w:rPr>
                <w:b/>
                <w:bCs/>
                <w:sz w:val="18"/>
                <w:szCs w:val="18"/>
                <w:u w:val="none"/>
              </w:rPr>
            </w:pPr>
            <w:r>
              <w:rPr>
                <w:b/>
                <w:bCs/>
                <w:sz w:val="18"/>
                <w:szCs w:val="18"/>
                <w:u w:val="none"/>
              </w:rPr>
              <w:t>20%</w:t>
            </w:r>
          </w:p>
        </w:tc>
      </w:tr>
      <w:tr w:rsidR="00872DA2" w:rsidRPr="00313008" w14:paraId="4AFB1E21" w14:textId="77777777" w:rsidTr="004375D8">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4375D8">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4375D8">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872DA2">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1042710B" w14:textId="751A117B" w:rsidR="007F6E6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8A662ED" w14:textId="77777777" w:rsidR="00FE18D3" w:rsidRPr="00F61E59" w:rsidRDefault="00FE18D3" w:rsidP="00FE18D3">
      <w:pPr>
        <w:jc w:val="center"/>
        <w:outlineLvl w:val="0"/>
        <w:rPr>
          <w:rFonts w:ascii="Times New Roman" w:hAnsi="Times New Roman" w:cs="Times New Roman"/>
          <w:b/>
          <w:color w:val="000000" w:themeColor="text1"/>
          <w:sz w:val="28"/>
          <w:szCs w:val="28"/>
        </w:rPr>
      </w:pPr>
      <w:r w:rsidRPr="00F61E59">
        <w:rPr>
          <w:rFonts w:ascii="Times New Roman" w:hAnsi="Times New Roman" w:cs="Times New Roman"/>
          <w:b/>
          <w:color w:val="000000" w:themeColor="text1"/>
          <w:sz w:val="28"/>
          <w:szCs w:val="28"/>
        </w:rPr>
        <w:lastRenderedPageBreak/>
        <w:t>Child Observation in the Foundation Phase</w:t>
      </w:r>
    </w:p>
    <w:p w14:paraId="422DE5CE" w14:textId="77777777" w:rsidR="00FE18D3" w:rsidRPr="00F61E59" w:rsidRDefault="00FE18D3" w:rsidP="00FE18D3">
      <w:pPr>
        <w:jc w:val="center"/>
        <w:rPr>
          <w:rFonts w:ascii="Times New Roman" w:hAnsi="Times New Roman" w:cs="Times New Roman"/>
          <w:color w:val="000000" w:themeColor="text1"/>
        </w:rPr>
      </w:pPr>
    </w:p>
    <w:p w14:paraId="75D5E327" w14:textId="77777777" w:rsidR="00FE18D3" w:rsidRPr="00F61E59" w:rsidRDefault="00FE18D3" w:rsidP="00FE18D3">
      <w:pPr>
        <w:jc w:val="center"/>
        <w:rPr>
          <w:rFonts w:ascii="Times New Roman" w:hAnsi="Times New Roman" w:cs="Times New Roman"/>
          <w:color w:val="000000" w:themeColor="text1"/>
        </w:rPr>
      </w:pPr>
    </w:p>
    <w:p w14:paraId="29784EC6" w14:textId="77777777" w:rsidR="00FE18D3" w:rsidRPr="00FE18D3" w:rsidRDefault="00FE18D3" w:rsidP="00FE18D3">
      <w:pPr>
        <w:spacing w:line="240" w:lineRule="auto"/>
        <w:rPr>
          <w:rFonts w:ascii="Times New Roman" w:hAnsi="Times New Roman" w:cs="Times New Roman"/>
          <w:color w:val="000000" w:themeColor="text1"/>
          <w:sz w:val="24"/>
          <w:szCs w:val="24"/>
        </w:rPr>
      </w:pPr>
      <w:r w:rsidRPr="00FE18D3">
        <w:rPr>
          <w:rFonts w:ascii="Times New Roman" w:hAnsi="Times New Roman" w:cs="Times New Roman"/>
          <w:color w:val="000000" w:themeColor="text1"/>
          <w:sz w:val="24"/>
          <w:szCs w:val="24"/>
        </w:rPr>
        <w:t>This purpose of this paper is to evaluate children’s responses and experiences with the Foundation Phase and the effect it has on them. Observations have been carried out at a Primary School where they have incorporated the Foundation Phase to its fullest. This paper will look at the quality of the learning that occurs in the Foundation Phase as well as what role the outdoors plays in relation to this learning. A range of resources will be included as key sources of information and general background evidence to support the observations. The Foundation Phase itself got introduced in 2008 by the Welsh Assembly Government whereby they wanted to introduce a new holistic play-based learning program for children between the ages of three and seven years old (DCELLS, 2008a). Reference to this framework will be made throughout as it is key to understanding it’s holistic, integrated and cross-curricular approach with a focus on the development of multiple skills where the pupil is at the forefront of any scheduled structure of work (Maynard,</w:t>
      </w:r>
      <w:r w:rsidRPr="00FE18D3">
        <w:rPr>
          <w:rFonts w:ascii="Times New Roman" w:hAnsi="Times New Roman" w:cs="Times New Roman"/>
          <w:i/>
          <w:color w:val="000000" w:themeColor="text1"/>
          <w:sz w:val="24"/>
          <w:szCs w:val="24"/>
        </w:rPr>
        <w:t xml:space="preserve"> </w:t>
      </w:r>
      <w:r w:rsidRPr="00FE18D3">
        <w:rPr>
          <w:rFonts w:ascii="Times New Roman" w:hAnsi="Times New Roman" w:cs="Times New Roman"/>
          <w:color w:val="000000" w:themeColor="text1"/>
          <w:sz w:val="24"/>
          <w:szCs w:val="24"/>
        </w:rPr>
        <w:t>2007a) and (DCELLS, 2008a)</w:t>
      </w:r>
    </w:p>
    <w:p w14:paraId="0772C24C" w14:textId="77777777" w:rsidR="00FE18D3" w:rsidRPr="00FE18D3" w:rsidRDefault="00FE18D3" w:rsidP="00FE18D3">
      <w:pPr>
        <w:spacing w:line="240" w:lineRule="auto"/>
        <w:rPr>
          <w:rFonts w:ascii="Times New Roman" w:hAnsi="Times New Roman" w:cs="Times New Roman"/>
          <w:color w:val="000000" w:themeColor="text1"/>
          <w:sz w:val="24"/>
          <w:szCs w:val="24"/>
        </w:rPr>
      </w:pPr>
    </w:p>
    <w:p w14:paraId="58949235" w14:textId="77777777" w:rsidR="00FE18D3" w:rsidRPr="00FE18D3" w:rsidRDefault="00FE18D3" w:rsidP="00FE18D3">
      <w:pPr>
        <w:spacing w:line="240" w:lineRule="auto"/>
        <w:rPr>
          <w:rFonts w:ascii="Times New Roman" w:hAnsi="Times New Roman" w:cs="Times New Roman"/>
          <w:color w:val="000000" w:themeColor="text1"/>
          <w:sz w:val="24"/>
          <w:szCs w:val="24"/>
        </w:rPr>
      </w:pPr>
      <w:r w:rsidRPr="00FE18D3">
        <w:rPr>
          <w:rFonts w:ascii="Times New Roman" w:hAnsi="Times New Roman" w:cs="Times New Roman"/>
          <w:color w:val="000000" w:themeColor="text1"/>
          <w:sz w:val="24"/>
          <w:szCs w:val="24"/>
        </w:rPr>
        <w:t xml:space="preserve">The Foundation Phase has seven different areas of learning however, they are all conveyed in three different aspects. These are ‘the continuous provision or environment, enhanced provision and the focused provision or tasks’ (Wainwright </w:t>
      </w:r>
      <w:r w:rsidRPr="00FE18D3">
        <w:rPr>
          <w:rFonts w:ascii="Times New Roman" w:hAnsi="Times New Roman" w:cs="Times New Roman"/>
          <w:i/>
          <w:color w:val="000000" w:themeColor="text1"/>
          <w:sz w:val="24"/>
          <w:szCs w:val="24"/>
        </w:rPr>
        <w:t>et al</w:t>
      </w:r>
      <w:r w:rsidRPr="00FE18D3">
        <w:rPr>
          <w:rFonts w:ascii="Times New Roman" w:hAnsi="Times New Roman" w:cs="Times New Roman"/>
          <w:color w:val="000000" w:themeColor="text1"/>
          <w:sz w:val="24"/>
          <w:szCs w:val="24"/>
        </w:rPr>
        <w:t xml:space="preserve">. 2016, p. 516). It’s been said that the continuous provision should form the base of the Foundation Phase pedagogy where there will be an assortment of learning activities being made available within the learning environment for children to experience (Taylor, Rhys and Waldron, 2016). Estyn (2002) goes on further to describe the continuous provision as having a wide variety of resources available for pupils to use independently both indoors and outdoors. They state that these resources should coincide with pupils’ interests and general stage of development with plenty of time to practice, fuse, and further their learning </w:t>
      </w:r>
      <w:bookmarkStart w:id="0" w:name="OLE_LINK1"/>
      <w:bookmarkStart w:id="1" w:name="OLE_LINK2"/>
      <w:r w:rsidRPr="00FE18D3">
        <w:rPr>
          <w:rFonts w:ascii="Times New Roman" w:hAnsi="Times New Roman" w:cs="Times New Roman"/>
          <w:color w:val="000000" w:themeColor="text1"/>
          <w:sz w:val="24"/>
          <w:szCs w:val="24"/>
        </w:rPr>
        <w:t>(Estyn, 2002</w:t>
      </w:r>
      <w:bookmarkEnd w:id="0"/>
      <w:bookmarkEnd w:id="1"/>
      <w:r w:rsidRPr="00FE18D3">
        <w:rPr>
          <w:rFonts w:ascii="Times New Roman" w:hAnsi="Times New Roman" w:cs="Times New Roman"/>
          <w:color w:val="000000" w:themeColor="text1"/>
          <w:sz w:val="24"/>
          <w:szCs w:val="24"/>
        </w:rPr>
        <w:t xml:space="preserve">). The pupil I observed did wander over to the sand pit area which is full of loose parts to play with in relation to the sand. This encouraged exploration of the different tools and objects that were in there and what could be created in the sand. This got the pupil using their thinking and creative skills as well as communication skills as there were other pupils in there with him. Teachers will designate areas of the learning environment to support different sections such as for reading, creative and construction development. It is designed for children to choose freely where they want to go and work with it being up to them what work they will do there. This is something that is known as child-initiated learning (Estyn, 2002). This can become problematic however, as I observed at the school. With so much happening within the learning environment getting easily distracted did happen a few times however this was only momentarily. The pupil was very much committed and fully concentrated on playing football and building motor skills. The enhanced provision builds upon the continuous provision whereby practitioners add or supplement to the specific learning opportunities that they have initially created (Taylor, Rhys and Waldron, 2016). The goal is to have children thinking more deeply about their learning along with gaining new knowledge on working by themselves. Teachers will add questions or ideas to the continuous provision to aid children in making advances to their learning so that it is progressive and moving onwards. This is to generate a new curiosity in a new subject which will hopefully have pupils follow a specific new sequence with more profoundness (Estyn, 2002). The focused provision is a more established teacher-led taught approach with a whole class or large group of pupils (Wainwright </w:t>
      </w:r>
      <w:r w:rsidRPr="00FE18D3">
        <w:rPr>
          <w:rFonts w:ascii="Times New Roman" w:hAnsi="Times New Roman" w:cs="Times New Roman"/>
          <w:i/>
          <w:color w:val="000000" w:themeColor="text1"/>
          <w:sz w:val="24"/>
          <w:szCs w:val="24"/>
        </w:rPr>
        <w:t>et al</w:t>
      </w:r>
      <w:r w:rsidRPr="00FE18D3">
        <w:rPr>
          <w:rFonts w:ascii="Times New Roman" w:hAnsi="Times New Roman" w:cs="Times New Roman"/>
          <w:color w:val="000000" w:themeColor="text1"/>
          <w:sz w:val="24"/>
          <w:szCs w:val="24"/>
        </w:rPr>
        <w:t>. 2016). This is an important provision however, it should be used less often than the continuous and the enhanced provisions (Taylor, Rhys and Waldron, 2016). Focused provision is often known as adult-directed learning. At one point my pupil went inside to learn all the different kinds of colours there are in the language of Welsh</w:t>
      </w:r>
      <w:r w:rsidRPr="00FE18D3">
        <w:rPr>
          <w:rFonts w:ascii="Times New Roman" w:hAnsi="Times New Roman" w:cs="Times New Roman"/>
          <w:b/>
          <w:color w:val="000000" w:themeColor="text1"/>
          <w:sz w:val="24"/>
          <w:szCs w:val="24"/>
        </w:rPr>
        <w:t xml:space="preserve">. </w:t>
      </w:r>
      <w:r w:rsidRPr="00FE18D3">
        <w:rPr>
          <w:rFonts w:ascii="Times New Roman" w:hAnsi="Times New Roman" w:cs="Times New Roman"/>
          <w:color w:val="000000" w:themeColor="text1"/>
          <w:sz w:val="24"/>
          <w:szCs w:val="24"/>
        </w:rPr>
        <w:t xml:space="preserve">The teacher pointed </w:t>
      </w:r>
      <w:r w:rsidRPr="00FE18D3">
        <w:rPr>
          <w:rFonts w:ascii="Times New Roman" w:hAnsi="Times New Roman" w:cs="Times New Roman"/>
          <w:color w:val="000000" w:themeColor="text1"/>
          <w:sz w:val="24"/>
          <w:szCs w:val="24"/>
        </w:rPr>
        <w:lastRenderedPageBreak/>
        <w:t xml:space="preserve">out colours on a large canvas in which my pupil then named them in Welsh. I observed this as adult-directed learning. Welsh language development is a statutory area of learning within the Foundation Phase (WAG, 2015). The combination of all these provisions makes the Foundation Phase exceptional for children to learn within. This coupled with the successful use of teacher-led and child-initiated learning has become very effective. Furthermore, the Estyn document (2002) states that good Foundation Phase practice is seen as balancing all these provisions carefully. There is a link with Taylor, Rhys and Waldron (2016) and the Estyn document (2002) where they both state continuous provision is the appropriate starting point where then activities later build upon this. </w:t>
      </w:r>
    </w:p>
    <w:p w14:paraId="56B9E8B9" w14:textId="77777777" w:rsidR="00FE18D3" w:rsidRPr="00FE18D3" w:rsidRDefault="00FE18D3" w:rsidP="00FE18D3">
      <w:pPr>
        <w:pStyle w:val="fixed"/>
        <w:ind w:left="0" w:firstLine="0"/>
        <w:rPr>
          <w:b w:val="0"/>
          <w:color w:val="000000" w:themeColor="text1"/>
          <w:szCs w:val="24"/>
        </w:rPr>
      </w:pPr>
    </w:p>
    <w:p w14:paraId="3521E982" w14:textId="77777777" w:rsidR="00FE18D3" w:rsidRPr="00FE18D3" w:rsidRDefault="00FE18D3" w:rsidP="00FE18D3">
      <w:pPr>
        <w:spacing w:line="240" w:lineRule="auto"/>
        <w:rPr>
          <w:rFonts w:ascii="Times New Roman" w:hAnsi="Times New Roman" w:cs="Times New Roman"/>
          <w:color w:val="000000" w:themeColor="text1"/>
          <w:sz w:val="24"/>
          <w:szCs w:val="24"/>
        </w:rPr>
      </w:pPr>
      <w:r w:rsidRPr="00FE18D3">
        <w:rPr>
          <w:rFonts w:ascii="Times New Roman" w:hAnsi="Times New Roman" w:cs="Times New Roman"/>
          <w:color w:val="000000" w:themeColor="text1"/>
          <w:sz w:val="24"/>
          <w:szCs w:val="24"/>
        </w:rPr>
        <w:t xml:space="preserve">It’s been said that the Foundation Phase shapes the personal and social development and the well-being of the child. This is something that has been put at the forefront of the framework as well as it being superior in its approach (Aasen and Waters, 2006). Many studies have concluded that a child focussed gradual education is the greatest most significant argument to make. These studies conclude with considering the child as intrinsically curious and capable who values free play and first-hand learning experiences. This comes as they recognise and understand individual interests of the child and breaks down the traditional subject barriers which exposes the teacher as the facilitator and guide (Kwon, 2002). This framework is being touted as having rich experiences for children whereby they are seen to be more engaged and enthusiastic to learn. Estyn (2002) builds upon this further by providing evidence that schools are seeing increasing levels of engagement within children while there is agreement that by removing the subject barriers completely there is more room for creativity and flexibility to be had in the curriculum. The purpose of play and the learning that happens during this time is at the heart of the Foundation Phase. Learning actively through direct involvement and exploration inside and outside. This encourages being on the move a lot and generally being active, it urges more communication and experimenting with doing things in different ways. This is something that is crucial for children to develop. To pick up these fundamental skills at a young age will help later on. The pupil I observed displayed high energy levels and motivation whilst playing with friends. The pupil was developing communication whilst also being competitive in trying to score and beat his friends at football. </w:t>
      </w:r>
    </w:p>
    <w:p w14:paraId="7107F412" w14:textId="77777777" w:rsidR="00FE18D3" w:rsidRPr="00FE18D3" w:rsidRDefault="00FE18D3" w:rsidP="00FE18D3">
      <w:pPr>
        <w:pStyle w:val="fixed"/>
        <w:ind w:left="0" w:firstLine="0"/>
        <w:rPr>
          <w:b w:val="0"/>
          <w:color w:val="000000" w:themeColor="text1"/>
          <w:szCs w:val="24"/>
        </w:rPr>
      </w:pPr>
    </w:p>
    <w:p w14:paraId="592B3A31" w14:textId="77777777" w:rsidR="00FE18D3" w:rsidRPr="00FE18D3" w:rsidRDefault="00FE18D3" w:rsidP="00FE18D3">
      <w:pPr>
        <w:pStyle w:val="fixed"/>
        <w:ind w:left="0" w:firstLine="0"/>
        <w:rPr>
          <w:b w:val="0"/>
          <w:color w:val="000000" w:themeColor="text1"/>
          <w:szCs w:val="24"/>
        </w:rPr>
      </w:pPr>
      <w:r w:rsidRPr="00FE18D3">
        <w:rPr>
          <w:b w:val="0"/>
          <w:color w:val="000000" w:themeColor="text1"/>
          <w:szCs w:val="24"/>
        </w:rPr>
        <w:t xml:space="preserve">The concept of loose parts is about being part of a real-world learning environment which is safe and engaging for all young people to learn inside of. It is a process upon which implementing them and playing with them encompasses ‘collaboration, sharing, thinking, problem-solving and decision-making’ (Play Wales, 2017, p. 3). The end result of all this is better play experiences for children while also enabling better health and well-being. Upon observation at the primary school it was clear that they have a wide variety of loose parts for children to play, learn and interact with. The pupil I observed enjoyed playing with the various balls that are available. Picking them up, kicking them and throwing them. The number of possible items that could be used as part of this loose parts initiative is very much endless. They can be random found objects that are simply about the home such as cardboard boxes, plastic toys and blankets or they can be more natural pieces from surrounding nature such as branches, leaves and pine cones (Play Wales, 2017). Something simple such as a stick can be used as fishing rod where children can pretend to be fishing either by a real pond or a pretend one (Play Wales, 2017). This enables richer playing environments for children in which practitioners are simply extending their imaginations and empowering their playing time. This is in stark contrast to a stagnant unchanged space such as a classroom which will not enrich children’s play. Children can find it difficult to engage in this type of environment, the end result being motivation and enthusiasm levels drop significantly. Explorative environments with an opportunity to be creative are becoming increasingly important in </w:t>
      </w:r>
      <w:r w:rsidRPr="00FE18D3">
        <w:rPr>
          <w:b w:val="0"/>
          <w:color w:val="000000" w:themeColor="text1"/>
          <w:szCs w:val="24"/>
        </w:rPr>
        <w:lastRenderedPageBreak/>
        <w:t xml:space="preserve">child’s play. A great example of this would be a beach. It is full of so many different textures as well as sights and smells. There is a wealth of water, sand, rocks and shells (Play Wales, 2017). All of these features give children opportunities to be inventive and creative in their play. These natural environments offer far more loose parts with much greater possibilities than synthetic man-made environments. The primary school I observed has a fantastic example of this. They have a small woodland area, a sand pit, fire pit and a large playing area which includes a concrete yard as well as a soft muddy area with a fairly large puddle to explore. All this combined together provides so many prospects for children. </w:t>
      </w:r>
      <w:proofErr w:type="spellStart"/>
      <w:r w:rsidRPr="00FE18D3">
        <w:rPr>
          <w:b w:val="0"/>
          <w:color w:val="000000" w:themeColor="text1"/>
          <w:szCs w:val="24"/>
        </w:rPr>
        <w:t>Fjørtoft</w:t>
      </w:r>
      <w:proofErr w:type="spellEnd"/>
      <w:r w:rsidRPr="00FE18D3">
        <w:rPr>
          <w:b w:val="0"/>
          <w:color w:val="000000" w:themeColor="text1"/>
          <w:szCs w:val="24"/>
        </w:rPr>
        <w:t xml:space="preserve"> (2004) links the use of loose parts with construction play. He goes on further to say that children are motivated and excited to build something out of loose parts. They enjoy the building process rather than the end product. All of this requires cognitive processes as well as gross and fine motor skills.</w:t>
      </w:r>
    </w:p>
    <w:p w14:paraId="6A645A1E" w14:textId="77777777" w:rsidR="00FE18D3" w:rsidRPr="00FE18D3" w:rsidRDefault="00FE18D3" w:rsidP="00FE18D3">
      <w:pPr>
        <w:pStyle w:val="fixed"/>
        <w:ind w:left="0" w:firstLine="0"/>
        <w:rPr>
          <w:b w:val="0"/>
          <w:color w:val="000000" w:themeColor="text1"/>
          <w:szCs w:val="24"/>
        </w:rPr>
      </w:pPr>
    </w:p>
    <w:p w14:paraId="26E21574" w14:textId="77777777" w:rsidR="00FE18D3" w:rsidRPr="00FE18D3" w:rsidRDefault="00FE18D3" w:rsidP="00FE18D3">
      <w:pPr>
        <w:pStyle w:val="fixed"/>
        <w:ind w:left="0" w:firstLine="0"/>
        <w:rPr>
          <w:b w:val="0"/>
          <w:color w:val="000000" w:themeColor="text1"/>
          <w:szCs w:val="24"/>
        </w:rPr>
      </w:pPr>
      <w:r w:rsidRPr="00FE18D3">
        <w:rPr>
          <w:b w:val="0"/>
          <w:color w:val="000000" w:themeColor="text1"/>
          <w:szCs w:val="24"/>
        </w:rPr>
        <w:t xml:space="preserve">The role of the outdoors plays a big part in the Foundation Phase. It is deemed to make positive contributions to the development of physical literacy as well as social development in children (Wainwright </w:t>
      </w:r>
      <w:r w:rsidRPr="00FE18D3">
        <w:rPr>
          <w:b w:val="0"/>
          <w:i/>
          <w:color w:val="000000" w:themeColor="text1"/>
          <w:szCs w:val="24"/>
        </w:rPr>
        <w:t>et al</w:t>
      </w:r>
      <w:r w:rsidRPr="00FE18D3">
        <w:rPr>
          <w:b w:val="0"/>
          <w:color w:val="000000" w:themeColor="text1"/>
          <w:szCs w:val="24"/>
        </w:rPr>
        <w:t xml:space="preserve">. 2016). It is regarded as an integral part of the curriculum where pupils should experience the world beyond the classroom due to the unique contribution it provides to young people’s lives (Waller, 2007). The outdoor environment is seen as a classroom in itself where the Foundation Phase tells practitioners to use it to its maximum extent where children can work on a daily basis. Observation led me to an area where the pupil was developing numeracy skills in the outdoor environment. On the ground were fairly large cards with numbers on them and all the children had to jump to the number that was being called out by the teacher. There are so many different environments for children to explore within the school as mentioned above. This is a key feature of the Foundation Phase which is evident across all learning where you will often see numeracy as well as literacy activities taking place outdoors (Wainwright </w:t>
      </w:r>
      <w:r w:rsidRPr="00FE18D3">
        <w:rPr>
          <w:b w:val="0"/>
          <w:i/>
          <w:color w:val="000000" w:themeColor="text1"/>
          <w:szCs w:val="24"/>
        </w:rPr>
        <w:t xml:space="preserve">et al. </w:t>
      </w:r>
      <w:r w:rsidRPr="00FE18D3">
        <w:rPr>
          <w:b w:val="0"/>
          <w:color w:val="000000" w:themeColor="text1"/>
          <w:szCs w:val="24"/>
        </w:rPr>
        <w:t>2018).</w:t>
      </w:r>
      <w:r w:rsidRPr="00FE18D3">
        <w:rPr>
          <w:color w:val="000000" w:themeColor="text1"/>
          <w:szCs w:val="24"/>
        </w:rPr>
        <w:t xml:space="preserve"> </w:t>
      </w:r>
      <w:r w:rsidRPr="00FE18D3">
        <w:rPr>
          <w:b w:val="0"/>
          <w:color w:val="000000" w:themeColor="text1"/>
          <w:szCs w:val="24"/>
        </w:rPr>
        <w:t xml:space="preserve">Outdoor learning is critical to the curriculum especially within each of the seven areas of learning with many activities planned here. It is a requirement to view the outdoors as a holistic measure of the everyday environment where all features of the curriculum can be experienced (Wainwright </w:t>
      </w:r>
      <w:r w:rsidRPr="00FE18D3">
        <w:rPr>
          <w:b w:val="0"/>
          <w:i/>
          <w:color w:val="000000" w:themeColor="text1"/>
          <w:szCs w:val="24"/>
        </w:rPr>
        <w:t>et al</w:t>
      </w:r>
      <w:r w:rsidRPr="00FE18D3">
        <w:rPr>
          <w:b w:val="0"/>
          <w:color w:val="000000" w:themeColor="text1"/>
          <w:szCs w:val="24"/>
        </w:rPr>
        <w:t xml:space="preserve">. 2016). The Foundation Phase framework deems the outdoor environment to be seen as a resource for children’s learning where there should be opportunities for children to take risks and become confident explorers (DCELLS, 2008a). The pupil I observed was happy to take risks when considering that he was more than happy to have a fairly large ball to be kicked at him forcefully by other pupils. He also was happy to slide in to make tackles to win the ball back. Both risky behaviours considering it would be easy to obtain an injury in this way. As Maynard and Waters (2007) state in relation to risk that children develop more confidence in themselves and their abilities with a better temperament to manage risk more effectively in the future. Utilising the outdoor environment presents many positive outcomes such as children became less shy and more confident whilst showing signs of leadership, with other children who were overexcited or forceful becoming calmer with more focus and poise whilst going about their work (Maynard, Waters and Clement, 2013). Specifically play in the outdoors provides opportunities for children to develop better awareness and understanding of their embodied dimensions. Further to this in relation to children and their interaction with the environment through play, it is seen as a ‘holistic exploration of who and what they are and know’ (Wainwright </w:t>
      </w:r>
      <w:r w:rsidRPr="00FE18D3">
        <w:rPr>
          <w:b w:val="0"/>
          <w:i/>
          <w:color w:val="000000" w:themeColor="text1"/>
          <w:szCs w:val="24"/>
        </w:rPr>
        <w:t xml:space="preserve">et al. </w:t>
      </w:r>
      <w:r w:rsidRPr="00FE18D3">
        <w:rPr>
          <w:b w:val="0"/>
          <w:color w:val="000000" w:themeColor="text1"/>
          <w:szCs w:val="24"/>
        </w:rPr>
        <w:t>2018, p. 433). The outdoor environment is seen as a space in which children can initiate and have the opportunity to control the way the activity is heading, this in some ways enables them to ask and answer their own questions which in turn contributes to their real-world expertise (Maynard, Waters and Clement, 2013). Higher quantities of motor skill development in children is one major advantage to playing in the natural outdoor environment (</w:t>
      </w:r>
      <w:proofErr w:type="spellStart"/>
      <w:r w:rsidRPr="00FE18D3">
        <w:rPr>
          <w:b w:val="0"/>
          <w:color w:val="000000" w:themeColor="text1"/>
          <w:szCs w:val="24"/>
        </w:rPr>
        <w:t>Fjørtoft</w:t>
      </w:r>
      <w:proofErr w:type="spellEnd"/>
      <w:r w:rsidRPr="00FE18D3">
        <w:rPr>
          <w:b w:val="0"/>
          <w:color w:val="000000" w:themeColor="text1"/>
          <w:szCs w:val="24"/>
        </w:rPr>
        <w:t xml:space="preserve">, 2004). The studies of </w:t>
      </w:r>
      <w:proofErr w:type="spellStart"/>
      <w:r w:rsidRPr="00FE18D3">
        <w:rPr>
          <w:b w:val="0"/>
          <w:color w:val="000000" w:themeColor="text1"/>
          <w:szCs w:val="24"/>
        </w:rPr>
        <w:t>Fjørtoft</w:t>
      </w:r>
      <w:proofErr w:type="spellEnd"/>
      <w:r w:rsidRPr="00FE18D3">
        <w:rPr>
          <w:b w:val="0"/>
          <w:color w:val="000000" w:themeColor="text1"/>
          <w:szCs w:val="24"/>
        </w:rPr>
        <w:t xml:space="preserve"> (2004) recognised other </w:t>
      </w:r>
      <w:r w:rsidRPr="00FE18D3">
        <w:rPr>
          <w:b w:val="0"/>
          <w:color w:val="000000" w:themeColor="text1"/>
          <w:szCs w:val="24"/>
        </w:rPr>
        <w:lastRenderedPageBreak/>
        <w:t>physical benefits such as motor fitness, balance and coordination which can be directly credited to this type of play outdoors. This is critical as having a lack of proficiency in motor development will deter people from physical activity in later life.</w:t>
      </w:r>
      <w:r w:rsidRPr="00FE18D3">
        <w:rPr>
          <w:color w:val="000000" w:themeColor="text1"/>
          <w:szCs w:val="24"/>
        </w:rPr>
        <w:t xml:space="preserve"> </w:t>
      </w:r>
      <w:r w:rsidRPr="00FE18D3">
        <w:rPr>
          <w:b w:val="0"/>
          <w:color w:val="000000" w:themeColor="text1"/>
          <w:szCs w:val="24"/>
        </w:rPr>
        <w:t xml:space="preserve">With prolonged use of playing with a ball, the pupil I observed has developed excellent hand-eye co-ordination which can be seen throughout all aspects of his play. The pupil did a lot of jumping which is increasing his stability and balance on his feet. The pupil was also almost always moving either running, walking or diving, this is increasing his motor fitness. Maynard and Waters (2007) emphasise that it is the actual natural environment that is valuable to children’s learning as they point out that children who played in a forest had better motor skills than that of children who played in a traditional school yard. In conclusion it has been said that movement, along with play, is one of the most natural and powerful modes of learning for young people as it lets them explore the world first hand and experience natural occurrences that happen outdoors (Maynard and Waters, 2007). This combined with the fact that play is central to a child’s well-being as it also is an effective setting for cognitive development and where they can learn the rules of social behaviour (Aasen and Waters, 2006). It is described as ‘serious business’ in the Foundation Phase framework (DCELLS, 2015, p. 3). For the first-time children under the age of seven are no longer taught Physical Education as a subject. Within the Foundation Phase approach traditional school subjects have gone, as the Welsh Government is drawing from practices from across the world. Given that Physical Education is deeply linked with the notion of physical literacy questions arise such as how </w:t>
      </w:r>
      <w:proofErr w:type="gramStart"/>
      <w:r w:rsidRPr="00FE18D3">
        <w:rPr>
          <w:b w:val="0"/>
          <w:color w:val="000000" w:themeColor="text1"/>
          <w:szCs w:val="24"/>
        </w:rPr>
        <w:t>will pupils</w:t>
      </w:r>
      <w:proofErr w:type="gramEnd"/>
      <w:r w:rsidRPr="00FE18D3">
        <w:rPr>
          <w:b w:val="0"/>
          <w:color w:val="000000" w:themeColor="text1"/>
          <w:szCs w:val="24"/>
        </w:rPr>
        <w:t xml:space="preserve"> develop this holistic concept without the subject being directly taught in school (Wainwright </w:t>
      </w:r>
      <w:r w:rsidRPr="00FE18D3">
        <w:rPr>
          <w:b w:val="0"/>
          <w:i/>
          <w:color w:val="000000" w:themeColor="text1"/>
          <w:szCs w:val="24"/>
        </w:rPr>
        <w:t>et al</w:t>
      </w:r>
      <w:r w:rsidRPr="00FE18D3">
        <w:rPr>
          <w:b w:val="0"/>
          <w:color w:val="000000" w:themeColor="text1"/>
          <w:szCs w:val="24"/>
        </w:rPr>
        <w:t>. 2016). Physical literacy is a holistic concept which recognises all people on a journey throughout life which incorporates motivation, confidence and physical competence (Whitehead, 2010). There are links with play and physical literacy also, which is very much noteworthy as the Foundation Phase is a play-based curriculum. Maude (2010) tells us that play assists the establishment of many traits that are distinctive of a physically literate child, such as motivation, confidence, environmental engagement and self-knowledge. Play environments, play resources and play mates are all essential for the advancement of physical literacy (Maude, 2010).</w:t>
      </w:r>
    </w:p>
    <w:p w14:paraId="4A5DD3D7" w14:textId="77777777" w:rsidR="00FE18D3" w:rsidRPr="00FE18D3" w:rsidRDefault="00FE18D3" w:rsidP="00FE18D3">
      <w:pPr>
        <w:pStyle w:val="fixed"/>
        <w:ind w:left="0" w:firstLine="0"/>
        <w:rPr>
          <w:b w:val="0"/>
          <w:color w:val="000000" w:themeColor="text1"/>
          <w:szCs w:val="24"/>
        </w:rPr>
      </w:pPr>
    </w:p>
    <w:p w14:paraId="0C94AAA3" w14:textId="77777777" w:rsidR="00FE18D3" w:rsidRPr="00FE18D3" w:rsidRDefault="00FE18D3" w:rsidP="00FE18D3">
      <w:pPr>
        <w:spacing w:line="240" w:lineRule="auto"/>
        <w:rPr>
          <w:rFonts w:ascii="Times New Roman" w:hAnsi="Times New Roman" w:cs="Times New Roman"/>
          <w:color w:val="000000" w:themeColor="text1"/>
          <w:sz w:val="24"/>
          <w:szCs w:val="24"/>
        </w:rPr>
      </w:pPr>
      <w:r w:rsidRPr="00FE18D3">
        <w:rPr>
          <w:rFonts w:ascii="Times New Roman" w:hAnsi="Times New Roman" w:cs="Times New Roman"/>
          <w:color w:val="000000" w:themeColor="text1"/>
          <w:sz w:val="24"/>
          <w:szCs w:val="24"/>
        </w:rPr>
        <w:t xml:space="preserve">There are pedagogical practices that practitioners are encouraged to use in their teaching sessions such as; participation, where children should be given the opportunity to initiate and direct their own learning activities (Taylor, Rhys and Waldron, 2016). For example, the pupil I observed chose himself to play a lot of football with a basketball outside with his friends. He explored a wide range of his own abilities such as kicking, running, catching and object control. This developed motor skills. Playing with a very hard big ball didn’t seem to faze him at all as he was kicking it as hard as he could each time it came to him. In conclusion the pupil I observed simply wanted to be outside being active, with no desire to be inside playing with the various different toys and activities there. This could be down to the pupil loving sport especially football and there being no balls to play with indoors. The pupil just wants to play football. The pupil however played for a while in a pit of glitter. He was learning all kinds of different materials through touch with the teacher guiding him. The pupil was more able to run around and explore different environments having been outside. The indoors is not able to compete in the same way. </w:t>
      </w:r>
    </w:p>
    <w:p w14:paraId="3E62E64A" w14:textId="77777777" w:rsidR="00FE18D3" w:rsidRPr="00FE18D3" w:rsidRDefault="00FE18D3" w:rsidP="00FE18D3">
      <w:pPr>
        <w:spacing w:line="240" w:lineRule="auto"/>
        <w:rPr>
          <w:rFonts w:ascii="Times New Roman" w:hAnsi="Times New Roman" w:cs="Times New Roman"/>
          <w:color w:val="000000" w:themeColor="text1"/>
          <w:sz w:val="24"/>
          <w:szCs w:val="24"/>
        </w:rPr>
      </w:pPr>
    </w:p>
    <w:p w14:paraId="73296BC3" w14:textId="77777777" w:rsidR="00FE18D3" w:rsidRPr="00FE18D3" w:rsidRDefault="00FE18D3" w:rsidP="00FE18D3">
      <w:pPr>
        <w:spacing w:line="240" w:lineRule="auto"/>
        <w:rPr>
          <w:rFonts w:ascii="Times New Roman" w:hAnsi="Times New Roman" w:cs="Times New Roman"/>
          <w:color w:val="000000" w:themeColor="text1"/>
          <w:sz w:val="24"/>
          <w:szCs w:val="24"/>
        </w:rPr>
      </w:pPr>
    </w:p>
    <w:p w14:paraId="1718119A" w14:textId="77777777" w:rsidR="00FE18D3" w:rsidRPr="00FE18D3" w:rsidRDefault="00FE18D3" w:rsidP="00FE18D3">
      <w:pPr>
        <w:spacing w:line="240" w:lineRule="auto"/>
        <w:rPr>
          <w:rFonts w:ascii="Times New Roman" w:hAnsi="Times New Roman" w:cs="Times New Roman"/>
          <w:color w:val="000000" w:themeColor="text1"/>
          <w:sz w:val="24"/>
          <w:szCs w:val="24"/>
        </w:rPr>
      </w:pPr>
      <w:r w:rsidRPr="00FE18D3">
        <w:rPr>
          <w:rFonts w:ascii="Times New Roman" w:hAnsi="Times New Roman" w:cs="Times New Roman"/>
          <w:color w:val="000000" w:themeColor="text1"/>
          <w:sz w:val="24"/>
          <w:szCs w:val="24"/>
        </w:rPr>
        <w:t>Word Count - 2733</w:t>
      </w:r>
    </w:p>
    <w:p w14:paraId="1167FADE" w14:textId="77777777" w:rsidR="00FE18D3" w:rsidRPr="00F61E59" w:rsidRDefault="00FE18D3" w:rsidP="00FE18D3">
      <w:pPr>
        <w:rPr>
          <w:rFonts w:ascii="Times New Roman" w:hAnsi="Times New Roman" w:cs="Times New Roman"/>
          <w:color w:val="000000" w:themeColor="text1"/>
        </w:rPr>
      </w:pPr>
    </w:p>
    <w:p w14:paraId="5D0FD9C8" w14:textId="77777777" w:rsidR="00FE18D3" w:rsidRPr="00F61E59" w:rsidRDefault="00FE18D3" w:rsidP="00FE18D3">
      <w:pPr>
        <w:rPr>
          <w:rFonts w:ascii="Times New Roman" w:hAnsi="Times New Roman" w:cs="Times New Roman"/>
          <w:color w:val="000000" w:themeColor="text1"/>
        </w:rPr>
      </w:pPr>
    </w:p>
    <w:p w14:paraId="4422C445" w14:textId="77777777" w:rsidR="00FE18D3" w:rsidRPr="00F61E59" w:rsidRDefault="00FE18D3" w:rsidP="00FE18D3">
      <w:pPr>
        <w:rPr>
          <w:rFonts w:ascii="Times New Roman" w:hAnsi="Times New Roman" w:cs="Times New Roman"/>
          <w:color w:val="000000" w:themeColor="text1"/>
        </w:rPr>
      </w:pPr>
    </w:p>
    <w:p w14:paraId="57E040B4" w14:textId="0D3B7EFC" w:rsidR="007F6E6F" w:rsidRPr="00FE18D3" w:rsidRDefault="007F6E6F" w:rsidP="007F6E6F">
      <w:pPr>
        <w:rPr>
          <w:b/>
          <w:sz w:val="52"/>
        </w:rPr>
      </w:pPr>
      <w:r>
        <w:rPr>
          <w:rFonts w:ascii="Times New Roman" w:hAnsi="Times New Roman" w:cs="Times New Roman"/>
          <w:b/>
          <w:sz w:val="28"/>
          <w:szCs w:val="28"/>
        </w:rPr>
        <w:lastRenderedPageBreak/>
        <w:t>References</w:t>
      </w:r>
    </w:p>
    <w:p w14:paraId="2C89B4B9" w14:textId="5BC4BE93" w:rsidR="00FE18D3" w:rsidRDefault="00FE18D3" w:rsidP="007F6E6F">
      <w:pPr>
        <w:pStyle w:val="NormalWeb"/>
        <w:spacing w:before="2" w:after="2"/>
        <w:rPr>
          <w:rFonts w:ascii="Times New Roman" w:eastAsiaTheme="minorHAnsi" w:hAnsi="Times New Roman"/>
          <w:b/>
          <w:sz w:val="28"/>
          <w:szCs w:val="28"/>
          <w:lang w:eastAsia="en-US"/>
        </w:rPr>
      </w:pPr>
    </w:p>
    <w:p w14:paraId="25CFEDB0" w14:textId="77777777" w:rsidR="00317403" w:rsidRDefault="00317403" w:rsidP="007F6E6F">
      <w:pPr>
        <w:pStyle w:val="NormalWeb"/>
        <w:spacing w:before="2" w:after="2"/>
        <w:rPr>
          <w:rFonts w:ascii="Times New Roman" w:eastAsiaTheme="minorHAnsi" w:hAnsi="Times New Roman"/>
          <w:b/>
          <w:sz w:val="28"/>
          <w:szCs w:val="28"/>
          <w:lang w:eastAsia="en-US"/>
        </w:rPr>
      </w:pPr>
      <w:bookmarkStart w:id="2" w:name="_GoBack"/>
      <w:bookmarkEnd w:id="2"/>
    </w:p>
    <w:p w14:paraId="3208FAE6" w14:textId="73F22BDD"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Aasen, W. and Waters, J. (2006) ‘The new curriculum in Wales: a new view of the child?’, </w:t>
      </w:r>
      <w:r w:rsidRPr="007F6E6F">
        <w:rPr>
          <w:rFonts w:ascii="Times New Roman" w:hAnsi="Times New Roman"/>
          <w:i/>
          <w:color w:val="000000" w:themeColor="text1"/>
          <w:sz w:val="24"/>
          <w:szCs w:val="24"/>
        </w:rPr>
        <w:t>Education 3-13,</w:t>
      </w:r>
      <w:r w:rsidRPr="007F6E6F">
        <w:rPr>
          <w:rFonts w:ascii="Times New Roman" w:hAnsi="Times New Roman"/>
          <w:color w:val="000000" w:themeColor="text1"/>
          <w:sz w:val="24"/>
          <w:szCs w:val="24"/>
        </w:rPr>
        <w:t> 34(2), pp. 123-129, DOI: 10.1080/03004270600670425.</w:t>
      </w:r>
    </w:p>
    <w:p w14:paraId="1D8E0B45"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6D531501"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Bailey, R. and Kirk, D. (ed.) (2009) </w:t>
      </w:r>
      <w:r w:rsidRPr="007F6E6F">
        <w:rPr>
          <w:rFonts w:ascii="Times New Roman" w:hAnsi="Times New Roman"/>
          <w:i/>
          <w:color w:val="000000" w:themeColor="text1"/>
          <w:sz w:val="24"/>
          <w:szCs w:val="24"/>
        </w:rPr>
        <w:t>The Routledge Physical Education Reader</w:t>
      </w:r>
      <w:r w:rsidRPr="007F6E6F">
        <w:rPr>
          <w:rFonts w:ascii="Times New Roman" w:hAnsi="Times New Roman"/>
          <w:color w:val="000000" w:themeColor="text1"/>
          <w:sz w:val="24"/>
          <w:szCs w:val="24"/>
        </w:rPr>
        <w:t xml:space="preserve"> London: Routledge.</w:t>
      </w:r>
    </w:p>
    <w:p w14:paraId="2759B762"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37DCF35C" w14:textId="77777777" w:rsidR="007F6E6F" w:rsidRPr="007F6E6F" w:rsidRDefault="007F6E6F" w:rsidP="007F6E6F">
      <w:pPr>
        <w:pStyle w:val="NormalWeb"/>
        <w:spacing w:before="2" w:after="2"/>
        <w:rPr>
          <w:rFonts w:ascii="Times New Roman" w:hAnsi="Times New Roman"/>
          <w:color w:val="000000" w:themeColor="text1"/>
          <w:sz w:val="24"/>
          <w:szCs w:val="24"/>
        </w:rPr>
      </w:pPr>
      <w:proofErr w:type="spellStart"/>
      <w:r w:rsidRPr="007F6E6F">
        <w:rPr>
          <w:rFonts w:ascii="Times New Roman" w:hAnsi="Times New Roman"/>
          <w:color w:val="000000" w:themeColor="text1"/>
          <w:sz w:val="24"/>
          <w:szCs w:val="24"/>
        </w:rPr>
        <w:t>Barrouillet</w:t>
      </w:r>
      <w:proofErr w:type="spellEnd"/>
      <w:r w:rsidRPr="007F6E6F">
        <w:rPr>
          <w:rFonts w:ascii="Times New Roman" w:hAnsi="Times New Roman"/>
          <w:color w:val="000000" w:themeColor="text1"/>
          <w:sz w:val="24"/>
          <w:szCs w:val="24"/>
        </w:rPr>
        <w:t xml:space="preserve">, P. (2015) ‘Theories of cognitive development: From Piaget to today’, </w:t>
      </w:r>
      <w:r w:rsidRPr="007F6E6F">
        <w:rPr>
          <w:rFonts w:ascii="Times New Roman" w:hAnsi="Times New Roman"/>
          <w:i/>
          <w:color w:val="000000" w:themeColor="text1"/>
          <w:sz w:val="24"/>
          <w:szCs w:val="24"/>
        </w:rPr>
        <w:t>Developmental Review,</w:t>
      </w:r>
      <w:r w:rsidRPr="007F6E6F">
        <w:rPr>
          <w:rFonts w:ascii="Times New Roman" w:hAnsi="Times New Roman"/>
          <w:color w:val="000000" w:themeColor="text1"/>
          <w:sz w:val="24"/>
          <w:szCs w:val="24"/>
        </w:rPr>
        <w:t xml:space="preserve"> 38, pp. 1-12.</w:t>
      </w:r>
    </w:p>
    <w:p w14:paraId="3270D236"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2D3D2787"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Cale, L. and Harris, J. (ed.) (2005) </w:t>
      </w:r>
      <w:r w:rsidRPr="007F6E6F">
        <w:rPr>
          <w:rFonts w:ascii="Times New Roman" w:hAnsi="Times New Roman"/>
          <w:i/>
          <w:color w:val="000000" w:themeColor="text1"/>
          <w:sz w:val="24"/>
          <w:szCs w:val="24"/>
        </w:rPr>
        <w:t>Exercise and young people: issues, implications and initiatives</w:t>
      </w:r>
      <w:r w:rsidRPr="007F6E6F">
        <w:rPr>
          <w:rFonts w:ascii="Times New Roman" w:hAnsi="Times New Roman"/>
          <w:color w:val="000000" w:themeColor="text1"/>
          <w:sz w:val="24"/>
          <w:szCs w:val="24"/>
        </w:rPr>
        <w:t xml:space="preserve"> Basingstoke: Palgrave Macmillan.</w:t>
      </w:r>
    </w:p>
    <w:p w14:paraId="1E222B94"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1FEE95D3"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Clark, J. (2005) ‘From the Beginning: A Developmental Perspective on Movement and Mobility’, </w:t>
      </w:r>
      <w:r w:rsidRPr="007F6E6F">
        <w:rPr>
          <w:rFonts w:ascii="Times New Roman" w:hAnsi="Times New Roman"/>
          <w:i/>
          <w:color w:val="000000" w:themeColor="text1"/>
          <w:sz w:val="24"/>
          <w:szCs w:val="24"/>
        </w:rPr>
        <w:t>Quest,</w:t>
      </w:r>
      <w:r w:rsidRPr="007F6E6F">
        <w:rPr>
          <w:rFonts w:ascii="Times New Roman" w:hAnsi="Times New Roman"/>
          <w:color w:val="000000" w:themeColor="text1"/>
          <w:sz w:val="24"/>
          <w:szCs w:val="24"/>
        </w:rPr>
        <w:t xml:space="preserve"> 57(1), pp. 37-45, DOI: 10.1080/00336297.2005.10491841.</w:t>
      </w:r>
    </w:p>
    <w:p w14:paraId="1EF676F4"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703E2410" w14:textId="77777777" w:rsidR="007F6E6F" w:rsidRPr="007F6E6F" w:rsidRDefault="007F6E6F" w:rsidP="007F6E6F">
      <w:pPr>
        <w:spacing w:line="240" w:lineRule="auto"/>
        <w:rPr>
          <w:rFonts w:ascii="Times New Roman" w:hAnsi="Times New Roman" w:cs="Times New Roman"/>
          <w:color w:val="000000" w:themeColor="text1"/>
          <w:sz w:val="24"/>
          <w:szCs w:val="24"/>
          <w:lang w:val="en-US"/>
        </w:rPr>
      </w:pPr>
      <w:proofErr w:type="spellStart"/>
      <w:r w:rsidRPr="007F6E6F">
        <w:rPr>
          <w:rFonts w:ascii="Times New Roman" w:hAnsi="Times New Roman" w:cs="Times New Roman"/>
          <w:color w:val="000000" w:themeColor="text1"/>
          <w:sz w:val="24"/>
          <w:szCs w:val="24"/>
          <w:lang w:val="en-US"/>
        </w:rPr>
        <w:t>Dalli</w:t>
      </w:r>
      <w:proofErr w:type="spellEnd"/>
      <w:r w:rsidRPr="007F6E6F">
        <w:rPr>
          <w:rFonts w:ascii="Times New Roman" w:hAnsi="Times New Roman" w:cs="Times New Roman"/>
          <w:color w:val="000000" w:themeColor="text1"/>
          <w:sz w:val="24"/>
          <w:szCs w:val="24"/>
          <w:lang w:val="en-US"/>
        </w:rPr>
        <w:t xml:space="preserve">, C. (2011) ‘A curriculum of open possibilities: A New Zealand kindergarten teacher’s view of professional practice’, </w:t>
      </w:r>
      <w:r w:rsidRPr="007F6E6F">
        <w:rPr>
          <w:rFonts w:ascii="Times New Roman" w:hAnsi="Times New Roman" w:cs="Times New Roman"/>
          <w:i/>
          <w:color w:val="000000" w:themeColor="text1"/>
          <w:sz w:val="24"/>
          <w:szCs w:val="24"/>
          <w:lang w:val="en-US"/>
        </w:rPr>
        <w:t>Early Years: An International Research Journal,</w:t>
      </w:r>
      <w:r w:rsidRPr="007F6E6F">
        <w:rPr>
          <w:rFonts w:ascii="Times New Roman" w:hAnsi="Times New Roman" w:cs="Times New Roman"/>
          <w:color w:val="000000" w:themeColor="text1"/>
          <w:sz w:val="24"/>
          <w:szCs w:val="24"/>
          <w:lang w:val="en-US"/>
        </w:rPr>
        <w:t xml:space="preserve"> 31(3), pp. 229-243. </w:t>
      </w:r>
    </w:p>
    <w:p w14:paraId="1AFA6736"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13563D97"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DCELLS (2008a) </w:t>
      </w:r>
      <w:r w:rsidRPr="007F6E6F">
        <w:rPr>
          <w:rFonts w:ascii="Times New Roman" w:hAnsi="Times New Roman"/>
          <w:i/>
          <w:iCs/>
          <w:color w:val="000000" w:themeColor="text1"/>
          <w:sz w:val="24"/>
          <w:szCs w:val="24"/>
        </w:rPr>
        <w:t xml:space="preserve">Framework for Children's Learning for 3 to 7-year-olds in Wales, </w:t>
      </w:r>
      <w:r w:rsidRPr="007F6E6F">
        <w:rPr>
          <w:rFonts w:ascii="Times New Roman" w:hAnsi="Times New Roman"/>
          <w:iCs/>
          <w:color w:val="000000" w:themeColor="text1"/>
          <w:sz w:val="24"/>
          <w:szCs w:val="24"/>
        </w:rPr>
        <w:t xml:space="preserve">Cardiff: </w:t>
      </w:r>
      <w:r w:rsidRPr="007F6E6F">
        <w:rPr>
          <w:rFonts w:ascii="Times New Roman" w:hAnsi="Times New Roman"/>
          <w:color w:val="000000" w:themeColor="text1"/>
          <w:sz w:val="24"/>
          <w:szCs w:val="24"/>
        </w:rPr>
        <w:t xml:space="preserve">Welsh Assembly Government. </w:t>
      </w:r>
    </w:p>
    <w:p w14:paraId="6E857B75"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11DE1AC9"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DCELLS (2008b) </w:t>
      </w:r>
      <w:r w:rsidRPr="007F6E6F">
        <w:rPr>
          <w:rFonts w:ascii="Times New Roman" w:hAnsi="Times New Roman"/>
          <w:i/>
          <w:color w:val="000000" w:themeColor="text1"/>
          <w:sz w:val="24"/>
          <w:szCs w:val="24"/>
        </w:rPr>
        <w:t xml:space="preserve">Physical education in the national curriculum for Wales </w:t>
      </w:r>
      <w:r w:rsidRPr="007F6E6F">
        <w:rPr>
          <w:rFonts w:ascii="Times New Roman" w:hAnsi="Times New Roman"/>
          <w:color w:val="000000" w:themeColor="text1"/>
          <w:sz w:val="24"/>
          <w:szCs w:val="24"/>
        </w:rPr>
        <w:t>Welsh Assembly Government.</w:t>
      </w:r>
    </w:p>
    <w:p w14:paraId="10B65E6C"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3F512110"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Doherty, J. and Brenan, P. (2008) </w:t>
      </w:r>
      <w:r w:rsidRPr="007F6E6F">
        <w:rPr>
          <w:rFonts w:ascii="Times New Roman" w:hAnsi="Times New Roman"/>
          <w:i/>
          <w:color w:val="000000" w:themeColor="text1"/>
          <w:sz w:val="24"/>
          <w:szCs w:val="24"/>
        </w:rPr>
        <w:t>Physical Education and Development 3-11</w:t>
      </w:r>
      <w:r w:rsidRPr="007F6E6F">
        <w:rPr>
          <w:rFonts w:ascii="Times New Roman" w:hAnsi="Times New Roman"/>
          <w:color w:val="000000" w:themeColor="text1"/>
          <w:sz w:val="24"/>
          <w:szCs w:val="24"/>
        </w:rPr>
        <w:t xml:space="preserve"> London: Routledge.</w:t>
      </w:r>
    </w:p>
    <w:p w14:paraId="266E35C3"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6D11303C" w14:textId="77777777" w:rsidR="007F6E6F" w:rsidRPr="007F6E6F" w:rsidRDefault="007F6E6F" w:rsidP="007F6E6F">
      <w:pPr>
        <w:pStyle w:val="NormalWeb"/>
        <w:spacing w:before="2" w:after="2"/>
        <w:rPr>
          <w:rFonts w:ascii="Times New Roman" w:hAnsi="Times New Roman"/>
          <w:color w:val="000000" w:themeColor="text1"/>
          <w:sz w:val="24"/>
          <w:szCs w:val="24"/>
        </w:rPr>
      </w:pPr>
      <w:proofErr w:type="spellStart"/>
      <w:r w:rsidRPr="007F6E6F">
        <w:rPr>
          <w:rFonts w:ascii="Times New Roman" w:hAnsi="Times New Roman"/>
          <w:color w:val="000000" w:themeColor="text1"/>
          <w:sz w:val="24"/>
          <w:szCs w:val="24"/>
        </w:rPr>
        <w:t>Dolya</w:t>
      </w:r>
      <w:proofErr w:type="spellEnd"/>
      <w:r w:rsidRPr="007F6E6F">
        <w:rPr>
          <w:rFonts w:ascii="Times New Roman" w:hAnsi="Times New Roman"/>
          <w:color w:val="000000" w:themeColor="text1"/>
          <w:sz w:val="24"/>
          <w:szCs w:val="24"/>
        </w:rPr>
        <w:t>, G. (2009). </w:t>
      </w:r>
      <w:r w:rsidRPr="007F6E6F">
        <w:rPr>
          <w:rFonts w:ascii="Times New Roman" w:hAnsi="Times New Roman"/>
          <w:i/>
          <w:iCs/>
          <w:color w:val="000000" w:themeColor="text1"/>
          <w:sz w:val="24"/>
          <w:szCs w:val="24"/>
        </w:rPr>
        <w:t>Vygotsky in action in the early years the key to learning curriculum</w:t>
      </w:r>
      <w:r w:rsidRPr="007F6E6F">
        <w:rPr>
          <w:rFonts w:ascii="Times New Roman" w:hAnsi="Times New Roman"/>
          <w:color w:val="000000" w:themeColor="text1"/>
          <w:sz w:val="24"/>
          <w:szCs w:val="24"/>
        </w:rPr>
        <w:t xml:space="preserve"> New York: Routledge.</w:t>
      </w:r>
    </w:p>
    <w:p w14:paraId="4774690E"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57EF1048"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ESTYN (2002) </w:t>
      </w:r>
      <w:r w:rsidRPr="007F6E6F">
        <w:rPr>
          <w:rFonts w:ascii="Times New Roman" w:hAnsi="Times New Roman"/>
          <w:i/>
          <w:iCs/>
          <w:color w:val="000000" w:themeColor="text1"/>
          <w:sz w:val="24"/>
          <w:szCs w:val="24"/>
        </w:rPr>
        <w:t>Excellent Schools: A vision for schools in Wales in 21st century</w:t>
      </w:r>
      <w:r w:rsidRPr="007F6E6F">
        <w:rPr>
          <w:rFonts w:ascii="Times New Roman" w:hAnsi="Times New Roman"/>
          <w:color w:val="000000" w:themeColor="text1"/>
          <w:sz w:val="24"/>
          <w:szCs w:val="24"/>
        </w:rPr>
        <w:t xml:space="preserve"> ESTYN. </w:t>
      </w:r>
    </w:p>
    <w:p w14:paraId="09507DF7"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6FFD1E1B" w14:textId="77777777" w:rsidR="007F6E6F" w:rsidRPr="007F6E6F" w:rsidRDefault="007F6E6F" w:rsidP="007F6E6F">
      <w:pPr>
        <w:spacing w:line="240" w:lineRule="auto"/>
        <w:rPr>
          <w:rFonts w:ascii="Times New Roman" w:hAnsi="Times New Roman" w:cs="Times New Roman"/>
          <w:color w:val="000000" w:themeColor="text1"/>
          <w:sz w:val="24"/>
          <w:szCs w:val="24"/>
        </w:rPr>
      </w:pPr>
      <w:proofErr w:type="spellStart"/>
      <w:r w:rsidRPr="007F6E6F">
        <w:rPr>
          <w:rFonts w:ascii="Times New Roman" w:hAnsi="Times New Roman" w:cs="Times New Roman"/>
          <w:color w:val="000000" w:themeColor="text1"/>
          <w:sz w:val="24"/>
          <w:szCs w:val="24"/>
        </w:rPr>
        <w:t>Fjørtoft</w:t>
      </w:r>
      <w:proofErr w:type="spellEnd"/>
      <w:r w:rsidRPr="007F6E6F">
        <w:rPr>
          <w:rFonts w:ascii="Times New Roman" w:hAnsi="Times New Roman" w:cs="Times New Roman"/>
          <w:color w:val="000000" w:themeColor="text1"/>
          <w:sz w:val="24"/>
          <w:szCs w:val="24"/>
        </w:rPr>
        <w:t xml:space="preserve">, I. (2004) ‘Landscape as Playscape: The Effects of Natural Environments on Children’s Play and Motor Development’, </w:t>
      </w:r>
      <w:r w:rsidRPr="007F6E6F">
        <w:rPr>
          <w:rFonts w:ascii="Times New Roman" w:hAnsi="Times New Roman" w:cs="Times New Roman"/>
          <w:i/>
          <w:color w:val="000000" w:themeColor="text1"/>
          <w:sz w:val="24"/>
          <w:szCs w:val="24"/>
        </w:rPr>
        <w:t>Children, Youth and Environments,</w:t>
      </w:r>
      <w:r w:rsidRPr="007F6E6F">
        <w:rPr>
          <w:rFonts w:ascii="Times New Roman" w:hAnsi="Times New Roman" w:cs="Times New Roman"/>
          <w:color w:val="000000" w:themeColor="text1"/>
          <w:sz w:val="24"/>
          <w:szCs w:val="24"/>
        </w:rPr>
        <w:t xml:space="preserve"> 14(2), pp. 21-44. </w:t>
      </w:r>
    </w:p>
    <w:p w14:paraId="5C78E68C"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253162B3"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Goodway, J. and </w:t>
      </w:r>
      <w:proofErr w:type="spellStart"/>
      <w:r w:rsidRPr="007F6E6F">
        <w:rPr>
          <w:rFonts w:ascii="Times New Roman" w:hAnsi="Times New Roman"/>
          <w:color w:val="000000" w:themeColor="text1"/>
          <w:sz w:val="24"/>
          <w:szCs w:val="24"/>
        </w:rPr>
        <w:t>Branta</w:t>
      </w:r>
      <w:proofErr w:type="spellEnd"/>
      <w:r w:rsidRPr="007F6E6F">
        <w:rPr>
          <w:rFonts w:ascii="Times New Roman" w:hAnsi="Times New Roman"/>
          <w:color w:val="000000" w:themeColor="text1"/>
          <w:sz w:val="24"/>
          <w:szCs w:val="24"/>
        </w:rPr>
        <w:t xml:space="preserve">, C. (2003) ‘Influence of a motor skill intervention on fundamental motor skill development of disadvantaged preschool children’, </w:t>
      </w:r>
      <w:r w:rsidRPr="007F6E6F">
        <w:rPr>
          <w:rFonts w:ascii="Times New Roman" w:hAnsi="Times New Roman"/>
          <w:i/>
          <w:iCs/>
          <w:color w:val="000000" w:themeColor="text1"/>
          <w:sz w:val="24"/>
          <w:szCs w:val="24"/>
        </w:rPr>
        <w:t xml:space="preserve">Research Quarterly for Exercise and Sport, </w:t>
      </w:r>
      <w:r w:rsidRPr="007F6E6F">
        <w:rPr>
          <w:rFonts w:ascii="Times New Roman" w:hAnsi="Times New Roman"/>
          <w:color w:val="000000" w:themeColor="text1"/>
          <w:sz w:val="24"/>
          <w:szCs w:val="24"/>
        </w:rPr>
        <w:t xml:space="preserve">74(1), pp. 36-46. </w:t>
      </w:r>
    </w:p>
    <w:p w14:paraId="72A43EB2" w14:textId="77777777" w:rsidR="007F6E6F" w:rsidRPr="007F6E6F" w:rsidRDefault="007F6E6F" w:rsidP="007F6E6F">
      <w:pPr>
        <w:widowControl w:val="0"/>
        <w:autoSpaceDE w:val="0"/>
        <w:autoSpaceDN w:val="0"/>
        <w:adjustRightInd w:val="0"/>
        <w:spacing w:line="240" w:lineRule="auto"/>
        <w:rPr>
          <w:rFonts w:ascii="Times New Roman" w:hAnsi="Times New Roman" w:cs="Times New Roman"/>
          <w:sz w:val="24"/>
          <w:szCs w:val="24"/>
        </w:rPr>
      </w:pPr>
    </w:p>
    <w:p w14:paraId="2206326B" w14:textId="77777777" w:rsidR="007F6E6F" w:rsidRPr="007F6E6F" w:rsidRDefault="007F6E6F" w:rsidP="007F6E6F">
      <w:pPr>
        <w:widowControl w:val="0"/>
        <w:autoSpaceDE w:val="0"/>
        <w:autoSpaceDN w:val="0"/>
        <w:adjustRightInd w:val="0"/>
        <w:spacing w:line="240" w:lineRule="auto"/>
        <w:rPr>
          <w:rFonts w:ascii="Times New Roman" w:hAnsi="Times New Roman" w:cs="Times New Roman"/>
          <w:sz w:val="24"/>
          <w:szCs w:val="24"/>
        </w:rPr>
      </w:pPr>
      <w:proofErr w:type="spellStart"/>
      <w:r w:rsidRPr="007F6E6F">
        <w:rPr>
          <w:rFonts w:ascii="Times New Roman" w:hAnsi="Times New Roman" w:cs="Times New Roman"/>
          <w:sz w:val="24"/>
          <w:szCs w:val="24"/>
        </w:rPr>
        <w:t>Jurbala</w:t>
      </w:r>
      <w:proofErr w:type="spellEnd"/>
      <w:r w:rsidRPr="007F6E6F">
        <w:rPr>
          <w:rFonts w:ascii="Times New Roman" w:hAnsi="Times New Roman" w:cs="Times New Roman"/>
          <w:sz w:val="24"/>
          <w:szCs w:val="24"/>
        </w:rPr>
        <w:t>, P. (2015) ‘What Is Physical Literacy, Really?’, </w:t>
      </w:r>
      <w:r w:rsidRPr="007F6E6F">
        <w:rPr>
          <w:rFonts w:ascii="Times New Roman" w:hAnsi="Times New Roman" w:cs="Times New Roman"/>
          <w:i/>
          <w:sz w:val="24"/>
          <w:szCs w:val="24"/>
        </w:rPr>
        <w:t>Quest,</w:t>
      </w:r>
      <w:r w:rsidRPr="007F6E6F">
        <w:rPr>
          <w:rFonts w:ascii="Times New Roman" w:hAnsi="Times New Roman" w:cs="Times New Roman"/>
          <w:sz w:val="24"/>
          <w:szCs w:val="24"/>
        </w:rPr>
        <w:t> 67(4), pp. 367-383, DOI: 10.1080/00336297.2015.1084341.</w:t>
      </w:r>
    </w:p>
    <w:p w14:paraId="62C9012B"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543EC7B4"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Kwon, Y. (2002) ‘Changing Curriculum for Early Childhood Education in England’. </w:t>
      </w:r>
      <w:r w:rsidRPr="007F6E6F">
        <w:rPr>
          <w:rFonts w:ascii="Times New Roman" w:hAnsi="Times New Roman"/>
          <w:i/>
          <w:color w:val="000000" w:themeColor="text1"/>
          <w:sz w:val="24"/>
          <w:szCs w:val="24"/>
        </w:rPr>
        <w:t>Early Childhood Research &amp; Practice,</w:t>
      </w:r>
      <w:r w:rsidRPr="007F6E6F">
        <w:rPr>
          <w:rFonts w:ascii="Times New Roman" w:hAnsi="Times New Roman"/>
          <w:color w:val="000000" w:themeColor="text1"/>
          <w:sz w:val="24"/>
          <w:szCs w:val="24"/>
        </w:rPr>
        <w:t xml:space="preserve"> 4(2), pp. 1-10.</w:t>
      </w:r>
    </w:p>
    <w:p w14:paraId="0780329D"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5C226BED"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Maude, P. (2010) ‘Physical literacy and the young child’,</w:t>
      </w:r>
      <w:r w:rsidRPr="007F6E6F">
        <w:rPr>
          <w:rFonts w:ascii="Times New Roman" w:hAnsi="Times New Roman"/>
          <w:i/>
          <w:color w:val="000000" w:themeColor="text1"/>
          <w:sz w:val="24"/>
          <w:szCs w:val="24"/>
        </w:rPr>
        <w:t xml:space="preserve"> </w:t>
      </w:r>
      <w:r w:rsidRPr="007F6E6F">
        <w:rPr>
          <w:rFonts w:ascii="Times New Roman" w:hAnsi="Times New Roman"/>
          <w:color w:val="000000" w:themeColor="text1"/>
          <w:sz w:val="24"/>
          <w:szCs w:val="24"/>
        </w:rPr>
        <w:t xml:space="preserve">in Whitehead, M. (ed.) </w:t>
      </w:r>
      <w:r w:rsidRPr="007F6E6F">
        <w:rPr>
          <w:rFonts w:ascii="Times New Roman" w:hAnsi="Times New Roman"/>
          <w:i/>
          <w:color w:val="000000" w:themeColor="text1"/>
          <w:sz w:val="24"/>
          <w:szCs w:val="24"/>
        </w:rPr>
        <w:t xml:space="preserve">Physical literacy throughout the </w:t>
      </w:r>
      <w:proofErr w:type="spellStart"/>
      <w:r w:rsidRPr="007F6E6F">
        <w:rPr>
          <w:rFonts w:ascii="Times New Roman" w:hAnsi="Times New Roman"/>
          <w:i/>
          <w:color w:val="000000" w:themeColor="text1"/>
          <w:sz w:val="24"/>
          <w:szCs w:val="24"/>
        </w:rPr>
        <w:t>lifecourse</w:t>
      </w:r>
      <w:proofErr w:type="spellEnd"/>
      <w:r w:rsidRPr="007F6E6F">
        <w:rPr>
          <w:rFonts w:ascii="Times New Roman" w:hAnsi="Times New Roman"/>
          <w:i/>
          <w:color w:val="000000" w:themeColor="text1"/>
          <w:sz w:val="24"/>
          <w:szCs w:val="24"/>
        </w:rPr>
        <w:t xml:space="preserve">, </w:t>
      </w:r>
      <w:r w:rsidRPr="007F6E6F">
        <w:rPr>
          <w:rFonts w:ascii="Times New Roman" w:hAnsi="Times New Roman"/>
          <w:color w:val="000000" w:themeColor="text1"/>
          <w:sz w:val="24"/>
          <w:szCs w:val="24"/>
        </w:rPr>
        <w:t>London: Routledge.</w:t>
      </w:r>
    </w:p>
    <w:p w14:paraId="2F935A76" w14:textId="77777777" w:rsidR="007F6E6F" w:rsidRPr="007F6E6F" w:rsidRDefault="007F6E6F" w:rsidP="007F6E6F">
      <w:pPr>
        <w:pStyle w:val="NormalWeb"/>
        <w:spacing w:before="2" w:after="2"/>
        <w:rPr>
          <w:rFonts w:ascii="Times New Roman" w:hAnsi="Times New Roman"/>
          <w:bCs/>
          <w:color w:val="000000" w:themeColor="text1"/>
          <w:sz w:val="24"/>
          <w:szCs w:val="24"/>
          <w:lang w:val="en-US"/>
        </w:rPr>
      </w:pPr>
    </w:p>
    <w:p w14:paraId="430221E8" w14:textId="77777777" w:rsidR="007F6E6F" w:rsidRPr="007F6E6F" w:rsidRDefault="007F6E6F" w:rsidP="007F6E6F">
      <w:pPr>
        <w:pStyle w:val="NormalWeb"/>
        <w:spacing w:before="2" w:after="2"/>
        <w:rPr>
          <w:rFonts w:ascii="Times New Roman" w:hAnsi="Times New Roman"/>
          <w:bCs/>
          <w:color w:val="000000" w:themeColor="text1"/>
          <w:sz w:val="24"/>
          <w:szCs w:val="24"/>
          <w:lang w:val="en-US"/>
        </w:rPr>
      </w:pPr>
      <w:r w:rsidRPr="007F6E6F">
        <w:rPr>
          <w:rFonts w:ascii="Times New Roman" w:hAnsi="Times New Roman"/>
          <w:bCs/>
          <w:color w:val="000000" w:themeColor="text1"/>
          <w:sz w:val="24"/>
          <w:szCs w:val="24"/>
          <w:lang w:val="en-US"/>
        </w:rPr>
        <w:t xml:space="preserve">Maynard, T. (2007b) ‘Forest Schools in Great Britain: an initial exploration’, </w:t>
      </w:r>
      <w:r w:rsidRPr="007F6E6F">
        <w:rPr>
          <w:rFonts w:ascii="Times New Roman" w:hAnsi="Times New Roman"/>
          <w:bCs/>
          <w:i/>
          <w:color w:val="000000" w:themeColor="text1"/>
          <w:sz w:val="24"/>
          <w:szCs w:val="24"/>
          <w:lang w:val="en-US"/>
        </w:rPr>
        <w:t xml:space="preserve">Contemporary Issues in Early Childhood, </w:t>
      </w:r>
      <w:r w:rsidRPr="007F6E6F">
        <w:rPr>
          <w:rFonts w:ascii="Times New Roman" w:hAnsi="Times New Roman"/>
          <w:bCs/>
          <w:color w:val="000000" w:themeColor="text1"/>
          <w:sz w:val="24"/>
          <w:szCs w:val="24"/>
          <w:lang w:val="en-US"/>
        </w:rPr>
        <w:t xml:space="preserve">8, pp. 320-331. </w:t>
      </w:r>
    </w:p>
    <w:p w14:paraId="43DB8E3C" w14:textId="77777777" w:rsidR="007F6E6F" w:rsidRPr="007F6E6F" w:rsidRDefault="007F6E6F" w:rsidP="007F6E6F">
      <w:pPr>
        <w:pStyle w:val="NormalWeb"/>
        <w:spacing w:beforeLines="0" w:before="100" w:beforeAutospacing="1" w:afterLines="0" w:after="100" w:afterAutospacing="1"/>
        <w:rPr>
          <w:rFonts w:ascii="Times New Roman" w:hAnsi="Times New Roman"/>
          <w:bCs/>
          <w:color w:val="000000" w:themeColor="text1"/>
          <w:sz w:val="24"/>
          <w:szCs w:val="24"/>
        </w:rPr>
      </w:pPr>
      <w:r w:rsidRPr="007F6E6F">
        <w:rPr>
          <w:rFonts w:ascii="Times New Roman" w:hAnsi="Times New Roman"/>
          <w:bCs/>
          <w:color w:val="000000" w:themeColor="text1"/>
          <w:sz w:val="24"/>
          <w:szCs w:val="24"/>
        </w:rPr>
        <w:t>Maynard, T. and Chicken, S. (2010) ‘Through a different lens: exploring Reggio Emilia in a Welsh context’, </w:t>
      </w:r>
      <w:r w:rsidRPr="007F6E6F">
        <w:rPr>
          <w:rFonts w:ascii="Times New Roman" w:hAnsi="Times New Roman"/>
          <w:bCs/>
          <w:i/>
          <w:color w:val="000000" w:themeColor="text1"/>
          <w:sz w:val="24"/>
          <w:szCs w:val="24"/>
        </w:rPr>
        <w:t>Early Years,</w:t>
      </w:r>
      <w:r w:rsidRPr="007F6E6F">
        <w:rPr>
          <w:rFonts w:ascii="Times New Roman" w:hAnsi="Times New Roman"/>
          <w:bCs/>
          <w:color w:val="000000" w:themeColor="text1"/>
          <w:sz w:val="24"/>
          <w:szCs w:val="24"/>
        </w:rPr>
        <w:t> 30(1), pp. 29-39, DOI: 10.1080/09575140903443000.</w:t>
      </w:r>
    </w:p>
    <w:p w14:paraId="58EC5C2D" w14:textId="77777777" w:rsidR="007F6E6F" w:rsidRPr="007F6E6F" w:rsidRDefault="007F6E6F" w:rsidP="007F6E6F">
      <w:pPr>
        <w:pStyle w:val="NormalWeb"/>
        <w:spacing w:before="2" w:beforeAutospacing="1" w:after="2" w:afterAutospacing="1"/>
        <w:rPr>
          <w:rFonts w:ascii="Times New Roman" w:hAnsi="Times New Roman"/>
          <w:bCs/>
          <w:color w:val="000000" w:themeColor="text1"/>
          <w:sz w:val="24"/>
          <w:szCs w:val="24"/>
        </w:rPr>
      </w:pPr>
      <w:r w:rsidRPr="007F6E6F">
        <w:rPr>
          <w:rFonts w:ascii="Times New Roman" w:hAnsi="Times New Roman"/>
          <w:bCs/>
          <w:color w:val="000000" w:themeColor="text1"/>
          <w:sz w:val="24"/>
          <w:szCs w:val="24"/>
        </w:rPr>
        <w:t xml:space="preserve">Maynard, T. and Waters, J. (2007) ‘Learning in the outdoor environment: a missed opportunity?’, </w:t>
      </w:r>
      <w:r w:rsidRPr="007F6E6F">
        <w:rPr>
          <w:rFonts w:ascii="Times New Roman" w:hAnsi="Times New Roman"/>
          <w:bCs/>
          <w:i/>
          <w:color w:val="000000" w:themeColor="text1"/>
          <w:sz w:val="24"/>
          <w:szCs w:val="24"/>
        </w:rPr>
        <w:t>Early Years,</w:t>
      </w:r>
      <w:r w:rsidRPr="007F6E6F">
        <w:rPr>
          <w:rFonts w:ascii="Times New Roman" w:hAnsi="Times New Roman"/>
          <w:bCs/>
          <w:color w:val="000000" w:themeColor="text1"/>
          <w:sz w:val="24"/>
          <w:szCs w:val="24"/>
        </w:rPr>
        <w:t> 27(3), pp. 255-265, DOI: 10.1080/09575140701594400.</w:t>
      </w:r>
    </w:p>
    <w:p w14:paraId="7E991604" w14:textId="77777777" w:rsidR="007F6E6F" w:rsidRPr="007F6E6F" w:rsidRDefault="007F6E6F" w:rsidP="007F6E6F">
      <w:pPr>
        <w:spacing w:line="240" w:lineRule="auto"/>
        <w:rPr>
          <w:rFonts w:ascii="Times New Roman" w:hAnsi="Times New Roman" w:cs="Times New Roman"/>
          <w:color w:val="000000" w:themeColor="text1"/>
          <w:sz w:val="24"/>
          <w:szCs w:val="24"/>
        </w:rPr>
      </w:pPr>
      <w:r w:rsidRPr="007F6E6F">
        <w:rPr>
          <w:rFonts w:ascii="Times New Roman" w:hAnsi="Times New Roman" w:cs="Times New Roman"/>
          <w:color w:val="000000" w:themeColor="text1"/>
          <w:sz w:val="24"/>
          <w:szCs w:val="24"/>
        </w:rPr>
        <w:t>Maynard, T., Waters, J. and Clement, J. (2013) ‘Child-initiated learning, the outdoor environment and the ‘underachieving’ child’, </w:t>
      </w:r>
      <w:r w:rsidRPr="007F6E6F">
        <w:rPr>
          <w:rFonts w:ascii="Times New Roman" w:hAnsi="Times New Roman" w:cs="Times New Roman"/>
          <w:i/>
          <w:color w:val="000000" w:themeColor="text1"/>
          <w:sz w:val="24"/>
          <w:szCs w:val="24"/>
        </w:rPr>
        <w:t>Early Years,</w:t>
      </w:r>
      <w:r w:rsidRPr="007F6E6F">
        <w:rPr>
          <w:rFonts w:ascii="Times New Roman" w:hAnsi="Times New Roman" w:cs="Times New Roman"/>
          <w:color w:val="000000" w:themeColor="text1"/>
          <w:sz w:val="24"/>
          <w:szCs w:val="24"/>
        </w:rPr>
        <w:t> 33(3), pp. 212-225, DOI: 10.1080/09575146.2013.771152.</w:t>
      </w:r>
    </w:p>
    <w:p w14:paraId="51EE9854" w14:textId="77777777" w:rsidR="007F6E6F" w:rsidRPr="007F6E6F" w:rsidRDefault="007F6E6F" w:rsidP="007F6E6F">
      <w:pPr>
        <w:spacing w:line="240" w:lineRule="auto"/>
        <w:rPr>
          <w:rFonts w:ascii="Times New Roman" w:hAnsi="Times New Roman" w:cs="Times New Roman"/>
          <w:color w:val="000000" w:themeColor="text1"/>
          <w:sz w:val="24"/>
          <w:szCs w:val="24"/>
        </w:rPr>
      </w:pPr>
    </w:p>
    <w:p w14:paraId="4956B88A" w14:textId="77777777" w:rsidR="007F6E6F" w:rsidRPr="007F6E6F" w:rsidRDefault="007F6E6F" w:rsidP="007F6E6F">
      <w:pPr>
        <w:spacing w:line="240" w:lineRule="auto"/>
        <w:rPr>
          <w:rFonts w:ascii="Times New Roman" w:eastAsia="Times New Roman" w:hAnsi="Times New Roman" w:cs="Times New Roman"/>
          <w:sz w:val="24"/>
          <w:szCs w:val="24"/>
        </w:rPr>
      </w:pPr>
      <w:proofErr w:type="spellStart"/>
      <w:r w:rsidRPr="007F6E6F">
        <w:rPr>
          <w:rFonts w:ascii="Times New Roman" w:eastAsia="Times New Roman" w:hAnsi="Times New Roman" w:cs="Times New Roman"/>
          <w:sz w:val="24"/>
          <w:szCs w:val="24"/>
        </w:rPr>
        <w:t>Mcinnes</w:t>
      </w:r>
      <w:proofErr w:type="spellEnd"/>
      <w:r w:rsidRPr="007F6E6F">
        <w:rPr>
          <w:rFonts w:ascii="Times New Roman" w:eastAsia="Times New Roman" w:hAnsi="Times New Roman" w:cs="Times New Roman"/>
          <w:sz w:val="24"/>
          <w:szCs w:val="24"/>
        </w:rPr>
        <w:t xml:space="preserve">, K., Howard, J., Miles, G. and Crowley, K. (2009) ‘Behavioural differences exhibited by children when practising a task under formal and playful conditions’, </w:t>
      </w:r>
      <w:r w:rsidRPr="007F6E6F">
        <w:rPr>
          <w:rFonts w:ascii="Times New Roman" w:eastAsia="Times New Roman" w:hAnsi="Times New Roman" w:cs="Times New Roman"/>
          <w:i/>
          <w:sz w:val="24"/>
          <w:szCs w:val="24"/>
        </w:rPr>
        <w:t xml:space="preserve">Educational and Child Psychology, </w:t>
      </w:r>
      <w:r w:rsidRPr="007F6E6F">
        <w:rPr>
          <w:rFonts w:ascii="Times New Roman" w:eastAsia="Times New Roman" w:hAnsi="Times New Roman" w:cs="Times New Roman"/>
          <w:sz w:val="24"/>
          <w:szCs w:val="24"/>
        </w:rPr>
        <w:t xml:space="preserve">26(2), pp. 31-39. </w:t>
      </w:r>
    </w:p>
    <w:p w14:paraId="1EF260CC" w14:textId="77777777" w:rsidR="007F6E6F" w:rsidRPr="007F6E6F" w:rsidRDefault="007F6E6F" w:rsidP="007F6E6F">
      <w:pPr>
        <w:pStyle w:val="NormalWeb"/>
        <w:spacing w:before="2" w:after="2"/>
        <w:rPr>
          <w:rFonts w:ascii="Times New Roman" w:hAnsi="Times New Roman"/>
          <w:color w:val="000000" w:themeColor="text1"/>
          <w:sz w:val="24"/>
          <w:szCs w:val="24"/>
        </w:rPr>
      </w:pPr>
    </w:p>
    <w:p w14:paraId="537843B5" w14:textId="77777777" w:rsidR="007F6E6F" w:rsidRPr="007F6E6F" w:rsidRDefault="007F6E6F" w:rsidP="007F6E6F">
      <w:pPr>
        <w:spacing w:line="240" w:lineRule="auto"/>
        <w:rPr>
          <w:rFonts w:ascii="Times New Roman" w:hAnsi="Times New Roman" w:cs="Times New Roman"/>
          <w:color w:val="000000" w:themeColor="text1"/>
          <w:sz w:val="24"/>
          <w:szCs w:val="24"/>
          <w:lang w:val="en-US"/>
        </w:rPr>
      </w:pPr>
      <w:proofErr w:type="spellStart"/>
      <w:r w:rsidRPr="007F6E6F">
        <w:rPr>
          <w:rFonts w:ascii="Times New Roman" w:hAnsi="Times New Roman" w:cs="Times New Roman"/>
          <w:color w:val="000000" w:themeColor="text1"/>
          <w:sz w:val="24"/>
          <w:szCs w:val="24"/>
          <w:lang w:val="en-US"/>
        </w:rPr>
        <w:t>Montie</w:t>
      </w:r>
      <w:proofErr w:type="spellEnd"/>
      <w:r w:rsidRPr="007F6E6F">
        <w:rPr>
          <w:rFonts w:ascii="Times New Roman" w:hAnsi="Times New Roman" w:cs="Times New Roman"/>
          <w:color w:val="000000" w:themeColor="text1"/>
          <w:sz w:val="24"/>
          <w:szCs w:val="24"/>
          <w:lang w:val="en-US"/>
        </w:rPr>
        <w:t xml:space="preserve">, J., Xiang, Z. and </w:t>
      </w:r>
      <w:proofErr w:type="spellStart"/>
      <w:r w:rsidRPr="007F6E6F">
        <w:rPr>
          <w:rFonts w:ascii="Times New Roman" w:hAnsi="Times New Roman" w:cs="Times New Roman"/>
          <w:color w:val="000000" w:themeColor="text1"/>
          <w:sz w:val="24"/>
          <w:szCs w:val="24"/>
          <w:lang w:val="en-US"/>
        </w:rPr>
        <w:t>Schweinhart</w:t>
      </w:r>
      <w:proofErr w:type="spellEnd"/>
      <w:r w:rsidRPr="007F6E6F">
        <w:rPr>
          <w:rFonts w:ascii="Times New Roman" w:hAnsi="Times New Roman" w:cs="Times New Roman"/>
          <w:color w:val="000000" w:themeColor="text1"/>
          <w:sz w:val="24"/>
          <w:szCs w:val="24"/>
          <w:lang w:val="en-US"/>
        </w:rPr>
        <w:t xml:space="preserve">, L. (2006) ‘Preschool experience in 10 countries: Cognitive and language performance at age 7’, </w:t>
      </w:r>
      <w:r w:rsidRPr="007F6E6F">
        <w:rPr>
          <w:rFonts w:ascii="Times New Roman" w:hAnsi="Times New Roman" w:cs="Times New Roman"/>
          <w:i/>
          <w:color w:val="000000" w:themeColor="text1"/>
          <w:sz w:val="24"/>
          <w:szCs w:val="24"/>
          <w:lang w:val="en-US"/>
        </w:rPr>
        <w:t>Early Childhood Research Quarterly, 21,</w:t>
      </w:r>
      <w:r w:rsidRPr="007F6E6F">
        <w:rPr>
          <w:rFonts w:ascii="Times New Roman" w:hAnsi="Times New Roman" w:cs="Times New Roman"/>
          <w:color w:val="000000" w:themeColor="text1"/>
          <w:sz w:val="24"/>
          <w:szCs w:val="24"/>
          <w:lang w:val="en-US"/>
        </w:rPr>
        <w:t xml:space="preserve"> pp. 313–331.</w:t>
      </w:r>
    </w:p>
    <w:p w14:paraId="47CA492D" w14:textId="77777777" w:rsidR="007F6E6F" w:rsidRPr="007F6E6F" w:rsidRDefault="007F6E6F" w:rsidP="007F6E6F">
      <w:pPr>
        <w:widowControl w:val="0"/>
        <w:autoSpaceDE w:val="0"/>
        <w:autoSpaceDN w:val="0"/>
        <w:adjustRightInd w:val="0"/>
        <w:spacing w:line="240" w:lineRule="auto"/>
        <w:rPr>
          <w:rFonts w:ascii="Times New Roman" w:hAnsi="Times New Roman" w:cs="Times New Roman"/>
          <w:color w:val="000000" w:themeColor="text1"/>
          <w:sz w:val="24"/>
          <w:szCs w:val="24"/>
          <w:lang w:val="en-US"/>
        </w:rPr>
      </w:pPr>
    </w:p>
    <w:p w14:paraId="366615B2" w14:textId="77777777" w:rsidR="007F6E6F" w:rsidRPr="007F6E6F" w:rsidRDefault="007F6E6F" w:rsidP="007F6E6F">
      <w:pPr>
        <w:widowControl w:val="0"/>
        <w:autoSpaceDE w:val="0"/>
        <w:autoSpaceDN w:val="0"/>
        <w:adjustRightInd w:val="0"/>
        <w:spacing w:line="240" w:lineRule="auto"/>
        <w:rPr>
          <w:rFonts w:ascii="Times New Roman" w:hAnsi="Times New Roman" w:cs="Times New Roman"/>
          <w:color w:val="000000" w:themeColor="text1"/>
          <w:sz w:val="24"/>
          <w:szCs w:val="24"/>
          <w:lang w:val="en-US"/>
        </w:rPr>
      </w:pPr>
      <w:r w:rsidRPr="007F6E6F">
        <w:rPr>
          <w:rFonts w:ascii="Times New Roman" w:hAnsi="Times New Roman" w:cs="Times New Roman"/>
          <w:color w:val="000000" w:themeColor="text1"/>
          <w:sz w:val="24"/>
          <w:szCs w:val="24"/>
          <w:lang w:val="en-US"/>
        </w:rPr>
        <w:t xml:space="preserve">Peters, S. (2011) ‘Introduction’, </w:t>
      </w:r>
      <w:r w:rsidRPr="007F6E6F">
        <w:rPr>
          <w:rFonts w:ascii="Times New Roman" w:hAnsi="Times New Roman" w:cs="Times New Roman"/>
          <w:i/>
          <w:color w:val="000000" w:themeColor="text1"/>
          <w:sz w:val="24"/>
          <w:szCs w:val="24"/>
          <w:lang w:val="en-US"/>
        </w:rPr>
        <w:t>Early Years: An International Research Journal,</w:t>
      </w:r>
      <w:r w:rsidRPr="007F6E6F">
        <w:rPr>
          <w:rFonts w:ascii="Times New Roman" w:hAnsi="Times New Roman" w:cs="Times New Roman"/>
          <w:color w:val="000000" w:themeColor="text1"/>
          <w:sz w:val="24"/>
          <w:szCs w:val="24"/>
          <w:lang w:val="en-US"/>
        </w:rPr>
        <w:t xml:space="preserve"> 31(3), pp. 211-216. </w:t>
      </w:r>
    </w:p>
    <w:p w14:paraId="055B190C" w14:textId="77777777" w:rsidR="007F6E6F" w:rsidRPr="007F6E6F" w:rsidRDefault="007F6E6F" w:rsidP="007F6E6F">
      <w:pPr>
        <w:widowControl w:val="0"/>
        <w:autoSpaceDE w:val="0"/>
        <w:autoSpaceDN w:val="0"/>
        <w:adjustRightInd w:val="0"/>
        <w:spacing w:line="240" w:lineRule="auto"/>
        <w:rPr>
          <w:rFonts w:ascii="Times New Roman" w:hAnsi="Times New Roman" w:cs="Times New Roman"/>
          <w:color w:val="000000" w:themeColor="text1"/>
          <w:sz w:val="24"/>
          <w:szCs w:val="24"/>
          <w:lang w:val="en-US"/>
        </w:rPr>
      </w:pPr>
    </w:p>
    <w:p w14:paraId="12DC8A80" w14:textId="77777777" w:rsidR="007F6E6F" w:rsidRPr="007F6E6F" w:rsidRDefault="007F6E6F" w:rsidP="007F6E6F">
      <w:pPr>
        <w:spacing w:line="240" w:lineRule="auto"/>
        <w:rPr>
          <w:rFonts w:ascii="Times New Roman" w:hAnsi="Times New Roman" w:cs="Times New Roman"/>
          <w:color w:val="FF0000"/>
          <w:sz w:val="24"/>
          <w:szCs w:val="24"/>
        </w:rPr>
      </w:pPr>
      <w:r w:rsidRPr="007F6E6F">
        <w:rPr>
          <w:rFonts w:ascii="Times New Roman" w:hAnsi="Times New Roman" w:cs="Times New Roman"/>
          <w:color w:val="000000" w:themeColor="text1"/>
          <w:sz w:val="24"/>
          <w:szCs w:val="24"/>
          <w:lang w:val="en-US"/>
        </w:rPr>
        <w:t xml:space="preserve">Play Wales (2017) </w:t>
      </w:r>
      <w:r w:rsidRPr="007F6E6F">
        <w:rPr>
          <w:rFonts w:ascii="Times New Roman" w:hAnsi="Times New Roman" w:cs="Times New Roman"/>
          <w:i/>
          <w:color w:val="000000" w:themeColor="text1"/>
          <w:sz w:val="24"/>
          <w:szCs w:val="24"/>
          <w:lang w:val="en-US"/>
        </w:rPr>
        <w:t xml:space="preserve">Resources for playing – providing loose parts to support children’s play </w:t>
      </w:r>
      <w:r w:rsidRPr="007F6E6F">
        <w:rPr>
          <w:rFonts w:ascii="Times New Roman" w:hAnsi="Times New Roman" w:cs="Times New Roman"/>
          <w:color w:val="000000" w:themeColor="text1"/>
          <w:sz w:val="24"/>
          <w:szCs w:val="24"/>
          <w:lang w:val="en-US"/>
        </w:rPr>
        <w:t xml:space="preserve">Cardiff: Play Wales. </w:t>
      </w:r>
    </w:p>
    <w:p w14:paraId="31B9F943" w14:textId="77777777" w:rsidR="007F6E6F" w:rsidRPr="007F6E6F" w:rsidRDefault="007F6E6F" w:rsidP="007F6E6F">
      <w:pPr>
        <w:spacing w:line="240" w:lineRule="auto"/>
        <w:rPr>
          <w:rFonts w:ascii="Times New Roman" w:hAnsi="Times New Roman" w:cs="Times New Roman"/>
          <w:color w:val="000000" w:themeColor="text1"/>
          <w:sz w:val="24"/>
          <w:szCs w:val="24"/>
        </w:rPr>
      </w:pPr>
    </w:p>
    <w:p w14:paraId="469C51FC" w14:textId="77777777" w:rsidR="007F6E6F" w:rsidRPr="007F6E6F" w:rsidRDefault="007F6E6F" w:rsidP="007F6E6F">
      <w:pPr>
        <w:spacing w:line="240" w:lineRule="auto"/>
        <w:rPr>
          <w:rFonts w:ascii="Times New Roman" w:hAnsi="Times New Roman" w:cs="Times New Roman"/>
          <w:color w:val="000000" w:themeColor="text1"/>
          <w:sz w:val="24"/>
          <w:szCs w:val="24"/>
        </w:rPr>
      </w:pPr>
      <w:r w:rsidRPr="007F6E6F">
        <w:rPr>
          <w:rFonts w:ascii="Times New Roman" w:hAnsi="Times New Roman" w:cs="Times New Roman"/>
          <w:color w:val="000000" w:themeColor="text1"/>
          <w:sz w:val="24"/>
          <w:szCs w:val="24"/>
        </w:rPr>
        <w:t>Taylor, C., Rhys, M. and Waldron, S. (2016) ‘Implementing curriculum reform in Wales: the case of the Foundation Phase, </w:t>
      </w:r>
      <w:r w:rsidRPr="007F6E6F">
        <w:rPr>
          <w:rFonts w:ascii="Times New Roman" w:hAnsi="Times New Roman" w:cs="Times New Roman"/>
          <w:i/>
          <w:color w:val="000000" w:themeColor="text1"/>
          <w:sz w:val="24"/>
          <w:szCs w:val="24"/>
        </w:rPr>
        <w:t>Oxford Review of Education,</w:t>
      </w:r>
      <w:r w:rsidRPr="007F6E6F">
        <w:rPr>
          <w:rFonts w:ascii="Times New Roman" w:hAnsi="Times New Roman" w:cs="Times New Roman"/>
          <w:color w:val="000000" w:themeColor="text1"/>
          <w:sz w:val="24"/>
          <w:szCs w:val="24"/>
        </w:rPr>
        <w:t> 42(3), pp. 299-</w:t>
      </w:r>
      <w:proofErr w:type="gramStart"/>
      <w:r w:rsidRPr="007F6E6F">
        <w:rPr>
          <w:rFonts w:ascii="Times New Roman" w:hAnsi="Times New Roman" w:cs="Times New Roman"/>
          <w:color w:val="000000" w:themeColor="text1"/>
          <w:sz w:val="24"/>
          <w:szCs w:val="24"/>
        </w:rPr>
        <w:t xml:space="preserve">315,   </w:t>
      </w:r>
      <w:proofErr w:type="gramEnd"/>
      <w:r w:rsidRPr="007F6E6F">
        <w:rPr>
          <w:rFonts w:ascii="Times New Roman" w:hAnsi="Times New Roman" w:cs="Times New Roman"/>
          <w:color w:val="000000" w:themeColor="text1"/>
          <w:sz w:val="24"/>
          <w:szCs w:val="24"/>
        </w:rPr>
        <w:t xml:space="preserve">                     DOI: 10.1080/03054985.2016.1184872.</w:t>
      </w:r>
    </w:p>
    <w:p w14:paraId="760217CC" w14:textId="77777777" w:rsidR="007F6E6F" w:rsidRPr="007F6E6F" w:rsidRDefault="007F6E6F" w:rsidP="007F6E6F">
      <w:pPr>
        <w:spacing w:line="240" w:lineRule="auto"/>
        <w:rPr>
          <w:rFonts w:ascii="Times New Roman" w:hAnsi="Times New Roman" w:cs="Times New Roman"/>
          <w:color w:val="000000" w:themeColor="text1"/>
          <w:sz w:val="24"/>
          <w:szCs w:val="24"/>
        </w:rPr>
      </w:pPr>
    </w:p>
    <w:p w14:paraId="4957D27D" w14:textId="77777777" w:rsidR="007F6E6F" w:rsidRPr="007F6E6F" w:rsidRDefault="007F6E6F" w:rsidP="007F6E6F">
      <w:pPr>
        <w:spacing w:line="240" w:lineRule="auto"/>
        <w:rPr>
          <w:rFonts w:ascii="Times New Roman" w:hAnsi="Times New Roman" w:cs="Times New Roman"/>
          <w:bCs/>
          <w:color w:val="000000" w:themeColor="text1"/>
          <w:sz w:val="24"/>
          <w:szCs w:val="24"/>
        </w:rPr>
      </w:pPr>
      <w:r w:rsidRPr="007F6E6F">
        <w:rPr>
          <w:rFonts w:ascii="Times New Roman" w:hAnsi="Times New Roman" w:cs="Times New Roman"/>
          <w:bCs/>
          <w:color w:val="000000" w:themeColor="text1"/>
          <w:sz w:val="24"/>
          <w:szCs w:val="24"/>
        </w:rPr>
        <w:t xml:space="preserve">WAG </w:t>
      </w:r>
      <w:r w:rsidRPr="007F6E6F">
        <w:rPr>
          <w:rFonts w:ascii="Times New Roman" w:hAnsi="Times New Roman" w:cs="Times New Roman"/>
          <w:bCs/>
          <w:i/>
          <w:color w:val="000000" w:themeColor="text1"/>
          <w:sz w:val="24"/>
          <w:szCs w:val="24"/>
        </w:rPr>
        <w:t>Curriculum for Wales: Foundation Phase Framework</w:t>
      </w:r>
      <w:r w:rsidRPr="007F6E6F">
        <w:rPr>
          <w:rFonts w:ascii="Times New Roman" w:hAnsi="Times New Roman" w:cs="Times New Roman"/>
          <w:bCs/>
          <w:color w:val="000000" w:themeColor="text1"/>
          <w:sz w:val="24"/>
          <w:szCs w:val="24"/>
        </w:rPr>
        <w:t xml:space="preserve"> </w:t>
      </w:r>
      <w:r w:rsidRPr="007F6E6F">
        <w:rPr>
          <w:rFonts w:ascii="Times New Roman" w:hAnsi="Times New Roman" w:cs="Times New Roman"/>
          <w:bCs/>
          <w:i/>
          <w:color w:val="000000" w:themeColor="text1"/>
          <w:sz w:val="24"/>
          <w:szCs w:val="24"/>
        </w:rPr>
        <w:t xml:space="preserve">(Revised 2015) </w:t>
      </w:r>
      <w:r w:rsidRPr="007F6E6F">
        <w:rPr>
          <w:rFonts w:ascii="Times New Roman" w:hAnsi="Times New Roman" w:cs="Times New Roman"/>
          <w:bCs/>
          <w:color w:val="000000" w:themeColor="text1"/>
          <w:sz w:val="24"/>
          <w:szCs w:val="24"/>
        </w:rPr>
        <w:t xml:space="preserve">(2015) Welsh Assembly Government. </w:t>
      </w:r>
    </w:p>
    <w:p w14:paraId="4932D61C" w14:textId="77777777" w:rsidR="007F6E6F" w:rsidRPr="007F6E6F" w:rsidRDefault="007F6E6F" w:rsidP="007F6E6F">
      <w:pPr>
        <w:spacing w:line="240" w:lineRule="auto"/>
        <w:rPr>
          <w:rFonts w:ascii="Times New Roman" w:hAnsi="Times New Roman" w:cs="Times New Roman"/>
          <w:color w:val="000000" w:themeColor="text1"/>
          <w:sz w:val="24"/>
          <w:szCs w:val="24"/>
        </w:rPr>
      </w:pPr>
    </w:p>
    <w:p w14:paraId="3E4CBBB3" w14:textId="77777777" w:rsidR="007F6E6F" w:rsidRPr="007F6E6F" w:rsidRDefault="007F6E6F" w:rsidP="007F6E6F">
      <w:pPr>
        <w:pStyle w:val="NormalWeb"/>
        <w:spacing w:before="2" w:after="2"/>
        <w:rPr>
          <w:rFonts w:ascii="Times New Roman" w:hAnsi="Times New Roman"/>
          <w:color w:val="000000" w:themeColor="text1"/>
          <w:sz w:val="24"/>
          <w:szCs w:val="24"/>
        </w:rPr>
      </w:pPr>
      <w:r w:rsidRPr="007F6E6F">
        <w:rPr>
          <w:rFonts w:ascii="Times New Roman" w:hAnsi="Times New Roman"/>
          <w:color w:val="000000" w:themeColor="text1"/>
          <w:sz w:val="24"/>
          <w:szCs w:val="24"/>
        </w:rPr>
        <w:t xml:space="preserve">Wainwright, N., Goodway, J., </w:t>
      </w:r>
      <w:proofErr w:type="spellStart"/>
      <w:r w:rsidRPr="007F6E6F">
        <w:rPr>
          <w:rFonts w:ascii="Times New Roman" w:hAnsi="Times New Roman"/>
          <w:color w:val="000000" w:themeColor="text1"/>
          <w:sz w:val="24"/>
          <w:szCs w:val="24"/>
        </w:rPr>
        <w:t>Whitehed</w:t>
      </w:r>
      <w:proofErr w:type="spellEnd"/>
      <w:r w:rsidRPr="007F6E6F">
        <w:rPr>
          <w:rFonts w:ascii="Times New Roman" w:hAnsi="Times New Roman"/>
          <w:color w:val="000000" w:themeColor="text1"/>
          <w:sz w:val="24"/>
          <w:szCs w:val="24"/>
        </w:rPr>
        <w:t xml:space="preserve">, M., Williams, A. and Kirk, D. (2016) ‘The Foundation Phase in Wales – a play-based curriculum that supports the development of physical literacy’, </w:t>
      </w:r>
      <w:r w:rsidRPr="007F6E6F">
        <w:rPr>
          <w:rFonts w:ascii="Times New Roman" w:hAnsi="Times New Roman"/>
          <w:i/>
          <w:color w:val="000000" w:themeColor="text1"/>
          <w:sz w:val="24"/>
          <w:szCs w:val="24"/>
        </w:rPr>
        <w:t>Education 3-13,</w:t>
      </w:r>
      <w:r w:rsidRPr="007F6E6F">
        <w:rPr>
          <w:rFonts w:ascii="Times New Roman" w:hAnsi="Times New Roman"/>
          <w:color w:val="000000" w:themeColor="text1"/>
          <w:sz w:val="24"/>
          <w:szCs w:val="24"/>
        </w:rPr>
        <w:t xml:space="preserve"> 44(5), pp. 513-524, DOI: 10.1080/03004279.2016.1176360.</w:t>
      </w:r>
    </w:p>
    <w:p w14:paraId="20C99F77" w14:textId="77777777" w:rsidR="007F6E6F" w:rsidRPr="007F6E6F" w:rsidRDefault="007F6E6F" w:rsidP="007F6E6F">
      <w:pPr>
        <w:pStyle w:val="NormalWeb"/>
        <w:spacing w:beforeLines="0" w:afterLines="0"/>
        <w:rPr>
          <w:rFonts w:ascii="Times New Roman" w:hAnsi="Times New Roman"/>
          <w:color w:val="000000" w:themeColor="text1"/>
          <w:sz w:val="24"/>
          <w:szCs w:val="24"/>
        </w:rPr>
      </w:pPr>
    </w:p>
    <w:p w14:paraId="71F75F1C" w14:textId="77777777" w:rsidR="007F6E6F" w:rsidRPr="007F6E6F" w:rsidRDefault="007F6E6F" w:rsidP="007F6E6F">
      <w:pPr>
        <w:pStyle w:val="NormalWeb"/>
        <w:spacing w:beforeLines="0" w:afterLines="0"/>
        <w:rPr>
          <w:rFonts w:ascii="Times New Roman" w:hAnsi="Times New Roman"/>
          <w:color w:val="000000" w:themeColor="text1"/>
          <w:sz w:val="24"/>
          <w:szCs w:val="24"/>
        </w:rPr>
      </w:pPr>
      <w:r w:rsidRPr="007F6E6F">
        <w:rPr>
          <w:rFonts w:ascii="Times New Roman" w:hAnsi="Times New Roman"/>
          <w:color w:val="000000" w:themeColor="text1"/>
          <w:sz w:val="24"/>
          <w:szCs w:val="24"/>
        </w:rPr>
        <w:t>Wainwright, N., Goodway, J., Whitehead, M., Williams, A. and Kirk, D. (2018) ‘Laying the foundations for physical literacy in Wales: the contribution of the Foundation Phase to the development of physical literacy’, </w:t>
      </w:r>
      <w:r w:rsidRPr="007F6E6F">
        <w:rPr>
          <w:rFonts w:ascii="Times New Roman" w:hAnsi="Times New Roman"/>
          <w:i/>
          <w:color w:val="000000" w:themeColor="text1"/>
          <w:sz w:val="24"/>
          <w:szCs w:val="24"/>
        </w:rPr>
        <w:t>Physical Education and Sport Pedagogy,</w:t>
      </w:r>
      <w:r w:rsidRPr="007F6E6F">
        <w:rPr>
          <w:rFonts w:ascii="Times New Roman" w:hAnsi="Times New Roman"/>
          <w:color w:val="000000" w:themeColor="text1"/>
          <w:sz w:val="24"/>
          <w:szCs w:val="24"/>
        </w:rPr>
        <w:t> DOI: 10.1080/17408989.2018.1455819.</w:t>
      </w:r>
    </w:p>
    <w:p w14:paraId="3A08AEEE" w14:textId="77777777" w:rsidR="007F6E6F" w:rsidRPr="007F6E6F" w:rsidRDefault="007F6E6F" w:rsidP="007F6E6F">
      <w:pPr>
        <w:pStyle w:val="NormalWeb"/>
        <w:spacing w:beforeLines="0" w:afterLines="0"/>
        <w:rPr>
          <w:rFonts w:ascii="Times New Roman" w:hAnsi="Times New Roman"/>
          <w:color w:val="000000" w:themeColor="text1"/>
          <w:sz w:val="24"/>
          <w:szCs w:val="24"/>
        </w:rPr>
      </w:pPr>
    </w:p>
    <w:p w14:paraId="3ABAC11E" w14:textId="77777777" w:rsidR="003F7C59" w:rsidRDefault="007F6E6F" w:rsidP="003F7C59">
      <w:pPr>
        <w:spacing w:line="240" w:lineRule="auto"/>
        <w:rPr>
          <w:rFonts w:ascii="Times New Roman" w:hAnsi="Times New Roman" w:cs="Times New Roman"/>
          <w:color w:val="000000" w:themeColor="text1"/>
          <w:sz w:val="24"/>
          <w:szCs w:val="24"/>
        </w:rPr>
      </w:pPr>
      <w:r w:rsidRPr="007F6E6F">
        <w:rPr>
          <w:rFonts w:ascii="Times New Roman" w:hAnsi="Times New Roman" w:cs="Times New Roman"/>
          <w:color w:val="000000" w:themeColor="text1"/>
          <w:sz w:val="24"/>
          <w:szCs w:val="24"/>
        </w:rPr>
        <w:lastRenderedPageBreak/>
        <w:t xml:space="preserve">Waller, T. (2007) ‘The Trampoline Tree and the Swamp Monster with 18 heads’: outdoor play in the Foundation Stage and Foundation Phase’, Education 3-13: </w:t>
      </w:r>
      <w:r w:rsidRPr="007F6E6F">
        <w:rPr>
          <w:rFonts w:ascii="Times New Roman" w:hAnsi="Times New Roman" w:cs="Times New Roman"/>
          <w:i/>
          <w:color w:val="000000" w:themeColor="text1"/>
          <w:sz w:val="24"/>
          <w:szCs w:val="24"/>
        </w:rPr>
        <w:t>International Journal of Primary, Elementary and Early Years Education,</w:t>
      </w:r>
      <w:r w:rsidRPr="007F6E6F">
        <w:rPr>
          <w:rFonts w:ascii="Times New Roman" w:hAnsi="Times New Roman" w:cs="Times New Roman"/>
          <w:color w:val="000000" w:themeColor="text1"/>
          <w:sz w:val="24"/>
          <w:szCs w:val="24"/>
        </w:rPr>
        <w:t xml:space="preserve"> 35(4), pp. 393-407. </w:t>
      </w:r>
    </w:p>
    <w:p w14:paraId="16CF3EEE" w14:textId="77560996" w:rsidR="007F6E6F" w:rsidRPr="003F7C59" w:rsidRDefault="007F6E6F" w:rsidP="003F7C59">
      <w:pPr>
        <w:spacing w:line="240" w:lineRule="auto"/>
        <w:rPr>
          <w:rFonts w:ascii="Times New Roman" w:hAnsi="Times New Roman" w:cs="Times New Roman"/>
          <w:color w:val="000000" w:themeColor="text1"/>
          <w:sz w:val="24"/>
          <w:szCs w:val="24"/>
        </w:rPr>
      </w:pPr>
      <w:r w:rsidRPr="007F6E6F">
        <w:rPr>
          <w:rFonts w:ascii="Times New Roman" w:hAnsi="Times New Roman"/>
          <w:color w:val="000000" w:themeColor="text1"/>
          <w:sz w:val="24"/>
          <w:szCs w:val="24"/>
        </w:rPr>
        <w:t xml:space="preserve">Whitehead, M. (2010) </w:t>
      </w:r>
      <w:r w:rsidRPr="007F6E6F">
        <w:rPr>
          <w:rFonts w:ascii="Times New Roman" w:hAnsi="Times New Roman"/>
          <w:i/>
          <w:iCs/>
          <w:color w:val="000000" w:themeColor="text1"/>
          <w:sz w:val="24"/>
          <w:szCs w:val="24"/>
        </w:rPr>
        <w:t xml:space="preserve">Physical literacy: Throughout the </w:t>
      </w:r>
      <w:proofErr w:type="spellStart"/>
      <w:r w:rsidRPr="007F6E6F">
        <w:rPr>
          <w:rFonts w:ascii="Times New Roman" w:hAnsi="Times New Roman"/>
          <w:i/>
          <w:iCs/>
          <w:color w:val="000000" w:themeColor="text1"/>
          <w:sz w:val="24"/>
          <w:szCs w:val="24"/>
        </w:rPr>
        <w:t>lifecourse</w:t>
      </w:r>
      <w:proofErr w:type="spellEnd"/>
      <w:r w:rsidRPr="007F6E6F">
        <w:rPr>
          <w:rFonts w:ascii="Times New Roman" w:hAnsi="Times New Roman"/>
          <w:i/>
          <w:iCs/>
          <w:color w:val="000000" w:themeColor="text1"/>
          <w:sz w:val="24"/>
          <w:szCs w:val="24"/>
        </w:rPr>
        <w:t xml:space="preserve"> </w:t>
      </w:r>
      <w:r w:rsidRPr="007F6E6F">
        <w:rPr>
          <w:rFonts w:ascii="Times New Roman" w:hAnsi="Times New Roman"/>
          <w:iCs/>
          <w:color w:val="000000" w:themeColor="text1"/>
          <w:sz w:val="24"/>
          <w:szCs w:val="24"/>
        </w:rPr>
        <w:t xml:space="preserve">London: </w:t>
      </w:r>
      <w:r w:rsidRPr="007F6E6F">
        <w:rPr>
          <w:rFonts w:ascii="Times New Roman" w:hAnsi="Times New Roman"/>
          <w:color w:val="000000" w:themeColor="text1"/>
          <w:sz w:val="24"/>
          <w:szCs w:val="24"/>
        </w:rPr>
        <w:t>Routledge.</w:t>
      </w:r>
    </w:p>
    <w:p w14:paraId="27ADF89E" w14:textId="77777777" w:rsidR="007F6E6F" w:rsidRPr="007F6E6F" w:rsidRDefault="007F6E6F" w:rsidP="007F6E6F">
      <w:pPr>
        <w:spacing w:line="240" w:lineRule="auto"/>
        <w:rPr>
          <w:rFonts w:ascii="Times New Roman" w:eastAsia="Times New Roman" w:hAnsi="Times New Roman" w:cs="Times New Roman"/>
          <w:color w:val="222222"/>
          <w:sz w:val="24"/>
          <w:szCs w:val="24"/>
          <w:shd w:val="clear" w:color="auto" w:fill="FFFFFF"/>
        </w:rPr>
      </w:pPr>
    </w:p>
    <w:p w14:paraId="3682ED9C" w14:textId="6C44B01A" w:rsidR="007F6E6F" w:rsidRPr="007F6E6F" w:rsidRDefault="007F6E6F" w:rsidP="007F6E6F">
      <w:pPr>
        <w:spacing w:line="240" w:lineRule="auto"/>
        <w:rPr>
          <w:rFonts w:ascii="Times New Roman" w:eastAsia="Times New Roman" w:hAnsi="Times New Roman" w:cs="Times New Roman"/>
          <w:sz w:val="24"/>
          <w:szCs w:val="24"/>
        </w:rPr>
      </w:pPr>
      <w:r w:rsidRPr="007F6E6F">
        <w:rPr>
          <w:rFonts w:ascii="Times New Roman" w:eastAsia="Times New Roman" w:hAnsi="Times New Roman" w:cs="Times New Roman"/>
          <w:color w:val="222222"/>
          <w:sz w:val="24"/>
          <w:szCs w:val="24"/>
          <w:shd w:val="clear" w:color="auto" w:fill="FFFFFF"/>
        </w:rPr>
        <w:t>Wood, E., and Attfield, J. (2005) </w:t>
      </w:r>
      <w:r w:rsidRPr="007F6E6F">
        <w:rPr>
          <w:rFonts w:ascii="Times New Roman" w:eastAsia="Times New Roman" w:hAnsi="Times New Roman" w:cs="Times New Roman"/>
          <w:i/>
          <w:iCs/>
          <w:color w:val="222222"/>
          <w:sz w:val="24"/>
          <w:szCs w:val="24"/>
        </w:rPr>
        <w:t>Play, learning and the early childhood curriculum</w:t>
      </w:r>
      <w:r w:rsidRPr="007F6E6F">
        <w:rPr>
          <w:rFonts w:ascii="Times New Roman" w:eastAsia="Times New Roman" w:hAnsi="Times New Roman" w:cs="Times New Roman"/>
          <w:color w:val="222222"/>
          <w:sz w:val="24"/>
          <w:szCs w:val="24"/>
          <w:shd w:val="clear" w:color="auto" w:fill="FFFFFF"/>
        </w:rPr>
        <w:t xml:space="preserve"> Sage.</w:t>
      </w:r>
    </w:p>
    <w:p w14:paraId="21C747CC" w14:textId="77777777" w:rsidR="00C6371F" w:rsidRPr="007F6E6F" w:rsidRDefault="00C6371F" w:rsidP="007F6E6F">
      <w:pPr>
        <w:rPr>
          <w:rFonts w:ascii="Times New Roman" w:eastAsia="Times New Roman" w:hAnsi="Times New Roman" w:cs="Times New Roman"/>
          <w:sz w:val="24"/>
          <w:szCs w:val="24"/>
        </w:rPr>
      </w:pPr>
    </w:p>
    <w:sectPr w:rsidR="00C6371F" w:rsidRPr="007F6E6F" w:rsidSect="007F6E6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7CA99" w14:textId="77777777" w:rsidR="00242D31" w:rsidRDefault="00242D31" w:rsidP="0077207E">
      <w:pPr>
        <w:spacing w:line="240" w:lineRule="auto"/>
      </w:pPr>
      <w:r>
        <w:separator/>
      </w:r>
    </w:p>
  </w:endnote>
  <w:endnote w:type="continuationSeparator" w:id="0">
    <w:p w14:paraId="153BC1B5" w14:textId="77777777" w:rsidR="00242D31" w:rsidRDefault="00242D3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Times">
    <w:panose1 w:val="02000500000000000000"/>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1178918"/>
      <w:docPartObj>
        <w:docPartGallery w:val="Page Numbers (Bottom of Page)"/>
        <w:docPartUnique/>
      </w:docPartObj>
    </w:sdtPr>
    <w:sdtEndPr>
      <w:rPr>
        <w:rStyle w:val="PageNumber"/>
      </w:rPr>
    </w:sdtEndPr>
    <w:sdtContent>
      <w:p w14:paraId="419B5B1F" w14:textId="20479176" w:rsidR="00493B71" w:rsidRDefault="00493B71" w:rsidP="00080C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170158" w14:textId="77777777" w:rsidR="00493B71" w:rsidRDefault="00493B71" w:rsidP="00493B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6030903"/>
      <w:docPartObj>
        <w:docPartGallery w:val="Page Numbers (Bottom of Page)"/>
        <w:docPartUnique/>
      </w:docPartObj>
    </w:sdtPr>
    <w:sdtEndPr>
      <w:rPr>
        <w:rStyle w:val="PageNumber"/>
      </w:rPr>
    </w:sdtEndPr>
    <w:sdtContent>
      <w:p w14:paraId="58FF1FBD" w14:textId="37AF6017" w:rsidR="00493B71" w:rsidRDefault="00493B71" w:rsidP="00080C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2EEB21" w14:textId="77777777" w:rsidR="00493B71" w:rsidRDefault="00493B71" w:rsidP="00493B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E5EE1" w14:textId="77777777" w:rsidR="00242D31" w:rsidRDefault="00242D31" w:rsidP="0077207E">
      <w:pPr>
        <w:spacing w:line="240" w:lineRule="auto"/>
      </w:pPr>
      <w:r>
        <w:separator/>
      </w:r>
    </w:p>
  </w:footnote>
  <w:footnote w:type="continuationSeparator" w:id="0">
    <w:p w14:paraId="4DEFBED6" w14:textId="77777777" w:rsidR="00242D31" w:rsidRDefault="00242D31"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D4291"/>
    <w:rsid w:val="001A42DC"/>
    <w:rsid w:val="001A4B68"/>
    <w:rsid w:val="001C51DF"/>
    <w:rsid w:val="001F7C59"/>
    <w:rsid w:val="00242D31"/>
    <w:rsid w:val="00260D7B"/>
    <w:rsid w:val="00284793"/>
    <w:rsid w:val="002A7AAE"/>
    <w:rsid w:val="002B6AC4"/>
    <w:rsid w:val="00317403"/>
    <w:rsid w:val="00317441"/>
    <w:rsid w:val="00344249"/>
    <w:rsid w:val="003F7C59"/>
    <w:rsid w:val="00401D59"/>
    <w:rsid w:val="004150A6"/>
    <w:rsid w:val="00417FA2"/>
    <w:rsid w:val="00424460"/>
    <w:rsid w:val="00437D19"/>
    <w:rsid w:val="00484EC1"/>
    <w:rsid w:val="00485B2B"/>
    <w:rsid w:val="00493B71"/>
    <w:rsid w:val="004E5105"/>
    <w:rsid w:val="005374BB"/>
    <w:rsid w:val="00590105"/>
    <w:rsid w:val="005963C3"/>
    <w:rsid w:val="00763B02"/>
    <w:rsid w:val="0077207E"/>
    <w:rsid w:val="007D2445"/>
    <w:rsid w:val="007D332B"/>
    <w:rsid w:val="007F6E6F"/>
    <w:rsid w:val="00846882"/>
    <w:rsid w:val="00872DA2"/>
    <w:rsid w:val="009859DC"/>
    <w:rsid w:val="00A02860"/>
    <w:rsid w:val="00A72A53"/>
    <w:rsid w:val="00BF3F1C"/>
    <w:rsid w:val="00C10F21"/>
    <w:rsid w:val="00C3093A"/>
    <w:rsid w:val="00C34BB4"/>
    <w:rsid w:val="00C536A6"/>
    <w:rsid w:val="00C6371F"/>
    <w:rsid w:val="00CA255D"/>
    <w:rsid w:val="00CB1CB8"/>
    <w:rsid w:val="00D34C76"/>
    <w:rsid w:val="00D6095A"/>
    <w:rsid w:val="00DF5A32"/>
    <w:rsid w:val="00E10195"/>
    <w:rsid w:val="00E24983"/>
    <w:rsid w:val="00EA5C3F"/>
    <w:rsid w:val="00EB1F41"/>
    <w:rsid w:val="00EE29ED"/>
    <w:rsid w:val="00FC0F2F"/>
    <w:rsid w:val="00FD2CFF"/>
    <w:rsid w:val="00FE1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PageNumber">
    <w:name w:val="page number"/>
    <w:basedOn w:val="DefaultParagraphFont"/>
    <w:uiPriority w:val="99"/>
    <w:semiHidden/>
    <w:unhideWhenUsed/>
    <w:rsid w:val="00493B71"/>
  </w:style>
  <w:style w:type="paragraph" w:styleId="NormalWeb">
    <w:name w:val="Normal (Web)"/>
    <w:basedOn w:val="Normal"/>
    <w:uiPriority w:val="99"/>
    <w:rsid w:val="007F6E6F"/>
    <w:pPr>
      <w:spacing w:beforeLines="1" w:afterLines="1" w:line="240" w:lineRule="auto"/>
    </w:pPr>
    <w:rPr>
      <w:rFonts w:ascii="Times" w:eastAsia="MS Mincho" w:hAnsi="Times" w:cs="Times New Roman"/>
      <w:sz w:val="20"/>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11</Pages>
  <Words>3766</Words>
  <Characters>21469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Jason Hill (1602179)</cp:lastModifiedBy>
  <cp:revision>9</cp:revision>
  <cp:lastPrinted>2014-08-18T15:50:00Z</cp:lastPrinted>
  <dcterms:created xsi:type="dcterms:W3CDTF">2018-05-04T21:23:00Z</dcterms:created>
  <dcterms:modified xsi:type="dcterms:W3CDTF">2018-05-16T20:37:00Z</dcterms:modified>
</cp:coreProperties>
</file>