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8D3FA" w14:textId="77777777" w:rsidR="00C222A6" w:rsidRDefault="00000000">
      <w:pPr>
        <w:jc w:val="center"/>
        <w:rPr>
          <w:b/>
          <w:bCs/>
          <w:sz w:val="36"/>
          <w:szCs w:val="36"/>
        </w:rPr>
      </w:pPr>
      <w:r>
        <w:rPr>
          <w:b/>
          <w:bCs/>
          <w:noProof/>
          <w:sz w:val="36"/>
          <w:szCs w:val="36"/>
        </w:rPr>
        <w:drawing>
          <wp:inline distT="114300" distB="114300" distL="114300" distR="114300" wp14:anchorId="48317CD3" wp14:editId="2D8E762E">
            <wp:extent cx="2428875" cy="10382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28875" cy="1038225"/>
                    </a:xfrm>
                    <a:prstGeom prst="rect">
                      <a:avLst/>
                    </a:prstGeom>
                    <a:ln/>
                  </pic:spPr>
                </pic:pic>
              </a:graphicData>
            </a:graphic>
          </wp:inline>
        </w:drawing>
      </w:r>
    </w:p>
    <w:p w14:paraId="4CF8FB2E" w14:textId="77777777" w:rsidR="00C222A6" w:rsidRDefault="00C222A6">
      <w:pPr>
        <w:jc w:val="center"/>
        <w:rPr>
          <w:b/>
          <w:bCs/>
          <w:sz w:val="36"/>
          <w:szCs w:val="36"/>
        </w:rPr>
      </w:pPr>
    </w:p>
    <w:p w14:paraId="06C8F9FE" w14:textId="77777777" w:rsidR="00C222A6" w:rsidRDefault="00000000">
      <w:pPr>
        <w:jc w:val="center"/>
        <w:rPr>
          <w:b/>
          <w:bCs/>
          <w:sz w:val="36"/>
          <w:szCs w:val="36"/>
        </w:rPr>
      </w:pPr>
      <w:r>
        <w:rPr>
          <w:b/>
          <w:bCs/>
          <w:sz w:val="36"/>
          <w:szCs w:val="36"/>
        </w:rPr>
        <w:t>Programme: Certificate of Higher Education Skills for the Workplace (Health &amp; Social Care)</w:t>
      </w:r>
    </w:p>
    <w:p w14:paraId="672B366D" w14:textId="77777777" w:rsidR="00C222A6" w:rsidRDefault="00000000">
      <w:pPr>
        <w:jc w:val="center"/>
        <w:rPr>
          <w:b/>
          <w:bCs/>
          <w:sz w:val="36"/>
          <w:szCs w:val="36"/>
        </w:rPr>
      </w:pPr>
      <w:r>
        <w:rPr>
          <w:b/>
          <w:bCs/>
          <w:sz w:val="36"/>
          <w:szCs w:val="36"/>
        </w:rPr>
        <w:t>Module: Introduction to Health and Social Care</w:t>
      </w:r>
    </w:p>
    <w:p w14:paraId="7FD3D36D" w14:textId="77777777" w:rsidR="00C222A6" w:rsidRDefault="00000000">
      <w:pPr>
        <w:jc w:val="center"/>
        <w:rPr>
          <w:b/>
          <w:bCs/>
          <w:sz w:val="36"/>
          <w:szCs w:val="36"/>
        </w:rPr>
      </w:pPr>
      <w:r>
        <w:rPr>
          <w:b/>
          <w:bCs/>
          <w:sz w:val="36"/>
          <w:szCs w:val="36"/>
        </w:rPr>
        <w:t>Module code: LCHS4003</w:t>
      </w:r>
    </w:p>
    <w:p w14:paraId="7C630903" w14:textId="58E197D9" w:rsidR="00C222A6" w:rsidRDefault="00000000">
      <w:pPr>
        <w:jc w:val="center"/>
        <w:rPr>
          <w:b/>
          <w:bCs/>
          <w:sz w:val="36"/>
          <w:szCs w:val="36"/>
        </w:rPr>
      </w:pPr>
      <w:r>
        <w:rPr>
          <w:b/>
          <w:bCs/>
          <w:sz w:val="36"/>
          <w:szCs w:val="36"/>
        </w:rPr>
        <w:t>Student name: Ionela</w:t>
      </w:r>
      <w:r w:rsidR="00BE31C3">
        <w:rPr>
          <w:b/>
          <w:bCs/>
          <w:sz w:val="36"/>
          <w:szCs w:val="36"/>
        </w:rPr>
        <w:t xml:space="preserve"> Velichi</w:t>
      </w:r>
    </w:p>
    <w:p w14:paraId="7E5DA136" w14:textId="14A13600" w:rsidR="00C222A6" w:rsidRDefault="00000000">
      <w:pPr>
        <w:jc w:val="center"/>
        <w:rPr>
          <w:b/>
          <w:bCs/>
          <w:sz w:val="36"/>
          <w:szCs w:val="36"/>
        </w:rPr>
      </w:pPr>
      <w:r>
        <w:rPr>
          <w:b/>
          <w:bCs/>
          <w:sz w:val="36"/>
          <w:szCs w:val="36"/>
        </w:rPr>
        <w:t>Student ID:</w:t>
      </w:r>
      <w:r w:rsidR="00BE31C3">
        <w:rPr>
          <w:b/>
          <w:bCs/>
          <w:sz w:val="36"/>
          <w:szCs w:val="36"/>
        </w:rPr>
        <w:t xml:space="preserve"> 2438802</w:t>
      </w:r>
    </w:p>
    <w:p w14:paraId="68FE8ED3" w14:textId="6B888764" w:rsidR="00C222A6" w:rsidRDefault="00C222A6" w:rsidP="00BE31C3">
      <w:pPr>
        <w:rPr>
          <w:b/>
          <w:bCs/>
          <w:sz w:val="36"/>
          <w:szCs w:val="36"/>
        </w:rPr>
      </w:pPr>
    </w:p>
    <w:p w14:paraId="08BA1863" w14:textId="77777777" w:rsidR="00C222A6" w:rsidRDefault="00C222A6">
      <w:pPr>
        <w:jc w:val="center"/>
        <w:rPr>
          <w:b/>
          <w:bCs/>
          <w:sz w:val="36"/>
          <w:szCs w:val="36"/>
        </w:rPr>
      </w:pPr>
    </w:p>
    <w:p w14:paraId="6646385F" w14:textId="77777777" w:rsidR="00C222A6" w:rsidRDefault="00000000">
      <w:pPr>
        <w:jc w:val="center"/>
        <w:rPr>
          <w:b/>
          <w:bCs/>
          <w:i/>
          <w:iCs/>
          <w:sz w:val="36"/>
          <w:szCs w:val="36"/>
        </w:rPr>
      </w:pPr>
      <w:r>
        <w:rPr>
          <w:b/>
          <w:bCs/>
          <w:i/>
          <w:iCs/>
          <w:sz w:val="36"/>
          <w:szCs w:val="36"/>
        </w:rPr>
        <w:t>Title: Case Study Analysis on Health and Social Care for Mrs Mann</w:t>
      </w:r>
    </w:p>
    <w:p w14:paraId="2EED8D5F" w14:textId="77777777" w:rsidR="00C222A6" w:rsidRDefault="00000000">
      <w:pPr>
        <w:spacing w:before="0" w:after="160" w:line="259" w:lineRule="auto"/>
        <w:jc w:val="left"/>
        <w:rPr>
          <w:b/>
          <w:bCs/>
          <w:sz w:val="28"/>
          <w:szCs w:val="28"/>
        </w:rPr>
      </w:pPr>
      <w:r>
        <w:br w:type="page"/>
      </w:r>
    </w:p>
    <w:p w14:paraId="6A554ED3" w14:textId="77777777" w:rsidR="00C222A6" w:rsidRDefault="00000000">
      <w:pPr>
        <w:jc w:val="center"/>
        <w:rPr>
          <w:b/>
          <w:bCs/>
          <w:sz w:val="28"/>
          <w:szCs w:val="28"/>
        </w:rPr>
      </w:pPr>
      <w:r>
        <w:rPr>
          <w:b/>
          <w:bCs/>
          <w:sz w:val="28"/>
          <w:szCs w:val="28"/>
        </w:rPr>
        <w:lastRenderedPageBreak/>
        <w:t>Table of Contents</w:t>
      </w:r>
    </w:p>
    <w:sdt>
      <w:sdtPr>
        <w:id w:val="472233528"/>
        <w:docPartObj>
          <w:docPartGallery w:val="Table of Contents"/>
          <w:docPartUnique/>
        </w:docPartObj>
      </w:sdtPr>
      <w:sdtContent>
        <w:p w14:paraId="65BDE245" w14:textId="77777777" w:rsidR="00C222A6" w:rsidRDefault="00000000">
          <w:pPr>
            <w:pBdr>
              <w:top w:val="nil"/>
              <w:left w:val="nil"/>
              <w:bottom w:val="nil"/>
              <w:right w:val="nil"/>
              <w:between w:val="nil"/>
            </w:pBdr>
            <w:tabs>
              <w:tab w:val="right" w:leader="dot" w:pos="9350"/>
            </w:tabs>
            <w:spacing w:after="100"/>
            <w:rPr>
              <w:rFonts w:ascii="Calibri" w:eastAsia="Calibri" w:hAnsi="Calibri" w:cs="Calibri"/>
              <w:sz w:val="24"/>
              <w:szCs w:val="24"/>
            </w:rPr>
          </w:pPr>
          <w:r>
            <w:fldChar w:fldCharType="begin"/>
          </w:r>
          <w:r>
            <w:instrText xml:space="preserve"> TOC \h \u \z \t "Heading 1,1,Heading 2,2,Heading 3,3,"</w:instrText>
          </w:r>
          <w:r>
            <w:fldChar w:fldCharType="separate"/>
          </w:r>
          <w:hyperlink w:anchor="_heading=h.yacn1c50i95s">
            <w:r w:rsidR="00C222A6">
              <w:t>1. Introduction</w:t>
            </w:r>
            <w:r w:rsidR="00C222A6">
              <w:tab/>
              <w:t>3</w:t>
            </w:r>
          </w:hyperlink>
        </w:p>
        <w:p w14:paraId="409E674E" w14:textId="3774F309" w:rsidR="00C222A6" w:rsidRDefault="00C222A6">
          <w:pPr>
            <w:pBdr>
              <w:top w:val="nil"/>
              <w:left w:val="nil"/>
              <w:bottom w:val="nil"/>
              <w:right w:val="nil"/>
              <w:between w:val="nil"/>
            </w:pBdr>
            <w:tabs>
              <w:tab w:val="right" w:leader="dot" w:pos="9350"/>
            </w:tabs>
            <w:spacing w:after="100"/>
            <w:rPr>
              <w:rFonts w:ascii="Calibri" w:eastAsia="Calibri" w:hAnsi="Calibri" w:cs="Calibri"/>
              <w:sz w:val="24"/>
              <w:szCs w:val="24"/>
            </w:rPr>
          </w:pPr>
          <w:hyperlink w:anchor="_heading=h.dedfc6xfor4w">
            <w:r>
              <w:t xml:space="preserve">2. </w:t>
            </w:r>
            <w:r w:rsidR="00BE31C3">
              <w:t>I</w:t>
            </w:r>
            <w:r>
              <w:t>mportance of effective communication</w:t>
            </w:r>
            <w:r>
              <w:tab/>
              <w:t>3</w:t>
            </w:r>
          </w:hyperlink>
        </w:p>
        <w:p w14:paraId="17EDE6F1" w14:textId="77777777" w:rsidR="00C222A6" w:rsidRDefault="00C222A6">
          <w:pPr>
            <w:pBdr>
              <w:top w:val="nil"/>
              <w:left w:val="nil"/>
              <w:bottom w:val="nil"/>
              <w:right w:val="nil"/>
              <w:between w:val="nil"/>
            </w:pBdr>
            <w:tabs>
              <w:tab w:val="right" w:leader="dot" w:pos="9350"/>
            </w:tabs>
            <w:spacing w:after="100"/>
            <w:rPr>
              <w:rFonts w:ascii="Calibri" w:eastAsia="Calibri" w:hAnsi="Calibri" w:cs="Calibri"/>
              <w:sz w:val="24"/>
              <w:szCs w:val="24"/>
            </w:rPr>
          </w:pPr>
          <w:hyperlink w:anchor="_heading=h.g4ky4r1f3a97">
            <w:r>
              <w:t>3. Importance of good administrative skills within professional practice</w:t>
            </w:r>
            <w:r>
              <w:tab/>
              <w:t>5</w:t>
            </w:r>
          </w:hyperlink>
        </w:p>
        <w:p w14:paraId="1CC16998" w14:textId="77777777" w:rsidR="00C222A6" w:rsidRDefault="00C222A6">
          <w:pPr>
            <w:pBdr>
              <w:top w:val="nil"/>
              <w:left w:val="nil"/>
              <w:bottom w:val="nil"/>
              <w:right w:val="nil"/>
              <w:between w:val="nil"/>
            </w:pBdr>
            <w:tabs>
              <w:tab w:val="right" w:leader="dot" w:pos="9350"/>
            </w:tabs>
            <w:spacing w:after="100"/>
            <w:rPr>
              <w:rFonts w:ascii="Calibri" w:eastAsia="Calibri" w:hAnsi="Calibri" w:cs="Calibri"/>
              <w:sz w:val="24"/>
              <w:szCs w:val="24"/>
            </w:rPr>
          </w:pPr>
          <w:hyperlink w:anchor="_heading=h.iq6iizr3bv8z">
            <w:r>
              <w:t>4. Importance of working collaboratively with other professionals in Mrs Mann’s care</w:t>
            </w:r>
            <w:r>
              <w:tab/>
              <w:t>6</w:t>
            </w:r>
          </w:hyperlink>
        </w:p>
        <w:p w14:paraId="42FCAEFB" w14:textId="77777777" w:rsidR="00C222A6" w:rsidRDefault="00C222A6">
          <w:pPr>
            <w:pBdr>
              <w:top w:val="nil"/>
              <w:left w:val="nil"/>
              <w:bottom w:val="nil"/>
              <w:right w:val="nil"/>
              <w:between w:val="nil"/>
            </w:pBdr>
            <w:tabs>
              <w:tab w:val="right" w:leader="dot" w:pos="9350"/>
            </w:tabs>
            <w:spacing w:after="100"/>
            <w:rPr>
              <w:rFonts w:ascii="Calibri" w:eastAsia="Calibri" w:hAnsi="Calibri" w:cs="Calibri"/>
              <w:sz w:val="24"/>
              <w:szCs w:val="24"/>
            </w:rPr>
          </w:pPr>
          <w:hyperlink w:anchor="_heading=h.oplg3lc2idp2">
            <w:r>
              <w:t>5. Conclusion</w:t>
            </w:r>
            <w:r>
              <w:tab/>
              <w:t>7</w:t>
            </w:r>
          </w:hyperlink>
        </w:p>
        <w:p w14:paraId="72D1A6F3" w14:textId="77777777" w:rsidR="00C222A6" w:rsidRDefault="00C222A6">
          <w:pPr>
            <w:pBdr>
              <w:top w:val="nil"/>
              <w:left w:val="nil"/>
              <w:bottom w:val="nil"/>
              <w:right w:val="nil"/>
              <w:between w:val="nil"/>
            </w:pBdr>
            <w:tabs>
              <w:tab w:val="right" w:leader="dot" w:pos="9350"/>
            </w:tabs>
            <w:spacing w:after="100"/>
            <w:rPr>
              <w:rFonts w:ascii="Calibri" w:eastAsia="Calibri" w:hAnsi="Calibri" w:cs="Calibri"/>
              <w:sz w:val="24"/>
              <w:szCs w:val="24"/>
            </w:rPr>
          </w:pPr>
          <w:hyperlink w:anchor="_heading=h.33fpfnybm8qk">
            <w:r>
              <w:t>Reference List</w:t>
            </w:r>
            <w:r>
              <w:tab/>
              <w:t>8</w:t>
            </w:r>
          </w:hyperlink>
        </w:p>
        <w:p w14:paraId="6FFEBB53" w14:textId="77777777" w:rsidR="00C222A6" w:rsidRDefault="00000000">
          <w:r>
            <w:fldChar w:fldCharType="end"/>
          </w:r>
        </w:p>
      </w:sdtContent>
    </w:sdt>
    <w:p w14:paraId="1A655385" w14:textId="77777777" w:rsidR="00C222A6" w:rsidRDefault="00000000">
      <w:pPr>
        <w:spacing w:before="0" w:after="160" w:line="259" w:lineRule="auto"/>
        <w:jc w:val="left"/>
      </w:pPr>
      <w:r>
        <w:br w:type="page"/>
      </w:r>
    </w:p>
    <w:p w14:paraId="3C41CC3D" w14:textId="77777777" w:rsidR="00C222A6" w:rsidRDefault="00000000">
      <w:pPr>
        <w:pStyle w:val="Heading1"/>
      </w:pPr>
      <w:bookmarkStart w:id="0" w:name="_heading=h.yacn1c50i95s" w:colFirst="0" w:colLast="0"/>
      <w:bookmarkEnd w:id="0"/>
      <w:r>
        <w:lastRenderedPageBreak/>
        <w:t>1. Introduction</w:t>
      </w:r>
    </w:p>
    <w:p w14:paraId="43451F78" w14:textId="77777777" w:rsidR="00C222A6" w:rsidRDefault="00000000">
      <w:r>
        <w:t xml:space="preserve">The importance of effective communication in health and social care has been widely recognised. The acceptance of clear and accessible communication helps in providing patient safety and supports the care for patients. The adoption of positive communication reduces errors and improves patient satisfaction (NHS, 2021). Communication in the UK has been informed by legal duties such as the Equality Act 2010, which considers that information should be provided </w:t>
      </w:r>
      <w:proofErr w:type="gramStart"/>
      <w:r>
        <w:t>on the basis of</w:t>
      </w:r>
      <w:proofErr w:type="gramEnd"/>
      <w:r>
        <w:t xml:space="preserve"> fairness and inclusion (GOV UK, 2013). The report helps to explore the role of communication in the care of Mrs Mann. UK healthcare expenditure in 2023 was nearly £292 billion (GOV UK, 2021). There will be focus on information exchange between professionals, service users, and their families. </w:t>
      </w:r>
      <w:proofErr w:type="gramStart"/>
      <w:r>
        <w:t>Particular attention</w:t>
      </w:r>
      <w:proofErr w:type="gramEnd"/>
      <w:r>
        <w:t xml:space="preserve"> will be provided to the influence of communication models on communication like the model developed by Berlo known as the SMCR Model. The significance of partnership work, precise record-keeping, and culturally responsive communication is discussed </w:t>
      </w:r>
      <w:proofErr w:type="gramStart"/>
      <w:r>
        <w:t>in an effort to</w:t>
      </w:r>
      <w:proofErr w:type="gramEnd"/>
      <w:r>
        <w:t xml:space="preserve"> highlight the safety, coordination of care.</w:t>
      </w:r>
    </w:p>
    <w:p w14:paraId="4DD51A3B" w14:textId="77777777" w:rsidR="00C222A6" w:rsidRDefault="00000000">
      <w:pPr>
        <w:pStyle w:val="Heading1"/>
      </w:pPr>
      <w:bookmarkStart w:id="1" w:name="_heading=h.dedfc6xfor4w" w:colFirst="0" w:colLast="0"/>
      <w:bookmarkEnd w:id="1"/>
      <w:r>
        <w:t>2. Importance of effective communication</w:t>
      </w:r>
    </w:p>
    <w:p w14:paraId="035C28E5" w14:textId="77777777" w:rsidR="00C222A6" w:rsidRDefault="00000000">
      <w:r>
        <w:t xml:space="preserve">Effective communication will help to support the safety, wellbeing, and independence of Mrs Mann. A multidisciplinary approach to care suggests that information needs to be communicated clearly and consistently. If there is difficulty in the ability to communicate effectively in each year the chances of errors and delays in treating the condition of the person increase, across health and social care services (NHS, 2021). Healthcare GDP decreased to 10.9% in 2023 from 11.1% in 2022 (GOV UK, 2021). This concern was demonstrated by the example of Mrs Mann where inconsistency in documentation and a missed message led to the delay in medication adjustment. </w:t>
      </w:r>
    </w:p>
    <w:p w14:paraId="01999C68" w14:textId="77777777" w:rsidR="00C222A6" w:rsidRDefault="00000000">
      <w:r>
        <w:t xml:space="preserve">Communication with Mrs Mann needs to be adjusted due to her first language which is not English. Her first language is Urdu, and this requires information to be shared in an accessible format. Equality Act 2010 guidelines indicate that reasonable adjustments need to be made for individuals, so they do not face issues in communication, such as a language barrier, disability, or culture (GOV UK, 2013). Healthcare expenditure increased by 5.6% in 2023, but decreased by 1.4% after inflation (GOV UK, 2021). Verbal explanations need to be simplified to enhance better understanding of the patients. Written information should also be provided in Urdu whenever possible. Availability of interpreting support should also be formally arranged when complicated decisions need to be made, rather than relying on family members. </w:t>
      </w:r>
    </w:p>
    <w:p w14:paraId="7D11F2A2" w14:textId="77777777" w:rsidR="00C222A6" w:rsidRDefault="00000000">
      <w:pPr>
        <w:jc w:val="center"/>
        <w:rPr>
          <w:b/>
          <w:bCs/>
        </w:rPr>
      </w:pPr>
      <w:r>
        <w:rPr>
          <w:b/>
          <w:bCs/>
          <w:noProof/>
        </w:rPr>
        <w:lastRenderedPageBreak/>
        <w:drawing>
          <wp:inline distT="114300" distB="114300" distL="114300" distR="114300" wp14:anchorId="4D58A025" wp14:editId="5C0498AF">
            <wp:extent cx="5731200" cy="28956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895600"/>
                    </a:xfrm>
                    <a:prstGeom prst="rect">
                      <a:avLst/>
                    </a:prstGeom>
                    <a:ln/>
                  </pic:spPr>
                </pic:pic>
              </a:graphicData>
            </a:graphic>
          </wp:inline>
        </w:drawing>
      </w:r>
    </w:p>
    <w:p w14:paraId="34961B2D" w14:textId="77777777" w:rsidR="00C222A6" w:rsidRDefault="00000000">
      <w:pPr>
        <w:jc w:val="center"/>
        <w:rPr>
          <w:b/>
          <w:bCs/>
        </w:rPr>
      </w:pPr>
      <w:r>
        <w:rPr>
          <w:b/>
          <w:bCs/>
        </w:rPr>
        <w:t>Figure 1: Berlo’s Model of Communication</w:t>
      </w:r>
    </w:p>
    <w:p w14:paraId="7D9D6922" w14:textId="77777777" w:rsidR="00C222A6" w:rsidRDefault="00000000">
      <w:pPr>
        <w:jc w:val="center"/>
        <w:rPr>
          <w:b/>
          <w:bCs/>
        </w:rPr>
      </w:pPr>
      <w:r>
        <w:rPr>
          <w:b/>
          <w:bCs/>
        </w:rPr>
        <w:t>(Source: Communication Theory, n.d.)</w:t>
      </w:r>
    </w:p>
    <w:p w14:paraId="1AD72AC0" w14:textId="77777777" w:rsidR="00C222A6" w:rsidRDefault="00000000">
      <w:r>
        <w:t xml:space="preserve">The actual communication process can be explained through </w:t>
      </w:r>
      <w:r>
        <w:rPr>
          <w:b/>
          <w:bCs/>
        </w:rPr>
        <w:t>Berlo’s SMCR Model</w:t>
      </w:r>
      <w:r>
        <w:t xml:space="preserve">. In this model communication is influenced by the sender, message, channel, and receiver (Journalism University, 2023). For Mrs Mann, the care workers are the senders, and their skills in communication will determine the level at which information is conveyed. It </w:t>
      </w:r>
      <w:proofErr w:type="gramStart"/>
      <w:r>
        <w:t>has to</w:t>
      </w:r>
      <w:proofErr w:type="gramEnd"/>
      <w:r>
        <w:t xml:space="preserve"> be clear and respectful, using simple English. The message should be organised, structured, and conveyed using supportive non-verbal cues. Channels of communication like the spoken language, written notes, and digital records need to be used consistently. Mrs Mann is the receiver, and her culture, language, and emotional state determine the recognition of the message. </w:t>
      </w:r>
    </w:p>
    <w:p w14:paraId="4B8FC2B8" w14:textId="77777777" w:rsidR="00C222A6" w:rsidRDefault="00000000">
      <w:r>
        <w:t xml:space="preserve">Communication studies have emphasised active listening which includes the adoption of patient-centred approaches to enhance the outcomes. Additionally, Kwame and </w:t>
      </w:r>
      <w:proofErr w:type="spellStart"/>
      <w:r>
        <w:t>Petrucka</w:t>
      </w:r>
      <w:proofErr w:type="spellEnd"/>
      <w:r>
        <w:t xml:space="preserve"> (2021), point out that a patient-centred approach enhances outcomes. Active listening will provide a direction for Mrs. Mann to express concerns about pain, mobility, or anxiety. Government-financed healthcare expenditure was nearly £239 billion in 2023 (GOV UK, 2021). According to </w:t>
      </w:r>
      <w:proofErr w:type="spellStart"/>
      <w:r>
        <w:t>AlHamazani</w:t>
      </w:r>
      <w:proofErr w:type="spellEnd"/>
      <w:r>
        <w:t xml:space="preserve"> (2024), this emotional reassurance would involve a calm tone, eye contact, and culturally sensitive body language. In addition to this, professional collaboration should occur with her GP, physiotherapist, and care agency. The quality and coordination of care need to be improved through effective partnership work (Alderwick et al., 2021; Glasby and Dickinson, 2014). </w:t>
      </w:r>
      <w:r>
        <w:lastRenderedPageBreak/>
        <w:t xml:space="preserve">Correct recordkeeping would also be important. According to statistics from the Department of Health and Social Care, data quality problems continue to impose some challenges in service provision (GOV UK, 2025). Good documentation would ensure that changes in medication, updates to mobility, and progress in rehabilitation are well communicated. </w:t>
      </w:r>
    </w:p>
    <w:p w14:paraId="652DE4CF" w14:textId="77777777" w:rsidR="00C222A6" w:rsidRDefault="00000000">
      <w:pPr>
        <w:pStyle w:val="Heading1"/>
      </w:pPr>
      <w:bookmarkStart w:id="2" w:name="_heading=h.g4ky4r1f3a97" w:colFirst="0" w:colLast="0"/>
      <w:bookmarkEnd w:id="2"/>
      <w:r>
        <w:t>3. Importance of good administrative skills within professional practice</w:t>
      </w:r>
    </w:p>
    <w:p w14:paraId="2CAFBC7B" w14:textId="77777777" w:rsidR="00C222A6" w:rsidRDefault="00000000">
      <w:r>
        <w:t xml:space="preserve">The engagement in professional practice should be supported by good administrative skills which enables the delivery of safe, coordinated, and lawful care. These skills are important in the case of Mrs Mann as there are </w:t>
      </w:r>
      <w:proofErr w:type="gramStart"/>
      <w:r>
        <w:t>a number of</w:t>
      </w:r>
      <w:proofErr w:type="gramEnd"/>
      <w:r>
        <w:t xml:space="preserve"> professionals involved in her process of rehabilitation. Recordings should be accurate with organised documentation and clear management of information so that her support requirements are identified and acted upon appropriately. Inconsistency of records can impact the fundamental clinical decisions. There have been several problems related to data that have been associated with delays and lower levels of effectiveness of services (Chambers, Cantrell and Booth, 2021). Thus, strong administrative skills are crucial to protect against such risks. The incident of delayed medication demonstrated the poor administrative practice of a service user that risks the health conditions. This incident showed that administrative errors can interrupt care, weaken communication, and reduce trust in services. </w:t>
      </w:r>
    </w:p>
    <w:p w14:paraId="6CDE8802" w14:textId="77777777" w:rsidR="00C222A6" w:rsidRDefault="00000000">
      <w:r>
        <w:t xml:space="preserve">Records </w:t>
      </w:r>
      <w:proofErr w:type="gramStart"/>
      <w:r>
        <w:t>have to</w:t>
      </w:r>
      <w:proofErr w:type="gramEnd"/>
      <w:r>
        <w:t xml:space="preserve"> be written clearly, updated on time, and kept securely. Good record keeping means that key data related to the mobility, her medication, the level of pain, and the progress of physiotherapy of Mrs Mann are provided accurately among members of her care team. The Data Protection Act 2018 provides the main legal framework for handling personal information. Under this Act, personal data should be collected on a lawful basis, kept securely, and used only for legal care purposes. Health information is highly sensitive and must be managed with strict confidentiality (GOV UK, n.d.). This means that the health records of Mrs Mann including details of her surgery and rehabilitation, must be protected from unauthorised access. Information should be shared only with professionals who have direct involvement in her care. Secure digital systems and password protection should be used, and paper records must be stored safely. </w:t>
      </w:r>
    </w:p>
    <w:p w14:paraId="30149FF3" w14:textId="77777777" w:rsidR="00C222A6" w:rsidRDefault="00000000">
      <w:r>
        <w:t xml:space="preserve">The Data Protection Act 2018 principles help in the adoption of accuracy, relevance, and current information (GOV UK, 2025). This supports the adoption of direct effective care planning. For example, in the case of any change in the medication of Mrs Mann it should be updated immediately. The care team needs to follow correct instructions. Thus, clear communication between professionals is important when records are updated consistently, and the risk of </w:t>
      </w:r>
      <w:r>
        <w:lastRenderedPageBreak/>
        <w:t>mistakes becomes lower. This is linked to the guidelines of the NHS that strongly establish a connection between strong communication practices and safer patient outcomes (NHS, 2021). Administrative duties also support partnership working in the healthcare setting. Coordinated care has been shown to be heavily dependent on shared documentation and structured communication (Glasby and Dickinson, 2014). With organised administrative practice, the needs of Mrs Mann can be monitored, reviewed and responded to in a timely manner. Thus, good administrative skills help to ensure safe and respectful recovery.</w:t>
      </w:r>
    </w:p>
    <w:p w14:paraId="2249046C" w14:textId="77777777" w:rsidR="00C222A6" w:rsidRDefault="00000000">
      <w:pPr>
        <w:pStyle w:val="Heading1"/>
      </w:pPr>
      <w:bookmarkStart w:id="3" w:name="_heading=h.iq6iizr3bv8z" w:colFirst="0" w:colLast="0"/>
      <w:bookmarkEnd w:id="3"/>
      <w:r>
        <w:t>4. Importance of working collaboratively with other professionals in Mrs Mann’s care</w:t>
      </w:r>
    </w:p>
    <w:p w14:paraId="663B6039" w14:textId="77777777" w:rsidR="00C222A6" w:rsidRDefault="00000000">
      <w:r>
        <w:t xml:space="preserve">Coordinated and safe care for Mrs. Mann will be provided through collaborative working. She needs care from various professionals that include her GP, physiotherapist, and residential care workers. Each of these professionals identify the uniqueness of her health, recovery, and daily functioning. Effective collaboration means that this knowledge will be brought together to provide a logical and connected care plan. Collaboration between health and non-health organisations help to improve outcomes and enhance continuity of services (Alderwick et al., 2021). This is particularly applicable to Mrs. Mann whose recovery requires consistent communication and shared decision-making. Several approaches are adopted to ensure good collaboration. </w:t>
      </w:r>
    </w:p>
    <w:p w14:paraId="0EE7655E" w14:textId="77777777" w:rsidR="00C222A6" w:rsidRDefault="00000000">
      <w:r>
        <w:t xml:space="preserve">Interprofessional learning is an approach that strengthens teamwork and improves respect between different professional groups. There is a significant reduction in misunderstandings and tasks are more coordinated when such approaches are taken. Partnership working is also adopted by the practices that are centred around the patient. It is necessary to share the information in a respectful and consistent manner to ensure trust among the professionals and the service user (Spaulding et al., 2021). This also helps in meeting the wider expectations for integrated care within the health and social care sector. </w:t>
      </w:r>
    </w:p>
    <w:p w14:paraId="5E2887E3" w14:textId="77777777" w:rsidR="00C222A6" w:rsidRDefault="00000000">
      <w:r>
        <w:t xml:space="preserve">Differences in professional roles can lead to confusion or conflicting priorities. There can be significant delays in communication if records are not updated with the same regularity. There can be limitations in clarity of messages due to the barriers of language and culture. Digital systems are not always compatible across organisations, which can result in gaps in information sharing of digital implementation challenges (Chambers, Cantrell and Booth, 2021). These may be resolved through scheduled meetings, shared documentation systems, and a well-defined process of healthcare. Problem-solving can be enhanced so that members work together in </w:t>
      </w:r>
      <w:r>
        <w:lastRenderedPageBreak/>
        <w:t>resolving concerns. By the adoption of this an effective collaboration can be enhanced to ensure that Mrs Mann is rehabilitated safely and in a coordinated manner.</w:t>
      </w:r>
    </w:p>
    <w:p w14:paraId="53F1E6E8" w14:textId="77777777" w:rsidR="00C222A6" w:rsidRDefault="00000000">
      <w:pPr>
        <w:pStyle w:val="Heading1"/>
      </w:pPr>
      <w:bookmarkStart w:id="4" w:name="_heading=h.oplg3lc2idp2" w:colFirst="0" w:colLast="0"/>
      <w:bookmarkEnd w:id="4"/>
      <w:r>
        <w:t>5. Conclusion</w:t>
      </w:r>
    </w:p>
    <w:p w14:paraId="02342B26" w14:textId="77777777" w:rsidR="00C222A6" w:rsidRDefault="00000000">
      <w:r>
        <w:t xml:space="preserve">The adoption of communication, administration and collaborative practices are significant adoptions while dealing with patient care. The adoption of Berlo’s Model of Communication is crucial for patient care. Clear information sharing and consistent record keeping are highly crucial for safe and person-centred care. The requirements of Mrs Mann </w:t>
      </w:r>
      <w:proofErr w:type="gramStart"/>
      <w:r>
        <w:t>shows</w:t>
      </w:r>
      <w:proofErr w:type="gramEnd"/>
      <w:r>
        <w:t xml:space="preserve"> the importance of coordinated work among the various professionals. The more sincere and coordinated task will enable crucial support to her recovery and independence. Her understanding and confidence are strengthened when communication is adjusted to her language and cultural needs. Better management of documents can result in safe and timely making of decisions. </w:t>
      </w:r>
    </w:p>
    <w:p w14:paraId="2668149E" w14:textId="77777777" w:rsidR="00C222A6" w:rsidRDefault="00000000">
      <w:r>
        <w:br/>
      </w:r>
      <w:r>
        <w:br w:type="page"/>
      </w:r>
    </w:p>
    <w:p w14:paraId="01EBB3A4" w14:textId="77777777" w:rsidR="00C222A6" w:rsidRDefault="00000000">
      <w:pPr>
        <w:pStyle w:val="Heading1"/>
      </w:pPr>
      <w:bookmarkStart w:id="5" w:name="_heading=h.33fpfnybm8qk" w:colFirst="0" w:colLast="0"/>
      <w:bookmarkEnd w:id="5"/>
      <w:r>
        <w:lastRenderedPageBreak/>
        <w:t>Reference List</w:t>
      </w:r>
    </w:p>
    <w:p w14:paraId="4A575493" w14:textId="77777777" w:rsidR="00C222A6" w:rsidRDefault="00000000">
      <w:pPr>
        <w:rPr>
          <w:highlight w:val="white"/>
        </w:rPr>
      </w:pPr>
      <w:r>
        <w:rPr>
          <w:highlight w:val="white"/>
        </w:rPr>
        <w:t xml:space="preserve">Alderwick, H., Hutchings, A., Briggs, A. and Mays, N. (2021) ‘The impacts of collaboration between local health care and non-health care organizations and factors shaping how they work: a systematic review of reviews’, </w:t>
      </w:r>
      <w:r>
        <w:rPr>
          <w:i/>
          <w:iCs/>
          <w:highlight w:val="white"/>
        </w:rPr>
        <w:t>BMC Public Health</w:t>
      </w:r>
      <w:r>
        <w:rPr>
          <w:highlight w:val="white"/>
        </w:rPr>
        <w:t>, 21(1), p.753.</w:t>
      </w:r>
    </w:p>
    <w:p w14:paraId="13545583" w14:textId="77777777" w:rsidR="00C222A6" w:rsidRDefault="00000000">
      <w:pPr>
        <w:rPr>
          <w:highlight w:val="white"/>
        </w:rPr>
      </w:pPr>
      <w:proofErr w:type="spellStart"/>
      <w:r>
        <w:rPr>
          <w:highlight w:val="white"/>
        </w:rPr>
        <w:t>AlHamazani</w:t>
      </w:r>
      <w:proofErr w:type="spellEnd"/>
      <w:r>
        <w:rPr>
          <w:highlight w:val="white"/>
        </w:rPr>
        <w:t xml:space="preserve">, A.A.F. (2024) ‘Effective communication in healthcare teams: a patient-centred approach’, </w:t>
      </w:r>
      <w:r>
        <w:rPr>
          <w:i/>
          <w:iCs/>
          <w:highlight w:val="white"/>
        </w:rPr>
        <w:t>Gland Surgery</w:t>
      </w:r>
      <w:r>
        <w:rPr>
          <w:highlight w:val="white"/>
        </w:rPr>
        <w:t>, 9(2), pp.517–524.</w:t>
      </w:r>
    </w:p>
    <w:p w14:paraId="25613F5C" w14:textId="77777777" w:rsidR="00C222A6" w:rsidRDefault="00000000">
      <w:pPr>
        <w:rPr>
          <w:highlight w:val="white"/>
        </w:rPr>
      </w:pPr>
      <w:r>
        <w:rPr>
          <w:highlight w:val="white"/>
        </w:rPr>
        <w:t xml:space="preserve">Chambers, D., Cantrell, A. and Booth, A. (2021) ‘Rapid evidence review: challenges to implementing digital and data-driven technologies in health and social care’, </w:t>
      </w:r>
      <w:r>
        <w:rPr>
          <w:i/>
          <w:iCs/>
          <w:highlight w:val="white"/>
        </w:rPr>
        <w:t>University of Sheffield Report</w:t>
      </w:r>
      <w:r>
        <w:rPr>
          <w:highlight w:val="white"/>
        </w:rPr>
        <w:t>.</w:t>
      </w:r>
    </w:p>
    <w:p w14:paraId="1EC86BD0" w14:textId="77777777" w:rsidR="00C222A6" w:rsidRDefault="00000000">
      <w:pPr>
        <w:rPr>
          <w:highlight w:val="white"/>
        </w:rPr>
      </w:pPr>
      <w:r>
        <w:rPr>
          <w:highlight w:val="white"/>
        </w:rPr>
        <w:t xml:space="preserve">Communication Theory (n.d.) </w:t>
      </w:r>
      <w:r>
        <w:rPr>
          <w:i/>
          <w:iCs/>
          <w:highlight w:val="white"/>
        </w:rPr>
        <w:t>Communication Theory</w:t>
      </w:r>
      <w:r>
        <w:rPr>
          <w:highlight w:val="white"/>
        </w:rPr>
        <w:t xml:space="preserve">. Available at: </w:t>
      </w:r>
      <w:hyperlink r:id="rId9">
        <w:r w:rsidR="00C222A6">
          <w:rPr>
            <w:highlight w:val="white"/>
            <w:u w:val="single"/>
          </w:rPr>
          <w:t>https://www.communicationtheory.org/berlos-smcr-model-of-communication/</w:t>
        </w:r>
      </w:hyperlink>
      <w:r>
        <w:rPr>
          <w:highlight w:val="white"/>
        </w:rPr>
        <w:t xml:space="preserve"> (Accessed: 04 December 2025)</w:t>
      </w:r>
    </w:p>
    <w:p w14:paraId="09DCD7AB" w14:textId="77777777" w:rsidR="00C222A6" w:rsidRDefault="00000000">
      <w:pPr>
        <w:rPr>
          <w:highlight w:val="white"/>
        </w:rPr>
      </w:pPr>
      <w:r>
        <w:rPr>
          <w:highlight w:val="white"/>
        </w:rPr>
        <w:t xml:space="preserve">Glasby, J. and Dickinson, H. (2014) </w:t>
      </w:r>
      <w:r>
        <w:rPr>
          <w:i/>
          <w:iCs/>
          <w:highlight w:val="white"/>
        </w:rPr>
        <w:t>Partnership working in health and social care: what is integrated care and how can we deliver it?</w:t>
      </w:r>
      <w:r>
        <w:rPr>
          <w:highlight w:val="white"/>
        </w:rPr>
        <w:t xml:space="preserve"> Bristol: Policy Press.</w:t>
      </w:r>
    </w:p>
    <w:p w14:paraId="784A6B12" w14:textId="77777777" w:rsidR="00C222A6" w:rsidRDefault="00000000">
      <w:pPr>
        <w:rPr>
          <w:highlight w:val="white"/>
        </w:rPr>
      </w:pPr>
      <w:r>
        <w:rPr>
          <w:highlight w:val="white"/>
        </w:rPr>
        <w:t xml:space="preserve">GOV UK (2013) </w:t>
      </w:r>
      <w:r>
        <w:rPr>
          <w:i/>
          <w:iCs/>
          <w:highlight w:val="white"/>
        </w:rPr>
        <w:t>Equality Act 2010: guidance</w:t>
      </w:r>
      <w:r>
        <w:rPr>
          <w:highlight w:val="white"/>
        </w:rPr>
        <w:t xml:space="preserve">. Available at: </w:t>
      </w:r>
      <w:hyperlink r:id="rId10">
        <w:r w:rsidR="00C222A6">
          <w:rPr>
            <w:highlight w:val="white"/>
            <w:u w:val="single"/>
          </w:rPr>
          <w:t>https://www.gov.uk/guidance/equality-act-2010-guidance</w:t>
        </w:r>
      </w:hyperlink>
      <w:r>
        <w:rPr>
          <w:highlight w:val="white"/>
        </w:rPr>
        <w:t xml:space="preserve"> (Accessed: 01 December 2025)</w:t>
      </w:r>
    </w:p>
    <w:p w14:paraId="59FA9B55" w14:textId="77777777" w:rsidR="00C222A6" w:rsidRDefault="00000000">
      <w:pPr>
        <w:rPr>
          <w:highlight w:val="white"/>
        </w:rPr>
      </w:pPr>
      <w:r>
        <w:t>GOV UK (2021) Health care system. Available at: https://www.ons.gov.uk/peoplepopulationandcommunity/healthandsocialcare/healthcaresystem (Accessed: 03 December 2025)</w:t>
      </w:r>
    </w:p>
    <w:p w14:paraId="7E25E737" w14:textId="77777777" w:rsidR="00C222A6" w:rsidRDefault="00000000">
      <w:pPr>
        <w:rPr>
          <w:highlight w:val="white"/>
        </w:rPr>
      </w:pPr>
      <w:r>
        <w:rPr>
          <w:highlight w:val="white"/>
        </w:rPr>
        <w:t xml:space="preserve">GOV UK (2025) </w:t>
      </w:r>
      <w:r>
        <w:rPr>
          <w:i/>
          <w:iCs/>
          <w:highlight w:val="white"/>
        </w:rPr>
        <w:t>Data protection</w:t>
      </w:r>
      <w:r>
        <w:rPr>
          <w:highlight w:val="white"/>
        </w:rPr>
        <w:t xml:space="preserve">. Available at: </w:t>
      </w:r>
      <w:hyperlink r:id="rId11">
        <w:r w:rsidR="00C222A6">
          <w:rPr>
            <w:highlight w:val="white"/>
            <w:u w:val="single"/>
          </w:rPr>
          <w:t>https://www.gov.uk/data-protection</w:t>
        </w:r>
      </w:hyperlink>
      <w:r>
        <w:rPr>
          <w:highlight w:val="white"/>
        </w:rPr>
        <w:t xml:space="preserve"> (Accessed: 02 December 2025)</w:t>
      </w:r>
    </w:p>
    <w:p w14:paraId="0F2412EF" w14:textId="77777777" w:rsidR="00C222A6" w:rsidRDefault="00000000">
      <w:r>
        <w:rPr>
          <w:highlight w:val="white"/>
        </w:rPr>
        <w:t xml:space="preserve">GOV UK (n.d.) </w:t>
      </w:r>
      <w:r>
        <w:rPr>
          <w:i/>
          <w:iCs/>
          <w:highlight w:val="white"/>
        </w:rPr>
        <w:t>Statistics at DHSC</w:t>
      </w:r>
      <w:r>
        <w:rPr>
          <w:highlight w:val="white"/>
        </w:rPr>
        <w:t xml:space="preserve">. Available at: </w:t>
      </w:r>
      <w:hyperlink r:id="rId12">
        <w:r w:rsidR="00C222A6">
          <w:rPr>
            <w:u w:val="single"/>
          </w:rPr>
          <w:t>https://www.gov.uk/government/organisations/department-of-health-and-social-care/about/statistics</w:t>
        </w:r>
      </w:hyperlink>
      <w:r>
        <w:t xml:space="preserve"> </w:t>
      </w:r>
      <w:r>
        <w:rPr>
          <w:highlight w:val="white"/>
        </w:rPr>
        <w:t>(Accessed: 03 December 2025)</w:t>
      </w:r>
    </w:p>
    <w:p w14:paraId="75F7084D" w14:textId="77777777" w:rsidR="00C222A6" w:rsidRDefault="00000000">
      <w:r>
        <w:rPr>
          <w:highlight w:val="white"/>
        </w:rPr>
        <w:t xml:space="preserve">Journalism University (2023) </w:t>
      </w:r>
      <w:r>
        <w:rPr>
          <w:i/>
          <w:iCs/>
          <w:highlight w:val="white"/>
        </w:rPr>
        <w:t>Berlo’s Model of Communication: The Four Pillars of Effective Exchange</w:t>
      </w:r>
      <w:r>
        <w:rPr>
          <w:highlight w:val="white"/>
        </w:rPr>
        <w:t xml:space="preserve">. Available at: </w:t>
      </w:r>
      <w:hyperlink r:id="rId13">
        <w:r w:rsidR="00C222A6">
          <w:rPr>
            <w:u w:val="single"/>
          </w:rPr>
          <w:t>https://journalism.university/introduction-to-journalism-and-mass-</w:t>
        </w:r>
        <w:r w:rsidR="00C222A6">
          <w:rPr>
            <w:u w:val="single"/>
          </w:rPr>
          <w:lastRenderedPageBreak/>
          <w:t>communication/berlos-model-communication-four-pillars-effective-exchange/</w:t>
        </w:r>
      </w:hyperlink>
      <w:r>
        <w:t xml:space="preserve"> </w:t>
      </w:r>
      <w:r>
        <w:rPr>
          <w:highlight w:val="white"/>
        </w:rPr>
        <w:t>(Accessed: 03 December 2025)</w:t>
      </w:r>
    </w:p>
    <w:p w14:paraId="21067BFE" w14:textId="77777777" w:rsidR="00C222A6" w:rsidRDefault="00000000">
      <w:pPr>
        <w:rPr>
          <w:highlight w:val="white"/>
        </w:rPr>
      </w:pPr>
      <w:r>
        <w:rPr>
          <w:highlight w:val="white"/>
        </w:rPr>
        <w:t xml:space="preserve">Kwame, A. and </w:t>
      </w:r>
      <w:proofErr w:type="spellStart"/>
      <w:r>
        <w:rPr>
          <w:highlight w:val="white"/>
        </w:rPr>
        <w:t>Petrucka</w:t>
      </w:r>
      <w:proofErr w:type="spellEnd"/>
      <w:r>
        <w:rPr>
          <w:highlight w:val="white"/>
        </w:rPr>
        <w:t>, P.M. (2021) ‘A literature-based study of patient-</w:t>
      </w:r>
      <w:proofErr w:type="spellStart"/>
      <w:r>
        <w:rPr>
          <w:highlight w:val="white"/>
        </w:rPr>
        <w:t>centered</w:t>
      </w:r>
      <w:proofErr w:type="spellEnd"/>
      <w:r>
        <w:rPr>
          <w:highlight w:val="white"/>
        </w:rPr>
        <w:t xml:space="preserve"> care and communication in nurse-patient interactions: barriers, facilitators, and the way forward’, </w:t>
      </w:r>
      <w:r>
        <w:rPr>
          <w:i/>
          <w:iCs/>
          <w:highlight w:val="white"/>
        </w:rPr>
        <w:t>BMC Nursing</w:t>
      </w:r>
      <w:r>
        <w:rPr>
          <w:highlight w:val="white"/>
        </w:rPr>
        <w:t>, 20(1), p.158.</w:t>
      </w:r>
      <w:r>
        <w:t xml:space="preserve"> </w:t>
      </w:r>
    </w:p>
    <w:p w14:paraId="10CF893B" w14:textId="77777777" w:rsidR="00C222A6" w:rsidRDefault="00000000">
      <w:r>
        <w:rPr>
          <w:highlight w:val="white"/>
        </w:rPr>
        <w:t xml:space="preserve">NHS (2021) </w:t>
      </w:r>
      <w:r>
        <w:rPr>
          <w:i/>
          <w:iCs/>
          <w:highlight w:val="white"/>
        </w:rPr>
        <w:t>Improving communication between health care professionals and patients in the NHS in England</w:t>
      </w:r>
      <w:r>
        <w:rPr>
          <w:highlight w:val="white"/>
        </w:rPr>
        <w:t xml:space="preserve">. Available at: </w:t>
      </w:r>
      <w:hyperlink r:id="rId14">
        <w:r w:rsidR="00C222A6">
          <w:rPr>
            <w:u w:val="single"/>
          </w:rPr>
          <w:t>https://www.england.nhs.uk/publication/improving-communication-between-health-care-professionals-and-patients-in-the-nhs-in-england/</w:t>
        </w:r>
      </w:hyperlink>
      <w:r>
        <w:t xml:space="preserve"> </w:t>
      </w:r>
      <w:r>
        <w:rPr>
          <w:highlight w:val="white"/>
        </w:rPr>
        <w:t>(Accessed: 02 December 2025)</w:t>
      </w:r>
    </w:p>
    <w:p w14:paraId="04D05AA1" w14:textId="77777777" w:rsidR="00C222A6" w:rsidRDefault="00000000">
      <w:pPr>
        <w:rPr>
          <w:highlight w:val="white"/>
        </w:rPr>
      </w:pPr>
      <w:r>
        <w:rPr>
          <w:highlight w:val="white"/>
        </w:rPr>
        <w:t xml:space="preserve">Spaulding, E.M., Marvel, F.A., Jacob, E., Rahman, A., Hansen, B.R., Hanyok, L.A., Martin, S.S. and Han, H.R. (2021) ‘Interprofessional education and collaboration among healthcare students and professionals: a systematic review and call for action’, </w:t>
      </w:r>
      <w:r>
        <w:rPr>
          <w:i/>
          <w:iCs/>
          <w:highlight w:val="white"/>
        </w:rPr>
        <w:t>Journal of Interprofessional Care</w:t>
      </w:r>
      <w:r>
        <w:rPr>
          <w:highlight w:val="white"/>
        </w:rPr>
        <w:t>, 35(4), pp.612–621.</w:t>
      </w:r>
    </w:p>
    <w:sectPr w:rsidR="00C222A6">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21B7D" w14:textId="77777777" w:rsidR="009A085F" w:rsidRDefault="009A085F">
      <w:pPr>
        <w:spacing w:before="0" w:after="0" w:line="240" w:lineRule="auto"/>
      </w:pPr>
      <w:r>
        <w:separator/>
      </w:r>
    </w:p>
  </w:endnote>
  <w:endnote w:type="continuationSeparator" w:id="0">
    <w:p w14:paraId="59E112F6" w14:textId="77777777" w:rsidR="009A085F" w:rsidRDefault="009A085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622EB0A-0714-4A93-A5DD-29B3436E83F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4A44CD39-41A0-4F43-B2CD-EB674685DACD}"/>
  </w:font>
  <w:font w:name="Georgia">
    <w:panose1 w:val="02040502050405020303"/>
    <w:charset w:val="00"/>
    <w:family w:val="roman"/>
    <w:pitch w:val="variable"/>
    <w:sig w:usb0="00000287" w:usb1="00000000" w:usb2="00000000" w:usb3="00000000" w:csb0="0000009F" w:csb1="00000000"/>
    <w:embedItalic r:id="rId3" w:fontKey="{05DF86D9-9106-4A03-9129-6071556327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AC3DA" w14:textId="77777777" w:rsidR="00C222A6" w:rsidRDefault="00000000">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742D18">
      <w:rPr>
        <w:noProof/>
        <w:color w:val="000000"/>
      </w:rPr>
      <w:t>2</w:t>
    </w:r>
    <w:r>
      <w:rPr>
        <w:color w:val="000000"/>
      </w:rPr>
      <w:fldChar w:fldCharType="end"/>
    </w:r>
  </w:p>
  <w:p w14:paraId="2D384422" w14:textId="77777777" w:rsidR="00C222A6" w:rsidRDefault="00C222A6">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2CF36" w14:textId="77777777" w:rsidR="009A085F" w:rsidRDefault="009A085F">
      <w:pPr>
        <w:spacing w:before="0" w:after="0" w:line="240" w:lineRule="auto"/>
      </w:pPr>
      <w:r>
        <w:separator/>
      </w:r>
    </w:p>
  </w:footnote>
  <w:footnote w:type="continuationSeparator" w:id="0">
    <w:p w14:paraId="12EB575C" w14:textId="77777777" w:rsidR="009A085F" w:rsidRDefault="009A085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2A6"/>
    <w:rsid w:val="00133790"/>
    <w:rsid w:val="006D6D29"/>
    <w:rsid w:val="00742D18"/>
    <w:rsid w:val="00857BE7"/>
    <w:rsid w:val="009A085F"/>
    <w:rsid w:val="00B708C9"/>
    <w:rsid w:val="00B73738"/>
    <w:rsid w:val="00BE31C3"/>
    <w:rsid w:val="00C222A6"/>
    <w:rsid w:val="00E710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2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link w:val="Heading2Char"/>
    <w:uiPriority w:val="9"/>
    <w:semiHidden/>
    <w:unhideWhenUsed/>
    <w:qFormat/>
    <w:pPr>
      <w:keepNext/>
      <w:keepLines/>
      <w:outlineLvl w:val="1"/>
    </w:pPr>
    <w:rPr>
      <w:b/>
      <w:bCs/>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keepLines/>
      <w:spacing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basedOn w:val="DefaultParagraphFont"/>
    <w:link w:val="Heading1"/>
    <w:uiPriority w:val="9"/>
    <w:rsid w:val="00697A5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97A51"/>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197BE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97BEE"/>
    <w:rPr>
      <w:rFonts w:ascii="Times New Roman" w:hAnsi="Times New Roman"/>
      <w:color w:val="000000" w:themeColor="text1"/>
      <w:sz w:val="24"/>
    </w:rPr>
  </w:style>
  <w:style w:type="paragraph" w:styleId="Footer">
    <w:name w:val="footer"/>
    <w:basedOn w:val="Normal"/>
    <w:link w:val="FooterChar"/>
    <w:uiPriority w:val="99"/>
    <w:unhideWhenUsed/>
    <w:rsid w:val="00197BE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97BEE"/>
    <w:rPr>
      <w:rFonts w:ascii="Times New Roman" w:hAnsi="Times New Roman"/>
      <w:color w:val="000000" w:themeColor="text1"/>
      <w:sz w:val="24"/>
    </w:rPr>
  </w:style>
  <w:style w:type="paragraph" w:styleId="TOCHeading">
    <w:name w:val="TOC Heading"/>
    <w:basedOn w:val="Heading1"/>
    <w:next w:val="Normal"/>
    <w:uiPriority w:val="39"/>
    <w:unhideWhenUsed/>
    <w:qFormat/>
    <w:rsid w:val="00197BEE"/>
    <w:pP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97BEE"/>
    <w:pPr>
      <w:spacing w:after="100"/>
    </w:pPr>
  </w:style>
  <w:style w:type="character" w:styleId="Hyperlink">
    <w:name w:val="Hyperlink"/>
    <w:basedOn w:val="DefaultParagraphFont"/>
    <w:uiPriority w:val="99"/>
    <w:unhideWhenUsed/>
    <w:rsid w:val="00197BEE"/>
    <w:rPr>
      <w:color w:val="0563C1" w:themeColor="hyperlink"/>
      <w:u w:val="single"/>
    </w:rPr>
  </w:style>
  <w:style w:type="table" w:customStyle="1" w:styleId="Table1">
    <w:name w:val="Table1"/>
    <w:basedOn w:val="TableNormal"/>
    <w:rsid w:val="00064E4A"/>
    <w:pPr>
      <w:spacing w:after="0" w:line="276" w:lineRule="auto"/>
    </w:pPr>
    <w:rPr>
      <w:lang w:val="en"/>
    </w:rPr>
    <w:tblPr>
      <w:tblStyleRowBandSize w:val="1"/>
      <w:tblStyleColBandSize w:val="1"/>
      <w:tblInd w:w="0" w:type="nil"/>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064E4A"/>
    <w:rPr>
      <w:color w:val="605E5C"/>
      <w:shd w:val="clear" w:color="auto" w:fill="E1DFDD"/>
    </w:rPr>
  </w:style>
  <w:style w:type="paragraph" w:styleId="TOC2">
    <w:name w:val="toc 2"/>
    <w:basedOn w:val="Normal"/>
    <w:next w:val="Normal"/>
    <w:autoRedefine/>
    <w:uiPriority w:val="39"/>
    <w:unhideWhenUsed/>
    <w:rsid w:val="002828A3"/>
    <w:pPr>
      <w:spacing w:after="100"/>
      <w:ind w:left="240"/>
    </w:pPr>
  </w:style>
  <w:style w:type="character" w:customStyle="1" w:styleId="Heading3Char">
    <w:name w:val="Heading 3 Char"/>
    <w:basedOn w:val="DefaultParagraphFont"/>
    <w:link w:val="Heading3"/>
    <w:uiPriority w:val="9"/>
    <w:semiHidden/>
    <w:rsid w:val="009D3498"/>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journalism.university/introduction-to-journalism-and-mass-communication/berlos-model-communication-four-pillars-effective-exchang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organisations/department-of-health-and-social-care/about/statist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data-protec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uidance/equality-act-2010-guidance" TargetMode="External"/><Relationship Id="rId4" Type="http://schemas.openxmlformats.org/officeDocument/2006/relationships/webSettings" Target="webSettings.xml"/><Relationship Id="rId9" Type="http://schemas.openxmlformats.org/officeDocument/2006/relationships/hyperlink" Target="https://www.communicationtheory.org/berlos-smcr-model-of-communication/" TargetMode="External"/><Relationship Id="rId14" Type="http://schemas.openxmlformats.org/officeDocument/2006/relationships/hyperlink" Target="https://www.england.nhs.uk/publication/improving-communication-between-health-care-professionals-and-patients-in-the-nhs-in-englan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XCgIHYQxUaiSBsSRaSQ/CbeUCQ==">CgMxLjAyDmgueWFjbjFjNTBpOTVzMg5oLmRlZGZjNnhmb3I0dzIOaC5nNGt5NHIxZjNhOTcyDmguaXE2aWl6cjNidjh6Mg5oLm9wbGczbGMyaWRwMjIOaC4zM2ZwZm55Ym04cWs4AHIhMTloUDJNZFlvY2hhR1hPWmhkTGVtNmE3QjcxNWdDQ3BD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2218</Words>
  <Characters>12644</Characters>
  <Application>Microsoft Office Word</Application>
  <DocSecurity>0</DocSecurity>
  <Lines>105</Lines>
  <Paragraphs>29</Paragraphs>
  <ScaleCrop>false</ScaleCrop>
  <Company/>
  <LinksUpToDate>false</LinksUpToDate>
  <CharactersWithSpaces>14833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2025-12-06T10:45:00Z</dcterms:created>
  <dcterms:modified xsi:type="dcterms:W3CDTF">2025-12-14T09:17:00Z</dcterms:modified>
</cp:coreProperties>
</file>