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4F81BD" w:themeColor="accent1"/>
          <w:lang w:val="en-GB"/>
        </w:rPr>
        <w:id w:val="571087922"/>
        <w:docPartObj>
          <w:docPartGallery w:val="Cover Pages"/>
          <w:docPartUnique/>
        </w:docPartObj>
      </w:sdtPr>
      <w:sdtEndPr>
        <w:rPr>
          <w:rFonts w:ascii="Arial" w:hAnsi="Arial" w:cs="Arial"/>
          <w:b/>
          <w:color w:val="000000"/>
        </w:rPr>
      </w:sdtEndPr>
      <w:sdtContent>
        <w:p w14:paraId="2AA4E556" w14:textId="672BA927" w:rsidR="007E6BCA" w:rsidRDefault="007E6BCA">
          <w:pPr>
            <w:pStyle w:val="NoSpacing"/>
            <w:spacing w:before="1540" w:after="240"/>
            <w:jc w:val="center"/>
            <w:rPr>
              <w:color w:val="4F81BD" w:themeColor="accent1"/>
            </w:rPr>
          </w:pPr>
          <w:r>
            <w:rPr>
              <w:noProof/>
              <w:color w:val="4F81BD" w:themeColor="accent1"/>
            </w:rPr>
            <w:drawing>
              <wp:inline distT="0" distB="0" distL="0" distR="0" wp14:anchorId="44CEE583" wp14:editId="5047B26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color w:val="000000"/>
              <w:sz w:val="56"/>
              <w:szCs w:val="56"/>
            </w:rPr>
            <w:alias w:val="Title"/>
            <w:tag w:val=""/>
            <w:id w:val="1735040861"/>
            <w:placeholder>
              <w:docPart w:val="4E2675E6841148C9A4A581857E769958"/>
            </w:placeholder>
            <w:dataBinding w:prefixMappings="xmlns:ns0='http://purl.org/dc/elements/1.1/' xmlns:ns1='http://schemas.openxmlformats.org/package/2006/metadata/core-properties' " w:xpath="/ns1:coreProperties[1]/ns0:title[1]" w:storeItemID="{6C3C8BC8-F283-45AE-878A-BAB7291924A1}"/>
            <w:text/>
          </w:sdtPr>
          <w:sdtContent>
            <w:p w14:paraId="12FEE099" w14:textId="60F68D94" w:rsidR="007E6BCA" w:rsidRPr="007E6BCA" w:rsidRDefault="007E6BCA">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bCs/>
                  <w:caps/>
                  <w:color w:val="4F81BD" w:themeColor="accent1"/>
                  <w:sz w:val="56"/>
                  <w:szCs w:val="56"/>
                </w:rPr>
              </w:pPr>
              <w:r w:rsidRPr="007E6BCA">
                <w:rPr>
                  <w:rFonts w:ascii="Arial" w:hAnsi="Arial" w:cs="Arial"/>
                  <w:b/>
                  <w:bCs/>
                  <w:color w:val="000000"/>
                  <w:sz w:val="56"/>
                  <w:szCs w:val="56"/>
                </w:rPr>
                <w:t>Psychology in Health and Social Care</w:t>
              </w:r>
            </w:p>
          </w:sdtContent>
        </w:sdt>
        <w:p w14:paraId="4F8C75B5" w14:textId="77777777" w:rsidR="007E6BCA" w:rsidRDefault="007E6BCA" w:rsidP="007E6BCA">
          <w:pPr>
            <w:spacing w:line="360" w:lineRule="auto"/>
            <w:jc w:val="center"/>
            <w:rPr>
              <w:rFonts w:ascii="Arial" w:hAnsi="Arial" w:cs="Arial"/>
              <w:b/>
              <w:color w:val="000000"/>
            </w:rPr>
          </w:pPr>
        </w:p>
        <w:p w14:paraId="592E3790" w14:textId="77777777" w:rsidR="007E6BCA" w:rsidRDefault="007E6BCA" w:rsidP="007E6BCA">
          <w:pPr>
            <w:spacing w:line="360" w:lineRule="auto"/>
            <w:jc w:val="center"/>
            <w:rPr>
              <w:rFonts w:ascii="Arial" w:hAnsi="Arial" w:cs="Arial"/>
              <w:b/>
              <w:color w:val="000000"/>
            </w:rPr>
          </w:pPr>
        </w:p>
        <w:p w14:paraId="03C5B0BA" w14:textId="5A8C7340" w:rsidR="007E6BCA" w:rsidRDefault="007E6BCA" w:rsidP="007E6BCA">
          <w:pPr>
            <w:spacing w:line="360" w:lineRule="auto"/>
            <w:jc w:val="center"/>
            <w:rPr>
              <w:rFonts w:ascii="Arial" w:hAnsi="Arial" w:cs="Arial"/>
              <w:color w:val="000000"/>
            </w:rPr>
          </w:pPr>
          <w:r w:rsidRPr="007E6BCA">
            <w:rPr>
              <w:rFonts w:ascii="Arial" w:hAnsi="Arial" w:cs="Arial"/>
              <w:b/>
              <w:color w:val="000000"/>
            </w:rPr>
            <w:t>Name:</w:t>
          </w:r>
          <w:r w:rsidRPr="007E6BCA">
            <w:rPr>
              <w:rFonts w:ascii="Arial" w:hAnsi="Arial" w:cs="Arial"/>
              <w:color w:val="000000"/>
            </w:rPr>
            <w:t xml:space="preserve"> Mohamed Elsharkawy</w:t>
          </w:r>
        </w:p>
        <w:p w14:paraId="52197D93" w14:textId="77777777" w:rsidR="007E6BCA" w:rsidRDefault="007E6BCA" w:rsidP="007E6BCA">
          <w:pPr>
            <w:spacing w:line="360" w:lineRule="auto"/>
            <w:jc w:val="center"/>
            <w:rPr>
              <w:rFonts w:ascii="Arial" w:hAnsi="Arial" w:cs="Arial"/>
              <w:color w:val="000000"/>
            </w:rPr>
          </w:pPr>
          <w:r w:rsidRPr="007E6BCA">
            <w:rPr>
              <w:rFonts w:ascii="Arial" w:hAnsi="Arial" w:cs="Arial"/>
              <w:b/>
              <w:color w:val="000000"/>
            </w:rPr>
            <w:t>Student Number:</w:t>
          </w:r>
          <w:r w:rsidRPr="007E6BCA">
            <w:rPr>
              <w:rFonts w:ascii="Arial" w:hAnsi="Arial" w:cs="Arial"/>
              <w:color w:val="000000"/>
            </w:rPr>
            <w:t xml:space="preserve"> 2422427</w:t>
          </w:r>
        </w:p>
        <w:p w14:paraId="36F35E79" w14:textId="77777777" w:rsidR="007E6BCA" w:rsidRDefault="007E6BCA" w:rsidP="007E6BCA">
          <w:pPr>
            <w:spacing w:line="360" w:lineRule="auto"/>
            <w:jc w:val="center"/>
            <w:rPr>
              <w:rFonts w:ascii="Arial" w:hAnsi="Arial" w:cs="Arial"/>
              <w:color w:val="000000"/>
            </w:rPr>
          </w:pPr>
          <w:r w:rsidRPr="007E6BCA">
            <w:rPr>
              <w:rFonts w:ascii="Arial" w:hAnsi="Arial" w:cs="Arial"/>
              <w:b/>
              <w:color w:val="000000"/>
            </w:rPr>
            <w:t>Module:</w:t>
          </w:r>
          <w:r w:rsidRPr="007E6BCA">
            <w:rPr>
              <w:rFonts w:ascii="Arial" w:hAnsi="Arial" w:cs="Arial"/>
              <w:color w:val="000000"/>
            </w:rPr>
            <w:t xml:space="preserve"> Psychology in Health and Social Care</w:t>
          </w:r>
        </w:p>
        <w:p w14:paraId="317C1B47" w14:textId="77777777" w:rsidR="007E6BCA" w:rsidRDefault="007E6BCA" w:rsidP="007E6BCA">
          <w:pPr>
            <w:spacing w:line="360" w:lineRule="auto"/>
            <w:jc w:val="center"/>
            <w:rPr>
              <w:rFonts w:ascii="Arial" w:hAnsi="Arial" w:cs="Arial"/>
              <w:color w:val="000000"/>
            </w:rPr>
          </w:pPr>
          <w:r w:rsidRPr="007E6BCA">
            <w:rPr>
              <w:rFonts w:ascii="Arial" w:hAnsi="Arial" w:cs="Arial"/>
              <w:b/>
              <w:color w:val="000000"/>
            </w:rPr>
            <w:t>Module Code:</w:t>
          </w:r>
          <w:r w:rsidRPr="007E6BCA">
            <w:rPr>
              <w:rFonts w:ascii="Arial" w:hAnsi="Arial" w:cs="Arial"/>
              <w:color w:val="000000"/>
            </w:rPr>
            <w:t xml:space="preserve"> LCHS4010</w:t>
          </w:r>
        </w:p>
        <w:p w14:paraId="012F4C09" w14:textId="77777777" w:rsidR="007E6BCA" w:rsidRDefault="007E6BCA" w:rsidP="007E6BCA">
          <w:pPr>
            <w:spacing w:line="360" w:lineRule="auto"/>
            <w:jc w:val="center"/>
            <w:rPr>
              <w:rFonts w:ascii="Arial" w:hAnsi="Arial" w:cs="Arial"/>
              <w:color w:val="000000"/>
            </w:rPr>
          </w:pPr>
          <w:r w:rsidRPr="007E6BCA">
            <w:rPr>
              <w:rFonts w:ascii="Arial" w:hAnsi="Arial" w:cs="Arial"/>
              <w:b/>
              <w:color w:val="000000"/>
            </w:rPr>
            <w:t>Lecturer:</w:t>
          </w:r>
          <w:r w:rsidRPr="007E6BCA">
            <w:rPr>
              <w:rFonts w:ascii="Arial" w:hAnsi="Arial" w:cs="Arial"/>
              <w:color w:val="000000"/>
            </w:rPr>
            <w:t xml:space="preserve"> Samuel Assan</w:t>
          </w:r>
        </w:p>
        <w:p w14:paraId="0E84B590" w14:textId="77777777" w:rsidR="007E6BCA" w:rsidRPr="007E6BCA" w:rsidRDefault="007E6BCA" w:rsidP="007E6BCA">
          <w:pPr>
            <w:spacing w:line="360" w:lineRule="auto"/>
            <w:jc w:val="center"/>
            <w:rPr>
              <w:rFonts w:ascii="Arial" w:hAnsi="Arial" w:cs="Arial"/>
              <w:b/>
              <w:color w:val="000000"/>
            </w:rPr>
          </w:pPr>
          <w:r w:rsidRPr="007E6BCA">
            <w:rPr>
              <w:rFonts w:ascii="Arial" w:hAnsi="Arial" w:cs="Arial"/>
              <w:b/>
              <w:color w:val="000000"/>
            </w:rPr>
            <w:t>Internal Verifier:</w:t>
          </w:r>
          <w:r w:rsidRPr="007E6BCA">
            <w:rPr>
              <w:rFonts w:ascii="Arial" w:hAnsi="Arial" w:cs="Arial"/>
              <w:color w:val="000000"/>
            </w:rPr>
            <w:t xml:space="preserve"> Dr. Besty Jose</w:t>
          </w:r>
        </w:p>
        <w:p w14:paraId="76EB880A" w14:textId="5450C337" w:rsidR="007E6BCA" w:rsidRDefault="007E6BCA">
          <w:pPr>
            <w:pStyle w:val="NoSpacing"/>
            <w:spacing w:before="480"/>
            <w:jc w:val="center"/>
            <w:rPr>
              <w:color w:val="4F81BD" w:themeColor="accent1"/>
            </w:rPr>
          </w:pPr>
          <w:r>
            <w:rPr>
              <w:noProof/>
              <w:color w:val="4F81BD" w:themeColor="accent1"/>
            </w:rPr>
            <w:drawing>
              <wp:inline distT="0" distB="0" distL="0" distR="0" wp14:anchorId="34CC99F9" wp14:editId="395DE80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86ECF1" w14:textId="54269E02" w:rsidR="007E6BCA" w:rsidRPr="007E6BCA" w:rsidRDefault="007E6BCA" w:rsidP="007E6BCA">
          <w:pPr>
            <w:rPr>
              <w:rFonts w:ascii="Arial" w:hAnsi="Arial" w:cs="Arial"/>
              <w:b/>
              <w:color w:val="000000"/>
            </w:rPr>
          </w:pPr>
          <w:r>
            <w:rPr>
              <w:rFonts w:ascii="Arial" w:hAnsi="Arial" w:cs="Arial"/>
              <w:b/>
              <w:color w:val="000000"/>
            </w:rPr>
            <w:br w:type="page"/>
          </w:r>
        </w:p>
      </w:sdtContent>
    </w:sdt>
    <w:p w14:paraId="556C472D" w14:textId="30A1C003" w:rsidR="008B6D90" w:rsidRPr="008B6D90" w:rsidRDefault="008B6D90" w:rsidP="00AC6F13">
      <w:pPr>
        <w:spacing w:line="360" w:lineRule="auto"/>
        <w:jc w:val="center"/>
        <w:rPr>
          <w:rFonts w:asciiTheme="minorBidi" w:hAnsiTheme="minorBidi"/>
          <w:b/>
          <w:bCs/>
        </w:rPr>
      </w:pPr>
      <w:r w:rsidRPr="008B6D90">
        <w:rPr>
          <w:rFonts w:asciiTheme="minorBidi" w:hAnsiTheme="minorBidi"/>
          <w:b/>
          <w:bCs/>
        </w:rPr>
        <w:lastRenderedPageBreak/>
        <w:t>Learning in Socio-Cultural Context during Late Adulthood</w:t>
      </w:r>
    </w:p>
    <w:p w14:paraId="35F35DB8" w14:textId="77777777" w:rsidR="008B6D90" w:rsidRPr="008B6D90" w:rsidRDefault="008B6D90" w:rsidP="00AC6F13">
      <w:pPr>
        <w:spacing w:line="360" w:lineRule="auto"/>
        <w:rPr>
          <w:rFonts w:asciiTheme="minorBidi" w:hAnsiTheme="minorBidi"/>
          <w:b/>
          <w:bCs/>
        </w:rPr>
      </w:pPr>
      <w:r w:rsidRPr="008B6D90">
        <w:rPr>
          <w:rFonts w:asciiTheme="minorBidi" w:hAnsiTheme="minorBidi"/>
          <w:b/>
          <w:bCs/>
        </w:rPr>
        <w:t>Introduction</w:t>
      </w:r>
    </w:p>
    <w:p w14:paraId="545F238D" w14:textId="32713F0E" w:rsidR="008B6D90" w:rsidRPr="008B6D90" w:rsidRDefault="008B6D90" w:rsidP="00AC6F13">
      <w:pPr>
        <w:spacing w:line="360" w:lineRule="auto"/>
        <w:rPr>
          <w:rFonts w:asciiTheme="minorBidi" w:hAnsiTheme="minorBidi"/>
        </w:rPr>
      </w:pPr>
      <w:r w:rsidRPr="008B6D90">
        <w:rPr>
          <w:rFonts w:asciiTheme="minorBidi" w:hAnsiTheme="minorBidi"/>
        </w:rPr>
        <w:t xml:space="preserve">It is crucial to the field of modern health and social care (especially dementia) to understand how older people keep on learning, adjusting and interacting even as their cognitive capacities decline. Cognitive and developmental theories offer crucial models for understanding how individuals process experience, retain identity, and continue to function into old age. Some of the most widely known models are Jean Piaget’s Cognitive Development Theory and Lev Vygotsky’s </w:t>
      </w:r>
      <w:proofErr w:type="gramStart"/>
      <w:r w:rsidRPr="008B6D90">
        <w:rPr>
          <w:rFonts w:asciiTheme="minorBidi" w:hAnsiTheme="minorBidi"/>
        </w:rPr>
        <w:t>Socio</w:t>
      </w:r>
      <w:r w:rsidR="00AC6F13">
        <w:rPr>
          <w:rFonts w:asciiTheme="minorBidi" w:hAnsiTheme="minorBidi"/>
        </w:rPr>
        <w:t xml:space="preserve"> </w:t>
      </w:r>
      <w:r w:rsidRPr="008B6D90">
        <w:rPr>
          <w:rFonts w:asciiTheme="minorBidi" w:hAnsiTheme="minorBidi"/>
        </w:rPr>
        <w:t>Cultural</w:t>
      </w:r>
      <w:proofErr w:type="gramEnd"/>
      <w:r w:rsidRPr="008B6D90">
        <w:rPr>
          <w:rFonts w:asciiTheme="minorBidi" w:hAnsiTheme="minorBidi"/>
        </w:rPr>
        <w:t xml:space="preserve"> Theory of Learning. Even </w:t>
      </w:r>
      <w:r w:rsidR="008F6962" w:rsidRPr="008B6D90">
        <w:rPr>
          <w:rFonts w:asciiTheme="minorBidi" w:hAnsiTheme="minorBidi"/>
        </w:rPr>
        <w:t>though</w:t>
      </w:r>
      <w:r w:rsidRPr="008B6D90">
        <w:rPr>
          <w:rFonts w:asciiTheme="minorBidi" w:hAnsiTheme="minorBidi"/>
        </w:rPr>
        <w:t xml:space="preserve"> both theories were first developed to the study of child development, their ideas have important implications for aging research as well. Both offer a view on the relationship between mental process, social experience and environmental context.</w:t>
      </w:r>
    </w:p>
    <w:p w14:paraId="60E3AB8B" w14:textId="7EAA8761" w:rsidR="008B6D90" w:rsidRPr="008B6D90" w:rsidRDefault="008B6D90" w:rsidP="00AC6F13">
      <w:pPr>
        <w:spacing w:line="360" w:lineRule="auto"/>
        <w:rPr>
          <w:rFonts w:asciiTheme="minorBidi" w:hAnsiTheme="minorBidi"/>
        </w:rPr>
      </w:pPr>
      <w:r w:rsidRPr="008B6D90">
        <w:rPr>
          <w:rFonts w:asciiTheme="minorBidi" w:hAnsiTheme="minorBidi"/>
        </w:rPr>
        <w:t>Piaget brought attention to the cognitive processes that operate within learners how people adapt to change through assimilation, accommodation, and equilibration. Vygotsky, however, emphasized that learning and development are inherently social and cultural phenomena taking place through language, interaction and shared meaning. In the context of dementia care, these theories together form a powerful pair: Piaget outlines what goes on inside when cognitive faculties begin to interfere with mental balance, while Vygotsky follows up with how such social scaffolding relationships of support, structured routines and communication works its way into engaging life more fully.</w:t>
      </w:r>
    </w:p>
    <w:p w14:paraId="1938CCBD" w14:textId="303773BF" w:rsidR="008B6D90" w:rsidRPr="008B6D90" w:rsidRDefault="008B6D90" w:rsidP="00AC6F13">
      <w:pPr>
        <w:spacing w:line="360" w:lineRule="auto"/>
        <w:rPr>
          <w:rFonts w:asciiTheme="minorBidi" w:hAnsiTheme="minorBidi"/>
        </w:rPr>
      </w:pPr>
      <w:r w:rsidRPr="008B6D90">
        <w:rPr>
          <w:rFonts w:asciiTheme="minorBidi" w:hAnsiTheme="minorBidi"/>
        </w:rPr>
        <w:t xml:space="preserve">When practitioners add Piaget’s focus on biological cognition to a Vygotskian concern with social interaction, they gain an expanded approach to understanding the aging mind. This combination acknowledges nature and nurture as interacting influences on late-life adaptation. When we use these theories to thinking about care for dementia, it becomes clear how a </w:t>
      </w:r>
      <w:r w:rsidR="00AC6F13" w:rsidRPr="008B6D90">
        <w:rPr>
          <w:rFonts w:asciiTheme="minorBidi" w:hAnsiTheme="minorBidi"/>
        </w:rPr>
        <w:t>well</w:t>
      </w:r>
      <w:r w:rsidR="00AC6F13">
        <w:rPr>
          <w:rFonts w:asciiTheme="minorBidi" w:hAnsiTheme="minorBidi"/>
        </w:rPr>
        <w:t>-</w:t>
      </w:r>
      <w:r w:rsidR="00AC6F13" w:rsidRPr="008B6D90">
        <w:rPr>
          <w:rFonts w:asciiTheme="minorBidi" w:hAnsiTheme="minorBidi"/>
        </w:rPr>
        <w:t>organized</w:t>
      </w:r>
      <w:r w:rsidRPr="008B6D90">
        <w:rPr>
          <w:rFonts w:asciiTheme="minorBidi" w:hAnsiTheme="minorBidi"/>
        </w:rPr>
        <w:t xml:space="preserve"> world that is full of social richness can support someone to maintain cognitive function, emotional health and human dignity even as the course of neuro-degenerative illness continues.</w:t>
      </w:r>
    </w:p>
    <w:p w14:paraId="551BDDD8" w14:textId="77777777" w:rsidR="008B6D90" w:rsidRPr="008B6D90" w:rsidRDefault="008B6D90" w:rsidP="00AC6F13">
      <w:pPr>
        <w:spacing w:line="360" w:lineRule="auto"/>
        <w:rPr>
          <w:rFonts w:asciiTheme="minorBidi" w:hAnsiTheme="minorBidi"/>
          <w:b/>
          <w:bCs/>
        </w:rPr>
      </w:pPr>
    </w:p>
    <w:p w14:paraId="22EB4C55" w14:textId="77777777" w:rsidR="008B6D90" w:rsidRPr="008B6D90" w:rsidRDefault="008B6D90" w:rsidP="00AC6F13">
      <w:pPr>
        <w:spacing w:line="360" w:lineRule="auto"/>
        <w:rPr>
          <w:rFonts w:asciiTheme="minorBidi" w:hAnsiTheme="minorBidi"/>
          <w:b/>
          <w:bCs/>
        </w:rPr>
      </w:pPr>
    </w:p>
    <w:p w14:paraId="113FE04F" w14:textId="77777777" w:rsidR="008B6D90" w:rsidRPr="008B6D90" w:rsidRDefault="008B6D90" w:rsidP="00AC6F13">
      <w:pPr>
        <w:spacing w:line="360" w:lineRule="auto"/>
        <w:rPr>
          <w:rFonts w:asciiTheme="minorBidi" w:hAnsiTheme="minorBidi"/>
          <w:b/>
          <w:bCs/>
        </w:rPr>
      </w:pPr>
    </w:p>
    <w:p w14:paraId="6CFD5B20" w14:textId="77777777" w:rsidR="008B6D90" w:rsidRPr="008B6D90" w:rsidRDefault="008B6D90" w:rsidP="00AC6F13">
      <w:pPr>
        <w:spacing w:line="360" w:lineRule="auto"/>
        <w:rPr>
          <w:rFonts w:asciiTheme="minorBidi" w:hAnsiTheme="minorBidi"/>
          <w:b/>
          <w:bCs/>
        </w:rPr>
      </w:pPr>
    </w:p>
    <w:p w14:paraId="63B14212" w14:textId="77777777" w:rsidR="008B6D90" w:rsidRPr="008B6D90" w:rsidRDefault="008B6D90" w:rsidP="00AC6F13">
      <w:pPr>
        <w:spacing w:line="360" w:lineRule="auto"/>
        <w:rPr>
          <w:rFonts w:asciiTheme="minorBidi" w:hAnsiTheme="minorBidi"/>
          <w:b/>
          <w:bCs/>
        </w:rPr>
      </w:pPr>
    </w:p>
    <w:p w14:paraId="2DF7A081" w14:textId="2B62ECD1" w:rsidR="008F6962" w:rsidRPr="008F6962" w:rsidRDefault="008F6962" w:rsidP="008F6962">
      <w:pPr>
        <w:spacing w:line="360" w:lineRule="auto"/>
        <w:rPr>
          <w:rFonts w:asciiTheme="minorBidi" w:hAnsiTheme="minorBidi"/>
          <w:b/>
          <w:bCs/>
        </w:rPr>
      </w:pPr>
      <w:r w:rsidRPr="008F6962">
        <w:rPr>
          <w:rFonts w:asciiTheme="minorBidi" w:hAnsiTheme="minorBidi"/>
          <w:b/>
          <w:bCs/>
        </w:rPr>
        <w:lastRenderedPageBreak/>
        <w:t>Piaget’s Key Principles:</w:t>
      </w:r>
    </w:p>
    <w:p w14:paraId="000A9021" w14:textId="77777777" w:rsidR="008F6962" w:rsidRDefault="008F6962" w:rsidP="008F6962">
      <w:pPr>
        <w:spacing w:line="360" w:lineRule="auto"/>
        <w:rPr>
          <w:rFonts w:asciiTheme="minorBidi" w:hAnsiTheme="minorBidi"/>
        </w:rPr>
      </w:pPr>
      <w:r w:rsidRPr="008F6962">
        <w:rPr>
          <w:rFonts w:asciiTheme="minorBidi" w:hAnsiTheme="minorBidi"/>
        </w:rPr>
        <w:t xml:space="preserve">According to Piaget, people create knowledge not through passive absorption of information but by through active engagement with their environment. </w:t>
      </w:r>
    </w:p>
    <w:p w14:paraId="50732C81" w14:textId="77777777" w:rsidR="008F6962" w:rsidRDefault="008F6962" w:rsidP="008F6962">
      <w:pPr>
        <w:spacing w:line="360" w:lineRule="auto"/>
        <w:rPr>
          <w:rFonts w:asciiTheme="minorBidi" w:hAnsiTheme="minorBidi"/>
        </w:rPr>
      </w:pPr>
      <w:r w:rsidRPr="008F6962">
        <w:rPr>
          <w:rFonts w:asciiTheme="minorBidi" w:hAnsiTheme="minorBidi"/>
        </w:rPr>
        <w:t xml:space="preserve">* Assimilation is the process used to fit new information into existing schemas. </w:t>
      </w:r>
    </w:p>
    <w:p w14:paraId="411D7E01" w14:textId="77777777" w:rsidR="008F6962" w:rsidRDefault="008F6962" w:rsidP="008F6962">
      <w:pPr>
        <w:spacing w:line="360" w:lineRule="auto"/>
        <w:rPr>
          <w:rFonts w:asciiTheme="minorBidi" w:hAnsiTheme="minorBidi"/>
        </w:rPr>
      </w:pPr>
      <w:r w:rsidRPr="008F6962">
        <w:rPr>
          <w:rFonts w:asciiTheme="minorBidi" w:hAnsiTheme="minorBidi"/>
        </w:rPr>
        <w:t xml:space="preserve">* Accommodation refers to fitting new information into a schema by changing or creating a schema as necessary. </w:t>
      </w:r>
    </w:p>
    <w:p w14:paraId="0FD539A7" w14:textId="4557866D" w:rsidR="008F6962" w:rsidRDefault="008F6962" w:rsidP="008F6962">
      <w:pPr>
        <w:spacing w:line="360" w:lineRule="auto"/>
        <w:rPr>
          <w:rFonts w:asciiTheme="minorBidi" w:hAnsiTheme="minorBidi"/>
          <w:rtl/>
        </w:rPr>
      </w:pPr>
      <w:r w:rsidRPr="008F6962">
        <w:rPr>
          <w:rFonts w:asciiTheme="minorBidi" w:hAnsiTheme="minorBidi"/>
        </w:rPr>
        <w:t>* Cognitive development takes place through assimilation, accommodation, and equilibration (keeping both). Learning is an internal process of accommodation and organization, where older adults are constantly revising their cognitive frames to comprehend ongoing events and adapt them to cognitive</w:t>
      </w:r>
      <w:r>
        <w:rPr>
          <w:rFonts w:asciiTheme="minorBidi" w:hAnsiTheme="minorBidi"/>
        </w:rPr>
        <w:t xml:space="preserve"> </w:t>
      </w:r>
      <w:r w:rsidRPr="008F6962">
        <w:rPr>
          <w:rFonts w:asciiTheme="minorBidi" w:hAnsiTheme="minorBidi"/>
        </w:rPr>
        <w:t>or life</w:t>
      </w:r>
      <w:r>
        <w:rPr>
          <w:rFonts w:asciiTheme="minorBidi" w:hAnsiTheme="minorBidi"/>
        </w:rPr>
        <w:t xml:space="preserve"> </w:t>
      </w:r>
      <w:r w:rsidRPr="008F6962">
        <w:rPr>
          <w:rFonts w:asciiTheme="minorBidi" w:hAnsiTheme="minorBidi"/>
        </w:rPr>
        <w:t>transitions.</w:t>
      </w:r>
    </w:p>
    <w:p w14:paraId="43FB36BD" w14:textId="77777777" w:rsidR="008F6962" w:rsidRPr="008F6962" w:rsidRDefault="008F6962" w:rsidP="008F6962">
      <w:pPr>
        <w:spacing w:line="360" w:lineRule="auto"/>
        <w:rPr>
          <w:rFonts w:asciiTheme="minorBidi" w:hAnsiTheme="minorBidi"/>
        </w:rPr>
      </w:pPr>
    </w:p>
    <w:p w14:paraId="02116568" w14:textId="24AB6053" w:rsidR="008F6962" w:rsidRPr="008F6962" w:rsidRDefault="008F6962" w:rsidP="008F6962">
      <w:pPr>
        <w:spacing w:line="360" w:lineRule="auto"/>
        <w:rPr>
          <w:rFonts w:asciiTheme="minorBidi" w:hAnsiTheme="minorBidi"/>
          <w:b/>
          <w:bCs/>
        </w:rPr>
      </w:pPr>
      <w:r w:rsidRPr="008F6962">
        <w:rPr>
          <w:rFonts w:asciiTheme="minorBidi" w:hAnsiTheme="minorBidi"/>
          <w:b/>
          <w:bCs/>
        </w:rPr>
        <w:t>Vygotsky’s Key Principles:</w:t>
      </w:r>
    </w:p>
    <w:p w14:paraId="706C00EC" w14:textId="20B7DDE0" w:rsidR="008F6962" w:rsidRPr="008F6962" w:rsidRDefault="008F6962" w:rsidP="008F6962">
      <w:pPr>
        <w:spacing w:line="360" w:lineRule="auto"/>
        <w:rPr>
          <w:rFonts w:asciiTheme="minorBidi" w:hAnsiTheme="minorBidi"/>
        </w:rPr>
      </w:pPr>
      <w:r w:rsidRPr="008F6962">
        <w:rPr>
          <w:rFonts w:asciiTheme="minorBidi" w:hAnsiTheme="minorBidi"/>
        </w:rPr>
        <w:t>For Vygotsky learning is a social activity whereby knowledge emerges from interaction in a cultural setting. At the heart of his theory is the Zone of Proximal Development (ZPD) an area between independent ability and what a person can achieve with guidance and scaffolding or supported assistance from others. In late life, this framework emphasizes the role of social interaction and cooperative learning as factors contributing to cognitive successful aging.</w:t>
      </w:r>
    </w:p>
    <w:p w14:paraId="3358C690" w14:textId="77777777" w:rsidR="008F6962" w:rsidRDefault="008F6962" w:rsidP="00AC6F13">
      <w:pPr>
        <w:spacing w:line="360" w:lineRule="auto"/>
        <w:rPr>
          <w:rFonts w:asciiTheme="minorBidi" w:hAnsiTheme="minorBidi"/>
        </w:rPr>
      </w:pPr>
    </w:p>
    <w:p w14:paraId="5E106702" w14:textId="77777777" w:rsidR="008F6962" w:rsidRPr="007433BB" w:rsidRDefault="008F6962" w:rsidP="008F6962">
      <w:pPr>
        <w:spacing w:line="360" w:lineRule="auto"/>
        <w:rPr>
          <w:rFonts w:asciiTheme="minorBidi" w:hAnsiTheme="minorBidi"/>
          <w:b/>
          <w:bCs/>
        </w:rPr>
      </w:pPr>
      <w:r w:rsidRPr="007433BB">
        <w:rPr>
          <w:rFonts w:asciiTheme="minorBidi" w:hAnsiTheme="minorBidi"/>
          <w:b/>
          <w:bCs/>
        </w:rPr>
        <w:t>Cognitive Development / Socio-Cultural Learning in Late Adulthood</w:t>
      </w:r>
    </w:p>
    <w:p w14:paraId="364CB05D" w14:textId="77777777" w:rsidR="008F6962" w:rsidRPr="007433BB" w:rsidRDefault="008F6962" w:rsidP="008F6962">
      <w:pPr>
        <w:spacing w:line="360" w:lineRule="auto"/>
        <w:rPr>
          <w:rFonts w:asciiTheme="minorBidi" w:hAnsiTheme="minorBidi"/>
        </w:rPr>
      </w:pPr>
      <w:r w:rsidRPr="007433BB">
        <w:rPr>
          <w:rFonts w:asciiTheme="minorBidi" w:hAnsiTheme="minorBidi"/>
        </w:rPr>
        <w:t>Piaget and Vygotsky's understanding of learning and development have contributed to the body of knowledge on cognition. While most of their concepts were developed with children in mind, they can be usefully applied to the analysis of cognitive and emotional functioning among adults who are aging and residing in long</w:t>
      </w:r>
      <w:r>
        <w:rPr>
          <w:rFonts w:asciiTheme="minorBidi" w:hAnsiTheme="minorBidi"/>
        </w:rPr>
        <w:t xml:space="preserve"> </w:t>
      </w:r>
      <w:r w:rsidRPr="007433BB">
        <w:rPr>
          <w:rFonts w:asciiTheme="minorBidi" w:hAnsiTheme="minorBidi"/>
        </w:rPr>
        <w:t xml:space="preserve">term care. Piaget's theory concentrates on personal cognitive development </w:t>
      </w:r>
      <w:proofErr w:type="gramStart"/>
      <w:r w:rsidRPr="007433BB">
        <w:rPr>
          <w:rFonts w:asciiTheme="minorBidi" w:hAnsiTheme="minorBidi"/>
        </w:rPr>
        <w:t>as a result of</w:t>
      </w:r>
      <w:proofErr w:type="gramEnd"/>
      <w:r w:rsidRPr="007433BB">
        <w:rPr>
          <w:rFonts w:asciiTheme="minorBidi" w:hAnsiTheme="minorBidi"/>
        </w:rPr>
        <w:t xml:space="preserve"> biologically derived maturation and social integrating with the environment; in contrast, Vygotsky addressed the social and cultural factors in learning. Combining both theories allows for a rich conception of how older adults learn to adapt and thrive as they decline cognitively.</w:t>
      </w:r>
    </w:p>
    <w:p w14:paraId="24409E94" w14:textId="77777777" w:rsidR="008F6962" w:rsidRDefault="008F6962" w:rsidP="00AC6F13">
      <w:pPr>
        <w:spacing w:line="360" w:lineRule="auto"/>
        <w:rPr>
          <w:rFonts w:asciiTheme="minorBidi" w:hAnsiTheme="minorBidi"/>
        </w:rPr>
      </w:pPr>
    </w:p>
    <w:p w14:paraId="5A68AB46" w14:textId="77777777" w:rsidR="008F6962" w:rsidRPr="007433BB" w:rsidRDefault="008F6962" w:rsidP="00AC6F13">
      <w:pPr>
        <w:spacing w:line="360" w:lineRule="auto"/>
        <w:rPr>
          <w:rFonts w:asciiTheme="minorBidi" w:hAnsiTheme="minorBidi"/>
        </w:rPr>
      </w:pPr>
    </w:p>
    <w:p w14:paraId="4F8DE989" w14:textId="7EE94F2D" w:rsidR="007433BB" w:rsidRPr="007433BB" w:rsidRDefault="007433BB" w:rsidP="00AC6F13">
      <w:pPr>
        <w:spacing w:line="360" w:lineRule="auto"/>
        <w:rPr>
          <w:rFonts w:asciiTheme="minorBidi" w:hAnsiTheme="minorBidi"/>
          <w:b/>
          <w:bCs/>
        </w:rPr>
      </w:pPr>
      <w:r w:rsidRPr="007433BB">
        <w:rPr>
          <w:rFonts w:asciiTheme="minorBidi" w:hAnsiTheme="minorBidi"/>
          <w:b/>
          <w:bCs/>
        </w:rPr>
        <w:lastRenderedPageBreak/>
        <w:t xml:space="preserve">Application to elderly </w:t>
      </w:r>
      <w:r w:rsidR="00E947A1" w:rsidRPr="008B6D90">
        <w:rPr>
          <w:rFonts w:asciiTheme="minorBidi" w:hAnsiTheme="minorBidi"/>
          <w:b/>
          <w:bCs/>
        </w:rPr>
        <w:t>dements</w:t>
      </w:r>
    </w:p>
    <w:p w14:paraId="1244FA06" w14:textId="5E2DE8B7" w:rsidR="007433BB" w:rsidRPr="007433BB" w:rsidRDefault="007433BB" w:rsidP="00AC6F13">
      <w:pPr>
        <w:spacing w:line="360" w:lineRule="auto"/>
        <w:rPr>
          <w:rFonts w:asciiTheme="minorBidi" w:hAnsiTheme="minorBidi"/>
        </w:rPr>
      </w:pPr>
      <w:r w:rsidRPr="007433BB">
        <w:rPr>
          <w:rFonts w:asciiTheme="minorBidi" w:hAnsiTheme="minorBidi"/>
        </w:rPr>
        <w:t>Older people with dementia may have problems with memory, reasoning and experience difficulty in adjusting to new situations. Piaget’s principles of equilibration elucidate how people seek to establish equilibrium as they confront cognitive challenges. If the brain can no longer assimilate information (due to memory loss or confusion), new habits and routines must then be established through accommodation learning new rhythms, adjusting to day</w:t>
      </w:r>
      <w:r w:rsidR="00AC6F13">
        <w:rPr>
          <w:rFonts w:asciiTheme="minorBidi" w:hAnsiTheme="minorBidi"/>
        </w:rPr>
        <w:t xml:space="preserve"> </w:t>
      </w:r>
      <w:r w:rsidRPr="007433BB">
        <w:rPr>
          <w:rFonts w:asciiTheme="minorBidi" w:hAnsiTheme="minorBidi"/>
        </w:rPr>
        <w:t>care.</w:t>
      </w:r>
    </w:p>
    <w:p w14:paraId="7B387611" w14:textId="77777777" w:rsidR="007433BB" w:rsidRPr="007433BB" w:rsidRDefault="007433BB" w:rsidP="00AC6F13">
      <w:pPr>
        <w:spacing w:line="360" w:lineRule="auto"/>
        <w:rPr>
          <w:rFonts w:asciiTheme="minorBidi" w:hAnsiTheme="minorBidi"/>
        </w:rPr>
      </w:pPr>
      <w:r w:rsidRPr="007433BB">
        <w:rPr>
          <w:rFonts w:asciiTheme="minorBidi" w:hAnsiTheme="minorBidi"/>
        </w:rPr>
        <w:t>Vygotsky’s constructs further tie into this realizing by illustrating how it is the assistance from caretakers that can serve to ‘scaffold’ a resident’s ability to remember and do things. If, for instance, a caregiver elicits memory by using pictures, songs and familiar routines they are supporting the resident’s Zone of Proximal Development. Consequently, Piaget clarifies what must go on inside of ourselves to adapt and Vygotsky articulates to society's processes that enable this adaptation.</w:t>
      </w:r>
    </w:p>
    <w:p w14:paraId="40166BBA" w14:textId="77777777" w:rsidR="007433BB" w:rsidRPr="007433BB" w:rsidRDefault="007433BB" w:rsidP="00AC6F13">
      <w:pPr>
        <w:spacing w:line="360" w:lineRule="auto"/>
        <w:rPr>
          <w:rFonts w:asciiTheme="minorBidi" w:hAnsiTheme="minorBidi"/>
          <w:b/>
          <w:bCs/>
        </w:rPr>
      </w:pPr>
      <w:r w:rsidRPr="007433BB">
        <w:rPr>
          <w:rFonts w:asciiTheme="minorBidi" w:hAnsiTheme="minorBidi"/>
          <w:b/>
          <w:bCs/>
        </w:rPr>
        <w:t>Nature and Nurture Interaction</w:t>
      </w:r>
    </w:p>
    <w:p w14:paraId="372F9AA8" w14:textId="24125C1D" w:rsidR="007433BB" w:rsidRPr="007433BB" w:rsidRDefault="007433BB" w:rsidP="00AC6F13">
      <w:pPr>
        <w:spacing w:line="360" w:lineRule="auto"/>
        <w:rPr>
          <w:rFonts w:asciiTheme="minorBidi" w:hAnsiTheme="minorBidi"/>
        </w:rPr>
      </w:pPr>
      <w:r w:rsidRPr="007433BB">
        <w:rPr>
          <w:rFonts w:asciiTheme="minorBidi" w:hAnsiTheme="minorBidi"/>
        </w:rPr>
        <w:t>At the extreme end of the nature-nurture spectrum is Piaget, who assumes that cognitive development is governed by one thing and one thing alone: biological growth. Vygotsky, on the other hand, leaned more towards nurture or how social and cultural factors enable learning. When applied to older adults, particularly individuals with dementia, both forces are undoubtedly intertwined. Neuronal degeneration characteristic of biological aging, for instance, imposes constraints on learning plasticity. But environmental and social stimulation such as conversation, music or emotional support can bolster whatever attributes that remain.</w:t>
      </w:r>
    </w:p>
    <w:p w14:paraId="384D01F0" w14:textId="0503B7CD" w:rsidR="007433BB" w:rsidRPr="007433BB" w:rsidRDefault="007433BB" w:rsidP="00AC6F13">
      <w:pPr>
        <w:spacing w:line="360" w:lineRule="auto"/>
        <w:rPr>
          <w:rFonts w:asciiTheme="minorBidi" w:hAnsiTheme="minorBidi"/>
        </w:rPr>
      </w:pPr>
      <w:r w:rsidRPr="007433BB">
        <w:rPr>
          <w:rFonts w:asciiTheme="minorBidi" w:hAnsiTheme="minorBidi"/>
        </w:rPr>
        <w:t>This iterative process illustrates how the ageing</w:t>
      </w:r>
      <w:r w:rsidR="00E947A1" w:rsidRPr="008B6D90">
        <w:rPr>
          <w:rFonts w:asciiTheme="minorBidi" w:hAnsiTheme="minorBidi"/>
        </w:rPr>
        <w:t xml:space="preserve"> </w:t>
      </w:r>
      <w:r w:rsidR="00FF591E" w:rsidRPr="008B6D90">
        <w:rPr>
          <w:rFonts w:asciiTheme="minorBidi" w:hAnsiTheme="minorBidi"/>
        </w:rPr>
        <w:t>brain, brain</w:t>
      </w:r>
      <w:r w:rsidR="00E947A1" w:rsidRPr="008B6D90">
        <w:rPr>
          <w:rFonts w:asciiTheme="minorBidi" w:hAnsiTheme="minorBidi"/>
        </w:rPr>
        <w:t xml:space="preserve"> </w:t>
      </w:r>
      <w:r w:rsidRPr="007433BB">
        <w:rPr>
          <w:rFonts w:asciiTheme="minorBidi" w:hAnsiTheme="minorBidi"/>
        </w:rPr>
        <w:t>cognition system is influenced by not just nature (biological variables) but also nurture (social context). Nurturing caregiving environments may be able to preserve or even improve patterns of cognitive and emotional engagement, even if the brain erodes.</w:t>
      </w:r>
    </w:p>
    <w:p w14:paraId="7D502508" w14:textId="77777777" w:rsidR="007433BB" w:rsidRPr="007433BB" w:rsidRDefault="007433BB" w:rsidP="00AC6F13">
      <w:pPr>
        <w:spacing w:line="360" w:lineRule="auto"/>
        <w:rPr>
          <w:rFonts w:asciiTheme="minorBidi" w:hAnsiTheme="minorBidi"/>
          <w:b/>
          <w:bCs/>
        </w:rPr>
      </w:pPr>
      <w:r w:rsidRPr="007433BB">
        <w:rPr>
          <w:rFonts w:asciiTheme="minorBidi" w:hAnsiTheme="minorBidi"/>
          <w:b/>
          <w:bCs/>
        </w:rPr>
        <w:t>Language and Culture Perspective of Cognitive Preservation</w:t>
      </w:r>
    </w:p>
    <w:p w14:paraId="06A9A3BD" w14:textId="23663FED" w:rsidR="007433BB" w:rsidRPr="007433BB" w:rsidRDefault="007433BB" w:rsidP="00AC6F13">
      <w:pPr>
        <w:spacing w:line="360" w:lineRule="auto"/>
        <w:rPr>
          <w:rFonts w:asciiTheme="minorBidi" w:hAnsiTheme="minorBidi"/>
        </w:rPr>
      </w:pPr>
      <w:r w:rsidRPr="007433BB">
        <w:rPr>
          <w:rFonts w:asciiTheme="minorBidi" w:hAnsiTheme="minorBidi"/>
        </w:rPr>
        <w:t xml:space="preserve">Both Piaget and Vygotsky acknowledged a role in development for language, although from opposite perspectives. For Piaget, language was the expression of already existing cognitive structures; for Vygotsky, it acted as the main tool for thinking and learning. </w:t>
      </w:r>
      <w:r w:rsidR="008B6D90" w:rsidRPr="007433BB">
        <w:rPr>
          <w:rFonts w:asciiTheme="minorBidi" w:hAnsiTheme="minorBidi"/>
        </w:rPr>
        <w:t>Both</w:t>
      </w:r>
      <w:r w:rsidRPr="007433BB">
        <w:rPr>
          <w:rFonts w:asciiTheme="minorBidi" w:hAnsiTheme="minorBidi"/>
        </w:rPr>
        <w:t xml:space="preserve"> ideas hold in dementia care.</w:t>
      </w:r>
    </w:p>
    <w:p w14:paraId="34FB38A4" w14:textId="77777777" w:rsidR="007433BB" w:rsidRPr="007433BB" w:rsidRDefault="007433BB" w:rsidP="00AC6F13">
      <w:pPr>
        <w:spacing w:line="360" w:lineRule="auto"/>
        <w:rPr>
          <w:rFonts w:asciiTheme="minorBidi" w:hAnsiTheme="minorBidi"/>
        </w:rPr>
      </w:pPr>
      <w:r w:rsidRPr="007433BB">
        <w:rPr>
          <w:rFonts w:asciiTheme="minorBidi" w:hAnsiTheme="minorBidi"/>
        </w:rPr>
        <w:lastRenderedPageBreak/>
        <w:t>When caregivers speak the resident’s native language (which is usually the culture in most memory care homes), terms and phrases that are known to them, or music important to their culture, then the mental schemas (Piaget) are set back into motion and emotional and social connections (Vygotsky) get turned on. This also serves to fortify memory and affirm identity and inclusion. Practice their childhood language or play music from when they were young to access some of the long-term memory and improve mood.</w:t>
      </w:r>
    </w:p>
    <w:p w14:paraId="24B8C126" w14:textId="77777777" w:rsidR="007433BB" w:rsidRPr="007433BB" w:rsidRDefault="007433BB" w:rsidP="00AC6F13">
      <w:pPr>
        <w:spacing w:line="360" w:lineRule="auto"/>
        <w:rPr>
          <w:rFonts w:asciiTheme="minorBidi" w:hAnsiTheme="minorBidi"/>
          <w:b/>
          <w:bCs/>
        </w:rPr>
      </w:pPr>
      <w:r w:rsidRPr="007433BB">
        <w:rPr>
          <w:rFonts w:asciiTheme="minorBidi" w:hAnsiTheme="minorBidi"/>
          <w:b/>
          <w:bCs/>
        </w:rPr>
        <w:t>Individual Differences in Late-Life Learning</w:t>
      </w:r>
    </w:p>
    <w:p w14:paraId="5ED692EA" w14:textId="77777777" w:rsidR="007433BB" w:rsidRPr="007433BB" w:rsidRDefault="007433BB" w:rsidP="00AC6F13">
      <w:pPr>
        <w:spacing w:line="360" w:lineRule="auto"/>
        <w:rPr>
          <w:rFonts w:asciiTheme="minorBidi" w:hAnsiTheme="minorBidi"/>
        </w:rPr>
      </w:pPr>
      <w:r w:rsidRPr="007433BB">
        <w:rPr>
          <w:rFonts w:asciiTheme="minorBidi" w:hAnsiTheme="minorBidi"/>
        </w:rPr>
        <w:t>Bridging Piaget and Vygotsky also helps to explain why some old folks handle dementia better than others. They succeed in demonstrating the individual variation of cognitive limit according to the Piagetian model (8) and how situational support can create potentiality as offered by Vygotsky's framework. Overall, these views imply that people who reside in more socially engaged and stimulating circumstances would retain better cognitive functioning than those with limited contact.</w:t>
      </w:r>
    </w:p>
    <w:p w14:paraId="68CEF91E" w14:textId="07DC38BF" w:rsidR="007433BB" w:rsidRPr="007433BB" w:rsidRDefault="007433BB" w:rsidP="00AC6F13">
      <w:pPr>
        <w:spacing w:line="360" w:lineRule="auto"/>
        <w:rPr>
          <w:rFonts w:asciiTheme="minorBidi" w:hAnsiTheme="minorBidi"/>
        </w:rPr>
      </w:pPr>
      <w:r w:rsidRPr="007433BB">
        <w:rPr>
          <w:rFonts w:asciiTheme="minorBidi" w:hAnsiTheme="minorBidi"/>
        </w:rPr>
        <w:t xml:space="preserve">This knowledge has inspired tailored strategies for care that are individualised based upon the resident's history, abilities and preferences. There is some evidence that activities which integrate social aspects (e.g. group discussion, </w:t>
      </w:r>
      <w:r w:rsidR="008B6D90" w:rsidRPr="007433BB">
        <w:rPr>
          <w:rFonts w:asciiTheme="minorBidi" w:hAnsiTheme="minorBidi"/>
        </w:rPr>
        <w:t>storytelling</w:t>
      </w:r>
      <w:r w:rsidRPr="007433BB">
        <w:rPr>
          <w:rFonts w:asciiTheme="minorBidi" w:hAnsiTheme="minorBidi"/>
        </w:rPr>
        <w:t>) with cognitive demands (e.g. puzzles, reading), can increase motivation and ensure memory retention.</w:t>
      </w:r>
    </w:p>
    <w:p w14:paraId="6737D321" w14:textId="77777777" w:rsidR="007433BB" w:rsidRPr="007433BB" w:rsidRDefault="007433BB" w:rsidP="00AC6F13">
      <w:pPr>
        <w:spacing w:line="360" w:lineRule="auto"/>
        <w:rPr>
          <w:rFonts w:asciiTheme="minorBidi" w:hAnsiTheme="minorBidi"/>
          <w:b/>
          <w:bCs/>
        </w:rPr>
      </w:pPr>
      <w:r w:rsidRPr="007433BB">
        <w:rPr>
          <w:rFonts w:asciiTheme="minorBidi" w:hAnsiTheme="minorBidi"/>
          <w:b/>
          <w:bCs/>
        </w:rPr>
        <w:t>Application in Care Homes</w:t>
      </w:r>
    </w:p>
    <w:p w14:paraId="63AB9405" w14:textId="77777777" w:rsidR="007433BB" w:rsidRPr="007433BB" w:rsidRDefault="007433BB" w:rsidP="00AC6F13">
      <w:pPr>
        <w:spacing w:line="360" w:lineRule="auto"/>
        <w:rPr>
          <w:rFonts w:asciiTheme="minorBidi" w:hAnsiTheme="minorBidi"/>
        </w:rPr>
      </w:pPr>
      <w:r w:rsidRPr="007433BB">
        <w:rPr>
          <w:rFonts w:asciiTheme="minorBidi" w:hAnsiTheme="minorBidi"/>
        </w:rPr>
        <w:t>In a concrete sense, the incorporation of both theories allows for establishing sound bases to develop intervention strategies in dementia care. Programs such as reminiscence therapy, group games, art activities or co-narration apply Piaget’s active learning principle also to Vygotsky’s guided social dialogue.</w:t>
      </w:r>
    </w:p>
    <w:p w14:paraId="485A6765" w14:textId="77777777" w:rsidR="007433BB" w:rsidRPr="007433BB" w:rsidRDefault="007433BB" w:rsidP="00AC6F13">
      <w:pPr>
        <w:spacing w:line="360" w:lineRule="auto"/>
        <w:rPr>
          <w:rFonts w:asciiTheme="minorBidi" w:hAnsiTheme="minorBidi"/>
        </w:rPr>
      </w:pPr>
      <w:r w:rsidRPr="007433BB">
        <w:rPr>
          <w:rFonts w:asciiTheme="minorBidi" w:hAnsiTheme="minorBidi"/>
        </w:rPr>
        <w:t>For example, when residents sing as a group, they use cognitive recall (Piaget) and social cooperation (Vygotsky). And together this integrated approach benefits memory, communication and emotional bonding. "Over time, we've discovered that these activities can help calm the agitated, focus attention and purpose for people with dementia."</w:t>
      </w:r>
    </w:p>
    <w:p w14:paraId="35E155F0" w14:textId="77777777" w:rsidR="00E947A1" w:rsidRPr="008B6D90" w:rsidRDefault="00E947A1" w:rsidP="00AC6F13">
      <w:pPr>
        <w:spacing w:line="360" w:lineRule="auto"/>
        <w:rPr>
          <w:rFonts w:asciiTheme="minorBidi" w:hAnsiTheme="minorBidi"/>
          <w:b/>
          <w:bCs/>
        </w:rPr>
      </w:pPr>
    </w:p>
    <w:p w14:paraId="4F3D76E4" w14:textId="578F7751" w:rsidR="007433BB" w:rsidRPr="007433BB" w:rsidRDefault="007433BB" w:rsidP="00AC6F13">
      <w:pPr>
        <w:spacing w:line="360" w:lineRule="auto"/>
        <w:rPr>
          <w:rFonts w:asciiTheme="minorBidi" w:hAnsiTheme="minorBidi"/>
          <w:b/>
          <w:bCs/>
        </w:rPr>
      </w:pPr>
      <w:r w:rsidRPr="007433BB">
        <w:rPr>
          <w:rFonts w:asciiTheme="minorBidi" w:hAnsiTheme="minorBidi"/>
          <w:b/>
          <w:bCs/>
        </w:rPr>
        <w:t>Critical Reflection in a Dementia Care Setting</w:t>
      </w:r>
    </w:p>
    <w:p w14:paraId="0406E392" w14:textId="77777777" w:rsidR="007433BB" w:rsidRPr="007433BB" w:rsidRDefault="007433BB" w:rsidP="00AC6F13">
      <w:pPr>
        <w:spacing w:line="360" w:lineRule="auto"/>
        <w:rPr>
          <w:rFonts w:asciiTheme="minorBidi" w:hAnsiTheme="minorBidi"/>
        </w:rPr>
      </w:pPr>
      <w:r w:rsidRPr="007433BB">
        <w:rPr>
          <w:rFonts w:asciiTheme="minorBidi" w:hAnsiTheme="minorBidi"/>
        </w:rPr>
        <w:t xml:space="preserve">A critical examination of these theories reveals that cognitive and social processes are interdependent in later life. Dementia care can be advantageously informed by a model that incorporates both the individual's struggle within (Piaget) and the scaffolding social environment without (Vygotsky). This integration mirrors what happens in practice in care </w:t>
      </w:r>
      <w:r w:rsidRPr="007433BB">
        <w:rPr>
          <w:rFonts w:asciiTheme="minorBidi" w:hAnsiTheme="minorBidi"/>
        </w:rPr>
        <w:lastRenderedPageBreak/>
        <w:t>homes, where professionals are co-learners and have a guiding role to help the residents remain functioning and with dignity.</w:t>
      </w:r>
    </w:p>
    <w:p w14:paraId="17550A3E" w14:textId="77777777" w:rsidR="007433BB" w:rsidRPr="008B6D90" w:rsidRDefault="007433BB" w:rsidP="00AC6F13">
      <w:pPr>
        <w:spacing w:line="360" w:lineRule="auto"/>
        <w:rPr>
          <w:rFonts w:asciiTheme="minorBidi" w:hAnsiTheme="minorBidi"/>
          <w:rtl/>
        </w:rPr>
      </w:pPr>
      <w:r w:rsidRPr="007433BB">
        <w:rPr>
          <w:rFonts w:asciiTheme="minorBidi" w:hAnsiTheme="minorBidi"/>
        </w:rPr>
        <w:t>Each interaction may also be less meaningful as staffing issues, communication problems and time pressures can serve to limit such opportunities. To address these, care environments need to focus on staff training around communication, cultural competence and activities enriched in cognitive principles. This guided interaction to residents supports self-worth, minimizes disorientation and facilitates emotional care.</w:t>
      </w:r>
    </w:p>
    <w:p w14:paraId="3039D90A" w14:textId="77777777" w:rsidR="007433BB" w:rsidRPr="007433BB" w:rsidRDefault="007433BB" w:rsidP="00AC6F13">
      <w:pPr>
        <w:spacing w:line="360" w:lineRule="auto"/>
        <w:rPr>
          <w:rFonts w:asciiTheme="minorBidi" w:hAnsiTheme="minorBidi"/>
        </w:rPr>
      </w:pPr>
    </w:p>
    <w:p w14:paraId="6884FF9B" w14:textId="77777777" w:rsidR="009D3926" w:rsidRPr="008B6D90" w:rsidRDefault="009D3926" w:rsidP="00AC6F13">
      <w:pPr>
        <w:spacing w:line="360" w:lineRule="auto"/>
        <w:rPr>
          <w:rFonts w:asciiTheme="minorBidi" w:hAnsiTheme="minorBidi"/>
        </w:rPr>
      </w:pPr>
    </w:p>
    <w:p w14:paraId="1C234EE3" w14:textId="77777777" w:rsidR="008B6D90" w:rsidRPr="008B6D90" w:rsidRDefault="008B6D90" w:rsidP="00AC6F13">
      <w:pPr>
        <w:spacing w:line="360" w:lineRule="auto"/>
        <w:rPr>
          <w:rFonts w:asciiTheme="minorBidi" w:hAnsiTheme="minorBidi"/>
        </w:rPr>
      </w:pPr>
    </w:p>
    <w:p w14:paraId="47CC43C1" w14:textId="6CDFBE51" w:rsidR="008B6D90" w:rsidRPr="008B6D90" w:rsidRDefault="008B6D90" w:rsidP="00AC6F13">
      <w:pPr>
        <w:spacing w:line="360" w:lineRule="auto"/>
        <w:rPr>
          <w:rFonts w:asciiTheme="minorBidi" w:hAnsiTheme="minorBidi"/>
          <w:b/>
          <w:bCs/>
        </w:rPr>
      </w:pPr>
      <w:r w:rsidRPr="008B6D90">
        <w:rPr>
          <w:rFonts w:asciiTheme="minorBidi" w:hAnsiTheme="minorBidi"/>
          <w:b/>
          <w:bCs/>
        </w:rPr>
        <w:t>conclusion</w:t>
      </w:r>
    </w:p>
    <w:p w14:paraId="54B3227D" w14:textId="77777777" w:rsidR="008B6D90" w:rsidRPr="008B6D90" w:rsidRDefault="008B6D90" w:rsidP="00AC6F13">
      <w:pPr>
        <w:spacing w:line="360" w:lineRule="auto"/>
        <w:rPr>
          <w:rFonts w:asciiTheme="minorBidi" w:hAnsiTheme="minorBidi"/>
        </w:rPr>
      </w:pPr>
    </w:p>
    <w:p w14:paraId="714597D7" w14:textId="77777777" w:rsidR="008B6D90" w:rsidRPr="008B6D90" w:rsidRDefault="008B6D90" w:rsidP="00AC6F13">
      <w:pPr>
        <w:spacing w:line="360" w:lineRule="auto"/>
        <w:rPr>
          <w:rFonts w:asciiTheme="minorBidi" w:hAnsiTheme="minorBidi"/>
        </w:rPr>
      </w:pPr>
      <w:r w:rsidRPr="008B6D90">
        <w:rPr>
          <w:rFonts w:asciiTheme="minorBidi" w:hAnsiTheme="minorBidi"/>
        </w:rPr>
        <w:t xml:space="preserve">The combination of Piaget’s CDT and Vygotsky SLT has the potential to be a comprehensive model for examining learning, adaptation and resilience in late life especially in people with dementia. Piaget’s theories of assimilation, adaptation and equilibrium explain how biological and neurological developments can restrict cognitive flexibility, whilst Vygotsky highlights the importance of social interaction, cultural context and scaffolding in preserving our cognitive and affective capacity. Taken together, both these points of view suggest that aging represents the </w:t>
      </w:r>
      <w:proofErr w:type="gramStart"/>
      <w:r w:rsidRPr="008B6D90">
        <w:rPr>
          <w:rFonts w:asciiTheme="minorBidi" w:hAnsiTheme="minorBidi"/>
        </w:rPr>
        <w:t>end product</w:t>
      </w:r>
      <w:proofErr w:type="gramEnd"/>
      <w:r w:rsidRPr="008B6D90">
        <w:rPr>
          <w:rFonts w:asciiTheme="minorBidi" w:hAnsiTheme="minorBidi"/>
        </w:rPr>
        <w:t xml:space="preserve"> of a complex dance between internal cognitive strength and external social-environmental influences that ultimately defies reconciling nature with nurture.</w:t>
      </w:r>
    </w:p>
    <w:p w14:paraId="15DEFBEF" w14:textId="77777777" w:rsidR="008B6D90" w:rsidRPr="008B6D90" w:rsidRDefault="008B6D90" w:rsidP="00AC6F13">
      <w:pPr>
        <w:spacing w:line="360" w:lineRule="auto"/>
        <w:rPr>
          <w:rFonts w:asciiTheme="minorBidi" w:hAnsiTheme="minorBidi"/>
        </w:rPr>
      </w:pPr>
      <w:r w:rsidRPr="008B6D90">
        <w:rPr>
          <w:rFonts w:asciiTheme="minorBidi" w:hAnsiTheme="minorBidi"/>
        </w:rPr>
        <w:t>For health and social care providers, this integrated perspective moves the attention from dementia as mere cognitive impairment towards seeing it as a continuum where adaptation may be achieved with the adequate support. Hegeman (2016) Highlighted in the Daily Mail, structured regular activities, individualised communication and cultural familiarities - as well as socialising all offer opportunities for people to participate more fully, project memories from deep within white matter reserves &amp; validate their various roles of self. By understanding the interplay between cognitive abilities and environmental and social stimulation, interventions can be developed that promote autonomy, increase emotional well-being, and preserve social engagement.</w:t>
      </w:r>
    </w:p>
    <w:p w14:paraId="2673B7CC" w14:textId="77777777" w:rsidR="008B6D90" w:rsidRPr="008B6D90" w:rsidRDefault="008B6D90" w:rsidP="00AC6F13">
      <w:pPr>
        <w:spacing w:line="360" w:lineRule="auto"/>
        <w:rPr>
          <w:rFonts w:asciiTheme="minorBidi" w:hAnsiTheme="minorBidi"/>
        </w:rPr>
      </w:pPr>
      <w:r w:rsidRPr="008B6D90">
        <w:rPr>
          <w:rFonts w:asciiTheme="minorBidi" w:hAnsiTheme="minorBidi"/>
        </w:rPr>
        <w:t xml:space="preserve">In the long run, engaging with unity between Piaget and Vygotsky affirms that learning engagement connection can be reached even within catastrophic neurodegenerative </w:t>
      </w:r>
      <w:r w:rsidRPr="008B6D90">
        <w:rPr>
          <w:rFonts w:asciiTheme="minorBidi" w:hAnsiTheme="minorBidi"/>
        </w:rPr>
        <w:lastRenderedPageBreak/>
        <w:t xml:space="preserve">disorders. Dementia care based on these theories helps residents not just adapt to </w:t>
      </w:r>
      <w:proofErr w:type="gramStart"/>
      <w:r w:rsidRPr="008B6D90">
        <w:rPr>
          <w:rFonts w:asciiTheme="minorBidi" w:hAnsiTheme="minorBidi"/>
        </w:rPr>
        <w:t>decline, but</w:t>
      </w:r>
      <w:proofErr w:type="gramEnd"/>
      <w:r w:rsidRPr="008B6D90">
        <w:rPr>
          <w:rFonts w:asciiTheme="minorBidi" w:hAnsiTheme="minorBidi"/>
        </w:rPr>
        <w:t xml:space="preserve"> optimally live within constraints. It turns care settings into places of sustained cognitive and emotional development – enabling older people to continue living with dignity, purpose and with meaningful social participation in the later years of their lives.</w:t>
      </w:r>
    </w:p>
    <w:p w14:paraId="42F7A3BD" w14:textId="77777777" w:rsidR="008B6D90" w:rsidRDefault="008B6D90">
      <w:pPr>
        <w:rPr>
          <w:rFonts w:asciiTheme="minorBidi" w:hAnsiTheme="minorBidi"/>
        </w:rPr>
      </w:pPr>
    </w:p>
    <w:p w14:paraId="518248B5" w14:textId="77777777" w:rsidR="007F44BA" w:rsidRDefault="007F44BA">
      <w:pPr>
        <w:rPr>
          <w:rFonts w:asciiTheme="minorBidi" w:hAnsiTheme="minorBidi"/>
          <w:rtl/>
        </w:rPr>
      </w:pPr>
    </w:p>
    <w:p w14:paraId="6B0106C4" w14:textId="77777777" w:rsidR="007B592B" w:rsidRDefault="007B592B">
      <w:pPr>
        <w:rPr>
          <w:rFonts w:asciiTheme="minorBidi" w:hAnsiTheme="minorBidi"/>
          <w:rtl/>
        </w:rPr>
      </w:pPr>
    </w:p>
    <w:p w14:paraId="0246E700" w14:textId="77777777" w:rsidR="007B592B" w:rsidRDefault="007B592B">
      <w:pPr>
        <w:rPr>
          <w:rFonts w:asciiTheme="minorBidi" w:hAnsiTheme="minorBidi"/>
          <w:rtl/>
        </w:rPr>
      </w:pPr>
    </w:p>
    <w:p w14:paraId="49E0FE63" w14:textId="77777777" w:rsidR="007B592B" w:rsidRDefault="007B592B">
      <w:pPr>
        <w:rPr>
          <w:rFonts w:asciiTheme="minorBidi" w:hAnsiTheme="minorBidi"/>
          <w:rtl/>
        </w:rPr>
      </w:pPr>
    </w:p>
    <w:p w14:paraId="2E6A7CA2" w14:textId="77777777" w:rsidR="007B592B" w:rsidRDefault="007B592B">
      <w:pPr>
        <w:rPr>
          <w:rFonts w:asciiTheme="minorBidi" w:hAnsiTheme="minorBidi"/>
          <w:rtl/>
        </w:rPr>
      </w:pPr>
    </w:p>
    <w:p w14:paraId="09190730" w14:textId="77777777" w:rsidR="007B592B" w:rsidRDefault="007B592B">
      <w:pPr>
        <w:rPr>
          <w:rFonts w:asciiTheme="minorBidi" w:hAnsiTheme="minorBidi"/>
          <w:rtl/>
        </w:rPr>
      </w:pPr>
    </w:p>
    <w:p w14:paraId="401B52C3" w14:textId="77777777" w:rsidR="007B592B" w:rsidRDefault="007B592B">
      <w:pPr>
        <w:rPr>
          <w:rFonts w:asciiTheme="minorBidi" w:hAnsiTheme="minorBidi"/>
          <w:rtl/>
        </w:rPr>
      </w:pPr>
    </w:p>
    <w:p w14:paraId="6701D1EA" w14:textId="77777777" w:rsidR="007B592B" w:rsidRDefault="007B592B">
      <w:pPr>
        <w:rPr>
          <w:rFonts w:asciiTheme="minorBidi" w:hAnsiTheme="minorBidi"/>
          <w:rtl/>
        </w:rPr>
      </w:pPr>
    </w:p>
    <w:p w14:paraId="43F0B91E" w14:textId="77777777" w:rsidR="007B592B" w:rsidRDefault="007B592B">
      <w:pPr>
        <w:rPr>
          <w:rFonts w:asciiTheme="minorBidi" w:hAnsiTheme="minorBidi"/>
          <w:rtl/>
        </w:rPr>
      </w:pPr>
    </w:p>
    <w:p w14:paraId="1BFC933F" w14:textId="77777777" w:rsidR="007B592B" w:rsidRDefault="007B592B">
      <w:pPr>
        <w:rPr>
          <w:rFonts w:asciiTheme="minorBidi" w:hAnsiTheme="minorBidi"/>
          <w:rtl/>
        </w:rPr>
      </w:pPr>
    </w:p>
    <w:p w14:paraId="5DD5181B" w14:textId="77777777" w:rsidR="007B592B" w:rsidRDefault="007B592B">
      <w:pPr>
        <w:rPr>
          <w:rFonts w:asciiTheme="minorBidi" w:hAnsiTheme="minorBidi"/>
          <w:rtl/>
        </w:rPr>
      </w:pPr>
    </w:p>
    <w:p w14:paraId="5C065BAE" w14:textId="77777777" w:rsidR="007B592B" w:rsidRDefault="007B592B">
      <w:pPr>
        <w:rPr>
          <w:rFonts w:asciiTheme="minorBidi" w:hAnsiTheme="minorBidi"/>
          <w:rtl/>
        </w:rPr>
      </w:pPr>
    </w:p>
    <w:p w14:paraId="1681D0EA" w14:textId="77777777" w:rsidR="007B592B" w:rsidRDefault="007B592B">
      <w:pPr>
        <w:rPr>
          <w:rFonts w:asciiTheme="minorBidi" w:hAnsiTheme="minorBidi"/>
          <w:rtl/>
        </w:rPr>
      </w:pPr>
    </w:p>
    <w:p w14:paraId="477ACEC9" w14:textId="77777777" w:rsidR="007B592B" w:rsidRDefault="007B592B">
      <w:pPr>
        <w:rPr>
          <w:rFonts w:asciiTheme="minorBidi" w:hAnsiTheme="minorBidi"/>
          <w:rtl/>
        </w:rPr>
      </w:pPr>
    </w:p>
    <w:p w14:paraId="54DF6DD2" w14:textId="77777777" w:rsidR="007B592B" w:rsidRDefault="007B592B">
      <w:pPr>
        <w:rPr>
          <w:rFonts w:asciiTheme="minorBidi" w:hAnsiTheme="minorBidi"/>
          <w:rtl/>
        </w:rPr>
      </w:pPr>
    </w:p>
    <w:p w14:paraId="771DAF97" w14:textId="77777777" w:rsidR="007B592B" w:rsidRDefault="007B592B">
      <w:pPr>
        <w:rPr>
          <w:rFonts w:asciiTheme="minorBidi" w:hAnsiTheme="minorBidi"/>
          <w:rtl/>
        </w:rPr>
      </w:pPr>
    </w:p>
    <w:p w14:paraId="40DB470B" w14:textId="77777777" w:rsidR="007B592B" w:rsidRDefault="007B592B">
      <w:pPr>
        <w:rPr>
          <w:rFonts w:asciiTheme="minorBidi" w:hAnsiTheme="minorBidi"/>
          <w:rtl/>
        </w:rPr>
      </w:pPr>
    </w:p>
    <w:p w14:paraId="5ED825CD" w14:textId="77777777" w:rsidR="007B592B" w:rsidRDefault="007B592B">
      <w:pPr>
        <w:rPr>
          <w:rFonts w:asciiTheme="minorBidi" w:hAnsiTheme="minorBidi"/>
          <w:rtl/>
        </w:rPr>
      </w:pPr>
    </w:p>
    <w:p w14:paraId="1967F12D" w14:textId="77777777" w:rsidR="007B592B" w:rsidRDefault="007B592B">
      <w:pPr>
        <w:rPr>
          <w:rFonts w:asciiTheme="minorBidi" w:hAnsiTheme="minorBidi"/>
          <w:rtl/>
        </w:rPr>
      </w:pPr>
    </w:p>
    <w:p w14:paraId="52049C67" w14:textId="77777777" w:rsidR="007B592B" w:rsidRDefault="007B592B">
      <w:pPr>
        <w:rPr>
          <w:rFonts w:asciiTheme="minorBidi" w:hAnsiTheme="minorBidi"/>
          <w:rtl/>
        </w:rPr>
      </w:pPr>
    </w:p>
    <w:p w14:paraId="58345431" w14:textId="77777777" w:rsidR="007B592B" w:rsidRDefault="007B592B">
      <w:pPr>
        <w:rPr>
          <w:rFonts w:asciiTheme="minorBidi" w:hAnsiTheme="minorBidi"/>
          <w:rtl/>
        </w:rPr>
      </w:pPr>
    </w:p>
    <w:p w14:paraId="7F8D89BD" w14:textId="77777777" w:rsidR="007B592B" w:rsidRDefault="007B592B">
      <w:pPr>
        <w:rPr>
          <w:rFonts w:asciiTheme="minorBidi" w:hAnsiTheme="minorBidi"/>
          <w:rtl/>
        </w:rPr>
      </w:pPr>
    </w:p>
    <w:p w14:paraId="75FE727A" w14:textId="77777777" w:rsidR="007B592B" w:rsidRDefault="007B592B">
      <w:pPr>
        <w:rPr>
          <w:rFonts w:asciiTheme="minorBidi" w:hAnsiTheme="minorBidi"/>
        </w:rPr>
      </w:pPr>
    </w:p>
    <w:p w14:paraId="1E541F99" w14:textId="77777777" w:rsidR="007F44BA" w:rsidRDefault="007F44BA" w:rsidP="007F44BA">
      <w:pPr>
        <w:rPr>
          <w:rFonts w:asciiTheme="minorBidi" w:hAnsiTheme="minorBidi"/>
        </w:rPr>
      </w:pPr>
    </w:p>
    <w:p w14:paraId="0A793D17" w14:textId="48ACDF1A" w:rsidR="007F44BA" w:rsidRDefault="00AC6F13" w:rsidP="007F44BA">
      <w:pPr>
        <w:rPr>
          <w:rFonts w:asciiTheme="minorBidi" w:hAnsiTheme="minorBidi"/>
          <w:b/>
          <w:bCs/>
        </w:rPr>
      </w:pPr>
      <w:r w:rsidRPr="007F44BA">
        <w:rPr>
          <w:rFonts w:asciiTheme="minorBidi" w:hAnsiTheme="minorBidi"/>
          <w:b/>
          <w:bCs/>
        </w:rPr>
        <w:lastRenderedPageBreak/>
        <w:t>References:</w:t>
      </w:r>
    </w:p>
    <w:p w14:paraId="63D63A9F" w14:textId="77777777" w:rsidR="007F44BA" w:rsidRPr="007F44BA" w:rsidRDefault="007F44BA" w:rsidP="007F44BA">
      <w:pPr>
        <w:rPr>
          <w:rFonts w:asciiTheme="minorBidi" w:hAnsiTheme="minorBidi"/>
          <w:b/>
          <w:bCs/>
        </w:rPr>
      </w:pPr>
    </w:p>
    <w:p w14:paraId="66F46B94" w14:textId="77777777" w:rsidR="007F44BA" w:rsidRPr="007F44BA" w:rsidRDefault="007F44BA" w:rsidP="007F44BA">
      <w:pPr>
        <w:ind w:left="720"/>
        <w:rPr>
          <w:rFonts w:asciiTheme="minorBidi" w:hAnsiTheme="minorBidi"/>
        </w:rPr>
      </w:pPr>
    </w:p>
    <w:p w14:paraId="0DE09DA3" w14:textId="2193A920" w:rsidR="007F44BA" w:rsidRPr="007F44BA" w:rsidRDefault="007F44BA" w:rsidP="00236B9A">
      <w:pPr>
        <w:spacing w:line="360" w:lineRule="auto"/>
        <w:ind w:left="360"/>
        <w:rPr>
          <w:rFonts w:asciiTheme="minorBidi" w:hAnsiTheme="minorBidi"/>
        </w:rPr>
      </w:pPr>
      <w:proofErr w:type="spellStart"/>
      <w:r w:rsidRPr="007F44BA">
        <w:rPr>
          <w:rFonts w:asciiTheme="minorBidi" w:hAnsiTheme="minorBidi"/>
        </w:rPr>
        <w:t>Kotsifakos</w:t>
      </w:r>
      <w:proofErr w:type="spellEnd"/>
      <w:r w:rsidRPr="007F44BA">
        <w:rPr>
          <w:rFonts w:asciiTheme="minorBidi" w:hAnsiTheme="minorBidi"/>
        </w:rPr>
        <w:t xml:space="preserve">, D. &amp; </w:t>
      </w:r>
      <w:proofErr w:type="spellStart"/>
      <w:r w:rsidRPr="007F44BA">
        <w:rPr>
          <w:rFonts w:asciiTheme="minorBidi" w:hAnsiTheme="minorBidi"/>
        </w:rPr>
        <w:t>Psaromiligkos</w:t>
      </w:r>
      <w:proofErr w:type="spellEnd"/>
      <w:r w:rsidRPr="007F44BA">
        <w:rPr>
          <w:rFonts w:asciiTheme="minorBidi" w:hAnsiTheme="minorBidi"/>
        </w:rPr>
        <w:t xml:space="preserve">, Y., 2025. </w:t>
      </w:r>
      <w:r w:rsidRPr="007F44BA">
        <w:rPr>
          <w:rFonts w:asciiTheme="minorBidi" w:hAnsiTheme="minorBidi"/>
          <w:i/>
          <w:iCs/>
        </w:rPr>
        <w:t>Vygotsky’s Creativity Options and Ideas in 21st Century Technology Enhanced Learning Design</w:t>
      </w:r>
      <w:r w:rsidRPr="007F44BA">
        <w:rPr>
          <w:rFonts w:asciiTheme="minorBidi" w:hAnsiTheme="minorBidi"/>
        </w:rPr>
        <w:t xml:space="preserve">. Educ. Sci., 15(2), p.257. </w:t>
      </w:r>
      <w:r>
        <w:rPr>
          <w:rFonts w:asciiTheme="minorBidi" w:hAnsiTheme="minorBidi"/>
        </w:rPr>
        <w:t xml:space="preserve"> </w:t>
      </w:r>
      <w:hyperlink r:id="rId8" w:tgtFrame="_new" w:history="1">
        <w:r w:rsidRPr="007F44BA">
          <w:rPr>
            <w:rStyle w:val="Hyperlink"/>
            <w:rFonts w:asciiTheme="minorBidi" w:hAnsiTheme="minorBidi"/>
          </w:rPr>
          <w:t>https://doi.org/10.3390/educsci15020257</w:t>
        </w:r>
      </w:hyperlink>
    </w:p>
    <w:p w14:paraId="7D0C20B2" w14:textId="045EA411" w:rsidR="007F44BA" w:rsidRPr="007F44BA" w:rsidRDefault="007F44BA" w:rsidP="00236B9A">
      <w:pPr>
        <w:spacing w:line="360" w:lineRule="auto"/>
        <w:ind w:left="360"/>
        <w:rPr>
          <w:rFonts w:asciiTheme="minorBidi" w:hAnsiTheme="minorBidi"/>
        </w:rPr>
      </w:pPr>
      <w:r w:rsidRPr="007F44BA">
        <w:rPr>
          <w:rFonts w:asciiTheme="minorBidi" w:hAnsiTheme="minorBidi"/>
        </w:rPr>
        <w:t xml:space="preserve">Oosterhuis, E.J., 2023. </w:t>
      </w:r>
      <w:r w:rsidRPr="007F44BA">
        <w:rPr>
          <w:rFonts w:asciiTheme="minorBidi" w:hAnsiTheme="minorBidi"/>
          <w:i/>
          <w:iCs/>
        </w:rPr>
        <w:t>Toward an Understanding of Healthy Cognitive Aging: The Importance of Lifestyle in Cognitive Reserve and the Scaffolding Theory of Aging and Cognition</w:t>
      </w:r>
      <w:r w:rsidRPr="007F44BA">
        <w:rPr>
          <w:rFonts w:asciiTheme="minorBidi" w:hAnsiTheme="minorBidi"/>
        </w:rPr>
        <w:t>. Journals of Gerontology: Series B, 78(5), pp.777</w:t>
      </w:r>
      <w:r w:rsidRPr="007F44BA">
        <w:rPr>
          <w:rFonts w:asciiTheme="minorBidi" w:hAnsiTheme="minorBidi"/>
        </w:rPr>
        <w:noBreakHyphen/>
        <w:t xml:space="preserve">788. </w:t>
      </w:r>
      <w:r>
        <w:rPr>
          <w:rFonts w:asciiTheme="minorBidi" w:hAnsiTheme="minorBidi"/>
        </w:rPr>
        <w:t xml:space="preserve"> </w:t>
      </w:r>
      <w:hyperlink r:id="rId9" w:tgtFrame="_new" w:history="1">
        <w:r w:rsidRPr="007F44BA">
          <w:rPr>
            <w:rStyle w:val="Hyperlink"/>
            <w:rFonts w:asciiTheme="minorBidi" w:hAnsiTheme="minorBidi"/>
          </w:rPr>
          <w:t>https://doi.org/10.1093/geronb/gbac197</w:t>
        </w:r>
      </w:hyperlink>
    </w:p>
    <w:p w14:paraId="554F4C7E" w14:textId="59D19D58" w:rsidR="007F44BA" w:rsidRPr="007F44BA" w:rsidRDefault="007F44BA" w:rsidP="00236B9A">
      <w:pPr>
        <w:spacing w:line="360" w:lineRule="auto"/>
        <w:ind w:left="360"/>
        <w:rPr>
          <w:rFonts w:asciiTheme="minorBidi" w:hAnsiTheme="minorBidi"/>
        </w:rPr>
      </w:pPr>
      <w:r w:rsidRPr="007F44BA">
        <w:rPr>
          <w:rFonts w:asciiTheme="minorBidi" w:hAnsiTheme="minorBidi"/>
        </w:rPr>
        <w:t xml:space="preserve">Sprouts Schools, 2024. </w:t>
      </w:r>
      <w:r w:rsidRPr="007F44BA">
        <w:rPr>
          <w:rFonts w:asciiTheme="minorBidi" w:hAnsiTheme="minorBidi"/>
          <w:i/>
          <w:iCs/>
        </w:rPr>
        <w:t>Jean Piaget’s Theory of Cognitive Development</w:t>
      </w:r>
      <w:r w:rsidRPr="007F44BA">
        <w:rPr>
          <w:rFonts w:asciiTheme="minorBidi" w:hAnsiTheme="minorBidi"/>
        </w:rPr>
        <w:t xml:space="preserve">. </w:t>
      </w:r>
      <w:r>
        <w:rPr>
          <w:rFonts w:asciiTheme="minorBidi" w:hAnsiTheme="minorBidi"/>
        </w:rPr>
        <w:t xml:space="preserve"> </w:t>
      </w:r>
      <w:hyperlink r:id="rId10" w:tgtFrame="_new" w:history="1">
        <w:r w:rsidRPr="007F44BA">
          <w:rPr>
            <w:rStyle w:val="Hyperlink"/>
            <w:rFonts w:asciiTheme="minorBidi" w:hAnsiTheme="minorBidi"/>
          </w:rPr>
          <w:t>https://sproutsschools.com/piaget-cognitive-development-theory/</w:t>
        </w:r>
      </w:hyperlink>
    </w:p>
    <w:p w14:paraId="5E36531E" w14:textId="39F026D2" w:rsidR="007F44BA" w:rsidRPr="007F44BA" w:rsidRDefault="007F44BA" w:rsidP="00236B9A">
      <w:pPr>
        <w:spacing w:line="360" w:lineRule="auto"/>
        <w:ind w:left="360"/>
        <w:rPr>
          <w:rFonts w:asciiTheme="minorBidi" w:hAnsiTheme="minorBidi"/>
        </w:rPr>
      </w:pPr>
      <w:r w:rsidRPr="007F44BA">
        <w:rPr>
          <w:rFonts w:asciiTheme="minorBidi" w:hAnsiTheme="minorBidi"/>
        </w:rPr>
        <w:t xml:space="preserve">“Education and Cognitive Functioning Across the Life Span”, 2020. </w:t>
      </w:r>
      <w:r w:rsidRPr="007F44BA">
        <w:rPr>
          <w:rFonts w:asciiTheme="minorBidi" w:hAnsiTheme="minorBidi"/>
          <w:i/>
          <w:iCs/>
        </w:rPr>
        <w:t>Journal of Gerontology: Psychological Sciences</w:t>
      </w:r>
      <w:r w:rsidRPr="007F44BA">
        <w:rPr>
          <w:rFonts w:asciiTheme="minorBidi" w:hAnsiTheme="minorBidi"/>
        </w:rPr>
        <w:t xml:space="preserve">, [online]. </w:t>
      </w:r>
      <w:r>
        <w:rPr>
          <w:rFonts w:asciiTheme="minorBidi" w:hAnsiTheme="minorBidi"/>
        </w:rPr>
        <w:t xml:space="preserve"> </w:t>
      </w:r>
      <w:hyperlink r:id="rId11" w:tgtFrame="_new" w:history="1">
        <w:r w:rsidRPr="007F44BA">
          <w:rPr>
            <w:rStyle w:val="Hyperlink"/>
            <w:rFonts w:asciiTheme="minorBidi" w:hAnsiTheme="minorBidi"/>
          </w:rPr>
          <w:t>https://pubmed.ncbi.nlm.nih.gov/32772803/</w:t>
        </w:r>
      </w:hyperlink>
    </w:p>
    <w:p w14:paraId="651F7B77" w14:textId="318BE851" w:rsidR="007F44BA" w:rsidRPr="007F44BA" w:rsidRDefault="007F44BA" w:rsidP="00236B9A">
      <w:pPr>
        <w:spacing w:line="360" w:lineRule="auto"/>
        <w:ind w:left="360"/>
        <w:rPr>
          <w:rFonts w:asciiTheme="minorBidi" w:hAnsiTheme="minorBidi"/>
        </w:rPr>
      </w:pPr>
      <w:r w:rsidRPr="007F44BA">
        <w:rPr>
          <w:rFonts w:asciiTheme="minorBidi" w:hAnsiTheme="minorBidi"/>
        </w:rPr>
        <w:t>Tucker</w:t>
      </w:r>
      <w:r w:rsidRPr="007F44BA">
        <w:rPr>
          <w:rFonts w:asciiTheme="minorBidi" w:hAnsiTheme="minorBidi"/>
        </w:rPr>
        <w:noBreakHyphen/>
        <w:t xml:space="preserve">Drob, E.M., 2019. </w:t>
      </w:r>
      <w:r w:rsidRPr="007F44BA">
        <w:rPr>
          <w:rFonts w:asciiTheme="minorBidi" w:hAnsiTheme="minorBidi"/>
          <w:i/>
          <w:iCs/>
        </w:rPr>
        <w:t>Cognitive Aging and Dementia: A Life Span Perspective</w:t>
      </w:r>
      <w:r w:rsidRPr="007F44BA">
        <w:rPr>
          <w:rFonts w:asciiTheme="minorBidi" w:hAnsiTheme="minorBidi"/>
        </w:rPr>
        <w:t>. Annual Review of Developmental Psychology, 1, pp.177</w:t>
      </w:r>
      <w:r w:rsidRPr="007F44BA">
        <w:rPr>
          <w:rFonts w:asciiTheme="minorBidi" w:hAnsiTheme="minorBidi"/>
        </w:rPr>
        <w:noBreakHyphen/>
        <w:t xml:space="preserve">196. </w:t>
      </w:r>
      <w:r>
        <w:rPr>
          <w:rFonts w:asciiTheme="minorBidi" w:hAnsiTheme="minorBidi"/>
        </w:rPr>
        <w:t xml:space="preserve"> </w:t>
      </w:r>
      <w:hyperlink r:id="rId12" w:tgtFrame="_new" w:history="1">
        <w:r w:rsidRPr="007F44BA">
          <w:rPr>
            <w:rStyle w:val="Hyperlink"/>
            <w:rFonts w:asciiTheme="minorBidi" w:hAnsiTheme="minorBidi"/>
          </w:rPr>
          <w:t>https://pmc.ncbi.nlm.nih.gov/articles/PMC8153102/</w:t>
        </w:r>
      </w:hyperlink>
    </w:p>
    <w:p w14:paraId="03D06EB5" w14:textId="360DA561" w:rsidR="007F44BA" w:rsidRPr="007F44BA" w:rsidRDefault="007F44BA" w:rsidP="00236B9A">
      <w:pPr>
        <w:spacing w:line="360" w:lineRule="auto"/>
        <w:ind w:left="360"/>
        <w:rPr>
          <w:rFonts w:asciiTheme="minorBidi" w:hAnsiTheme="minorBidi"/>
        </w:rPr>
      </w:pPr>
      <w:r w:rsidRPr="007F44BA">
        <w:rPr>
          <w:rFonts w:asciiTheme="minorBidi" w:hAnsiTheme="minorBidi"/>
        </w:rPr>
        <w:t xml:space="preserve">Wolfe, K., Crompton, C.J., Hoffman, P. &amp; MacPherson, S.E., 2023. </w:t>
      </w:r>
      <w:r w:rsidRPr="007F44BA">
        <w:rPr>
          <w:rFonts w:asciiTheme="minorBidi" w:hAnsiTheme="minorBidi"/>
          <w:i/>
          <w:iCs/>
        </w:rPr>
        <w:t>Collaborative Learning of New Information in Older Age: A Systematic Review</w:t>
      </w:r>
      <w:r w:rsidRPr="007F44BA">
        <w:rPr>
          <w:rFonts w:asciiTheme="minorBidi" w:hAnsiTheme="minorBidi"/>
        </w:rPr>
        <w:t xml:space="preserve">. R Soc Open Sci., 10(10):211595. </w:t>
      </w:r>
      <w:r>
        <w:rPr>
          <w:rFonts w:asciiTheme="minorBidi" w:hAnsiTheme="minorBidi"/>
        </w:rPr>
        <w:t xml:space="preserve"> </w:t>
      </w:r>
      <w:hyperlink r:id="rId13" w:history="1">
        <w:r w:rsidR="00AC6F13" w:rsidRPr="007F44BA">
          <w:rPr>
            <w:rStyle w:val="Hyperlink"/>
            <w:rFonts w:asciiTheme="minorBidi" w:hAnsiTheme="minorBidi"/>
          </w:rPr>
          <w:t>https://doi.org/10.1098/rsos.211595</w:t>
        </w:r>
      </w:hyperlink>
    </w:p>
    <w:p w14:paraId="54D3D832" w14:textId="77777777" w:rsidR="007F44BA" w:rsidRPr="008B6D90" w:rsidRDefault="007F44BA" w:rsidP="00236B9A">
      <w:pPr>
        <w:rPr>
          <w:rFonts w:asciiTheme="minorBidi" w:hAnsiTheme="minorBidi"/>
        </w:rPr>
      </w:pPr>
    </w:p>
    <w:sectPr w:rsidR="007F44BA" w:rsidRPr="008B6D90" w:rsidSect="007E6BC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B4BD5"/>
    <w:multiLevelType w:val="multilevel"/>
    <w:tmpl w:val="FAC4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5A3229"/>
    <w:multiLevelType w:val="multilevel"/>
    <w:tmpl w:val="1BFE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67540"/>
    <w:multiLevelType w:val="multilevel"/>
    <w:tmpl w:val="BA7E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7B5805"/>
    <w:multiLevelType w:val="multilevel"/>
    <w:tmpl w:val="013A8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CC861CD"/>
    <w:multiLevelType w:val="multilevel"/>
    <w:tmpl w:val="75CA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EF2D2B"/>
    <w:multiLevelType w:val="multilevel"/>
    <w:tmpl w:val="FD82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26ABE"/>
    <w:multiLevelType w:val="multilevel"/>
    <w:tmpl w:val="7B0A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3A3D37"/>
    <w:multiLevelType w:val="multilevel"/>
    <w:tmpl w:val="59A69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4120BF"/>
    <w:multiLevelType w:val="multilevel"/>
    <w:tmpl w:val="DD40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3550672">
    <w:abstractNumId w:val="2"/>
  </w:num>
  <w:num w:numId="2" w16cid:durableId="741148799">
    <w:abstractNumId w:val="6"/>
  </w:num>
  <w:num w:numId="3" w16cid:durableId="791247691">
    <w:abstractNumId w:val="1"/>
  </w:num>
  <w:num w:numId="4" w16cid:durableId="176775691">
    <w:abstractNumId w:val="4"/>
  </w:num>
  <w:num w:numId="5" w16cid:durableId="2128112242">
    <w:abstractNumId w:val="0"/>
  </w:num>
  <w:num w:numId="6" w16cid:durableId="1940676760">
    <w:abstractNumId w:val="8"/>
  </w:num>
  <w:num w:numId="7" w16cid:durableId="1894928720">
    <w:abstractNumId w:val="5"/>
  </w:num>
  <w:num w:numId="8" w16cid:durableId="1827014995">
    <w:abstractNumId w:val="7"/>
  </w:num>
  <w:num w:numId="9" w16cid:durableId="338470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79A"/>
    <w:rsid w:val="000036CB"/>
    <w:rsid w:val="000D708D"/>
    <w:rsid w:val="001D1933"/>
    <w:rsid w:val="00200650"/>
    <w:rsid w:val="00236B9A"/>
    <w:rsid w:val="003D2CFD"/>
    <w:rsid w:val="00461A9A"/>
    <w:rsid w:val="00481710"/>
    <w:rsid w:val="004E579A"/>
    <w:rsid w:val="00675063"/>
    <w:rsid w:val="007433BB"/>
    <w:rsid w:val="007B592B"/>
    <w:rsid w:val="007E6BCA"/>
    <w:rsid w:val="007F44BA"/>
    <w:rsid w:val="008B6D90"/>
    <w:rsid w:val="008F6962"/>
    <w:rsid w:val="00982CFC"/>
    <w:rsid w:val="009D3926"/>
    <w:rsid w:val="00AC6F13"/>
    <w:rsid w:val="00E947A1"/>
    <w:rsid w:val="00FA49DE"/>
    <w:rsid w:val="00FF59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2D337"/>
  <w15:chartTrackingRefBased/>
  <w15:docId w15:val="{884024DE-F623-4A21-B4D7-3C4271869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BCA"/>
  </w:style>
  <w:style w:type="paragraph" w:styleId="Heading1">
    <w:name w:val="heading 1"/>
    <w:basedOn w:val="Normal"/>
    <w:next w:val="Normal"/>
    <w:link w:val="Heading1Char"/>
    <w:uiPriority w:val="9"/>
    <w:qFormat/>
    <w:rsid w:val="004E579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E579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E579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E579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E579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E5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5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5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5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9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49DE"/>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FA49DE"/>
    <w:rPr>
      <w:b/>
      <w:bCs/>
    </w:rPr>
  </w:style>
  <w:style w:type="paragraph" w:styleId="ListParagraph">
    <w:name w:val="List Paragraph"/>
    <w:basedOn w:val="Normal"/>
    <w:uiPriority w:val="34"/>
    <w:qFormat/>
    <w:rsid w:val="00FA49DE"/>
    <w:pPr>
      <w:ind w:left="720"/>
      <w:contextualSpacing/>
    </w:pPr>
  </w:style>
  <w:style w:type="character" w:customStyle="1" w:styleId="Heading1Char">
    <w:name w:val="Heading 1 Char"/>
    <w:basedOn w:val="DefaultParagraphFont"/>
    <w:link w:val="Heading1"/>
    <w:uiPriority w:val="9"/>
    <w:rsid w:val="004E579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E579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E579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E579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E579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E5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5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5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579A"/>
    <w:rPr>
      <w:rFonts w:eastAsiaTheme="majorEastAsia" w:cstheme="majorBidi"/>
      <w:color w:val="272727" w:themeColor="text1" w:themeTint="D8"/>
    </w:rPr>
  </w:style>
  <w:style w:type="paragraph" w:styleId="Subtitle">
    <w:name w:val="Subtitle"/>
    <w:basedOn w:val="Normal"/>
    <w:next w:val="Normal"/>
    <w:link w:val="SubtitleChar"/>
    <w:uiPriority w:val="11"/>
    <w:qFormat/>
    <w:rsid w:val="004E579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5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579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579A"/>
    <w:rPr>
      <w:i/>
      <w:iCs/>
      <w:color w:val="404040" w:themeColor="text1" w:themeTint="BF"/>
    </w:rPr>
  </w:style>
  <w:style w:type="character" w:styleId="IntenseEmphasis">
    <w:name w:val="Intense Emphasis"/>
    <w:basedOn w:val="DefaultParagraphFont"/>
    <w:uiPriority w:val="21"/>
    <w:qFormat/>
    <w:rsid w:val="004E579A"/>
    <w:rPr>
      <w:i/>
      <w:iCs/>
      <w:color w:val="365F91" w:themeColor="accent1" w:themeShade="BF"/>
    </w:rPr>
  </w:style>
  <w:style w:type="paragraph" w:styleId="IntenseQuote">
    <w:name w:val="Intense Quote"/>
    <w:basedOn w:val="Normal"/>
    <w:next w:val="Normal"/>
    <w:link w:val="IntenseQuoteChar"/>
    <w:uiPriority w:val="30"/>
    <w:qFormat/>
    <w:rsid w:val="004E579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E579A"/>
    <w:rPr>
      <w:i/>
      <w:iCs/>
      <w:color w:val="365F91" w:themeColor="accent1" w:themeShade="BF"/>
    </w:rPr>
  </w:style>
  <w:style w:type="character" w:styleId="IntenseReference">
    <w:name w:val="Intense Reference"/>
    <w:basedOn w:val="DefaultParagraphFont"/>
    <w:uiPriority w:val="32"/>
    <w:qFormat/>
    <w:rsid w:val="004E579A"/>
    <w:rPr>
      <w:b/>
      <w:bCs/>
      <w:smallCaps/>
      <w:color w:val="365F91" w:themeColor="accent1" w:themeShade="BF"/>
      <w:spacing w:val="5"/>
    </w:rPr>
  </w:style>
  <w:style w:type="character" w:styleId="Hyperlink">
    <w:name w:val="Hyperlink"/>
    <w:basedOn w:val="DefaultParagraphFont"/>
    <w:uiPriority w:val="99"/>
    <w:unhideWhenUsed/>
    <w:rsid w:val="007F44BA"/>
    <w:rPr>
      <w:color w:val="0000FF" w:themeColor="hyperlink"/>
      <w:u w:val="single"/>
    </w:rPr>
  </w:style>
  <w:style w:type="character" w:styleId="UnresolvedMention">
    <w:name w:val="Unresolved Mention"/>
    <w:basedOn w:val="DefaultParagraphFont"/>
    <w:uiPriority w:val="99"/>
    <w:semiHidden/>
    <w:unhideWhenUsed/>
    <w:rsid w:val="007F44BA"/>
    <w:rPr>
      <w:color w:val="605E5C"/>
      <w:shd w:val="clear" w:color="auto" w:fill="E1DFDD"/>
    </w:rPr>
  </w:style>
  <w:style w:type="paragraph" w:styleId="NoSpacing">
    <w:name w:val="No Spacing"/>
    <w:link w:val="NoSpacingChar"/>
    <w:uiPriority w:val="1"/>
    <w:qFormat/>
    <w:rsid w:val="007E6B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6BC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educsci15020257" TargetMode="External"/><Relationship Id="rId13" Type="http://schemas.openxmlformats.org/officeDocument/2006/relationships/hyperlink" Target="https://doi.org/10.1098/rsos.211595"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pmc.ncbi.nlm.nih.gov/articles/PMC8153102/?utm_source=chatgpt.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ubmed.ncbi.nlm.nih.gov/32772803/?utm_source=chatgpt.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proutsschools.com/piaget-cognitive-development-theory/?utm_source=chatgpt.com" TargetMode="External"/><Relationship Id="rId4" Type="http://schemas.openxmlformats.org/officeDocument/2006/relationships/settings" Target="settings.xml"/><Relationship Id="rId9" Type="http://schemas.openxmlformats.org/officeDocument/2006/relationships/hyperlink" Target="https://doi.org/10.1093/geronb/gbac197"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2675E6841148C9A4A581857E769958"/>
        <w:category>
          <w:name w:val="General"/>
          <w:gallery w:val="placeholder"/>
        </w:category>
        <w:types>
          <w:type w:val="bbPlcHdr"/>
        </w:types>
        <w:behaviors>
          <w:behavior w:val="content"/>
        </w:behaviors>
        <w:guid w:val="{6364FC75-89E6-41E7-A163-11120EACB4CD}"/>
      </w:docPartPr>
      <w:docPartBody>
        <w:p w:rsidR="001E744E" w:rsidRDefault="000A78E4" w:rsidP="000A78E4">
          <w:pPr>
            <w:pStyle w:val="4E2675E6841148C9A4A581857E76995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E4"/>
    <w:rsid w:val="000036CB"/>
    <w:rsid w:val="000A78E4"/>
    <w:rsid w:val="000D708D"/>
    <w:rsid w:val="001E744E"/>
    <w:rsid w:val="006240C0"/>
    <w:rsid w:val="00EC56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E2675E6841148C9A4A581857E769958">
    <w:name w:val="4E2675E6841148C9A4A581857E769958"/>
    <w:rsid w:val="000A78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93880-3594-4927-8FE3-D3420A6A8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Psychology in Health and Social Care</vt:lpstr>
    </vt:vector>
  </TitlesOfParts>
  <Company>HP</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dc:title>
  <dc:subject/>
  <dc:creator>mohamed elsharkawy</dc:creator>
  <cp:keywords/>
  <dc:description/>
  <cp:lastModifiedBy>mohamed elsharkawy</cp:lastModifiedBy>
  <cp:revision>6</cp:revision>
  <dcterms:created xsi:type="dcterms:W3CDTF">2025-10-24T00:11:00Z</dcterms:created>
  <dcterms:modified xsi:type="dcterms:W3CDTF">2025-11-11T21:27:00Z</dcterms:modified>
</cp:coreProperties>
</file>