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22576109" w:rsidR="00E41DE3" w:rsidRPr="00937455" w:rsidRDefault="00275138" w:rsidP="008B358B">
      <w:pPr>
        <w:spacing w:after="0"/>
        <w:rPr>
          <w:b/>
          <w:bCs/>
          <w:sz w:val="28"/>
          <w:szCs w:val="28"/>
        </w:rPr>
      </w:pPr>
      <w:bookmarkStart w:id="0" w:name="_Hlk16598750"/>
      <w:r>
        <w:rPr>
          <w:b/>
          <w:bCs/>
          <w:sz w:val="28"/>
          <w:szCs w:val="28"/>
        </w:rPr>
        <w:t>Intangible Fixed Assets – Goodwill and Amortisation</w:t>
      </w:r>
    </w:p>
    <w:bookmarkEnd w:id="0"/>
    <w:p w14:paraId="464C20AC" w14:textId="7C33CF43" w:rsidR="00DF2E71" w:rsidRPr="0092351E" w:rsidRDefault="00D56A22" w:rsidP="008B358B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Answers</w:t>
      </w:r>
    </w:p>
    <w:p w14:paraId="1A4D47B5" w14:textId="05503B7B" w:rsidR="006471A4" w:rsidRDefault="008F1745" w:rsidP="008B358B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True or false.</w:t>
      </w:r>
    </w:p>
    <w:p w14:paraId="72068A7D" w14:textId="77777777" w:rsidR="00854F94" w:rsidRPr="008B358B" w:rsidRDefault="00854F94" w:rsidP="008B358B">
      <w:pPr>
        <w:spacing w:after="0" w:line="240" w:lineRule="auto"/>
        <w:rPr>
          <w:b/>
          <w:bCs/>
          <w:sz w:val="16"/>
          <w:szCs w:val="16"/>
          <w:u w:val="single"/>
        </w:rPr>
      </w:pPr>
    </w:p>
    <w:tbl>
      <w:tblPr>
        <w:tblStyle w:val="TableGrid"/>
        <w:tblW w:w="10089" w:type="dxa"/>
        <w:tblInd w:w="-289" w:type="dxa"/>
        <w:tblLook w:val="04A0" w:firstRow="1" w:lastRow="0" w:firstColumn="1" w:lastColumn="0" w:noHBand="0" w:noVBand="1"/>
      </w:tblPr>
      <w:tblGrid>
        <w:gridCol w:w="5246"/>
        <w:gridCol w:w="4843"/>
      </w:tblGrid>
      <w:tr w:rsidR="00854F94" w14:paraId="3ADF11B8" w14:textId="77777777" w:rsidTr="008B358B">
        <w:trPr>
          <w:trHeight w:val="431"/>
        </w:trPr>
        <w:tc>
          <w:tcPr>
            <w:tcW w:w="5246" w:type="dxa"/>
          </w:tcPr>
          <w:p w14:paraId="294399C6" w14:textId="77777777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  <w:vAlign w:val="center"/>
          </w:tcPr>
          <w:p w14:paraId="216F0351" w14:textId="188B7060" w:rsidR="00854F94" w:rsidRPr="00854F94" w:rsidRDefault="00854F94" w:rsidP="00854F94">
            <w:pPr>
              <w:jc w:val="center"/>
              <w:rPr>
                <w:b/>
                <w:bCs/>
                <w:sz w:val="24"/>
                <w:szCs w:val="24"/>
                <w:lang w:eastAsia="en-GB"/>
              </w:rPr>
            </w:pPr>
            <w:r w:rsidRPr="00854F94">
              <w:rPr>
                <w:b/>
                <w:bCs/>
                <w:sz w:val="24"/>
                <w:szCs w:val="24"/>
                <w:lang w:eastAsia="en-GB"/>
              </w:rPr>
              <w:t>True or false?</w:t>
            </w:r>
          </w:p>
        </w:tc>
      </w:tr>
      <w:tr w:rsidR="00854F94" w14:paraId="38471A09" w14:textId="77777777" w:rsidTr="008B358B">
        <w:tc>
          <w:tcPr>
            <w:tcW w:w="5246" w:type="dxa"/>
          </w:tcPr>
          <w:p w14:paraId="4F65D144" w14:textId="65A0F5FB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a) </w:t>
            </w:r>
            <w:r w:rsidR="00634366">
              <w:rPr>
                <w:lang w:eastAsia="en-GB"/>
              </w:rPr>
              <w:t>Under FRS 102, the cost of a separately acquired intangible asset comprises its purchase price any costs which are directly attributable to preparing the asset for its intended use.</w:t>
            </w:r>
          </w:p>
          <w:p w14:paraId="1AB78AC6" w14:textId="261359B9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0E5399FC" w14:textId="2DAB1501" w:rsidR="00854F94" w:rsidRPr="005861D7" w:rsidRDefault="005861D7" w:rsidP="006471A4">
            <w:pPr>
              <w:rPr>
                <w:b/>
                <w:bCs/>
                <w:lang w:eastAsia="en-GB"/>
              </w:rPr>
            </w:pPr>
            <w:r w:rsidRPr="005861D7">
              <w:rPr>
                <w:b/>
                <w:bCs/>
                <w:lang w:eastAsia="en-GB"/>
              </w:rPr>
              <w:t>True.</w:t>
            </w:r>
          </w:p>
        </w:tc>
      </w:tr>
      <w:tr w:rsidR="00854F94" w14:paraId="0AA5BDA3" w14:textId="77777777" w:rsidTr="008B358B">
        <w:tc>
          <w:tcPr>
            <w:tcW w:w="5246" w:type="dxa"/>
          </w:tcPr>
          <w:p w14:paraId="2FA8CD53" w14:textId="58798F5E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b) </w:t>
            </w:r>
            <w:r w:rsidR="00634366">
              <w:rPr>
                <w:lang w:eastAsia="en-GB"/>
              </w:rPr>
              <w:t xml:space="preserve">Under FRS 102, the cost of researching </w:t>
            </w:r>
            <w:r w:rsidR="00871310">
              <w:rPr>
                <w:lang w:eastAsia="en-GB"/>
              </w:rPr>
              <w:t>seeking</w:t>
            </w:r>
            <w:r w:rsidR="00634366">
              <w:rPr>
                <w:lang w:eastAsia="en-GB"/>
              </w:rPr>
              <w:t xml:space="preserve"> intangible asset acquisitions should be included in the cost of that intangible asset when it is actually acquired.</w:t>
            </w:r>
          </w:p>
          <w:p w14:paraId="1ABE9BAC" w14:textId="12966B8D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1DE2D9C8" w14:textId="091E6EAA" w:rsidR="00854F94" w:rsidRDefault="005861D7" w:rsidP="006471A4">
            <w:pPr>
              <w:rPr>
                <w:lang w:eastAsia="en-GB"/>
              </w:rPr>
            </w:pPr>
            <w:r w:rsidRPr="005861D7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>.</w:t>
            </w:r>
            <w:r w:rsidR="00E5111A">
              <w:rPr>
                <w:lang w:eastAsia="en-GB"/>
              </w:rPr>
              <w:t xml:space="preserve">  FRS 102 only allows those costs which are </w:t>
            </w:r>
            <w:r w:rsidR="00E5111A" w:rsidRPr="008B5B1B">
              <w:rPr>
                <w:b/>
                <w:bCs/>
                <w:lang w:eastAsia="en-GB"/>
              </w:rPr>
              <w:t>directly attributable</w:t>
            </w:r>
            <w:r w:rsidR="00E5111A">
              <w:rPr>
                <w:lang w:eastAsia="en-GB"/>
              </w:rPr>
              <w:t xml:space="preserve"> to preparing the intangible asset for its intended use to be capitalised. Seeking costs do not meet the definition of directly attributable costs, so should be expensed in the P&amp;L account as incurred.</w:t>
            </w:r>
          </w:p>
          <w:p w14:paraId="1D66C524" w14:textId="1D1A8812" w:rsidR="00E5111A" w:rsidRDefault="00E5111A" w:rsidP="006471A4">
            <w:pPr>
              <w:rPr>
                <w:lang w:eastAsia="en-GB"/>
              </w:rPr>
            </w:pPr>
          </w:p>
        </w:tc>
      </w:tr>
      <w:tr w:rsidR="00854F94" w14:paraId="53CE71B7" w14:textId="77777777" w:rsidTr="008B358B">
        <w:tc>
          <w:tcPr>
            <w:tcW w:w="5246" w:type="dxa"/>
          </w:tcPr>
          <w:p w14:paraId="125A5B15" w14:textId="41E232A4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c) </w:t>
            </w:r>
            <w:r w:rsidR="00496C36">
              <w:rPr>
                <w:lang w:eastAsia="en-GB"/>
              </w:rPr>
              <w:t>Under FRS 102, expenditure on the research phase of an internal project should be recognised as an intangible asset.</w:t>
            </w:r>
          </w:p>
          <w:p w14:paraId="1368DB9A" w14:textId="79D9BF77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23FB0012" w14:textId="77777777" w:rsidR="00854F94" w:rsidRDefault="005861D7" w:rsidP="006471A4">
            <w:pPr>
              <w:rPr>
                <w:lang w:eastAsia="en-GB"/>
              </w:rPr>
            </w:pPr>
            <w:r>
              <w:rPr>
                <w:b/>
                <w:bCs/>
                <w:lang w:eastAsia="en-GB"/>
              </w:rPr>
              <w:t xml:space="preserve">False. </w:t>
            </w:r>
            <w:r w:rsidR="008B5B1B">
              <w:rPr>
                <w:lang w:eastAsia="en-GB"/>
              </w:rPr>
              <w:t>FRS 102 requires expenditure on the research phase of an internal project to be recognised as an expense in the P&amp;L account as incurred.</w:t>
            </w:r>
          </w:p>
          <w:p w14:paraId="38BD5E11" w14:textId="07FD8599" w:rsidR="008B5B1B" w:rsidRPr="006F4D8A" w:rsidRDefault="008B5B1B" w:rsidP="006471A4">
            <w:pPr>
              <w:rPr>
                <w:b/>
                <w:bCs/>
                <w:lang w:eastAsia="en-GB"/>
              </w:rPr>
            </w:pPr>
          </w:p>
        </w:tc>
      </w:tr>
      <w:tr w:rsidR="00854F94" w14:paraId="68432081" w14:textId="77777777" w:rsidTr="008B358B">
        <w:tc>
          <w:tcPr>
            <w:tcW w:w="5246" w:type="dxa"/>
          </w:tcPr>
          <w:p w14:paraId="49D6566E" w14:textId="6EDABEB5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d) </w:t>
            </w:r>
            <w:r w:rsidR="0077083B">
              <w:rPr>
                <w:lang w:eastAsia="en-GB"/>
              </w:rPr>
              <w:t>Under FRS 102, internally generated goodwill cannot be recognised as an intangible asset.</w:t>
            </w:r>
          </w:p>
          <w:p w14:paraId="31ED5485" w14:textId="272176C6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78D04063" w14:textId="2B8DA295" w:rsidR="00854F94" w:rsidRDefault="005861D7" w:rsidP="006471A4">
            <w:pPr>
              <w:rPr>
                <w:lang w:eastAsia="en-GB"/>
              </w:rPr>
            </w:pPr>
            <w:r w:rsidRPr="005861D7">
              <w:rPr>
                <w:b/>
                <w:bCs/>
                <w:lang w:eastAsia="en-GB"/>
              </w:rPr>
              <w:t>True</w:t>
            </w:r>
            <w:r>
              <w:rPr>
                <w:lang w:eastAsia="en-GB"/>
              </w:rPr>
              <w:t>.</w:t>
            </w:r>
          </w:p>
        </w:tc>
      </w:tr>
      <w:tr w:rsidR="00854F94" w14:paraId="47A8E850" w14:textId="77777777" w:rsidTr="008B358B">
        <w:tc>
          <w:tcPr>
            <w:tcW w:w="5246" w:type="dxa"/>
          </w:tcPr>
          <w:p w14:paraId="32D6B303" w14:textId="7CF153D6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e) </w:t>
            </w:r>
            <w:r w:rsidR="0077083B">
              <w:rPr>
                <w:lang w:eastAsia="en-GB"/>
              </w:rPr>
              <w:t>Under FRS 102, capitalisation of development expenditure is mandatory.</w:t>
            </w:r>
          </w:p>
          <w:p w14:paraId="7242EF85" w14:textId="3EBEA542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338A45EF" w14:textId="77777777" w:rsidR="00854F94" w:rsidRDefault="005861D7" w:rsidP="006471A4">
            <w:pPr>
              <w:rPr>
                <w:lang w:eastAsia="en-GB"/>
              </w:rPr>
            </w:pPr>
            <w:r w:rsidRPr="005861D7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 xml:space="preserve">. </w:t>
            </w:r>
            <w:r w:rsidR="00CC7D11" w:rsidRPr="00CC7D11">
              <w:rPr>
                <w:lang w:eastAsia="en-GB"/>
              </w:rPr>
              <w:t>Under</w:t>
            </w:r>
            <w:r w:rsidR="00CC7D11">
              <w:rPr>
                <w:b/>
                <w:bCs/>
                <w:lang w:eastAsia="en-GB"/>
              </w:rPr>
              <w:t xml:space="preserve"> </w:t>
            </w:r>
            <w:r w:rsidR="00CC7D11">
              <w:rPr>
                <w:lang w:eastAsia="en-GB"/>
              </w:rPr>
              <w:t xml:space="preserve">FRS 102, capitalisation of development expenditure is </w:t>
            </w:r>
            <w:r w:rsidR="00CC7D11" w:rsidRPr="008B5B1B">
              <w:rPr>
                <w:b/>
                <w:bCs/>
                <w:lang w:eastAsia="en-GB"/>
              </w:rPr>
              <w:t>optional</w:t>
            </w:r>
            <w:r w:rsidR="00CC7D11">
              <w:rPr>
                <w:lang w:eastAsia="en-GB"/>
              </w:rPr>
              <w:t>, where the criteria for capitalisation are met.</w:t>
            </w:r>
          </w:p>
          <w:p w14:paraId="0CEBA86C" w14:textId="419CB2F5" w:rsidR="00CC7D11" w:rsidRDefault="00CC7D11" w:rsidP="006471A4">
            <w:pPr>
              <w:rPr>
                <w:lang w:eastAsia="en-GB"/>
              </w:rPr>
            </w:pPr>
          </w:p>
        </w:tc>
      </w:tr>
      <w:tr w:rsidR="00854F94" w14:paraId="464FFAAB" w14:textId="77777777" w:rsidTr="008B358B">
        <w:tc>
          <w:tcPr>
            <w:tcW w:w="5246" w:type="dxa"/>
          </w:tcPr>
          <w:p w14:paraId="61CA45D9" w14:textId="66BDBF4F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f) </w:t>
            </w:r>
            <w:r w:rsidR="0077083B">
              <w:rPr>
                <w:lang w:eastAsia="en-GB"/>
              </w:rPr>
              <w:t>Under FRS 102, most business combinations will be accounted for by applying the purchase method.</w:t>
            </w:r>
          </w:p>
          <w:p w14:paraId="35E51DEE" w14:textId="719E525A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31B9F746" w14:textId="0CD739C8" w:rsidR="009F510F" w:rsidRDefault="009F510F" w:rsidP="006471A4">
            <w:pPr>
              <w:rPr>
                <w:lang w:eastAsia="en-GB"/>
              </w:rPr>
            </w:pPr>
            <w:r w:rsidRPr="009F510F">
              <w:rPr>
                <w:b/>
                <w:bCs/>
                <w:lang w:eastAsia="en-GB"/>
              </w:rPr>
              <w:t>True</w:t>
            </w:r>
            <w:r>
              <w:rPr>
                <w:lang w:eastAsia="en-GB"/>
              </w:rPr>
              <w:t>.</w:t>
            </w:r>
          </w:p>
        </w:tc>
      </w:tr>
      <w:tr w:rsidR="00634366" w14:paraId="071FBA27" w14:textId="77777777" w:rsidTr="008B358B">
        <w:tc>
          <w:tcPr>
            <w:tcW w:w="5246" w:type="dxa"/>
          </w:tcPr>
          <w:p w14:paraId="161138BD" w14:textId="4E0B6EC5" w:rsidR="00634366" w:rsidRDefault="00634366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g) </w:t>
            </w:r>
            <w:r w:rsidR="0077083B">
              <w:rPr>
                <w:lang w:eastAsia="en-GB"/>
              </w:rPr>
              <w:t>Under the purchase method, at the year-end date, the acquirer shall measure the cost of the business combination and the fair value of the identifiable assets and liabilities acquired.</w:t>
            </w:r>
          </w:p>
          <w:p w14:paraId="7CB74DF4" w14:textId="0F24E927" w:rsidR="00634366" w:rsidRDefault="00634366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47AA07A8" w14:textId="77777777" w:rsidR="00634366" w:rsidRDefault="009F510F" w:rsidP="006471A4">
            <w:pPr>
              <w:rPr>
                <w:lang w:eastAsia="en-GB"/>
              </w:rPr>
            </w:pPr>
            <w:r>
              <w:rPr>
                <w:b/>
                <w:bCs/>
                <w:lang w:eastAsia="en-GB"/>
              </w:rPr>
              <w:t xml:space="preserve">False. </w:t>
            </w:r>
            <w:r w:rsidR="008B5B1B" w:rsidRPr="008B5B1B">
              <w:rPr>
                <w:lang w:eastAsia="en-GB"/>
              </w:rPr>
              <w:t xml:space="preserve">Under the purchase method, at the </w:t>
            </w:r>
            <w:r w:rsidR="008B5B1B" w:rsidRPr="008B5B1B">
              <w:rPr>
                <w:b/>
                <w:bCs/>
                <w:lang w:eastAsia="en-GB"/>
              </w:rPr>
              <w:t>acquisition date</w:t>
            </w:r>
            <w:r w:rsidR="008B5B1B" w:rsidRPr="008B5B1B">
              <w:rPr>
                <w:lang w:eastAsia="en-GB"/>
              </w:rPr>
              <w:t xml:space="preserve"> the acquirer shall measure the cost of the business combination and the fair value of the </w:t>
            </w:r>
            <w:r w:rsidR="008B5B1B">
              <w:rPr>
                <w:lang w:eastAsia="en-GB"/>
              </w:rPr>
              <w:t>i</w:t>
            </w:r>
            <w:r w:rsidR="008B5B1B" w:rsidRPr="008B5B1B">
              <w:rPr>
                <w:lang w:eastAsia="en-GB"/>
              </w:rPr>
              <w:t>dentif</w:t>
            </w:r>
            <w:r w:rsidR="008B5B1B">
              <w:rPr>
                <w:lang w:eastAsia="en-GB"/>
              </w:rPr>
              <w:t>i</w:t>
            </w:r>
            <w:r w:rsidR="008B5B1B" w:rsidRPr="008B5B1B">
              <w:rPr>
                <w:lang w:eastAsia="en-GB"/>
              </w:rPr>
              <w:t>able assets and liabilities acquired.</w:t>
            </w:r>
          </w:p>
          <w:p w14:paraId="1F36747E" w14:textId="4E30F814" w:rsidR="008B5B1B" w:rsidRPr="006F4D8A" w:rsidRDefault="008B5B1B" w:rsidP="006471A4">
            <w:pPr>
              <w:rPr>
                <w:b/>
                <w:bCs/>
                <w:lang w:eastAsia="en-GB"/>
              </w:rPr>
            </w:pPr>
          </w:p>
        </w:tc>
        <w:bookmarkStart w:id="1" w:name="_GoBack"/>
        <w:bookmarkEnd w:id="1"/>
      </w:tr>
      <w:tr w:rsidR="00634366" w14:paraId="50109822" w14:textId="77777777" w:rsidTr="008B358B">
        <w:tc>
          <w:tcPr>
            <w:tcW w:w="5246" w:type="dxa"/>
          </w:tcPr>
          <w:p w14:paraId="640D3B9D" w14:textId="3AF0D475" w:rsidR="00634366" w:rsidRDefault="00634366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h) </w:t>
            </w:r>
            <w:r w:rsidR="00040BBE">
              <w:rPr>
                <w:lang w:eastAsia="en-GB"/>
              </w:rPr>
              <w:t>If the cost of the business combination is £1m and the fair value of the identifiable assets and liabilities is £1.2m, then positive goodwill of £0.2m will be recognised as an asset on the balance sheet.</w:t>
            </w:r>
          </w:p>
          <w:p w14:paraId="19D99C49" w14:textId="2DBA6DA6" w:rsidR="00634366" w:rsidRDefault="00634366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3A137E6B" w14:textId="77777777" w:rsidR="00634366" w:rsidRDefault="009F510F" w:rsidP="006471A4">
            <w:pPr>
              <w:rPr>
                <w:lang w:eastAsia="en-GB"/>
              </w:rPr>
            </w:pPr>
            <w:r>
              <w:rPr>
                <w:b/>
                <w:bCs/>
                <w:lang w:eastAsia="en-GB"/>
              </w:rPr>
              <w:t xml:space="preserve">False. </w:t>
            </w:r>
            <w:r w:rsidR="00252939" w:rsidRPr="00252939">
              <w:rPr>
                <w:lang w:eastAsia="en-GB"/>
              </w:rPr>
              <w:t>Purchased goodwill is the difference between the cost of the business combination of £</w:t>
            </w:r>
            <w:r w:rsidR="00252939">
              <w:rPr>
                <w:lang w:eastAsia="en-GB"/>
              </w:rPr>
              <w:t xml:space="preserve">1m and the fair value of the identifiable assets and liabilities of £1.2m.  So </w:t>
            </w:r>
            <w:r w:rsidR="00252939" w:rsidRPr="00252939">
              <w:rPr>
                <w:b/>
                <w:bCs/>
                <w:lang w:eastAsia="en-GB"/>
              </w:rPr>
              <w:t>negative</w:t>
            </w:r>
            <w:r w:rsidR="00252939">
              <w:rPr>
                <w:lang w:eastAsia="en-GB"/>
              </w:rPr>
              <w:t xml:space="preserve"> </w:t>
            </w:r>
            <w:r w:rsidR="00252939" w:rsidRPr="00252939">
              <w:rPr>
                <w:b/>
                <w:bCs/>
                <w:lang w:eastAsia="en-GB"/>
              </w:rPr>
              <w:t>goodwill</w:t>
            </w:r>
            <w:r w:rsidR="00252939">
              <w:rPr>
                <w:lang w:eastAsia="en-GB"/>
              </w:rPr>
              <w:t xml:space="preserve"> of £0.2m will be recognised as a negative asset in the balance sheet.</w:t>
            </w:r>
          </w:p>
          <w:p w14:paraId="4C4D6460" w14:textId="192EF902" w:rsidR="00252939" w:rsidRPr="006F4D8A" w:rsidRDefault="00252939" w:rsidP="006471A4">
            <w:pPr>
              <w:rPr>
                <w:b/>
                <w:bCs/>
                <w:lang w:eastAsia="en-GB"/>
              </w:rPr>
            </w:pPr>
          </w:p>
        </w:tc>
      </w:tr>
      <w:tr w:rsidR="00634366" w14:paraId="79E6324F" w14:textId="77777777" w:rsidTr="008B358B">
        <w:tc>
          <w:tcPr>
            <w:tcW w:w="5246" w:type="dxa"/>
          </w:tcPr>
          <w:p w14:paraId="39EA4442" w14:textId="084BB097" w:rsidR="00634366" w:rsidRDefault="00326378" w:rsidP="00634366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i</w:t>
            </w:r>
            <w:proofErr w:type="spellEnd"/>
            <w:r w:rsidR="00634366">
              <w:rPr>
                <w:lang w:eastAsia="en-GB"/>
              </w:rPr>
              <w:t xml:space="preserve">) </w:t>
            </w:r>
            <w:r w:rsidR="00611FCD">
              <w:rPr>
                <w:lang w:eastAsia="en-GB"/>
              </w:rPr>
              <w:t>All intangible assets and positive goodwill must be amortised.</w:t>
            </w:r>
          </w:p>
          <w:p w14:paraId="78E70B3F" w14:textId="6AB4ECB8" w:rsidR="00634366" w:rsidRDefault="00634366" w:rsidP="006471A4">
            <w:pPr>
              <w:rPr>
                <w:lang w:eastAsia="en-GB"/>
              </w:rPr>
            </w:pPr>
          </w:p>
        </w:tc>
        <w:tc>
          <w:tcPr>
            <w:tcW w:w="4843" w:type="dxa"/>
          </w:tcPr>
          <w:p w14:paraId="18DF3089" w14:textId="77777777" w:rsidR="00634366" w:rsidRDefault="009F510F" w:rsidP="006471A4">
            <w:pPr>
              <w:rPr>
                <w:lang w:eastAsia="en-GB"/>
              </w:rPr>
            </w:pPr>
            <w:r>
              <w:rPr>
                <w:b/>
                <w:bCs/>
                <w:lang w:eastAsia="en-GB"/>
              </w:rPr>
              <w:t xml:space="preserve">True. </w:t>
            </w:r>
            <w:r w:rsidR="00302DD8">
              <w:rPr>
                <w:b/>
                <w:bCs/>
                <w:lang w:eastAsia="en-GB"/>
              </w:rPr>
              <w:t xml:space="preserve">Under </w:t>
            </w:r>
            <w:r w:rsidR="00302DD8">
              <w:rPr>
                <w:lang w:eastAsia="en-GB"/>
              </w:rPr>
              <w:t xml:space="preserve">FRS 102 all intangible assets and positive purchased goodwill are considered to have a </w:t>
            </w:r>
            <w:r w:rsidR="00302DD8" w:rsidRPr="00302DD8">
              <w:rPr>
                <w:b/>
                <w:bCs/>
                <w:lang w:eastAsia="en-GB"/>
              </w:rPr>
              <w:t>finite useful life</w:t>
            </w:r>
            <w:r w:rsidR="00302DD8">
              <w:rPr>
                <w:lang w:eastAsia="en-GB"/>
              </w:rPr>
              <w:t xml:space="preserve"> so should be amortised over their useful lives.</w:t>
            </w:r>
          </w:p>
          <w:p w14:paraId="52A75EA1" w14:textId="4E471AE2" w:rsidR="008B358B" w:rsidRPr="006F4D8A" w:rsidRDefault="008B358B" w:rsidP="006471A4">
            <w:pPr>
              <w:rPr>
                <w:b/>
                <w:bCs/>
                <w:lang w:eastAsia="en-GB"/>
              </w:rPr>
            </w:pPr>
          </w:p>
        </w:tc>
      </w:tr>
    </w:tbl>
    <w:p w14:paraId="3F8E9F54" w14:textId="77777777" w:rsidR="00F3241D" w:rsidRPr="008B358B" w:rsidRDefault="00F3241D" w:rsidP="008B358B">
      <w:pPr>
        <w:spacing w:after="0"/>
        <w:rPr>
          <w:sz w:val="8"/>
          <w:szCs w:val="8"/>
        </w:rPr>
      </w:pPr>
    </w:p>
    <w:sectPr w:rsidR="00F3241D" w:rsidRPr="008B358B" w:rsidSect="00171D75">
      <w:headerReference w:type="default" r:id="rId8"/>
      <w:footerReference w:type="default" r:id="rId9"/>
      <w:pgSz w:w="11906" w:h="16838"/>
      <w:pgMar w:top="1440" w:right="1440" w:bottom="156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C8235" w14:textId="77777777" w:rsidR="006171D3" w:rsidRDefault="006171D3" w:rsidP="00E41DE3">
      <w:pPr>
        <w:spacing w:after="0" w:line="240" w:lineRule="auto"/>
      </w:pPr>
      <w:r>
        <w:separator/>
      </w:r>
    </w:p>
  </w:endnote>
  <w:endnote w:type="continuationSeparator" w:id="0">
    <w:p w14:paraId="3E32D4AF" w14:textId="77777777" w:rsidR="006171D3" w:rsidRDefault="006171D3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33117" w14:textId="77777777" w:rsidR="006171D3" w:rsidRDefault="006171D3" w:rsidP="00E41DE3">
      <w:pPr>
        <w:spacing w:after="0" w:line="240" w:lineRule="auto"/>
      </w:pPr>
      <w:r>
        <w:separator/>
      </w:r>
    </w:p>
  </w:footnote>
  <w:footnote w:type="continuationSeparator" w:id="0">
    <w:p w14:paraId="7AB63B39" w14:textId="77777777" w:rsidR="006171D3" w:rsidRDefault="006171D3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7363"/>
    <w:multiLevelType w:val="hybridMultilevel"/>
    <w:tmpl w:val="6DFE12A2"/>
    <w:lvl w:ilvl="0" w:tplc="2C52BD1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1066D"/>
    <w:rsid w:val="00040BBE"/>
    <w:rsid w:val="00067B9E"/>
    <w:rsid w:val="000B36B8"/>
    <w:rsid w:val="000D248F"/>
    <w:rsid w:val="00171D75"/>
    <w:rsid w:val="001A731E"/>
    <w:rsid w:val="00242F98"/>
    <w:rsid w:val="00252939"/>
    <w:rsid w:val="00275138"/>
    <w:rsid w:val="002974D5"/>
    <w:rsid w:val="002D0E33"/>
    <w:rsid w:val="002E0F6E"/>
    <w:rsid w:val="00302DD8"/>
    <w:rsid w:val="00326378"/>
    <w:rsid w:val="00335D8D"/>
    <w:rsid w:val="00356E2F"/>
    <w:rsid w:val="004061AE"/>
    <w:rsid w:val="00496C36"/>
    <w:rsid w:val="005861D7"/>
    <w:rsid w:val="005F666F"/>
    <w:rsid w:val="00611FCD"/>
    <w:rsid w:val="006171D3"/>
    <w:rsid w:val="006224BB"/>
    <w:rsid w:val="00634366"/>
    <w:rsid w:val="006471A4"/>
    <w:rsid w:val="006F4D8A"/>
    <w:rsid w:val="0077083B"/>
    <w:rsid w:val="007D0002"/>
    <w:rsid w:val="007D57C3"/>
    <w:rsid w:val="00854F94"/>
    <w:rsid w:val="00871310"/>
    <w:rsid w:val="008B358B"/>
    <w:rsid w:val="008B523B"/>
    <w:rsid w:val="008B5B1B"/>
    <w:rsid w:val="008F1745"/>
    <w:rsid w:val="008F4A65"/>
    <w:rsid w:val="00920F9E"/>
    <w:rsid w:val="009231EE"/>
    <w:rsid w:val="0092351E"/>
    <w:rsid w:val="00937455"/>
    <w:rsid w:val="009E034E"/>
    <w:rsid w:val="009F4522"/>
    <w:rsid w:val="009F510F"/>
    <w:rsid w:val="00AA189F"/>
    <w:rsid w:val="00AE5A7B"/>
    <w:rsid w:val="00B41CF2"/>
    <w:rsid w:val="00B57190"/>
    <w:rsid w:val="00B71108"/>
    <w:rsid w:val="00C77A21"/>
    <w:rsid w:val="00CC7414"/>
    <w:rsid w:val="00CC7D11"/>
    <w:rsid w:val="00D56A22"/>
    <w:rsid w:val="00D71CD2"/>
    <w:rsid w:val="00DF2E71"/>
    <w:rsid w:val="00E353D6"/>
    <w:rsid w:val="00E41DE3"/>
    <w:rsid w:val="00E5111A"/>
    <w:rsid w:val="00E5401F"/>
    <w:rsid w:val="00E85F65"/>
    <w:rsid w:val="00F05539"/>
    <w:rsid w:val="00F304FE"/>
    <w:rsid w:val="00F3227F"/>
    <w:rsid w:val="00F3241D"/>
    <w:rsid w:val="00FC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23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rnChckNumber">
    <w:name w:val="Learn Chck Number"/>
    <w:basedOn w:val="Normal"/>
    <w:next w:val="Normal"/>
    <w:link w:val="LearnChckNumberChar"/>
    <w:rsid w:val="00F3241D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F3227F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F3227F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F3227F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F3227F"/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F3227F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4E772-1D6A-49E8-A352-C38CA341B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12</cp:revision>
  <dcterms:created xsi:type="dcterms:W3CDTF">2019-08-17T19:49:00Z</dcterms:created>
  <dcterms:modified xsi:type="dcterms:W3CDTF">2019-10-11T13:55:00Z</dcterms:modified>
</cp:coreProperties>
</file>