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0A36" w:rsidRDefault="00990A36" w:rsidP="00990A36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94003F9" wp14:editId="07E5474B">
            <wp:extent cx="1905635" cy="633730"/>
            <wp:effectExtent l="25400" t="25400" r="12065" b="13970"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0A36" w:rsidRDefault="00990A36" w:rsidP="00990A36">
      <w:pPr>
        <w:pStyle w:val="NormalWeb"/>
        <w:spacing w:before="0" w:beforeAutospacing="0" w:after="0" w:afterAutospacing="0"/>
        <w:ind w:left="-180" w:right="-334"/>
      </w:pPr>
    </w:p>
    <w:p w:rsidR="00990A36" w:rsidRDefault="00990A36" w:rsidP="00990A36">
      <w:pPr>
        <w:pStyle w:val="NormalWeb"/>
        <w:spacing w:before="0" w:beforeAutospacing="0" w:after="0" w:afterAutospacing="0"/>
        <w:ind w:left="-180" w:right="-334"/>
      </w:pPr>
    </w:p>
    <w:p w:rsidR="00990A36" w:rsidRDefault="00990A36" w:rsidP="00990A36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990A36" w:rsidRPr="00230F35" w:rsidRDefault="00990A36" w:rsidP="00990A36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990A36" w:rsidRPr="00230F35" w:rsidRDefault="00990A36" w:rsidP="00990A36">
      <w:pPr>
        <w:rPr>
          <w:rFonts w:ascii="Arial" w:hAnsi="Arial" w:cs="Arial"/>
          <w:sz w:val="28"/>
          <w:szCs w:val="28"/>
          <w:lang w:val="cy-GB"/>
        </w:rPr>
      </w:pPr>
    </w:p>
    <w:p w:rsidR="00990A36" w:rsidRDefault="00990A36" w:rsidP="00990A36">
      <w:pPr>
        <w:pStyle w:val="Ttulo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990A36" w:rsidRDefault="00990A36" w:rsidP="00990A36">
      <w:pPr>
        <w:pStyle w:val="Ttulo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0"/>
        <w:gridCol w:w="423"/>
        <w:gridCol w:w="1470"/>
        <w:gridCol w:w="281"/>
        <w:gridCol w:w="1784"/>
      </w:tblGrid>
      <w:tr w:rsidR="00990A36" w:rsidRPr="00230F35" w:rsidTr="00674A84">
        <w:trPr>
          <w:trHeight w:val="614"/>
        </w:trPr>
        <w:tc>
          <w:tcPr>
            <w:tcW w:w="8856" w:type="dxa"/>
            <w:gridSpan w:val="5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990A36" w:rsidRPr="00230F35" w:rsidTr="00674A84">
        <w:trPr>
          <w:trHeight w:val="718"/>
        </w:trPr>
        <w:tc>
          <w:tcPr>
            <w:tcW w:w="8856" w:type="dxa"/>
            <w:gridSpan w:val="5"/>
          </w:tcPr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Alejo </w:t>
            </w:r>
            <w:proofErr w:type="spellStart"/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Matías</w:t>
            </w:r>
            <w:proofErr w:type="spellEnd"/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López Silva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1710936@student.uwtsd.ac.uk</w:t>
            </w:r>
          </w:p>
        </w:tc>
      </w:tr>
      <w:tr w:rsidR="00990A36" w:rsidRPr="00230F35" w:rsidTr="00674A84">
        <w:trPr>
          <w:trHeight w:val="849"/>
        </w:trPr>
        <w:tc>
          <w:tcPr>
            <w:tcW w:w="4788" w:type="dxa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HPCA7002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Researching Contemporary Cosmologies</w:t>
            </w: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C96FB6" w:rsidRPr="00C96FB6" w:rsidRDefault="00C96FB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1710936</w:t>
            </w:r>
          </w:p>
        </w:tc>
        <w:tc>
          <w:tcPr>
            <w:tcW w:w="1802" w:type="dxa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C96FB6">
              <w:rPr>
                <w:rFonts w:ascii="Arial" w:hAnsi="Arial" w:cs="Arial"/>
                <w:strike/>
                <w:sz w:val="22"/>
                <w:szCs w:val="22"/>
              </w:rPr>
              <w:t>Ye</w:t>
            </w:r>
            <w:r w:rsidR="00C96FB6" w:rsidRPr="00C96FB6">
              <w:rPr>
                <w:rFonts w:ascii="Arial" w:hAnsi="Arial" w:cs="Arial"/>
                <w:strike/>
                <w:sz w:val="22"/>
                <w:szCs w:val="22"/>
              </w:rPr>
              <w:t>s/</w:t>
            </w:r>
            <w:r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990A36" w:rsidRPr="00230F35" w:rsidTr="00674A84">
        <w:trPr>
          <w:trHeight w:val="1139"/>
        </w:trPr>
        <w:tc>
          <w:tcPr>
            <w:tcW w:w="8856" w:type="dxa"/>
            <w:gridSpan w:val="5"/>
          </w:tcPr>
          <w:p w:rsidR="00C96FB6" w:rsidRPr="00065C0C" w:rsidRDefault="00990A36" w:rsidP="00C96FB6">
            <w:pPr>
              <w:pStyle w:val="Body"/>
              <w:rPr>
                <w:rFonts w:ascii="Times" w:eastAsia="Times Roman" w:hAnsi="Times" w:cs="Times Roman"/>
                <w:b/>
                <w:bCs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 w:rsidRPr="00065C0C">
              <w:rPr>
                <w:rFonts w:ascii="Times" w:hAnsi="Times"/>
                <w:b/>
                <w:bCs/>
              </w:rPr>
              <w:t>A Critical Comparison of Two Secondary Sources</w:t>
            </w:r>
          </w:p>
          <w:p w:rsidR="00990A36" w:rsidRPr="00C96FB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 w:rsidRPr="00C96FB6">
              <w:rPr>
                <w:rFonts w:ascii="Arial" w:hAnsi="Arial" w:cs="Arial"/>
                <w:b/>
                <w:bCs/>
                <w:sz w:val="22"/>
                <w:szCs w:val="22"/>
              </w:rPr>
              <w:t>1 June 2020</w:t>
            </w:r>
          </w:p>
        </w:tc>
      </w:tr>
      <w:tr w:rsidR="00990A36" w:rsidRPr="00230F35" w:rsidTr="00674A84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990A36" w:rsidRPr="00230F35" w:rsidRDefault="00990A36" w:rsidP="00674A8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96F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96F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entryMacro w:val="AutoExec"/>
                  <w:checkBox>
                    <w:sizeAuto/>
                    <w:default w:val="1"/>
                  </w:checkBox>
                </w:ffData>
              </w:fldChar>
            </w:r>
            <w:bookmarkStart w:id="2" w:name="Check15"/>
            <w:r w:rsidR="00C96FB6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96FB6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3175E">
              <w:rPr>
                <w:rFonts w:ascii="Arial" w:hAnsi="Arial" w:cs="Arial"/>
                <w:sz w:val="22"/>
                <w:szCs w:val="22"/>
              </w:rPr>
            </w:r>
            <w:r w:rsidR="00C3175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90A36" w:rsidRPr="00230F35" w:rsidTr="00674A84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="00C96FB6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990A36" w:rsidRPr="00230F35" w:rsidTr="00674A84">
        <w:trPr>
          <w:trHeight w:val="3972"/>
        </w:trPr>
        <w:tc>
          <w:tcPr>
            <w:tcW w:w="8856" w:type="dxa"/>
            <w:gridSpan w:val="5"/>
          </w:tcPr>
          <w:p w:rsidR="00990A36" w:rsidRDefault="00990A36" w:rsidP="00674A84">
            <w:pPr>
              <w:rPr>
                <w:rFonts w:ascii="Arial" w:hAnsi="Arial"/>
                <w:b/>
              </w:rPr>
            </w:pPr>
          </w:p>
          <w:p w:rsidR="00990A36" w:rsidRPr="00116CE6" w:rsidRDefault="00990A36" w:rsidP="00674A84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686"/>
              <w:gridCol w:w="1576"/>
            </w:tblGrid>
            <w:tr w:rsidR="00990A36" w:rsidRPr="00116CE6" w:rsidTr="00674A84">
              <w:tc>
                <w:tcPr>
                  <w:tcW w:w="697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90A36" w:rsidRPr="00116CE6" w:rsidTr="00674A84">
              <w:tc>
                <w:tcPr>
                  <w:tcW w:w="697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90A36" w:rsidRPr="00116CE6" w:rsidTr="00674A84">
              <w:tc>
                <w:tcPr>
                  <w:tcW w:w="697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90A36" w:rsidRPr="00116CE6" w:rsidTr="00674A84">
              <w:tc>
                <w:tcPr>
                  <w:tcW w:w="6970" w:type="dxa"/>
                </w:tcPr>
                <w:p w:rsidR="00990A3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990A36" w:rsidRPr="00022345" w:rsidRDefault="00990A36" w:rsidP="00674A84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990A36" w:rsidRPr="00116CE6" w:rsidRDefault="00990A36" w:rsidP="00674A8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990A36" w:rsidRDefault="00990A36" w:rsidP="00674A8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990A36" w:rsidRDefault="00990A36" w:rsidP="00674A8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990A36" w:rsidRPr="00001C3B" w:rsidRDefault="00990A36" w:rsidP="00674A8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A36" w:rsidRPr="00230F35" w:rsidTr="00674A84">
        <w:trPr>
          <w:trHeight w:val="492"/>
        </w:trPr>
        <w:tc>
          <w:tcPr>
            <w:tcW w:w="6768" w:type="dxa"/>
            <w:gridSpan w:val="3"/>
          </w:tcPr>
          <w:p w:rsidR="00990A36" w:rsidRPr="00230F35" w:rsidRDefault="00990A36" w:rsidP="00674A84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990A36" w:rsidRPr="00230F35" w:rsidRDefault="00990A36" w:rsidP="00674A84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990A36" w:rsidRPr="002F467C" w:rsidTr="00674A84">
        <w:tc>
          <w:tcPr>
            <w:tcW w:w="8856" w:type="dxa"/>
            <w:gridSpan w:val="5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90A36" w:rsidRPr="002F467C" w:rsidTr="00674A84">
        <w:trPr>
          <w:trHeight w:val="720"/>
        </w:trPr>
        <w:tc>
          <w:tcPr>
            <w:tcW w:w="5211" w:type="dxa"/>
            <w:gridSpan w:val="2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990A36" w:rsidRPr="002F467C" w:rsidTr="00674A84">
        <w:trPr>
          <w:trHeight w:val="720"/>
        </w:trPr>
        <w:tc>
          <w:tcPr>
            <w:tcW w:w="8856" w:type="dxa"/>
            <w:gridSpan w:val="5"/>
          </w:tcPr>
          <w:p w:rsidR="00990A36" w:rsidRPr="00B34964" w:rsidRDefault="00990A36" w:rsidP="00674A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90A36" w:rsidRPr="00230F35" w:rsidRDefault="00990A36" w:rsidP="00674A8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90A36" w:rsidRPr="002F467C" w:rsidTr="00674A84">
        <w:trPr>
          <w:trHeight w:val="720"/>
        </w:trPr>
        <w:tc>
          <w:tcPr>
            <w:tcW w:w="5211" w:type="dxa"/>
            <w:gridSpan w:val="2"/>
          </w:tcPr>
          <w:p w:rsidR="00990A36" w:rsidRPr="00230F35" w:rsidRDefault="00990A36" w:rsidP="00674A8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990A36" w:rsidRPr="00230F35" w:rsidRDefault="00990A36" w:rsidP="00674A8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00C96FB6" w:rsidRDefault="00C96FB6">
      <w:pPr>
        <w:rPr>
          <w:rFonts w:ascii="Times" w:hAnsi="Times" w:cs="Arial Unicode MS"/>
          <w:b/>
          <w:bCs/>
          <w:color w:val="000000"/>
          <w:u w:color="000000"/>
          <w:lang w:eastAsia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" w:hAnsi="Times" w:cs="Arial Unicode MS"/>
          <w:b/>
          <w:bCs/>
          <w:color w:val="000000"/>
          <w:u w:color="000000"/>
          <w:lang w:eastAsia="es-ES_tradnl"/>
          <w14:textOutline w14:w="0" w14:cap="flat" w14:cmpd="sng" w14:algn="ctr">
            <w14:noFill/>
            <w14:prstDash w14:val="solid"/>
            <w14:bevel/>
          </w14:textOutline>
        </w:rPr>
        <w:br w:type="page"/>
      </w:r>
    </w:p>
    <w:p w:rsidR="00990A36" w:rsidRDefault="00990A36">
      <w:pPr>
        <w:rPr>
          <w:rFonts w:ascii="Times" w:hAnsi="Times" w:cs="Arial Unicode MS"/>
          <w:b/>
          <w:bCs/>
          <w:color w:val="000000"/>
          <w:u w:color="000000"/>
          <w:lang w:eastAsia="es-ES_tradnl"/>
          <w14:textOutline w14:w="0" w14:cap="flat" w14:cmpd="sng" w14:algn="ctr">
            <w14:noFill/>
            <w14:prstDash w14:val="solid"/>
            <w14:bevel/>
          </w14:textOutline>
        </w:rPr>
      </w:pPr>
    </w:p>
    <w:p w:rsidR="00C90781" w:rsidRPr="00065C0C" w:rsidRDefault="00D44A71">
      <w:pPr>
        <w:pStyle w:val="Body"/>
        <w:jc w:val="center"/>
        <w:rPr>
          <w:rFonts w:ascii="Times" w:eastAsia="Times Roman" w:hAnsi="Times" w:cs="Times Roman"/>
          <w:b/>
          <w:bCs/>
        </w:rPr>
      </w:pPr>
      <w:r w:rsidRPr="00065C0C">
        <w:rPr>
          <w:rFonts w:ascii="Times" w:hAnsi="Times"/>
          <w:b/>
          <w:bCs/>
        </w:rPr>
        <w:t>A Critical Comparison of Two Secondary Sources</w:t>
      </w:r>
    </w:p>
    <w:p w:rsidR="00C90781" w:rsidRPr="00065C0C" w:rsidRDefault="00D44A71">
      <w:pPr>
        <w:pStyle w:val="Body"/>
        <w:jc w:val="center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 xml:space="preserve">Word count: </w:t>
      </w:r>
      <w:r w:rsidR="002A48A7" w:rsidRPr="00065C0C">
        <w:rPr>
          <w:rFonts w:ascii="Times" w:hAnsi="Times"/>
        </w:rPr>
        <w:t>104</w:t>
      </w:r>
      <w:r w:rsidR="00095505">
        <w:rPr>
          <w:rFonts w:ascii="Times" w:hAnsi="Times"/>
        </w:rPr>
        <w:t>1</w:t>
      </w:r>
    </w:p>
    <w:p w:rsidR="00C90781" w:rsidRPr="00065C0C" w:rsidRDefault="00C90781">
      <w:pPr>
        <w:pStyle w:val="Body"/>
        <w:jc w:val="center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  <w:shd w:val="clear" w:color="auto" w:fill="FBFBFB"/>
        </w:rPr>
      </w:pPr>
      <w:r w:rsidRPr="00065C0C">
        <w:rPr>
          <w:rFonts w:ascii="Times" w:hAnsi="Times"/>
        </w:rPr>
        <w:t xml:space="preserve">This essay compares and contrasts T. L. Brink’s article on the ‘Inconsistency of Belief among Roman Catholic Girls: Concerning Religion, Astrology, Reincarnation’ published in </w:t>
      </w:r>
      <w:r w:rsidRPr="00065C0C">
        <w:rPr>
          <w:rFonts w:ascii="Times" w:hAnsi="Times"/>
          <w:i/>
          <w:iCs/>
        </w:rPr>
        <w:t>Review of Religious Research</w:t>
      </w:r>
      <w:r w:rsidRPr="00065C0C">
        <w:rPr>
          <w:rFonts w:ascii="Times" w:hAnsi="Times"/>
        </w:rPr>
        <w:t xml:space="preserve"> in 1978 with Tony Walter and Helen Waterhouse’s paper titled ‘A Very Private Belief: Reincarnation in Contemporary England’ published in </w:t>
      </w:r>
      <w:r w:rsidRPr="00065C0C">
        <w:rPr>
          <w:rFonts w:ascii="Times" w:hAnsi="Times"/>
          <w:i/>
          <w:iCs/>
        </w:rPr>
        <w:t>Sociology of Religion</w:t>
      </w:r>
      <w:r w:rsidRPr="00065C0C">
        <w:rPr>
          <w:rFonts w:ascii="Times" w:hAnsi="Times"/>
        </w:rPr>
        <w:t xml:space="preserve"> in 1999.</w:t>
      </w:r>
      <w:r w:rsidRPr="00065C0C">
        <w:rPr>
          <w:rFonts w:ascii="Times" w:eastAsia="Times Roman" w:hAnsi="Times" w:cs="Times Roman"/>
          <w:vertAlign w:val="superscript"/>
        </w:rPr>
        <w:footnoteReference w:id="2"/>
      </w:r>
      <w:r w:rsidRPr="00065C0C">
        <w:rPr>
          <w:rFonts w:ascii="Times" w:hAnsi="Times"/>
        </w:rPr>
        <w:t xml:space="preserve"> T. L. Brink is a social scientist and currently a Professor of Psychology at Crafton Hills College.</w:t>
      </w:r>
      <w:r w:rsidRPr="00065C0C">
        <w:rPr>
          <w:rFonts w:ascii="Times" w:eastAsia="Times Roman" w:hAnsi="Times" w:cs="Times Roman"/>
          <w:vertAlign w:val="superscript"/>
        </w:rPr>
        <w:footnoteReference w:id="3"/>
      </w:r>
      <w:r w:rsidRPr="00065C0C">
        <w:rPr>
          <w:rFonts w:ascii="Times" w:hAnsi="Times"/>
        </w:rPr>
        <w:t xml:space="preserve"> </w:t>
      </w:r>
      <w:r w:rsidRPr="00065C0C">
        <w:rPr>
          <w:rFonts w:ascii="Times" w:hAnsi="Times"/>
          <w:shd w:val="clear" w:color="auto" w:fill="FBFBFB"/>
        </w:rPr>
        <w:t>In 1978, he was starting his career in academia which would later focus on mental disorders in later life, qualitative research and religious phenomena.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4"/>
      </w:r>
      <w:r w:rsidRPr="00065C0C">
        <w:rPr>
          <w:rFonts w:ascii="Times" w:hAnsi="Times"/>
          <w:shd w:val="clear" w:color="auto" w:fill="FBFBFB"/>
        </w:rPr>
        <w:t xml:space="preserve"> Contrarily, Tony Walter wrote his paper as an experienced researcher. He had been a practicing scholar since 1975.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5"/>
      </w:r>
      <w:r w:rsidRPr="00065C0C">
        <w:rPr>
          <w:rFonts w:ascii="Times" w:hAnsi="Times"/>
          <w:shd w:val="clear" w:color="auto" w:fill="FBFBFB"/>
        </w:rPr>
        <w:t xml:space="preserve"> He is currently a Professor in the Centre for Death and Society in the University of Bath.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6"/>
      </w:r>
      <w:r w:rsidRPr="00065C0C">
        <w:rPr>
          <w:rFonts w:ascii="Times" w:hAnsi="Times"/>
          <w:shd w:val="clear" w:color="auto" w:fill="FBFBFB"/>
        </w:rPr>
        <w:t xml:space="preserve"> </w:t>
      </w:r>
      <w:r w:rsidR="007877A1" w:rsidRPr="00065C0C">
        <w:rPr>
          <w:rFonts w:ascii="Times" w:hAnsi="Times"/>
          <w:shd w:val="clear" w:color="auto" w:fill="FBFBFB"/>
        </w:rPr>
        <w:t>When</w:t>
      </w:r>
      <w:r w:rsidRPr="00065C0C">
        <w:rPr>
          <w:rFonts w:ascii="Times" w:hAnsi="Times"/>
          <w:shd w:val="clear" w:color="auto" w:fill="FBFBFB"/>
        </w:rPr>
        <w:t xml:space="preserve"> the paper was published, Helen Waterhouse had just joined the Open University Religious Studies Department to teach Buddhism.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7"/>
      </w:r>
      <w:r w:rsidRPr="00065C0C">
        <w:rPr>
          <w:rFonts w:ascii="Times" w:hAnsi="Times"/>
          <w:shd w:val="clear" w:color="auto" w:fill="FBFBFB"/>
        </w:rPr>
        <w:t xml:space="preserve"> Brink’s article tried to approach Roman-Catholic girls’ belief in astrology or reincarnation and its supposed inconsistency, while Walter and Waterhouse’s paper suggested that belief in reincarnation was a private matter. The research was based on some interviews conducted by Waterhouse herself.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8"/>
      </w:r>
      <w:r w:rsidRPr="00065C0C">
        <w:rPr>
          <w:rFonts w:ascii="Times" w:hAnsi="Times"/>
          <w:shd w:val="clear" w:color="auto" w:fill="FBFBFB"/>
        </w:rPr>
        <w:t xml:space="preserve"> This critical comparison is structured under three headings: previous research, ethical considerations and personal bias.</w:t>
      </w:r>
    </w:p>
    <w:p w:rsidR="00C90781" w:rsidRPr="00065C0C" w:rsidRDefault="00C90781">
      <w:pPr>
        <w:pStyle w:val="Body"/>
        <w:rPr>
          <w:rFonts w:ascii="Times" w:eastAsia="Times Roman" w:hAnsi="Times" w:cs="Times Roman"/>
          <w:shd w:val="clear" w:color="auto" w:fill="FBFBFB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  <w:b/>
          <w:bCs/>
          <w:shd w:val="clear" w:color="auto" w:fill="FBFBFB"/>
        </w:rPr>
      </w:pPr>
      <w:r w:rsidRPr="00065C0C">
        <w:rPr>
          <w:rFonts w:ascii="Times" w:hAnsi="Times"/>
          <w:b/>
          <w:bCs/>
          <w:shd w:val="clear" w:color="auto" w:fill="FBFBFB"/>
        </w:rPr>
        <w:t>Previous research</w:t>
      </w: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  <w:shd w:val="clear" w:color="auto" w:fill="FBFBFB"/>
        </w:rPr>
        <w:t xml:space="preserve">First, this essay addresses how the papers in </w:t>
      </w:r>
      <w:r w:rsidR="007877A1" w:rsidRPr="00065C0C">
        <w:rPr>
          <w:rFonts w:ascii="Times" w:hAnsi="Times"/>
          <w:shd w:val="clear" w:color="auto" w:fill="FBFBFB"/>
        </w:rPr>
        <w:t>question</w:t>
      </w:r>
      <w:r w:rsidRPr="00065C0C">
        <w:rPr>
          <w:rFonts w:ascii="Times" w:hAnsi="Times"/>
          <w:shd w:val="clear" w:color="auto" w:fill="FBFBFB"/>
        </w:rPr>
        <w:t xml:space="preserve"> dealt with previous studies. According to Monique </w:t>
      </w:r>
      <w:proofErr w:type="spellStart"/>
      <w:r w:rsidRPr="00065C0C">
        <w:rPr>
          <w:rFonts w:ascii="Times" w:hAnsi="Times"/>
          <w:shd w:val="clear" w:color="auto" w:fill="FBFBFB"/>
        </w:rPr>
        <w:t>Hennink</w:t>
      </w:r>
      <w:proofErr w:type="spellEnd"/>
      <w:r w:rsidRPr="00065C0C">
        <w:rPr>
          <w:rFonts w:ascii="Times" w:hAnsi="Times"/>
          <w:shd w:val="clear" w:color="auto" w:fill="FBFBFB"/>
        </w:rPr>
        <w:t xml:space="preserve">, Inge </w:t>
      </w:r>
      <w:proofErr w:type="spellStart"/>
      <w:r w:rsidRPr="00065C0C">
        <w:rPr>
          <w:rFonts w:ascii="Times" w:hAnsi="Times"/>
          <w:shd w:val="clear" w:color="auto" w:fill="FBFBFB"/>
        </w:rPr>
        <w:t>Hutter</w:t>
      </w:r>
      <w:proofErr w:type="spellEnd"/>
      <w:r w:rsidRPr="00065C0C">
        <w:rPr>
          <w:rFonts w:ascii="Times" w:hAnsi="Times"/>
          <w:shd w:val="clear" w:color="auto" w:fill="FBFBFB"/>
        </w:rPr>
        <w:t xml:space="preserve"> and Ajay Bailey, research should not occur ‘out of </w:t>
      </w:r>
      <w:r w:rsidR="007877A1" w:rsidRPr="00065C0C">
        <w:rPr>
          <w:rFonts w:ascii="Times" w:hAnsi="Times"/>
          <w:shd w:val="clear" w:color="auto" w:fill="FBFBFB"/>
        </w:rPr>
        <w:t xml:space="preserve">the </w:t>
      </w:r>
      <w:r w:rsidRPr="00065C0C">
        <w:rPr>
          <w:rFonts w:ascii="Times" w:hAnsi="Times"/>
          <w:shd w:val="clear" w:color="auto" w:fill="FBFBFB"/>
        </w:rPr>
        <w:t>blue’.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9"/>
      </w:r>
      <w:r w:rsidRPr="00065C0C">
        <w:rPr>
          <w:rFonts w:ascii="Times" w:hAnsi="Times"/>
          <w:shd w:val="clear" w:color="auto" w:fill="FBFBFB"/>
        </w:rPr>
        <w:t xml:space="preserve"> </w:t>
      </w:r>
      <w:r w:rsidR="00A3563D">
        <w:rPr>
          <w:rFonts w:ascii="Times" w:hAnsi="Times"/>
          <w:shd w:val="clear" w:color="auto" w:fill="FBFBFB"/>
        </w:rPr>
        <w:t xml:space="preserve">Indeed, </w:t>
      </w:r>
      <w:r w:rsidRPr="00065C0C">
        <w:rPr>
          <w:rFonts w:ascii="Times" w:hAnsi="Times"/>
          <w:shd w:val="clear" w:color="auto" w:fill="FBFBFB"/>
        </w:rPr>
        <w:t xml:space="preserve">Brink opened his paper with psychological theories about cognitive consistency. However, he did not cite any scholars on the Roman Catholic doctrine </w:t>
      </w:r>
      <w:r w:rsidR="00A3563D">
        <w:rPr>
          <w:rFonts w:ascii="Times" w:hAnsi="Times"/>
          <w:shd w:val="clear" w:color="auto" w:fill="FBFBFB"/>
        </w:rPr>
        <w:t xml:space="preserve">or reincarnation beliefs </w:t>
      </w:r>
      <w:r w:rsidR="00A3563D" w:rsidRPr="00065C0C">
        <w:rPr>
          <w:rFonts w:ascii="Times" w:hAnsi="Times"/>
          <w:shd w:val="clear" w:color="auto" w:fill="FBFBFB"/>
        </w:rPr>
        <w:t>eve</w:t>
      </w:r>
      <w:r w:rsidRPr="00065C0C">
        <w:rPr>
          <w:rFonts w:ascii="Times" w:hAnsi="Times"/>
          <w:shd w:val="clear" w:color="auto" w:fill="FBFBFB"/>
        </w:rPr>
        <w:t xml:space="preserve">n though </w:t>
      </w:r>
      <w:proofErr w:type="spellStart"/>
      <w:r w:rsidRPr="00065C0C">
        <w:rPr>
          <w:rFonts w:ascii="Times" w:hAnsi="Times"/>
          <w:shd w:val="clear" w:color="auto" w:fill="FBFBFB"/>
        </w:rPr>
        <w:t>Hennink</w:t>
      </w:r>
      <w:proofErr w:type="spellEnd"/>
      <w:r w:rsidRPr="00065C0C">
        <w:rPr>
          <w:rFonts w:ascii="Times" w:hAnsi="Times"/>
          <w:shd w:val="clear" w:color="auto" w:fill="FBFBFB"/>
        </w:rPr>
        <w:t xml:space="preserve">, </w:t>
      </w:r>
      <w:proofErr w:type="spellStart"/>
      <w:r w:rsidRPr="00065C0C">
        <w:rPr>
          <w:rFonts w:ascii="Times" w:hAnsi="Times"/>
          <w:shd w:val="clear" w:color="auto" w:fill="FBFBFB"/>
        </w:rPr>
        <w:t>Hutter</w:t>
      </w:r>
      <w:proofErr w:type="spellEnd"/>
      <w:r w:rsidRPr="00065C0C">
        <w:rPr>
          <w:rFonts w:ascii="Times" w:hAnsi="Times"/>
          <w:shd w:val="clear" w:color="auto" w:fill="FBFBFB"/>
        </w:rPr>
        <w:t xml:space="preserve"> and Bailey stated that citations were also necessary to understand the validity of research.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10"/>
      </w:r>
      <w:r w:rsidRPr="00065C0C">
        <w:rPr>
          <w:rFonts w:ascii="Times" w:hAnsi="Times"/>
          <w:shd w:val="clear" w:color="auto" w:fill="FBFBFB"/>
        </w:rPr>
        <w:t xml:space="preserve"> He </w:t>
      </w:r>
      <w:r w:rsidR="00A3563D">
        <w:rPr>
          <w:rFonts w:ascii="Times" w:hAnsi="Times"/>
          <w:shd w:val="clear" w:color="auto" w:fill="FBFBFB"/>
        </w:rPr>
        <w:t xml:space="preserve">did </w:t>
      </w:r>
      <w:r w:rsidRPr="00065C0C">
        <w:rPr>
          <w:rFonts w:ascii="Times" w:hAnsi="Times"/>
          <w:shd w:val="clear" w:color="auto" w:fill="FBFBFB"/>
        </w:rPr>
        <w:t>cite Wuthnow to support some of his findings about astrology.</w:t>
      </w:r>
      <w:r w:rsidRPr="00065C0C">
        <w:rPr>
          <w:rFonts w:ascii="Times" w:hAnsi="Times"/>
          <w:shd w:val="clear" w:color="auto" w:fill="FBFBFB"/>
          <w:vertAlign w:val="superscript"/>
        </w:rPr>
        <w:t xml:space="preserve"> </w:t>
      </w:r>
      <w:r w:rsidRPr="00065C0C">
        <w:rPr>
          <w:rFonts w:ascii="Times" w:eastAsia="Times Roman" w:hAnsi="Times" w:cs="Times Roman"/>
          <w:shd w:val="clear" w:color="auto" w:fill="FBFBFB"/>
          <w:vertAlign w:val="superscript"/>
        </w:rPr>
        <w:footnoteReference w:id="11"/>
      </w:r>
      <w:r w:rsidRPr="00065C0C">
        <w:rPr>
          <w:rFonts w:ascii="Times" w:hAnsi="Times"/>
          <w:shd w:val="clear" w:color="auto" w:fill="FBFBFB"/>
        </w:rPr>
        <w:t xml:space="preserve"> </w:t>
      </w:r>
      <w:r w:rsidR="00A3563D">
        <w:rPr>
          <w:rFonts w:ascii="Times" w:hAnsi="Times"/>
          <w:shd w:val="clear" w:color="auto" w:fill="FBFBFB"/>
        </w:rPr>
        <w:t xml:space="preserve">But </w:t>
      </w:r>
      <w:r w:rsidRPr="00065C0C">
        <w:rPr>
          <w:rFonts w:ascii="Times" w:hAnsi="Times"/>
        </w:rPr>
        <w:t xml:space="preserve">Judith Bell and Stephen Waters recommended </w:t>
      </w:r>
      <w:r w:rsidR="007877A1" w:rsidRPr="00065C0C">
        <w:rPr>
          <w:rFonts w:ascii="Times" w:hAnsi="Times"/>
        </w:rPr>
        <w:t>examination of</w:t>
      </w:r>
      <w:r w:rsidRPr="00065C0C">
        <w:rPr>
          <w:rFonts w:ascii="Times" w:hAnsi="Times"/>
        </w:rPr>
        <w:t xml:space="preserve"> sources carefully </w:t>
      </w:r>
      <w:r w:rsidR="00A3563D">
        <w:rPr>
          <w:rFonts w:ascii="Times" w:hAnsi="Times"/>
        </w:rPr>
        <w:t>and</w:t>
      </w:r>
      <w:r w:rsidRPr="00065C0C">
        <w:rPr>
          <w:rFonts w:ascii="Times" w:hAnsi="Times"/>
        </w:rPr>
        <w:t xml:space="preserve"> Brink did not</w:t>
      </w:r>
      <w:r w:rsidR="00A3563D">
        <w:rPr>
          <w:rFonts w:ascii="Times" w:hAnsi="Times"/>
        </w:rPr>
        <w:t xml:space="preserve"> do </w:t>
      </w:r>
      <w:r w:rsidR="00A3563D">
        <w:rPr>
          <w:rFonts w:ascii="Times" w:hAnsi="Times"/>
        </w:rPr>
        <w:lastRenderedPageBreak/>
        <w:t>this.</w:t>
      </w:r>
      <w:r w:rsidR="00A3563D">
        <w:rPr>
          <w:rStyle w:val="Refdenotaalpie"/>
          <w:rFonts w:ascii="Times" w:hAnsi="Times"/>
        </w:rPr>
        <w:footnoteReference w:id="12"/>
      </w:r>
      <w:r w:rsidRPr="00065C0C">
        <w:rPr>
          <w:rFonts w:ascii="Times" w:hAnsi="Times"/>
        </w:rPr>
        <w:t xml:space="preserve"> </w:t>
      </w:r>
      <w:r w:rsidR="00A3563D">
        <w:rPr>
          <w:rFonts w:ascii="Times" w:hAnsi="Times"/>
          <w:shd w:val="clear" w:color="auto" w:fill="FBFBFB"/>
        </w:rPr>
        <w:t>The conclusions that</w:t>
      </w:r>
      <w:r w:rsidRPr="00065C0C">
        <w:rPr>
          <w:rFonts w:ascii="Times" w:hAnsi="Times"/>
          <w:shd w:val="clear" w:color="auto" w:fill="FBFBFB"/>
        </w:rPr>
        <w:t xml:space="preserve"> Wuthnow </w:t>
      </w:r>
      <w:r w:rsidR="00A3563D">
        <w:rPr>
          <w:rFonts w:ascii="Times" w:hAnsi="Times"/>
          <w:shd w:val="clear" w:color="auto" w:fill="FBFBFB"/>
        </w:rPr>
        <w:t>reached</w:t>
      </w:r>
      <w:r w:rsidRPr="00065C0C">
        <w:rPr>
          <w:rFonts w:ascii="Times" w:hAnsi="Times"/>
          <w:shd w:val="clear" w:color="auto" w:fill="FBFBFB"/>
        </w:rPr>
        <w:t xml:space="preserve"> could have been challenged as </w:t>
      </w:r>
      <w:r w:rsidR="00A3563D">
        <w:rPr>
          <w:rFonts w:ascii="Times" w:hAnsi="Times"/>
          <w:shd w:val="clear" w:color="auto" w:fill="FBFBFB"/>
        </w:rPr>
        <w:t xml:space="preserve">they were some years later by </w:t>
      </w:r>
      <w:r w:rsidRPr="00065C0C">
        <w:rPr>
          <w:rFonts w:ascii="Times" w:hAnsi="Times"/>
        </w:rPr>
        <w:t>Shoshanah Feher.</w:t>
      </w:r>
      <w:r w:rsidRPr="00065C0C">
        <w:rPr>
          <w:rFonts w:ascii="Times" w:hAnsi="Times"/>
          <w:vertAlign w:val="superscript"/>
        </w:rPr>
        <w:t xml:space="preserve"> </w:t>
      </w:r>
      <w:r w:rsidRPr="00065C0C">
        <w:rPr>
          <w:rFonts w:ascii="Times" w:eastAsia="Times Roman" w:hAnsi="Times" w:cs="Times Roman"/>
          <w:vertAlign w:val="superscript"/>
        </w:rPr>
        <w:footnoteReference w:id="13"/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>On the contrary, Wa</w:t>
      </w:r>
      <w:r w:rsidR="00DD6C73" w:rsidRPr="00065C0C">
        <w:rPr>
          <w:rFonts w:ascii="Times" w:hAnsi="Times"/>
        </w:rPr>
        <w:t>l</w:t>
      </w:r>
      <w:r w:rsidRPr="00065C0C">
        <w:rPr>
          <w:rFonts w:ascii="Times" w:hAnsi="Times"/>
        </w:rPr>
        <w:t>ter and Waterhouse cited a lot of previous research.</w:t>
      </w:r>
      <w:r w:rsidRPr="00065C0C">
        <w:rPr>
          <w:rFonts w:ascii="Times" w:eastAsia="Times Roman" w:hAnsi="Times" w:cs="Times Roman"/>
          <w:vertAlign w:val="superscript"/>
        </w:rPr>
        <w:footnoteReference w:id="14"/>
      </w:r>
      <w:r w:rsidRPr="00065C0C">
        <w:rPr>
          <w:rFonts w:ascii="Times" w:hAnsi="Times"/>
        </w:rPr>
        <w:t xml:space="preserve"> They also quoted other scholars as guiding voices during the entire paper</w:t>
      </w:r>
      <w:r w:rsidR="007877A1" w:rsidRPr="00065C0C">
        <w:rPr>
          <w:rFonts w:ascii="Times" w:hAnsi="Times"/>
        </w:rPr>
        <w:t>.</w:t>
      </w:r>
      <w:r w:rsidRPr="00065C0C">
        <w:rPr>
          <w:rFonts w:ascii="Times" w:hAnsi="Times"/>
        </w:rPr>
        <w:t xml:space="preserve"> </w:t>
      </w:r>
      <w:r w:rsidR="007877A1" w:rsidRPr="00065C0C">
        <w:rPr>
          <w:rFonts w:ascii="Times" w:hAnsi="Times"/>
        </w:rPr>
        <w:t>F</w:t>
      </w:r>
      <w:r w:rsidRPr="00065C0C">
        <w:rPr>
          <w:rFonts w:ascii="Times" w:hAnsi="Times"/>
        </w:rPr>
        <w:t>or instance when debating religious practice in England</w:t>
      </w:r>
      <w:r w:rsidR="007877A1" w:rsidRPr="00065C0C">
        <w:rPr>
          <w:rFonts w:ascii="Times" w:hAnsi="Times"/>
        </w:rPr>
        <w:t>,</w:t>
      </w:r>
      <w:r w:rsidRPr="00065C0C">
        <w:rPr>
          <w:rFonts w:ascii="Times" w:hAnsi="Times"/>
        </w:rPr>
        <w:t xml:space="preserve"> </w:t>
      </w:r>
      <w:r w:rsidR="007877A1" w:rsidRPr="00065C0C">
        <w:rPr>
          <w:rFonts w:ascii="Times" w:hAnsi="Times"/>
        </w:rPr>
        <w:t>t</w:t>
      </w:r>
      <w:r w:rsidRPr="00065C0C">
        <w:rPr>
          <w:rFonts w:ascii="Times" w:hAnsi="Times"/>
        </w:rPr>
        <w:t>hey even compared other testimonies with their own.</w:t>
      </w:r>
      <w:r w:rsidRPr="00065C0C">
        <w:rPr>
          <w:rFonts w:ascii="Times" w:eastAsia="Times Roman" w:hAnsi="Times" w:cs="Times Roman"/>
          <w:vertAlign w:val="superscript"/>
        </w:rPr>
        <w:footnoteReference w:id="15"/>
      </w:r>
      <w:r w:rsidRPr="00065C0C">
        <w:rPr>
          <w:rFonts w:ascii="Times" w:hAnsi="Times"/>
        </w:rPr>
        <w:t xml:space="preserve"> In contrast to Brink, they discussed standard Catholic beliefs based on other scholarly voices.</w:t>
      </w:r>
      <w:r w:rsidRPr="00065C0C">
        <w:rPr>
          <w:rFonts w:ascii="Times" w:eastAsia="Times Roman" w:hAnsi="Times" w:cs="Times Roman"/>
          <w:vertAlign w:val="superscript"/>
        </w:rPr>
        <w:footnoteReference w:id="16"/>
      </w:r>
      <w:r w:rsidRPr="00065C0C">
        <w:rPr>
          <w:rFonts w:ascii="Times" w:hAnsi="Times"/>
        </w:rPr>
        <w:t xml:space="preserve"> On the whole, Water and Waterhouse used more meaningful citations to justify their research.</w:t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  <w:b/>
          <w:bCs/>
        </w:rPr>
      </w:pPr>
      <w:r w:rsidRPr="00065C0C">
        <w:rPr>
          <w:rFonts w:ascii="Times" w:hAnsi="Times"/>
          <w:b/>
          <w:bCs/>
        </w:rPr>
        <w:t>Ethical considerations</w:t>
      </w: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>Another point of comparison is their ethical standards. Brink referred to ‘subjects’, thus distancing himself.</w:t>
      </w:r>
      <w:r w:rsidRPr="00065C0C">
        <w:rPr>
          <w:rFonts w:ascii="Times" w:eastAsia="Times Roman" w:hAnsi="Times" w:cs="Times Roman"/>
          <w:vertAlign w:val="superscript"/>
        </w:rPr>
        <w:footnoteReference w:id="17"/>
      </w:r>
      <w:r w:rsidRPr="00065C0C">
        <w:rPr>
          <w:rFonts w:ascii="Times" w:hAnsi="Times"/>
        </w:rPr>
        <w:t xml:space="preserve"> He also stated that ‘whoever was present in religion (a required course) that day got a questionnaire’, implying that they were not given the choice not to participate.</w:t>
      </w:r>
      <w:r w:rsidRPr="00065C0C">
        <w:rPr>
          <w:rFonts w:ascii="Times" w:eastAsia="Times Roman" w:hAnsi="Times" w:cs="Times Roman"/>
          <w:vertAlign w:val="superscript"/>
        </w:rPr>
        <w:footnoteReference w:id="18"/>
      </w:r>
      <w:r w:rsidRPr="00065C0C">
        <w:rPr>
          <w:rFonts w:ascii="Times" w:hAnsi="Times"/>
        </w:rPr>
        <w:t xml:space="preserve"> But </w:t>
      </w:r>
      <w:proofErr w:type="spellStart"/>
      <w:r w:rsidRPr="00065C0C">
        <w:rPr>
          <w:rFonts w:ascii="Times" w:hAnsi="Times"/>
        </w:rPr>
        <w:t>Hennink</w:t>
      </w:r>
      <w:proofErr w:type="spellEnd"/>
      <w:r w:rsidRPr="00065C0C">
        <w:rPr>
          <w:rFonts w:ascii="Times" w:hAnsi="Times"/>
        </w:rPr>
        <w:t xml:space="preserve">, </w:t>
      </w:r>
      <w:proofErr w:type="spellStart"/>
      <w:r w:rsidRPr="00065C0C">
        <w:rPr>
          <w:rFonts w:ascii="Times" w:hAnsi="Times"/>
        </w:rPr>
        <w:t>Hutter</w:t>
      </w:r>
      <w:proofErr w:type="spellEnd"/>
      <w:r w:rsidRPr="00065C0C">
        <w:rPr>
          <w:rFonts w:ascii="Times" w:hAnsi="Times"/>
        </w:rPr>
        <w:t xml:space="preserve"> and Bailey’s claimed that it is the researcher’s responsibility ‘to ensure that participants are not coerced’ and Bell and Waters insisted on the importance of ‘informed consent’.</w:t>
      </w:r>
      <w:r w:rsidRPr="00065C0C">
        <w:rPr>
          <w:rFonts w:ascii="Times" w:eastAsia="Times Roman" w:hAnsi="Times" w:cs="Times Roman"/>
          <w:vertAlign w:val="superscript"/>
        </w:rPr>
        <w:footnoteReference w:id="19"/>
      </w:r>
      <w:r w:rsidRPr="00065C0C">
        <w:rPr>
          <w:rFonts w:ascii="Times" w:hAnsi="Times"/>
        </w:rPr>
        <w:t xml:space="preserve"> A questionnaire about spiritual beliefs being handed during a mandatory religion course with their teacher present may </w:t>
      </w:r>
      <w:r w:rsidR="00130E0C">
        <w:rPr>
          <w:rFonts w:ascii="Times" w:hAnsi="Times"/>
        </w:rPr>
        <w:t>have provided</w:t>
      </w:r>
      <w:r w:rsidRPr="00065C0C">
        <w:rPr>
          <w:rFonts w:ascii="Times" w:hAnsi="Times"/>
        </w:rPr>
        <w:t xml:space="preserve"> invalid data. According to </w:t>
      </w:r>
      <w:proofErr w:type="spellStart"/>
      <w:r w:rsidRPr="00065C0C">
        <w:rPr>
          <w:rFonts w:ascii="Times" w:hAnsi="Times"/>
        </w:rPr>
        <w:t>Hennink</w:t>
      </w:r>
      <w:proofErr w:type="spellEnd"/>
      <w:r w:rsidRPr="00065C0C">
        <w:rPr>
          <w:rFonts w:ascii="Times" w:hAnsi="Times"/>
        </w:rPr>
        <w:t xml:space="preserve">, </w:t>
      </w:r>
      <w:proofErr w:type="spellStart"/>
      <w:r w:rsidRPr="00065C0C">
        <w:rPr>
          <w:rFonts w:ascii="Times" w:hAnsi="Times"/>
        </w:rPr>
        <w:t>Hutter</w:t>
      </w:r>
      <w:proofErr w:type="spellEnd"/>
      <w:r w:rsidRPr="00065C0C">
        <w:rPr>
          <w:rFonts w:ascii="Times" w:hAnsi="Times"/>
        </w:rPr>
        <w:t xml:space="preserve"> and Bailey, the setting was most important.</w:t>
      </w:r>
      <w:r w:rsidRPr="00065C0C">
        <w:rPr>
          <w:rFonts w:ascii="Times" w:eastAsia="Times Roman" w:hAnsi="Times" w:cs="Times Roman"/>
          <w:vertAlign w:val="superscript"/>
        </w:rPr>
        <w:footnoteReference w:id="20"/>
      </w:r>
      <w:r w:rsidRPr="00065C0C">
        <w:rPr>
          <w:rFonts w:ascii="Times" w:hAnsi="Times"/>
        </w:rPr>
        <w:t xml:space="preserve"> Furthermore, the presen</w:t>
      </w:r>
      <w:r w:rsidR="00095505">
        <w:rPr>
          <w:rFonts w:ascii="Times" w:hAnsi="Times"/>
        </w:rPr>
        <w:t>ce of</w:t>
      </w:r>
      <w:r w:rsidRPr="00065C0C">
        <w:rPr>
          <w:rFonts w:ascii="Times" w:hAnsi="Times"/>
        </w:rPr>
        <w:t xml:space="preserve"> authority figure</w:t>
      </w:r>
      <w:r w:rsidR="002A48A7" w:rsidRPr="00065C0C">
        <w:rPr>
          <w:rFonts w:ascii="Times" w:hAnsi="Times"/>
        </w:rPr>
        <w:t>s</w:t>
      </w:r>
      <w:r w:rsidRPr="00065C0C">
        <w:rPr>
          <w:rFonts w:ascii="Times" w:hAnsi="Times"/>
        </w:rPr>
        <w:t xml:space="preserve"> may have altered the results, which they referred as the ‘Hawthorne effect’ after </w:t>
      </w:r>
      <w:r w:rsidR="002A48A7" w:rsidRPr="00065C0C">
        <w:rPr>
          <w:rFonts w:ascii="Times" w:hAnsi="Times"/>
        </w:rPr>
        <w:t xml:space="preserve">John R. French’s conclusions on the </w:t>
      </w:r>
      <w:r w:rsidRPr="00065C0C">
        <w:rPr>
          <w:rFonts w:ascii="Times" w:hAnsi="Times"/>
        </w:rPr>
        <w:t xml:space="preserve">studies </w:t>
      </w:r>
      <w:r w:rsidR="002A48A7" w:rsidRPr="00065C0C">
        <w:rPr>
          <w:rFonts w:ascii="Times" w:hAnsi="Times"/>
        </w:rPr>
        <w:t xml:space="preserve">conducted </w:t>
      </w:r>
      <w:r w:rsidRPr="00065C0C">
        <w:rPr>
          <w:rFonts w:ascii="Times" w:hAnsi="Times"/>
        </w:rPr>
        <w:t xml:space="preserve">by Henry A. </w:t>
      </w:r>
      <w:proofErr w:type="spellStart"/>
      <w:r w:rsidRPr="00065C0C">
        <w:rPr>
          <w:rFonts w:ascii="Times" w:hAnsi="Times"/>
        </w:rPr>
        <w:t>Landsberger</w:t>
      </w:r>
      <w:proofErr w:type="spellEnd"/>
      <w:r w:rsidRPr="00065C0C">
        <w:rPr>
          <w:rFonts w:ascii="Times" w:hAnsi="Times"/>
        </w:rPr>
        <w:t>.</w:t>
      </w:r>
      <w:r w:rsidRPr="00065C0C">
        <w:rPr>
          <w:rFonts w:ascii="Times" w:eastAsia="Times Roman" w:hAnsi="Times" w:cs="Times Roman"/>
          <w:vertAlign w:val="superscript"/>
        </w:rPr>
        <w:footnoteReference w:id="21"/>
      </w:r>
      <w:r w:rsidRPr="00065C0C">
        <w:rPr>
          <w:rFonts w:ascii="Times" w:hAnsi="Times"/>
        </w:rPr>
        <w:t xml:space="preserve"> Neither it is clear </w:t>
      </w:r>
      <w:r w:rsidR="007877A1" w:rsidRPr="00065C0C">
        <w:rPr>
          <w:rFonts w:ascii="Times" w:hAnsi="Times"/>
        </w:rPr>
        <w:t xml:space="preserve">whether </w:t>
      </w:r>
      <w:r w:rsidRPr="00065C0C">
        <w:rPr>
          <w:rFonts w:ascii="Times" w:hAnsi="Times"/>
        </w:rPr>
        <w:t>parents authorized the research as Bell and Waters suggested.</w:t>
      </w:r>
      <w:r w:rsidRPr="00065C0C">
        <w:rPr>
          <w:rFonts w:ascii="Times" w:eastAsia="Times Roman" w:hAnsi="Times" w:cs="Times Roman"/>
          <w:vertAlign w:val="superscript"/>
        </w:rPr>
        <w:footnoteReference w:id="22"/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>On the contrary, Waterhouse had used</w:t>
      </w:r>
      <w:r w:rsidR="007877A1" w:rsidRPr="00065C0C">
        <w:rPr>
          <w:rFonts w:ascii="Times" w:hAnsi="Times"/>
        </w:rPr>
        <w:t xml:space="preserve"> both</w:t>
      </w:r>
      <w:r w:rsidRPr="00065C0C">
        <w:rPr>
          <w:rFonts w:ascii="Times" w:hAnsi="Times"/>
        </w:rPr>
        <w:t xml:space="preserve"> personal contacts </w:t>
      </w:r>
      <w:r w:rsidR="007877A1" w:rsidRPr="00065C0C">
        <w:rPr>
          <w:rFonts w:ascii="Times" w:hAnsi="Times"/>
        </w:rPr>
        <w:t>and a radio</w:t>
      </w:r>
      <w:r w:rsidRPr="00065C0C">
        <w:rPr>
          <w:rFonts w:ascii="Times" w:hAnsi="Times"/>
        </w:rPr>
        <w:t xml:space="preserve"> announcement</w:t>
      </w:r>
      <w:r w:rsidR="007877A1" w:rsidRPr="00065C0C">
        <w:rPr>
          <w:rFonts w:ascii="Times" w:hAnsi="Times"/>
        </w:rPr>
        <w:t>.</w:t>
      </w:r>
      <w:r w:rsidRPr="00065C0C">
        <w:rPr>
          <w:rFonts w:ascii="Times" w:eastAsia="Times Roman" w:hAnsi="Times" w:cs="Times Roman"/>
          <w:vertAlign w:val="superscript"/>
        </w:rPr>
        <w:footnoteReference w:id="23"/>
      </w:r>
      <w:r w:rsidRPr="00065C0C">
        <w:rPr>
          <w:rFonts w:ascii="Times" w:hAnsi="Times"/>
        </w:rPr>
        <w:t xml:space="preserve"> Then, the snowball effect had summoned other people.</w:t>
      </w:r>
      <w:r w:rsidRPr="00065C0C">
        <w:rPr>
          <w:rFonts w:ascii="Times" w:eastAsia="Times Roman" w:hAnsi="Times" w:cs="Times Roman"/>
          <w:vertAlign w:val="superscript"/>
        </w:rPr>
        <w:footnoteReference w:id="24"/>
      </w:r>
      <w:r w:rsidRPr="00065C0C">
        <w:rPr>
          <w:rFonts w:ascii="Times" w:hAnsi="Times"/>
        </w:rPr>
        <w:t xml:space="preserve"> Both methods were recommended by </w:t>
      </w:r>
      <w:proofErr w:type="spellStart"/>
      <w:r w:rsidRPr="00065C0C">
        <w:rPr>
          <w:rFonts w:ascii="Times" w:hAnsi="Times"/>
        </w:rPr>
        <w:t>Hennink</w:t>
      </w:r>
      <w:proofErr w:type="spellEnd"/>
      <w:r w:rsidRPr="00065C0C">
        <w:rPr>
          <w:rFonts w:ascii="Times" w:hAnsi="Times"/>
        </w:rPr>
        <w:t xml:space="preserve">, </w:t>
      </w:r>
      <w:proofErr w:type="spellStart"/>
      <w:r w:rsidRPr="00065C0C">
        <w:rPr>
          <w:rFonts w:ascii="Times" w:hAnsi="Times"/>
        </w:rPr>
        <w:t>Hutter</w:t>
      </w:r>
      <w:proofErr w:type="spellEnd"/>
      <w:r w:rsidRPr="00065C0C">
        <w:rPr>
          <w:rFonts w:ascii="Times" w:hAnsi="Times"/>
        </w:rPr>
        <w:t xml:space="preserve"> and Bailey who also emphasized the importance for participants to take part in the research freely.</w:t>
      </w:r>
      <w:r w:rsidRPr="00065C0C">
        <w:rPr>
          <w:rFonts w:ascii="Times" w:eastAsia="Times Roman" w:hAnsi="Times" w:cs="Times Roman"/>
          <w:vertAlign w:val="superscript"/>
        </w:rPr>
        <w:footnoteReference w:id="25"/>
      </w:r>
      <w:r w:rsidRPr="00065C0C">
        <w:rPr>
          <w:rFonts w:ascii="Times" w:hAnsi="Times"/>
        </w:rPr>
        <w:t xml:space="preserve"> Nevertheless, Bell and </w:t>
      </w:r>
      <w:r w:rsidRPr="00065C0C">
        <w:rPr>
          <w:rFonts w:ascii="Times" w:hAnsi="Times"/>
        </w:rPr>
        <w:lastRenderedPageBreak/>
        <w:t>Waters warned that researchers should be aware of the loss of information from non-participants.</w:t>
      </w:r>
      <w:r w:rsidRPr="00065C0C">
        <w:rPr>
          <w:rFonts w:ascii="Times" w:eastAsia="Times Roman" w:hAnsi="Times" w:cs="Times Roman"/>
          <w:vertAlign w:val="superscript"/>
        </w:rPr>
        <w:footnoteReference w:id="26"/>
      </w:r>
      <w:r w:rsidRPr="00065C0C">
        <w:rPr>
          <w:rFonts w:ascii="Times" w:hAnsi="Times"/>
        </w:rPr>
        <w:t xml:space="preserve"> </w:t>
      </w:r>
      <w:r w:rsidR="007877A1" w:rsidRPr="00065C0C">
        <w:rPr>
          <w:rFonts w:ascii="Times" w:hAnsi="Times"/>
        </w:rPr>
        <w:t>W</w:t>
      </w:r>
      <w:r w:rsidRPr="00065C0C">
        <w:rPr>
          <w:rFonts w:ascii="Times" w:hAnsi="Times"/>
        </w:rPr>
        <w:t>alter and Waterhouse seemed to be conscious of that but believed that they could still discover ‘a range of meanings given to the idea of reincarnation’.</w:t>
      </w:r>
      <w:r w:rsidRPr="00065C0C">
        <w:rPr>
          <w:rFonts w:ascii="Times" w:eastAsia="Times Roman" w:hAnsi="Times" w:cs="Times Roman"/>
          <w:vertAlign w:val="superscript"/>
        </w:rPr>
        <w:footnoteReference w:id="27"/>
      </w:r>
      <w:r w:rsidRPr="00065C0C">
        <w:rPr>
          <w:rFonts w:ascii="Times" w:hAnsi="Times"/>
        </w:rPr>
        <w:t xml:space="preserve"> Furthermore, Waterhouse had conducted the interviews at the comfort of their respondent’s homes, suggesting that they were comfortable as </w:t>
      </w:r>
      <w:proofErr w:type="spellStart"/>
      <w:r w:rsidR="00DD6C73" w:rsidRPr="00065C0C">
        <w:rPr>
          <w:rFonts w:ascii="Times" w:hAnsi="Times"/>
          <w:shd w:val="clear" w:color="auto" w:fill="FBFBFB"/>
        </w:rPr>
        <w:t>Hennink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, </w:t>
      </w:r>
      <w:proofErr w:type="spellStart"/>
      <w:r w:rsidR="00DD6C73" w:rsidRPr="00065C0C">
        <w:rPr>
          <w:rFonts w:ascii="Times" w:hAnsi="Times"/>
          <w:shd w:val="clear" w:color="auto" w:fill="FBFBFB"/>
        </w:rPr>
        <w:t>Hutter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 and Bailey</w:t>
      </w:r>
      <w:r w:rsidRPr="00065C0C">
        <w:rPr>
          <w:rFonts w:ascii="Times" w:hAnsi="Times"/>
        </w:rPr>
        <w:t xml:space="preserve"> advised.</w:t>
      </w:r>
      <w:r w:rsidRPr="00065C0C">
        <w:rPr>
          <w:rFonts w:ascii="Times" w:eastAsia="Times Roman" w:hAnsi="Times" w:cs="Times Roman"/>
          <w:vertAlign w:val="superscript"/>
        </w:rPr>
        <w:footnoteReference w:id="28"/>
      </w:r>
      <w:r w:rsidRPr="00065C0C">
        <w:rPr>
          <w:rFonts w:ascii="Times" w:hAnsi="Times"/>
        </w:rPr>
        <w:t xml:space="preserve"> Unfortunately, it was not specified how children had taken part </w:t>
      </w:r>
      <w:r w:rsidR="007877A1" w:rsidRPr="00065C0C">
        <w:rPr>
          <w:rFonts w:ascii="Times" w:hAnsi="Times"/>
        </w:rPr>
        <w:t>in</w:t>
      </w:r>
      <w:r w:rsidRPr="00065C0C">
        <w:rPr>
          <w:rFonts w:ascii="Times" w:hAnsi="Times"/>
        </w:rPr>
        <w:t xml:space="preserve"> the research but as the study was funded by the University of Reading, high ethical standards were probably followed.</w:t>
      </w:r>
      <w:r w:rsidRPr="00065C0C">
        <w:rPr>
          <w:rFonts w:ascii="Times" w:eastAsia="Times Roman" w:hAnsi="Times" w:cs="Times Roman"/>
          <w:vertAlign w:val="superscript"/>
        </w:rPr>
        <w:footnoteReference w:id="29"/>
      </w:r>
      <w:r w:rsidRPr="00065C0C">
        <w:rPr>
          <w:rFonts w:ascii="Times" w:hAnsi="Times"/>
        </w:rPr>
        <w:t xml:space="preserve"> Indeed, </w:t>
      </w:r>
      <w:proofErr w:type="spellStart"/>
      <w:r w:rsidR="00DD6C73" w:rsidRPr="00065C0C">
        <w:rPr>
          <w:rFonts w:ascii="Times" w:hAnsi="Times"/>
          <w:shd w:val="clear" w:color="auto" w:fill="FBFBFB"/>
        </w:rPr>
        <w:t>Hennink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, </w:t>
      </w:r>
      <w:proofErr w:type="spellStart"/>
      <w:r w:rsidR="00DD6C73" w:rsidRPr="00065C0C">
        <w:rPr>
          <w:rFonts w:ascii="Times" w:hAnsi="Times"/>
          <w:shd w:val="clear" w:color="auto" w:fill="FBFBFB"/>
        </w:rPr>
        <w:t>Hutter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 and Bailey</w:t>
      </w:r>
      <w:r w:rsidRPr="00065C0C">
        <w:rPr>
          <w:rFonts w:ascii="Times" w:hAnsi="Times"/>
        </w:rPr>
        <w:t xml:space="preserve"> as well as Bell and Water</w:t>
      </w:r>
      <w:r w:rsidR="00DD6C73" w:rsidRPr="00065C0C">
        <w:rPr>
          <w:rFonts w:ascii="Times" w:hAnsi="Times"/>
        </w:rPr>
        <w:t>s</w:t>
      </w:r>
      <w:r w:rsidRPr="00065C0C">
        <w:rPr>
          <w:rFonts w:ascii="Times" w:hAnsi="Times"/>
        </w:rPr>
        <w:t xml:space="preserve"> pointed out the mandatory requirement of adhering to an ethics committee.</w:t>
      </w:r>
      <w:r w:rsidRPr="00065C0C">
        <w:rPr>
          <w:rFonts w:ascii="Times" w:eastAsia="Times Roman" w:hAnsi="Times" w:cs="Times Roman"/>
          <w:vertAlign w:val="superscript"/>
        </w:rPr>
        <w:footnoteReference w:id="30"/>
      </w:r>
      <w:r w:rsidRPr="00065C0C">
        <w:rPr>
          <w:rFonts w:ascii="Times" w:hAnsi="Times"/>
        </w:rPr>
        <w:t xml:space="preserve"> In conclusion, Bri</w:t>
      </w:r>
      <w:r w:rsidR="00F50FA7">
        <w:rPr>
          <w:rFonts w:ascii="Times" w:hAnsi="Times"/>
        </w:rPr>
        <w:t>n</w:t>
      </w:r>
      <w:r w:rsidRPr="00065C0C">
        <w:rPr>
          <w:rFonts w:ascii="Times" w:hAnsi="Times"/>
        </w:rPr>
        <w:t>k did not seem to have followed as rigorous ethical guidelines as Waterhouse.</w:t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  <w:b/>
          <w:bCs/>
        </w:rPr>
      </w:pPr>
      <w:r w:rsidRPr="00065C0C">
        <w:rPr>
          <w:rFonts w:ascii="Times" w:hAnsi="Times"/>
          <w:b/>
          <w:bCs/>
        </w:rPr>
        <w:t>Personal bias</w:t>
      </w: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>Finally, the awareness of personal bias can be addressed. Bri</w:t>
      </w:r>
      <w:r w:rsidR="00F50FA7">
        <w:rPr>
          <w:rFonts w:ascii="Times" w:hAnsi="Times"/>
        </w:rPr>
        <w:t>n</w:t>
      </w:r>
      <w:r w:rsidRPr="00065C0C">
        <w:rPr>
          <w:rFonts w:ascii="Times" w:hAnsi="Times"/>
        </w:rPr>
        <w:t>k did not question his approach and methodology when encountering his results though Bell and Waters advised to be ‘critical of your interpretation of the data’.</w:t>
      </w:r>
      <w:r w:rsidRPr="00065C0C">
        <w:rPr>
          <w:rFonts w:ascii="Times" w:eastAsia="Times Roman" w:hAnsi="Times" w:cs="Times Roman"/>
          <w:vertAlign w:val="superscript"/>
        </w:rPr>
        <w:footnoteReference w:id="31"/>
      </w:r>
      <w:r w:rsidRPr="00065C0C">
        <w:rPr>
          <w:rFonts w:ascii="Times" w:hAnsi="Times"/>
        </w:rPr>
        <w:t xml:space="preserve"> Instead, he psychoanalyzed his subjects.</w:t>
      </w:r>
      <w:r w:rsidRPr="00065C0C">
        <w:rPr>
          <w:rFonts w:ascii="Times" w:eastAsia="Times Roman" w:hAnsi="Times" w:cs="Times Roman"/>
          <w:vertAlign w:val="superscript"/>
        </w:rPr>
        <w:footnoteReference w:id="32"/>
      </w:r>
      <w:r w:rsidRPr="00065C0C">
        <w:rPr>
          <w:rFonts w:ascii="Times" w:hAnsi="Times"/>
        </w:rPr>
        <w:t xml:space="preserve"> Indeed, Alan Bryman warned that one’s own ‘theor</w:t>
      </w:r>
      <w:r w:rsidR="007877A1" w:rsidRPr="00065C0C">
        <w:rPr>
          <w:rFonts w:ascii="Times" w:hAnsi="Times"/>
        </w:rPr>
        <w:t>et</w:t>
      </w:r>
      <w:r w:rsidRPr="00065C0C">
        <w:rPr>
          <w:rFonts w:ascii="Times" w:hAnsi="Times"/>
        </w:rPr>
        <w:t>ical position may lead to the accusation of circularity or to bias’.</w:t>
      </w:r>
      <w:r w:rsidRPr="00065C0C">
        <w:rPr>
          <w:rFonts w:ascii="Times" w:eastAsia="Times Roman" w:hAnsi="Times" w:cs="Times Roman"/>
          <w:vertAlign w:val="superscript"/>
        </w:rPr>
        <w:footnoteReference w:id="33"/>
      </w:r>
      <w:r w:rsidRPr="00065C0C">
        <w:rPr>
          <w:rFonts w:ascii="Times" w:hAnsi="Times"/>
        </w:rPr>
        <w:t xml:space="preserve"> In this way, he did not seem to be fully acknowledging the participant’s voices while </w:t>
      </w:r>
      <w:proofErr w:type="spellStart"/>
      <w:r w:rsidR="00DD6C73" w:rsidRPr="00065C0C">
        <w:rPr>
          <w:rFonts w:ascii="Times" w:hAnsi="Times"/>
          <w:shd w:val="clear" w:color="auto" w:fill="FBFBFB"/>
        </w:rPr>
        <w:t>Hennink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, </w:t>
      </w:r>
      <w:proofErr w:type="spellStart"/>
      <w:r w:rsidR="00DD6C73" w:rsidRPr="00065C0C">
        <w:rPr>
          <w:rFonts w:ascii="Times" w:hAnsi="Times"/>
          <w:shd w:val="clear" w:color="auto" w:fill="FBFBFB"/>
        </w:rPr>
        <w:t>Hutter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 and Bailey</w:t>
      </w:r>
      <w:r w:rsidRPr="00065C0C">
        <w:rPr>
          <w:rFonts w:ascii="Times" w:hAnsi="Times"/>
        </w:rPr>
        <w:t xml:space="preserve"> considered it essential.</w:t>
      </w:r>
      <w:r w:rsidRPr="00065C0C">
        <w:rPr>
          <w:rFonts w:ascii="Times" w:eastAsia="Times Roman" w:hAnsi="Times" w:cs="Times Roman"/>
          <w:vertAlign w:val="superscript"/>
        </w:rPr>
        <w:footnoteReference w:id="34"/>
      </w:r>
      <w:r w:rsidRPr="00065C0C">
        <w:rPr>
          <w:rFonts w:ascii="Times" w:hAnsi="Times"/>
        </w:rPr>
        <w:t xml:space="preserve"> Besides, </w:t>
      </w:r>
      <w:r w:rsidR="00F50FA7">
        <w:rPr>
          <w:rFonts w:ascii="Times" w:hAnsi="Times"/>
        </w:rPr>
        <w:t>Brink</w:t>
      </w:r>
      <w:r w:rsidRPr="00065C0C">
        <w:rPr>
          <w:rFonts w:ascii="Times" w:hAnsi="Times"/>
        </w:rPr>
        <w:t xml:space="preserve"> did not conduct interviews but questionnaires while Bell and Waters pointed out that</w:t>
      </w:r>
      <w:r w:rsidR="007877A1" w:rsidRPr="00065C0C">
        <w:rPr>
          <w:rFonts w:ascii="Times" w:hAnsi="Times"/>
        </w:rPr>
        <w:t xml:space="preserve"> these could be affected by</w:t>
      </w:r>
      <w:r w:rsidRPr="00065C0C">
        <w:rPr>
          <w:rFonts w:ascii="Times" w:hAnsi="Times"/>
        </w:rPr>
        <w:t xml:space="preserve"> personal bias.</w:t>
      </w:r>
      <w:r w:rsidRPr="00065C0C">
        <w:rPr>
          <w:rFonts w:ascii="Times" w:eastAsia="Times Roman" w:hAnsi="Times" w:cs="Times Roman"/>
          <w:vertAlign w:val="superscript"/>
        </w:rPr>
        <w:footnoteReference w:id="35"/>
      </w:r>
      <w:r w:rsidRPr="00065C0C">
        <w:rPr>
          <w:rFonts w:ascii="Times" w:hAnsi="Times"/>
        </w:rPr>
        <w:t xml:space="preserve"> </w:t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</w:rPr>
      </w:pPr>
      <w:r w:rsidRPr="00065C0C">
        <w:rPr>
          <w:rFonts w:ascii="Times" w:hAnsi="Times"/>
        </w:rPr>
        <w:t>On the contrary, Walter and Waterhouse expressed their effort regarding the matter.</w:t>
      </w:r>
      <w:r w:rsidRPr="00065C0C">
        <w:rPr>
          <w:rFonts w:ascii="Times" w:eastAsia="Times Roman" w:hAnsi="Times" w:cs="Times Roman"/>
          <w:vertAlign w:val="superscript"/>
        </w:rPr>
        <w:footnoteReference w:id="36"/>
      </w:r>
      <w:r w:rsidRPr="00065C0C">
        <w:rPr>
          <w:rFonts w:ascii="Times" w:hAnsi="Times"/>
        </w:rPr>
        <w:t xml:space="preserve"> They specifically paid attention not to perform leading questions.</w:t>
      </w:r>
      <w:r w:rsidRPr="00065C0C">
        <w:rPr>
          <w:rFonts w:ascii="Times" w:eastAsia="Times Roman" w:hAnsi="Times" w:cs="Times Roman"/>
          <w:vertAlign w:val="superscript"/>
        </w:rPr>
        <w:footnoteReference w:id="37"/>
      </w:r>
      <w:r w:rsidRPr="00065C0C">
        <w:rPr>
          <w:rFonts w:ascii="Times" w:hAnsi="Times"/>
        </w:rPr>
        <w:t xml:space="preserve"> In contrast to </w:t>
      </w:r>
      <w:r w:rsidR="00F50FA7">
        <w:rPr>
          <w:rFonts w:ascii="Times" w:hAnsi="Times"/>
        </w:rPr>
        <w:t>Brink</w:t>
      </w:r>
      <w:r w:rsidRPr="00065C0C">
        <w:rPr>
          <w:rFonts w:ascii="Times" w:hAnsi="Times"/>
        </w:rPr>
        <w:t>, they did not conduct surveys but unstructured and group interviews, being able to gather a more subjective approach to beliefs.</w:t>
      </w:r>
      <w:r w:rsidRPr="00065C0C">
        <w:rPr>
          <w:rFonts w:ascii="Times" w:eastAsia="Times Roman" w:hAnsi="Times" w:cs="Times Roman"/>
          <w:vertAlign w:val="superscript"/>
        </w:rPr>
        <w:footnoteReference w:id="38"/>
      </w:r>
      <w:r w:rsidRPr="00065C0C">
        <w:rPr>
          <w:rFonts w:ascii="Times" w:hAnsi="Times"/>
        </w:rPr>
        <w:t xml:space="preserve"> Furthermore, they did not judge their respondents’ answers and simply stated their results such as ‘belief in reincarnation has little to do with belonging to a church’.</w:t>
      </w:r>
      <w:r w:rsidRPr="00065C0C">
        <w:rPr>
          <w:rFonts w:ascii="Times" w:eastAsia="Times Roman" w:hAnsi="Times" w:cs="Times Roman"/>
          <w:vertAlign w:val="superscript"/>
        </w:rPr>
        <w:footnoteReference w:id="39"/>
      </w:r>
      <w:r w:rsidRPr="00065C0C">
        <w:rPr>
          <w:rFonts w:ascii="Times" w:hAnsi="Times"/>
        </w:rPr>
        <w:t xml:space="preserve"> In this way, they complied with </w:t>
      </w:r>
      <w:proofErr w:type="spellStart"/>
      <w:r w:rsidR="00DD6C73" w:rsidRPr="00065C0C">
        <w:rPr>
          <w:rFonts w:ascii="Times" w:hAnsi="Times"/>
          <w:shd w:val="clear" w:color="auto" w:fill="FBFBFB"/>
        </w:rPr>
        <w:t>Hennink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, </w:t>
      </w:r>
      <w:proofErr w:type="spellStart"/>
      <w:r w:rsidR="00DD6C73" w:rsidRPr="00065C0C">
        <w:rPr>
          <w:rFonts w:ascii="Times" w:hAnsi="Times"/>
          <w:shd w:val="clear" w:color="auto" w:fill="FBFBFB"/>
        </w:rPr>
        <w:t>Hutter</w:t>
      </w:r>
      <w:proofErr w:type="spellEnd"/>
      <w:r w:rsidR="00DD6C73" w:rsidRPr="00065C0C">
        <w:rPr>
          <w:rFonts w:ascii="Times" w:hAnsi="Times"/>
          <w:shd w:val="clear" w:color="auto" w:fill="FBFBFB"/>
        </w:rPr>
        <w:t xml:space="preserve"> and Bailey</w:t>
      </w:r>
      <w:r w:rsidRPr="00065C0C">
        <w:rPr>
          <w:rFonts w:ascii="Times" w:hAnsi="Times"/>
        </w:rPr>
        <w:t xml:space="preserve">’s advice to acknowledge ‘the existence of different knowledge </w:t>
      </w:r>
      <w:r w:rsidRPr="00065C0C">
        <w:rPr>
          <w:rFonts w:ascii="Times" w:hAnsi="Times"/>
        </w:rPr>
        <w:lastRenderedPageBreak/>
        <w:t>systems’.</w:t>
      </w:r>
      <w:r w:rsidRPr="00065C0C">
        <w:rPr>
          <w:rFonts w:ascii="Times" w:eastAsia="Times Roman" w:hAnsi="Times" w:cs="Times Roman"/>
          <w:vertAlign w:val="superscript"/>
        </w:rPr>
        <w:footnoteReference w:id="40"/>
      </w:r>
      <w:r w:rsidRPr="00065C0C">
        <w:rPr>
          <w:rFonts w:ascii="Times" w:hAnsi="Times"/>
        </w:rPr>
        <w:t xml:space="preserve"> To conclude, the examined evidence suggests that Walter and Waterhouse were more cautious about their personal bias when conducting their research.</w:t>
      </w:r>
    </w:p>
    <w:p w:rsidR="00C90781" w:rsidRPr="00065C0C" w:rsidRDefault="00C90781">
      <w:pPr>
        <w:pStyle w:val="Body"/>
        <w:rPr>
          <w:rFonts w:ascii="Times" w:eastAsia="Times Roman" w:hAnsi="Times" w:cs="Times Roman"/>
        </w:rPr>
      </w:pPr>
    </w:p>
    <w:p w:rsidR="00C90781" w:rsidRPr="00065C0C" w:rsidRDefault="00D44A71">
      <w:pPr>
        <w:pStyle w:val="Body"/>
        <w:rPr>
          <w:rFonts w:ascii="Times" w:eastAsia="Times Roman" w:hAnsi="Times" w:cs="Times Roman"/>
          <w:b/>
          <w:bCs/>
        </w:rPr>
      </w:pPr>
      <w:r w:rsidRPr="00065C0C">
        <w:rPr>
          <w:rFonts w:ascii="Times" w:hAnsi="Times"/>
          <w:b/>
          <w:bCs/>
        </w:rPr>
        <w:t>Conclusion</w:t>
      </w:r>
    </w:p>
    <w:p w:rsidR="00C90781" w:rsidRPr="00065C0C" w:rsidRDefault="00D44A71">
      <w:pPr>
        <w:pStyle w:val="Body"/>
        <w:rPr>
          <w:rFonts w:ascii="Times" w:hAnsi="Times"/>
        </w:rPr>
      </w:pPr>
      <w:r w:rsidRPr="00065C0C">
        <w:rPr>
          <w:rFonts w:ascii="Times" w:hAnsi="Times"/>
        </w:rPr>
        <w:t xml:space="preserve">This paper has reviewed three aspects of research conducted by </w:t>
      </w:r>
      <w:r w:rsidR="00F50FA7">
        <w:rPr>
          <w:rFonts w:ascii="Times" w:hAnsi="Times"/>
        </w:rPr>
        <w:t>Brink</w:t>
      </w:r>
      <w:r w:rsidRPr="00065C0C">
        <w:rPr>
          <w:rFonts w:ascii="Times" w:hAnsi="Times"/>
        </w:rPr>
        <w:t xml:space="preserve">, and by Walter and Waterhouse. </w:t>
      </w:r>
      <w:r w:rsidR="00F50FA7">
        <w:rPr>
          <w:rFonts w:ascii="Times" w:hAnsi="Times"/>
        </w:rPr>
        <w:t>Brink</w:t>
      </w:r>
      <w:r w:rsidRPr="00065C0C">
        <w:rPr>
          <w:rFonts w:ascii="Times" w:hAnsi="Times"/>
        </w:rPr>
        <w:t xml:space="preserve"> made citations to explain the reason of his research but </w:t>
      </w:r>
      <w:r w:rsidR="00095505">
        <w:rPr>
          <w:rFonts w:ascii="Times" w:hAnsi="Times"/>
        </w:rPr>
        <w:t xml:space="preserve">did not refer to any </w:t>
      </w:r>
      <w:r w:rsidRPr="00065C0C">
        <w:rPr>
          <w:rFonts w:ascii="Times" w:hAnsi="Times"/>
        </w:rPr>
        <w:t xml:space="preserve">deep study on the issues of Roman Catholic dogma, reincarnation </w:t>
      </w:r>
      <w:r w:rsidR="00095505">
        <w:rPr>
          <w:rFonts w:ascii="Times" w:hAnsi="Times"/>
        </w:rPr>
        <w:t>or</w:t>
      </w:r>
      <w:r w:rsidRPr="00065C0C">
        <w:rPr>
          <w:rFonts w:ascii="Times" w:hAnsi="Times"/>
        </w:rPr>
        <w:t xml:space="preserve"> astrology</w:t>
      </w:r>
      <w:r w:rsidR="00095505">
        <w:rPr>
          <w:rFonts w:ascii="Times" w:hAnsi="Times"/>
        </w:rPr>
        <w:t xml:space="preserve">, except for </w:t>
      </w:r>
      <w:proofErr w:type="spellStart"/>
      <w:r w:rsidR="00095505">
        <w:rPr>
          <w:rFonts w:ascii="Times" w:hAnsi="Times"/>
        </w:rPr>
        <w:t>Wuthnow’s</w:t>
      </w:r>
      <w:proofErr w:type="spellEnd"/>
      <w:r w:rsidR="00095505">
        <w:rPr>
          <w:rFonts w:ascii="Times" w:hAnsi="Times"/>
        </w:rPr>
        <w:t xml:space="preserve"> paper</w:t>
      </w:r>
      <w:r w:rsidRPr="00065C0C">
        <w:rPr>
          <w:rFonts w:ascii="Times" w:hAnsi="Times"/>
        </w:rPr>
        <w:t>.</w:t>
      </w:r>
      <w:r w:rsidR="003857C0">
        <w:rPr>
          <w:rStyle w:val="Refdenotaalpie"/>
          <w:rFonts w:ascii="Times" w:hAnsi="Times"/>
        </w:rPr>
        <w:footnoteReference w:id="41"/>
      </w:r>
      <w:r w:rsidRPr="00065C0C">
        <w:rPr>
          <w:rFonts w:ascii="Times" w:hAnsi="Times"/>
        </w:rPr>
        <w:t xml:space="preserve"> His participants did not take part of the research freely and he psychoanalyzed their answers according to his personal bias.</w:t>
      </w:r>
      <w:r w:rsidRPr="00065C0C">
        <w:rPr>
          <w:rFonts w:ascii="Times" w:eastAsia="Times Roman" w:hAnsi="Times" w:cs="Times Roman"/>
          <w:vertAlign w:val="superscript"/>
        </w:rPr>
        <w:footnoteReference w:id="42"/>
      </w:r>
      <w:r w:rsidRPr="00065C0C">
        <w:rPr>
          <w:rFonts w:ascii="Times" w:hAnsi="Times"/>
        </w:rPr>
        <w:t xml:space="preserve"> Contrarily, Walter and Waterhouse cited secondary sources abundantly and coherently. They invited their participants into the study and showed concern and </w:t>
      </w:r>
      <w:r w:rsidR="007877A1" w:rsidRPr="00065C0C">
        <w:rPr>
          <w:rFonts w:ascii="Times" w:hAnsi="Times"/>
        </w:rPr>
        <w:t>caution</w:t>
      </w:r>
      <w:r w:rsidRPr="00065C0C">
        <w:rPr>
          <w:rFonts w:ascii="Times" w:hAnsi="Times"/>
        </w:rPr>
        <w:t xml:space="preserve"> when analyzing the </w:t>
      </w:r>
      <w:r w:rsidR="00095505">
        <w:rPr>
          <w:rFonts w:ascii="Times" w:hAnsi="Times"/>
        </w:rPr>
        <w:t xml:space="preserve">gathered </w:t>
      </w:r>
      <w:r w:rsidRPr="00065C0C">
        <w:rPr>
          <w:rFonts w:ascii="Times" w:hAnsi="Times"/>
        </w:rPr>
        <w:t>data.</w:t>
      </w:r>
      <w:r w:rsidRPr="00065C0C">
        <w:rPr>
          <w:rFonts w:ascii="Times" w:eastAsia="Times Roman" w:hAnsi="Times" w:cs="Times Roman"/>
          <w:vertAlign w:val="superscript"/>
        </w:rPr>
        <w:footnoteReference w:id="43"/>
      </w:r>
    </w:p>
    <w:p w:rsidR="00F823FA" w:rsidRDefault="00F823FA">
      <w:pPr>
        <w:pStyle w:val="Body"/>
        <w:rPr>
          <w:rFonts w:ascii="Times Roman" w:hAnsi="Times Roman"/>
        </w:rPr>
      </w:pPr>
    </w:p>
    <w:p w:rsidR="00F823FA" w:rsidRDefault="00F823FA">
      <w:pPr>
        <w:pStyle w:val="Body"/>
        <w:rPr>
          <w:rFonts w:ascii="Times Roman" w:hAnsi="Times Roman"/>
          <w:b/>
          <w:bCs/>
        </w:rPr>
      </w:pPr>
      <w:r w:rsidRPr="00F823FA">
        <w:rPr>
          <w:rFonts w:ascii="Times Roman" w:hAnsi="Times Roman"/>
          <w:b/>
          <w:bCs/>
        </w:rPr>
        <w:t>Bibliography</w:t>
      </w:r>
    </w:p>
    <w:p w:rsidR="001A1DF7" w:rsidRPr="00B96F68" w:rsidRDefault="001A1DF7" w:rsidP="001A1DF7">
      <w:pPr>
        <w:pStyle w:val="Textonotapie"/>
        <w:rPr>
          <w:rFonts w:ascii="Times" w:hAnsi="Times"/>
        </w:rPr>
      </w:pPr>
      <w:r w:rsidRPr="00B96F68">
        <w:rPr>
          <w:rFonts w:ascii="Times" w:hAnsi="Times"/>
        </w:rPr>
        <w:t>Bell</w:t>
      </w:r>
      <w:r>
        <w:rPr>
          <w:rFonts w:ascii="Times" w:hAnsi="Times"/>
        </w:rPr>
        <w:t xml:space="preserve">, </w:t>
      </w:r>
      <w:r w:rsidRPr="00B96F68">
        <w:rPr>
          <w:rFonts w:ascii="Times" w:hAnsi="Times"/>
        </w:rPr>
        <w:t xml:space="preserve">Judith and Stephen Waters, </w:t>
      </w:r>
      <w:r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 xml:space="preserve"> (London: Open University Press, 2018).</w:t>
      </w:r>
    </w:p>
    <w:p w:rsidR="001A1DF7" w:rsidRDefault="001A1DF7" w:rsidP="001A1DF7">
      <w:pPr>
        <w:pStyle w:val="Body"/>
        <w:rPr>
          <w:rFonts w:ascii="Times" w:hAnsi="Times"/>
          <w:sz w:val="20"/>
          <w:szCs w:val="20"/>
        </w:rPr>
      </w:pPr>
      <w:r w:rsidRPr="00B96F68">
        <w:rPr>
          <w:rFonts w:ascii="Times" w:hAnsi="Times"/>
          <w:sz w:val="20"/>
          <w:szCs w:val="20"/>
        </w:rPr>
        <w:t xml:space="preserve">Biographical information about Helen Waterhouse, The Open University at </w:t>
      </w:r>
      <w:hyperlink r:id="rId8" w:history="1">
        <w:r w:rsidRPr="00B96F68">
          <w:rPr>
            <w:rStyle w:val="Hipervnculo"/>
            <w:rFonts w:ascii="Times" w:hAnsi="Times"/>
            <w:sz w:val="20"/>
            <w:szCs w:val="20"/>
          </w:rPr>
          <w:t>http://www.open.ac.uk/people/hjw26</w:t>
        </w:r>
      </w:hyperlink>
      <w:r w:rsidRPr="00B96F68">
        <w:rPr>
          <w:rFonts w:ascii="Times" w:hAnsi="Times"/>
          <w:sz w:val="20"/>
          <w:szCs w:val="20"/>
        </w:rPr>
        <w:t>, accessed 28</w:t>
      </w:r>
      <w:r w:rsidRPr="00B96F68">
        <w:rPr>
          <w:rFonts w:ascii="Times" w:hAnsi="Times"/>
          <w:sz w:val="20"/>
          <w:szCs w:val="20"/>
          <w:vertAlign w:val="superscript"/>
        </w:rPr>
        <w:t>th</w:t>
      </w:r>
      <w:r w:rsidRPr="00B96F68">
        <w:rPr>
          <w:rFonts w:ascii="Times" w:hAnsi="Times"/>
          <w:sz w:val="20"/>
          <w:szCs w:val="20"/>
        </w:rPr>
        <w:t xml:space="preserve"> May 2020.</w:t>
      </w:r>
    </w:p>
    <w:p w:rsidR="001A1DF7" w:rsidRPr="00B96F68" w:rsidRDefault="001A1DF7" w:rsidP="001A1DF7">
      <w:pPr>
        <w:pStyle w:val="Textonotapie"/>
        <w:rPr>
          <w:rFonts w:ascii="Times" w:hAnsi="Times"/>
        </w:rPr>
      </w:pPr>
      <w:r w:rsidRPr="00B96F68">
        <w:rPr>
          <w:rFonts w:ascii="Times" w:hAnsi="Times"/>
        </w:rPr>
        <w:t xml:space="preserve">Biographical information about T. L. Brink, Crafton Hills College, at </w:t>
      </w:r>
      <w:hyperlink r:id="rId9" w:history="1">
        <w:r w:rsidRPr="00B96F68">
          <w:rPr>
            <w:rStyle w:val="Hipervnculo"/>
            <w:rFonts w:ascii="Times" w:hAnsi="Times"/>
          </w:rPr>
          <w:t>https://craftonhills.academia.edu/TLBrink</w:t>
        </w:r>
      </w:hyperlink>
      <w:r w:rsidRPr="00B96F68">
        <w:rPr>
          <w:rFonts w:ascii="Times" w:hAnsi="Times"/>
        </w:rPr>
        <w:t>, accessed 28</w:t>
      </w:r>
      <w:r w:rsidRPr="00B96F68">
        <w:rPr>
          <w:rFonts w:ascii="Times" w:hAnsi="Times"/>
          <w:vertAlign w:val="superscript"/>
        </w:rPr>
        <w:t>th</w:t>
      </w:r>
      <w:r w:rsidRPr="00B96F68">
        <w:rPr>
          <w:rFonts w:ascii="Times" w:hAnsi="Times"/>
        </w:rPr>
        <w:t xml:space="preserve"> May 2020.</w:t>
      </w:r>
    </w:p>
    <w:p w:rsidR="001A1DF7" w:rsidRPr="00B96F68" w:rsidRDefault="001A1DF7" w:rsidP="001A1DF7">
      <w:pPr>
        <w:pStyle w:val="Textonotapie"/>
        <w:rPr>
          <w:rFonts w:ascii="Times" w:hAnsi="Times"/>
        </w:rPr>
      </w:pPr>
      <w:r w:rsidRPr="00B96F68">
        <w:rPr>
          <w:rFonts w:ascii="Times" w:hAnsi="Times"/>
        </w:rPr>
        <w:t xml:space="preserve">Biographical information about Tony Walter, University of Bath at </w:t>
      </w:r>
      <w:hyperlink r:id="rId10" w:history="1">
        <w:r w:rsidRPr="00B96F68">
          <w:rPr>
            <w:rStyle w:val="Hipervnculo"/>
            <w:rFonts w:ascii="Times" w:hAnsi="Times"/>
          </w:rPr>
          <w:t>https://researchportal.bath.ac.uk/en/persons/tony-walter</w:t>
        </w:r>
      </w:hyperlink>
      <w:r w:rsidRPr="00B96F68">
        <w:rPr>
          <w:rFonts w:ascii="Times" w:hAnsi="Times"/>
        </w:rPr>
        <w:t>, accessed 28</w:t>
      </w:r>
      <w:r w:rsidRPr="00B96F68">
        <w:rPr>
          <w:rFonts w:ascii="Times" w:hAnsi="Times"/>
          <w:vertAlign w:val="superscript"/>
        </w:rPr>
        <w:t>th</w:t>
      </w:r>
      <w:r w:rsidRPr="00B96F68">
        <w:rPr>
          <w:rFonts w:ascii="Times" w:hAnsi="Times"/>
        </w:rPr>
        <w:t xml:space="preserve"> May 2020.</w:t>
      </w:r>
    </w:p>
    <w:p w:rsidR="00065C0C" w:rsidRPr="00B96F68" w:rsidRDefault="00065C0C" w:rsidP="00065C0C">
      <w:pPr>
        <w:pStyle w:val="Body"/>
        <w:rPr>
          <w:rFonts w:ascii="Times" w:eastAsia="Times Roman" w:hAnsi="Times" w:cs="Times Roman"/>
          <w:sz w:val="20"/>
          <w:szCs w:val="20"/>
        </w:rPr>
      </w:pPr>
      <w:r w:rsidRPr="00B96F68">
        <w:rPr>
          <w:rFonts w:ascii="Times" w:hAnsi="Times"/>
          <w:sz w:val="20"/>
          <w:szCs w:val="20"/>
        </w:rPr>
        <w:t>Brink</w:t>
      </w:r>
      <w:r w:rsidR="001A1DF7">
        <w:rPr>
          <w:rFonts w:ascii="Times" w:hAnsi="Times"/>
          <w:sz w:val="20"/>
          <w:szCs w:val="20"/>
        </w:rPr>
        <w:t xml:space="preserve"> </w:t>
      </w:r>
      <w:r w:rsidR="001A1DF7" w:rsidRPr="00B96F68">
        <w:rPr>
          <w:rFonts w:ascii="Times" w:hAnsi="Times"/>
          <w:sz w:val="20"/>
          <w:szCs w:val="20"/>
        </w:rPr>
        <w:t>T. L.</w:t>
      </w:r>
      <w:r w:rsidRPr="00B96F68">
        <w:rPr>
          <w:rFonts w:ascii="Times" w:hAnsi="Times"/>
          <w:sz w:val="20"/>
          <w:szCs w:val="20"/>
        </w:rPr>
        <w:t xml:space="preserve">, ‘Inconsistency of Belief among Roman Catholic Girls: Concerning Religion, Astrology, Reincarnation’, </w:t>
      </w:r>
      <w:r w:rsidRPr="00B96F68">
        <w:rPr>
          <w:rFonts w:ascii="Times" w:hAnsi="Times"/>
          <w:i/>
          <w:iCs/>
          <w:sz w:val="20"/>
          <w:szCs w:val="20"/>
        </w:rPr>
        <w:t>Review of Religious Research</w:t>
      </w:r>
      <w:r w:rsidRPr="00B96F68">
        <w:rPr>
          <w:rFonts w:ascii="Times" w:hAnsi="Times"/>
          <w:sz w:val="20"/>
          <w:szCs w:val="20"/>
        </w:rPr>
        <w:t>, 20.1 (Autumn 1978), 82-85.</w:t>
      </w:r>
    </w:p>
    <w:p w:rsidR="001A1DF7" w:rsidRPr="00F823FA" w:rsidRDefault="001A1DF7" w:rsidP="001A1DF7">
      <w:pPr>
        <w:pStyle w:val="Body"/>
        <w:rPr>
          <w:b/>
          <w:bCs/>
        </w:rPr>
      </w:pPr>
      <w:r w:rsidRPr="00B96F68">
        <w:rPr>
          <w:rFonts w:ascii="Times" w:hAnsi="Times"/>
          <w:sz w:val="20"/>
          <w:szCs w:val="20"/>
        </w:rPr>
        <w:t>Bryman, Alan</w:t>
      </w:r>
      <w:r>
        <w:rPr>
          <w:rFonts w:ascii="Times" w:hAnsi="Times"/>
          <w:sz w:val="20"/>
          <w:szCs w:val="20"/>
        </w:rPr>
        <w:t>,</w:t>
      </w:r>
      <w:r w:rsidRPr="00B96F68">
        <w:rPr>
          <w:rFonts w:ascii="Times" w:hAnsi="Times"/>
          <w:sz w:val="20"/>
          <w:szCs w:val="20"/>
        </w:rPr>
        <w:t xml:space="preserve"> </w:t>
      </w:r>
      <w:r w:rsidRPr="00B96F68">
        <w:rPr>
          <w:rFonts w:ascii="Times" w:hAnsi="Times"/>
          <w:i/>
          <w:iCs/>
          <w:sz w:val="20"/>
          <w:szCs w:val="20"/>
        </w:rPr>
        <w:t>Quantity and Quality in Social Research</w:t>
      </w:r>
      <w:r w:rsidRPr="00B96F68">
        <w:rPr>
          <w:rFonts w:ascii="Times" w:hAnsi="Times"/>
          <w:sz w:val="20"/>
          <w:szCs w:val="20"/>
        </w:rPr>
        <w:t xml:space="preserve"> (London:</w:t>
      </w:r>
      <w:r w:rsidR="00990A36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Routledge</w:t>
      </w:r>
      <w:r w:rsidRPr="00B96F68">
        <w:rPr>
          <w:rFonts w:ascii="Times" w:hAnsi="Times"/>
          <w:sz w:val="20"/>
          <w:szCs w:val="20"/>
        </w:rPr>
        <w:t xml:space="preserve"> 2000).</w:t>
      </w:r>
    </w:p>
    <w:p w:rsidR="001A1DF7" w:rsidRPr="00B96F68" w:rsidRDefault="001A1DF7" w:rsidP="001A1DF7">
      <w:pPr>
        <w:pStyle w:val="Textonotapie"/>
        <w:rPr>
          <w:rFonts w:ascii="Times" w:eastAsia="Times New Roman" w:hAnsi="Times" w:cs="Times New Roman"/>
        </w:rPr>
      </w:pPr>
      <w:r w:rsidRPr="00B96F68">
        <w:rPr>
          <w:rFonts w:ascii="Times" w:hAnsi="Times"/>
        </w:rPr>
        <w:t>Feher, Shoshanah</w:t>
      </w:r>
      <w:r>
        <w:rPr>
          <w:rFonts w:ascii="Times" w:hAnsi="Times"/>
        </w:rPr>
        <w:t>,</w:t>
      </w:r>
      <w:r w:rsidRPr="00B96F68">
        <w:rPr>
          <w:rFonts w:ascii="Times" w:hAnsi="Times"/>
        </w:rPr>
        <w:t xml:space="preserve"> ‘Who Looks To The Stars? Astrology And Its Constituency’, </w:t>
      </w:r>
      <w:r w:rsidRPr="00B96F68">
        <w:rPr>
          <w:rFonts w:ascii="Times" w:hAnsi="Times"/>
          <w:i/>
          <w:iCs/>
        </w:rPr>
        <w:t>Journal For The Scientific Study Of Religion</w:t>
      </w:r>
      <w:r w:rsidRPr="00B96F68">
        <w:rPr>
          <w:rFonts w:ascii="Times" w:hAnsi="Times"/>
        </w:rPr>
        <w:t>, 31.1 (Mar., 1992), 88-93.</w:t>
      </w:r>
    </w:p>
    <w:p w:rsidR="001A1DF7" w:rsidRDefault="001A1DF7" w:rsidP="001A1DF7">
      <w:pPr>
        <w:pStyle w:val="Body"/>
        <w:rPr>
          <w:rFonts w:ascii="Times" w:eastAsia="Times New Roman" w:hAnsi="Times"/>
          <w:sz w:val="20"/>
          <w:szCs w:val="20"/>
          <w:bdr w:val="none" w:sz="0" w:space="0" w:color="auto"/>
        </w:rPr>
      </w:pPr>
      <w:r w:rsidRPr="00B96F68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French, 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>J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>ohn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 R. P.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, 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>‘</w:t>
      </w:r>
      <w:r w:rsidRPr="00B96F68">
        <w:rPr>
          <w:rFonts w:ascii="Times" w:eastAsia="Times New Roman" w:hAnsi="Times"/>
          <w:sz w:val="20"/>
          <w:szCs w:val="20"/>
          <w:bdr w:val="none" w:sz="0" w:space="0" w:color="auto"/>
        </w:rPr>
        <w:t>Experiments in field settings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’, </w:t>
      </w:r>
      <w:r w:rsidRPr="00B96F68">
        <w:rPr>
          <w:rFonts w:ascii="Times" w:eastAsia="Times New Roman" w:hAnsi="Times"/>
          <w:i/>
          <w:iCs/>
          <w:sz w:val="20"/>
          <w:szCs w:val="20"/>
          <w:bdr w:val="none" w:sz="0" w:space="0" w:color="auto"/>
        </w:rPr>
        <w:t>Research methods in the behavioral sciences</w:t>
      </w:r>
      <w:r w:rsidRPr="002A48A7">
        <w:rPr>
          <w:rFonts w:ascii="Times" w:eastAsia="Times New Roman" w:hAnsi="Times"/>
          <w:i/>
          <w:iCs/>
          <w:sz w:val="20"/>
          <w:szCs w:val="20"/>
          <w:bdr w:val="none" w:sz="0" w:space="0" w:color="auto"/>
        </w:rPr>
        <w:t xml:space="preserve">, 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>ed. by L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>eon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 Festinger and D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>aniel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 Katz (New York: Holt </w:t>
      </w:r>
      <w:proofErr w:type="spellStart"/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>Rinhehart</w:t>
      </w:r>
      <w:proofErr w:type="spellEnd"/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 and Winston, 1963), p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>p</w:t>
      </w:r>
      <w:r w:rsidRPr="002A48A7">
        <w:rPr>
          <w:rFonts w:ascii="Times" w:eastAsia="Times New Roman" w:hAnsi="Times"/>
          <w:sz w:val="20"/>
          <w:szCs w:val="20"/>
          <w:bdr w:val="none" w:sz="0" w:space="0" w:color="auto"/>
        </w:rPr>
        <w:t>.</w:t>
      </w:r>
      <w:r>
        <w:rPr>
          <w:rFonts w:ascii="Times" w:eastAsia="Times New Roman" w:hAnsi="Times"/>
          <w:sz w:val="20"/>
          <w:szCs w:val="20"/>
          <w:bdr w:val="none" w:sz="0" w:space="0" w:color="auto"/>
        </w:rPr>
        <w:t xml:space="preserve"> 98-135.</w:t>
      </w:r>
    </w:p>
    <w:p w:rsidR="001A1DF7" w:rsidRDefault="001A1DF7" w:rsidP="001A1DF7">
      <w:pPr>
        <w:pStyle w:val="Body"/>
        <w:rPr>
          <w:rFonts w:ascii="Times" w:hAnsi="Times"/>
          <w:sz w:val="20"/>
          <w:szCs w:val="20"/>
        </w:rPr>
      </w:pPr>
      <w:proofErr w:type="spellStart"/>
      <w:r w:rsidRPr="00B96F68">
        <w:rPr>
          <w:rFonts w:ascii="Times" w:hAnsi="Times"/>
          <w:sz w:val="20"/>
          <w:szCs w:val="20"/>
        </w:rPr>
        <w:t>Hennink</w:t>
      </w:r>
      <w:proofErr w:type="spellEnd"/>
      <w:r w:rsidRPr="00B96F68">
        <w:rPr>
          <w:rFonts w:ascii="Times" w:hAnsi="Times"/>
          <w:sz w:val="20"/>
          <w:szCs w:val="20"/>
        </w:rPr>
        <w:t>, Monique</w:t>
      </w:r>
      <w:r>
        <w:rPr>
          <w:rFonts w:ascii="Times" w:hAnsi="Times"/>
          <w:sz w:val="20"/>
          <w:szCs w:val="20"/>
        </w:rPr>
        <w:t>,</w:t>
      </w:r>
      <w:r w:rsidRPr="00B96F68">
        <w:rPr>
          <w:rFonts w:ascii="Times" w:hAnsi="Times"/>
          <w:sz w:val="20"/>
          <w:szCs w:val="20"/>
        </w:rPr>
        <w:t xml:space="preserve"> Inge </w:t>
      </w:r>
      <w:proofErr w:type="spellStart"/>
      <w:r w:rsidRPr="00B96F68">
        <w:rPr>
          <w:rFonts w:ascii="Times" w:hAnsi="Times"/>
          <w:sz w:val="20"/>
          <w:szCs w:val="20"/>
        </w:rPr>
        <w:t>Hutter</w:t>
      </w:r>
      <w:proofErr w:type="spellEnd"/>
      <w:r w:rsidRPr="00B96F68">
        <w:rPr>
          <w:rFonts w:ascii="Times" w:hAnsi="Times"/>
          <w:sz w:val="20"/>
          <w:szCs w:val="20"/>
        </w:rPr>
        <w:t xml:space="preserve"> and Ajay Bailey, </w:t>
      </w:r>
      <w:r w:rsidRPr="00B96F68">
        <w:rPr>
          <w:rFonts w:ascii="Times" w:hAnsi="Times"/>
          <w:i/>
          <w:iCs/>
          <w:sz w:val="20"/>
          <w:szCs w:val="20"/>
        </w:rPr>
        <w:t>Qualitative Research Methods</w:t>
      </w:r>
      <w:r w:rsidRPr="00B96F68">
        <w:rPr>
          <w:rFonts w:ascii="Times" w:hAnsi="Times"/>
          <w:sz w:val="20"/>
          <w:szCs w:val="20"/>
        </w:rPr>
        <w:t xml:space="preserve"> (</w:t>
      </w:r>
      <w:r w:rsidR="00990A36">
        <w:rPr>
          <w:rFonts w:ascii="Times" w:hAnsi="Times"/>
          <w:sz w:val="20"/>
          <w:szCs w:val="20"/>
        </w:rPr>
        <w:t xml:space="preserve">Los Angeles; </w:t>
      </w:r>
      <w:r w:rsidRPr="00B96F68">
        <w:rPr>
          <w:rFonts w:ascii="Times" w:hAnsi="Times"/>
          <w:sz w:val="20"/>
          <w:szCs w:val="20"/>
        </w:rPr>
        <w:t>London: SAGE Publications, 2020)</w:t>
      </w:r>
      <w:r>
        <w:rPr>
          <w:rFonts w:ascii="Times" w:hAnsi="Times"/>
          <w:sz w:val="20"/>
          <w:szCs w:val="20"/>
        </w:rPr>
        <w:t>.</w:t>
      </w:r>
    </w:p>
    <w:p w:rsidR="0046639F" w:rsidRDefault="0046639F" w:rsidP="0046639F">
      <w:pPr>
        <w:pStyle w:val="Body"/>
        <w:rPr>
          <w:rFonts w:ascii="Times" w:hAnsi="Times"/>
          <w:sz w:val="20"/>
          <w:szCs w:val="20"/>
        </w:rPr>
      </w:pPr>
      <w:r w:rsidRPr="00B96F68">
        <w:rPr>
          <w:rFonts w:ascii="Times" w:hAnsi="Times"/>
          <w:sz w:val="20"/>
          <w:szCs w:val="20"/>
        </w:rPr>
        <w:t>Walter</w:t>
      </w:r>
      <w:r>
        <w:rPr>
          <w:rFonts w:ascii="Times" w:hAnsi="Times"/>
          <w:sz w:val="20"/>
          <w:szCs w:val="20"/>
        </w:rPr>
        <w:t xml:space="preserve">, </w:t>
      </w:r>
      <w:r w:rsidRPr="00B96F68">
        <w:rPr>
          <w:rFonts w:ascii="Times" w:hAnsi="Times"/>
          <w:sz w:val="20"/>
          <w:szCs w:val="20"/>
        </w:rPr>
        <w:t xml:space="preserve">Tony and Helen Waterhouse, ‘A Very Private Belief: Reincarnation in Contemporary England’, </w:t>
      </w:r>
      <w:r w:rsidRPr="00B96F68">
        <w:rPr>
          <w:rFonts w:ascii="Times" w:hAnsi="Times"/>
          <w:i/>
          <w:iCs/>
          <w:sz w:val="20"/>
          <w:szCs w:val="20"/>
        </w:rPr>
        <w:t>Sociology of Religion</w:t>
      </w:r>
      <w:r w:rsidRPr="00B96F68">
        <w:rPr>
          <w:rFonts w:ascii="Times" w:hAnsi="Times"/>
          <w:sz w:val="20"/>
          <w:szCs w:val="20"/>
        </w:rPr>
        <w:t>, 60.2 (Summer, 1999).</w:t>
      </w:r>
    </w:p>
    <w:p w:rsidR="001A1DF7" w:rsidRPr="002A48A7" w:rsidRDefault="0090495D" w:rsidP="001A1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Times" w:eastAsia="Times New Roman" w:hAnsi="Times"/>
          <w:sz w:val="20"/>
          <w:szCs w:val="20"/>
          <w:bdr w:val="none" w:sz="0" w:space="0" w:color="auto"/>
          <w:lang w:eastAsia="es-ES_tradnl"/>
        </w:rPr>
      </w:pPr>
      <w:r w:rsidRPr="00926960">
        <w:rPr>
          <w:color w:val="000000"/>
          <w:sz w:val="20"/>
          <w:szCs w:val="20"/>
        </w:rPr>
        <w:t xml:space="preserve">Wuthnow, Robert </w:t>
      </w:r>
      <w:r>
        <w:rPr>
          <w:color w:val="000000"/>
          <w:sz w:val="20"/>
          <w:szCs w:val="20"/>
        </w:rPr>
        <w:t xml:space="preserve">, </w:t>
      </w:r>
      <w:r w:rsidRPr="00926960">
        <w:rPr>
          <w:color w:val="000000"/>
          <w:sz w:val="20"/>
          <w:szCs w:val="20"/>
        </w:rPr>
        <w:t xml:space="preserve">‘Astrology And Marginality’, </w:t>
      </w:r>
      <w:r w:rsidRPr="00926960">
        <w:rPr>
          <w:i/>
          <w:color w:val="000000"/>
          <w:sz w:val="20"/>
          <w:szCs w:val="20"/>
        </w:rPr>
        <w:t>Journal For The Scientific Study Of Religion</w:t>
      </w:r>
      <w:r w:rsidRPr="00926960">
        <w:rPr>
          <w:color w:val="000000"/>
          <w:sz w:val="20"/>
          <w:szCs w:val="20"/>
        </w:rPr>
        <w:t>, 15.2 (Jun., 1976), 157-168</w:t>
      </w:r>
    </w:p>
    <w:p w:rsidR="001A1DF7" w:rsidRPr="0090495D" w:rsidRDefault="001A1DF7">
      <w:pPr>
        <w:pStyle w:val="Body"/>
        <w:rPr>
          <w:rFonts w:ascii="Times" w:hAnsi="Times"/>
          <w:b/>
          <w:bCs/>
        </w:rPr>
      </w:pPr>
    </w:p>
    <w:sectPr w:rsidR="001A1DF7" w:rsidRPr="0090495D" w:rsidSect="00C96FB6">
      <w:headerReference w:type="even" r:id="rId11"/>
      <w:headerReference w:type="default" r:id="rId12"/>
      <w:pgSz w:w="11900" w:h="16840"/>
      <w:pgMar w:top="1134" w:right="170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3175E" w:rsidRDefault="00C3175E">
      <w:r>
        <w:separator/>
      </w:r>
    </w:p>
  </w:endnote>
  <w:endnote w:type="continuationSeparator" w:id="0">
    <w:p w:rsidR="00C3175E" w:rsidRDefault="00C31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Times Roman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3175E" w:rsidRDefault="00C3175E">
      <w:r>
        <w:separator/>
      </w:r>
    </w:p>
  </w:footnote>
  <w:footnote w:type="continuationSeparator" w:id="0">
    <w:p w:rsidR="00C3175E" w:rsidRDefault="00C3175E">
      <w:r>
        <w:continuationSeparator/>
      </w:r>
    </w:p>
  </w:footnote>
  <w:footnote w:type="continuationNotice" w:id="1">
    <w:p w:rsidR="00C3175E" w:rsidRDefault="00C3175E"/>
  </w:footnote>
  <w:footnote w:id="2">
    <w:p w:rsidR="00C90781" w:rsidRPr="00130E0C" w:rsidRDefault="00D44A71">
      <w:pPr>
        <w:pStyle w:val="Body"/>
        <w:rPr>
          <w:rFonts w:ascii="Times" w:eastAsia="Times Roman" w:hAnsi="Times" w:cs="Times Roman"/>
          <w:sz w:val="20"/>
          <w:szCs w:val="20"/>
        </w:rPr>
      </w:pPr>
      <w:r>
        <w:rPr>
          <w:rFonts w:ascii="Times Roman" w:eastAsia="Times Roman" w:hAnsi="Times Roman" w:cs="Times Roman"/>
          <w:vertAlign w:val="superscript"/>
        </w:rPr>
        <w:footnoteRef/>
      </w:r>
      <w:r>
        <w:rPr>
          <w:rFonts w:ascii="Times Roman" w:hAnsi="Times Roman"/>
          <w:sz w:val="20"/>
          <w:szCs w:val="20"/>
        </w:rPr>
        <w:t xml:space="preserve"> </w:t>
      </w:r>
      <w:r w:rsidRPr="00B96F68">
        <w:rPr>
          <w:rFonts w:ascii="Times" w:hAnsi="Times"/>
          <w:sz w:val="20"/>
          <w:szCs w:val="20"/>
        </w:rPr>
        <w:t xml:space="preserve">T. L. Brink, ‘Inconsistency of Belief among Roman Catholic Girls: Concerning Religion, Astrology, Reincarnation’, </w:t>
      </w:r>
      <w:r w:rsidRPr="00B96F68">
        <w:rPr>
          <w:rFonts w:ascii="Times" w:hAnsi="Times"/>
          <w:i/>
          <w:iCs/>
          <w:sz w:val="20"/>
          <w:szCs w:val="20"/>
        </w:rPr>
        <w:t>Review of Religious Research</w:t>
      </w:r>
      <w:r w:rsidRPr="00B96F68">
        <w:rPr>
          <w:rFonts w:ascii="Times" w:hAnsi="Times"/>
          <w:sz w:val="20"/>
          <w:szCs w:val="20"/>
        </w:rPr>
        <w:t>, 20.1 (Autumn 1978), 82-85</w:t>
      </w:r>
      <w:r w:rsidR="00130E0C">
        <w:rPr>
          <w:rFonts w:ascii="Times" w:hAnsi="Times"/>
          <w:sz w:val="20"/>
          <w:szCs w:val="20"/>
        </w:rPr>
        <w:t xml:space="preserve">; </w:t>
      </w:r>
      <w:r w:rsidRPr="00B96F68">
        <w:rPr>
          <w:rFonts w:ascii="Times" w:hAnsi="Times"/>
          <w:sz w:val="20"/>
          <w:szCs w:val="20"/>
        </w:rPr>
        <w:t xml:space="preserve">Tony Walter and Helen Waterhouse, ‘A Very Private Belief: Reincarnation in Contemporary England’, </w:t>
      </w:r>
      <w:r w:rsidRPr="00B96F68">
        <w:rPr>
          <w:rFonts w:ascii="Times" w:hAnsi="Times"/>
          <w:i/>
          <w:iCs/>
          <w:sz w:val="20"/>
          <w:szCs w:val="20"/>
        </w:rPr>
        <w:t>Sociology of Religion</w:t>
      </w:r>
      <w:r w:rsidRPr="00B96F68">
        <w:rPr>
          <w:rFonts w:ascii="Times" w:hAnsi="Times"/>
          <w:sz w:val="20"/>
          <w:szCs w:val="20"/>
        </w:rPr>
        <w:t>, 60.2 (Summer, 1999) 187-197.</w:t>
      </w:r>
    </w:p>
  </w:footnote>
  <w:footnote w:id="3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Biographical information about T. L. Brink, Crafton Hills College, </w:t>
      </w:r>
      <w:r w:rsidR="00DD6C73" w:rsidRPr="00B96F68">
        <w:rPr>
          <w:rFonts w:ascii="Times" w:hAnsi="Times"/>
        </w:rPr>
        <w:t xml:space="preserve">at </w:t>
      </w:r>
      <w:hyperlink r:id="rId1" w:history="1">
        <w:r w:rsidR="00DD6C73" w:rsidRPr="00B96F68">
          <w:rPr>
            <w:rStyle w:val="Hipervnculo"/>
            <w:rFonts w:ascii="Times" w:hAnsi="Times"/>
          </w:rPr>
          <w:t>https://craftonhills.academia.edu/TLBrink</w:t>
        </w:r>
      </w:hyperlink>
      <w:r w:rsidR="00DD6C73" w:rsidRPr="00B96F68">
        <w:rPr>
          <w:rFonts w:ascii="Times" w:hAnsi="Times"/>
        </w:rPr>
        <w:t>, accessed 28</w:t>
      </w:r>
      <w:r w:rsidR="00DD6C73" w:rsidRPr="00B96F68">
        <w:rPr>
          <w:rFonts w:ascii="Times" w:hAnsi="Times"/>
          <w:vertAlign w:val="superscript"/>
        </w:rPr>
        <w:t>th</w:t>
      </w:r>
      <w:r w:rsidR="00DD6C73" w:rsidRPr="00B96F68">
        <w:rPr>
          <w:rFonts w:ascii="Times" w:hAnsi="Times"/>
        </w:rPr>
        <w:t xml:space="preserve"> May 2020.</w:t>
      </w:r>
    </w:p>
  </w:footnote>
  <w:footnote w:id="4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DD6C73" w:rsidRPr="00B96F68">
        <w:rPr>
          <w:rFonts w:ascii="Times" w:hAnsi="Times"/>
        </w:rPr>
        <w:t xml:space="preserve">Biographical information about T. L. Brink, Crafton Hills College, at </w:t>
      </w:r>
      <w:hyperlink r:id="rId2" w:history="1">
        <w:r w:rsidR="00DD6C73" w:rsidRPr="00B96F68">
          <w:rPr>
            <w:rStyle w:val="Hipervnculo"/>
            <w:rFonts w:ascii="Times" w:hAnsi="Times"/>
          </w:rPr>
          <w:t>https://craftonhills.academia.edu/TLBrink</w:t>
        </w:r>
      </w:hyperlink>
      <w:r w:rsidR="00DD6C73" w:rsidRPr="00B96F68">
        <w:rPr>
          <w:rFonts w:ascii="Times" w:hAnsi="Times"/>
        </w:rPr>
        <w:t>, accessed 28</w:t>
      </w:r>
      <w:r w:rsidR="00DD6C73" w:rsidRPr="00B96F68">
        <w:rPr>
          <w:rFonts w:ascii="Times" w:hAnsi="Times"/>
          <w:vertAlign w:val="superscript"/>
        </w:rPr>
        <w:t>th</w:t>
      </w:r>
      <w:r w:rsidR="00DD6C73" w:rsidRPr="00B96F68">
        <w:rPr>
          <w:rFonts w:ascii="Times" w:hAnsi="Times"/>
        </w:rPr>
        <w:t xml:space="preserve"> May 2020.</w:t>
      </w:r>
    </w:p>
  </w:footnote>
  <w:footnote w:id="5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DD6C73" w:rsidRPr="00B96F68">
        <w:rPr>
          <w:rFonts w:ascii="Times" w:hAnsi="Times"/>
        </w:rPr>
        <w:t xml:space="preserve">Biographical information about Tony Walter, University of Bath at </w:t>
      </w:r>
      <w:hyperlink r:id="rId3" w:history="1">
        <w:r w:rsidR="00DD6C73" w:rsidRPr="00B96F68">
          <w:rPr>
            <w:rStyle w:val="Hipervnculo"/>
            <w:rFonts w:ascii="Times" w:hAnsi="Times"/>
          </w:rPr>
          <w:t>https://researchportal.bath.ac.uk/en/persons/tony-walter</w:t>
        </w:r>
      </w:hyperlink>
      <w:r w:rsidR="00DD6C73" w:rsidRPr="00B96F68">
        <w:rPr>
          <w:rFonts w:ascii="Times" w:hAnsi="Times"/>
        </w:rPr>
        <w:t>, accessed 28</w:t>
      </w:r>
      <w:r w:rsidR="00DD6C73" w:rsidRPr="00B96F68">
        <w:rPr>
          <w:rFonts w:ascii="Times" w:hAnsi="Times"/>
          <w:vertAlign w:val="superscript"/>
        </w:rPr>
        <w:t>th</w:t>
      </w:r>
      <w:r w:rsidR="00DD6C73" w:rsidRPr="00B96F68">
        <w:rPr>
          <w:rFonts w:ascii="Times" w:hAnsi="Times"/>
        </w:rPr>
        <w:t xml:space="preserve"> May 2020.</w:t>
      </w:r>
    </w:p>
  </w:footnote>
  <w:footnote w:id="6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DD6C73" w:rsidRPr="00B96F68">
        <w:rPr>
          <w:rFonts w:ascii="Times" w:hAnsi="Times"/>
        </w:rPr>
        <w:t xml:space="preserve">Biographical information about Tony Walter, University of Bath at </w:t>
      </w:r>
      <w:hyperlink r:id="rId4" w:history="1">
        <w:r w:rsidR="00DD6C73" w:rsidRPr="00B96F68">
          <w:rPr>
            <w:rStyle w:val="Hipervnculo"/>
            <w:rFonts w:ascii="Times" w:hAnsi="Times"/>
          </w:rPr>
          <w:t>https://researchportal.bath.ac.uk/en/persons/tony-walter</w:t>
        </w:r>
      </w:hyperlink>
      <w:r w:rsidR="00DD6C73" w:rsidRPr="00B96F68">
        <w:rPr>
          <w:rFonts w:ascii="Times" w:hAnsi="Times"/>
        </w:rPr>
        <w:t>, accessed 28</w:t>
      </w:r>
      <w:r w:rsidR="00DD6C73" w:rsidRPr="00B96F68">
        <w:rPr>
          <w:rFonts w:ascii="Times" w:hAnsi="Times"/>
          <w:vertAlign w:val="superscript"/>
        </w:rPr>
        <w:t>th</w:t>
      </w:r>
      <w:r w:rsidR="00DD6C73" w:rsidRPr="00B96F68">
        <w:rPr>
          <w:rFonts w:ascii="Times" w:hAnsi="Times"/>
        </w:rPr>
        <w:t xml:space="preserve"> May 2020.</w:t>
      </w:r>
    </w:p>
  </w:footnote>
  <w:footnote w:id="7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DD6C73" w:rsidRPr="00B96F68">
        <w:rPr>
          <w:rFonts w:ascii="Times" w:hAnsi="Times"/>
        </w:rPr>
        <w:t xml:space="preserve">Biographical information about Helen Waterhouse, The Open University at </w:t>
      </w:r>
      <w:hyperlink r:id="rId5" w:history="1">
        <w:r w:rsidR="00DD6C73" w:rsidRPr="00B96F68">
          <w:rPr>
            <w:rStyle w:val="Hipervnculo"/>
            <w:rFonts w:ascii="Times" w:hAnsi="Times"/>
          </w:rPr>
          <w:t>http://www.open.ac.uk/people/hjw26</w:t>
        </w:r>
      </w:hyperlink>
      <w:r w:rsidR="00DD6C73" w:rsidRPr="00B96F68">
        <w:rPr>
          <w:rFonts w:ascii="Times" w:hAnsi="Times"/>
        </w:rPr>
        <w:t>, accessed 28</w:t>
      </w:r>
      <w:r w:rsidR="00DD6C73" w:rsidRPr="00B96F68">
        <w:rPr>
          <w:rFonts w:ascii="Times" w:hAnsi="Times"/>
          <w:vertAlign w:val="superscript"/>
        </w:rPr>
        <w:t>th</w:t>
      </w:r>
      <w:r w:rsidR="00DD6C73" w:rsidRPr="00B96F68">
        <w:rPr>
          <w:rFonts w:ascii="Times" w:hAnsi="Times"/>
        </w:rPr>
        <w:t xml:space="preserve"> May 2020.</w:t>
      </w:r>
    </w:p>
  </w:footnote>
  <w:footnote w:id="8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188.</w:t>
      </w:r>
    </w:p>
  </w:footnote>
  <w:footnote w:id="9">
    <w:p w:rsidR="00C90781" w:rsidRPr="00130E0C" w:rsidRDefault="00D44A71">
      <w:pPr>
        <w:pStyle w:val="Textonotapie"/>
        <w:rPr>
          <w:rFonts w:ascii="Times" w:eastAsia="Times Roman" w:hAnsi="Times" w:cs="Times Roman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82</w:t>
      </w:r>
      <w:r w:rsidR="00130E0C">
        <w:rPr>
          <w:rFonts w:ascii="Times" w:hAnsi="Times"/>
        </w:rPr>
        <w:t xml:space="preserve">;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>Qualitative Research Methods</w:t>
      </w:r>
      <w:r w:rsidRPr="00B96F68">
        <w:rPr>
          <w:rFonts w:ascii="Times" w:hAnsi="Times"/>
        </w:rPr>
        <w:t xml:space="preserve"> (</w:t>
      </w:r>
      <w:r w:rsidR="00990A36">
        <w:rPr>
          <w:rFonts w:ascii="Times" w:hAnsi="Times"/>
        </w:rPr>
        <w:t xml:space="preserve">Los Angeles; </w:t>
      </w:r>
      <w:r w:rsidRPr="00B96F68">
        <w:rPr>
          <w:rFonts w:ascii="Times" w:hAnsi="Times"/>
        </w:rPr>
        <w:t>London: SAGE Publications, 2020), p. 34.</w:t>
      </w:r>
    </w:p>
  </w:footnote>
  <w:footnote w:id="10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>Qualitative Research Methods</w:t>
      </w:r>
      <w:r w:rsidRPr="00B96F68">
        <w:rPr>
          <w:rFonts w:ascii="Times" w:hAnsi="Times"/>
        </w:rPr>
        <w:t>, p. 34.</w:t>
      </w:r>
    </w:p>
  </w:footnote>
  <w:footnote w:id="11">
    <w:p w:rsidR="0090495D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shd w:val="clear" w:color="auto" w:fill="FBFBFB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84</w:t>
      </w:r>
      <w:r w:rsidR="00130E0C">
        <w:rPr>
          <w:rFonts w:ascii="Times" w:hAnsi="Times"/>
        </w:rPr>
        <w:t xml:space="preserve">; </w:t>
      </w:r>
      <w:r w:rsidR="0090495D" w:rsidRPr="00926960">
        <w:rPr>
          <w:rFonts w:ascii="Times New Roman" w:hAnsi="Times New Roman"/>
        </w:rPr>
        <w:t xml:space="preserve">Robert Wuthnow, ‘Astrology And Marginality’, </w:t>
      </w:r>
      <w:r w:rsidR="0090495D" w:rsidRPr="00926960">
        <w:rPr>
          <w:rFonts w:ascii="Times New Roman" w:hAnsi="Times New Roman"/>
          <w:i/>
        </w:rPr>
        <w:t>Journal For The Scientific Study Of Religion</w:t>
      </w:r>
      <w:r w:rsidR="0090495D" w:rsidRPr="00926960">
        <w:rPr>
          <w:rFonts w:ascii="Times New Roman" w:hAnsi="Times New Roman"/>
        </w:rPr>
        <w:t>, 15.2 (Jun., 1976), 157-168</w:t>
      </w:r>
      <w:r w:rsidR="0090495D">
        <w:rPr>
          <w:rFonts w:ascii="Times New Roman" w:hAnsi="Times New Roman"/>
        </w:rPr>
        <w:t>.</w:t>
      </w:r>
    </w:p>
  </w:footnote>
  <w:footnote w:id="12">
    <w:p w:rsidR="00A3563D" w:rsidRPr="00A3563D" w:rsidRDefault="00A356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6F68">
        <w:rPr>
          <w:rFonts w:ascii="Times" w:hAnsi="Times"/>
        </w:rPr>
        <w:t xml:space="preserve">Judith Bell and Stephen Waters, </w:t>
      </w:r>
      <w:r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 xml:space="preserve"> (London: Open University Press, 2018), p. 155.</w:t>
      </w:r>
    </w:p>
  </w:footnote>
  <w:footnote w:id="13">
    <w:p w:rsidR="00084920" w:rsidRPr="00130E0C" w:rsidRDefault="00D44A71">
      <w:pPr>
        <w:pStyle w:val="Textonotapie"/>
        <w:rPr>
          <w:rFonts w:ascii="Times New Roman" w:hAnsi="Times New Roman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130E0C" w:rsidRPr="00926960">
        <w:rPr>
          <w:rFonts w:ascii="Times New Roman" w:hAnsi="Times New Roman"/>
        </w:rPr>
        <w:t xml:space="preserve">Robert Wuthnow, ‘Astrology And Marginality’, </w:t>
      </w:r>
      <w:r w:rsidR="00130E0C" w:rsidRPr="00926960">
        <w:rPr>
          <w:rFonts w:ascii="Times New Roman" w:hAnsi="Times New Roman"/>
          <w:i/>
        </w:rPr>
        <w:t>Journal For The Scientific Study Of Religion</w:t>
      </w:r>
      <w:r w:rsidR="00130E0C" w:rsidRPr="00926960">
        <w:rPr>
          <w:rFonts w:ascii="Times New Roman" w:hAnsi="Times New Roman"/>
        </w:rPr>
        <w:t>, 15.2 (Jun., 1976),</w:t>
      </w:r>
      <w:r w:rsidR="00130E0C">
        <w:rPr>
          <w:rFonts w:ascii="Times New Roman" w:hAnsi="Times New Roman"/>
        </w:rPr>
        <w:t xml:space="preserve"> 167</w:t>
      </w:r>
      <w:r w:rsidR="00130E0C">
        <w:rPr>
          <w:rFonts w:ascii="Times New Roman" w:hAnsi="Times New Roman"/>
        </w:rPr>
        <w:t xml:space="preserve">; </w:t>
      </w:r>
      <w:r w:rsidRPr="00B96F68">
        <w:rPr>
          <w:rFonts w:ascii="Times" w:hAnsi="Times"/>
        </w:rPr>
        <w:t xml:space="preserve">Shoshanah Feher, ‘Who Looks To The Stars? Astrology And Its Constituency’, </w:t>
      </w:r>
      <w:r w:rsidRPr="00B96F68">
        <w:rPr>
          <w:rFonts w:ascii="Times" w:hAnsi="Times"/>
          <w:i/>
          <w:iCs/>
        </w:rPr>
        <w:t>Journal For The Scientific Study Of Religion</w:t>
      </w:r>
      <w:r w:rsidRPr="00B96F68">
        <w:rPr>
          <w:rFonts w:ascii="Times" w:hAnsi="Times"/>
        </w:rPr>
        <w:t>, 31.1 (Mar., 1992), 88-93.</w:t>
      </w:r>
    </w:p>
  </w:footnote>
  <w:footnote w:id="14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188.</w:t>
      </w:r>
    </w:p>
  </w:footnote>
  <w:footnote w:id="15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Tony Walter and Helen Waterhouse, ‘A Very Private Belief: Reincarnation in Contemporary England’, </w:t>
      </w:r>
      <w:r w:rsidR="007877A1" w:rsidRPr="00B96F68">
        <w:rPr>
          <w:rFonts w:ascii="Times" w:hAnsi="Times"/>
        </w:rPr>
        <w:t xml:space="preserve">189-190, </w:t>
      </w:r>
      <w:r w:rsidRPr="00B96F68">
        <w:rPr>
          <w:rFonts w:ascii="Times" w:hAnsi="Times"/>
        </w:rPr>
        <w:t>193.</w:t>
      </w:r>
    </w:p>
  </w:footnote>
  <w:footnote w:id="16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194.</w:t>
      </w:r>
    </w:p>
  </w:footnote>
  <w:footnote w:id="17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83.</w:t>
      </w:r>
    </w:p>
  </w:footnote>
  <w:footnote w:id="18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83.</w:t>
      </w:r>
    </w:p>
  </w:footnote>
  <w:footnote w:id="19">
    <w:p w:rsidR="00C90781" w:rsidRPr="00130E0C" w:rsidRDefault="00D44A71">
      <w:pPr>
        <w:pStyle w:val="Textonotapie"/>
        <w:rPr>
          <w:rFonts w:ascii="Times" w:eastAsia="Times Roman" w:hAnsi="Times" w:cs="Times Roman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>Qualitative Research Methods</w:t>
      </w:r>
      <w:r w:rsidR="00F823FA" w:rsidRPr="00B96F68">
        <w:rPr>
          <w:rFonts w:ascii="Times" w:hAnsi="Times"/>
          <w:i/>
          <w:iCs/>
        </w:rPr>
        <w:t>,</w:t>
      </w:r>
      <w:r w:rsidRPr="00B96F68">
        <w:rPr>
          <w:rFonts w:ascii="Times" w:hAnsi="Times"/>
        </w:rPr>
        <w:t xml:space="preserve"> p. 76</w:t>
      </w:r>
      <w:r w:rsidR="00130E0C">
        <w:rPr>
          <w:rFonts w:ascii="Times" w:hAnsi="Times"/>
        </w:rPr>
        <w:t xml:space="preserve">; </w:t>
      </w:r>
      <w:r w:rsidR="0046639F" w:rsidRPr="00B96F68">
        <w:rPr>
          <w:rFonts w:ascii="Times" w:hAnsi="Times"/>
        </w:rPr>
        <w:t xml:space="preserve">Judith Bell and Stephen Waters, </w:t>
      </w:r>
      <w:r w:rsidR="0046639F"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>, p. 67</w:t>
      </w:r>
      <w:r w:rsidR="0046639F">
        <w:rPr>
          <w:rFonts w:ascii="Times" w:hAnsi="Times"/>
        </w:rPr>
        <w:t>.</w:t>
      </w:r>
    </w:p>
  </w:footnote>
  <w:footnote w:id="20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>Qualitative Research Methods</w:t>
      </w:r>
      <w:r w:rsidR="00F823FA" w:rsidRPr="00B96F68">
        <w:rPr>
          <w:rFonts w:ascii="Times" w:hAnsi="Times"/>
        </w:rPr>
        <w:t xml:space="preserve">, </w:t>
      </w:r>
      <w:r w:rsidRPr="00B96F68">
        <w:rPr>
          <w:rFonts w:ascii="Times" w:hAnsi="Times"/>
        </w:rPr>
        <w:t>p. 128.</w:t>
      </w:r>
    </w:p>
  </w:footnote>
  <w:footnote w:id="21">
    <w:p w:rsidR="00B96F68" w:rsidRPr="00130E0C" w:rsidRDefault="00D44A71" w:rsidP="00130E0C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 xml:space="preserve">Qualitative Research </w:t>
      </w:r>
      <w:proofErr w:type="spellStart"/>
      <w:r w:rsidRPr="00B96F68">
        <w:rPr>
          <w:rFonts w:ascii="Times" w:hAnsi="Times"/>
          <w:i/>
          <w:iCs/>
        </w:rPr>
        <w:t>Methods</w:t>
      </w:r>
      <w:r w:rsidR="00F823FA" w:rsidRPr="00B96F68">
        <w:rPr>
          <w:rFonts w:ascii="Times" w:hAnsi="Times"/>
        </w:rPr>
        <w:t>,</w:t>
      </w:r>
      <w:r w:rsidRPr="00B96F68">
        <w:rPr>
          <w:rFonts w:ascii="Times" w:hAnsi="Times"/>
        </w:rPr>
        <w:t>p</w:t>
      </w:r>
      <w:proofErr w:type="spellEnd"/>
      <w:r w:rsidRPr="00B96F68">
        <w:rPr>
          <w:rFonts w:ascii="Times" w:hAnsi="Times"/>
        </w:rPr>
        <w:t>. 185</w:t>
      </w:r>
      <w:r w:rsidR="00130E0C">
        <w:rPr>
          <w:rFonts w:ascii="Times" w:hAnsi="Times"/>
        </w:rPr>
        <w:t xml:space="preserve">; </w:t>
      </w:r>
      <w:r w:rsidR="002A48A7" w:rsidRPr="002A48A7">
        <w:rPr>
          <w:rFonts w:ascii="Times" w:eastAsia="Times New Roman" w:hAnsi="Times"/>
          <w:bdr w:val="none" w:sz="0" w:space="0" w:color="auto"/>
        </w:rPr>
        <w:t>J</w:t>
      </w:r>
      <w:r w:rsidR="002A48A7">
        <w:rPr>
          <w:rFonts w:ascii="Times" w:eastAsia="Times New Roman" w:hAnsi="Times"/>
          <w:bdr w:val="none" w:sz="0" w:space="0" w:color="auto"/>
        </w:rPr>
        <w:t>ohn</w:t>
      </w:r>
      <w:r w:rsidR="002A48A7" w:rsidRPr="002A48A7">
        <w:rPr>
          <w:rFonts w:ascii="Times" w:eastAsia="Times New Roman" w:hAnsi="Times"/>
          <w:bdr w:val="none" w:sz="0" w:space="0" w:color="auto"/>
        </w:rPr>
        <w:t xml:space="preserve"> R. P. </w:t>
      </w:r>
      <w:r w:rsidR="00B96F68" w:rsidRPr="00B96F68">
        <w:rPr>
          <w:rFonts w:ascii="Times" w:eastAsia="Times New Roman" w:hAnsi="Times"/>
          <w:bdr w:val="none" w:sz="0" w:space="0" w:color="auto"/>
        </w:rPr>
        <w:t xml:space="preserve">French, </w:t>
      </w:r>
      <w:r w:rsidR="002A48A7" w:rsidRPr="002A48A7">
        <w:rPr>
          <w:rFonts w:ascii="Times" w:eastAsia="Times New Roman" w:hAnsi="Times"/>
          <w:bdr w:val="none" w:sz="0" w:space="0" w:color="auto"/>
        </w:rPr>
        <w:t>‘</w:t>
      </w:r>
      <w:r w:rsidR="00B96F68" w:rsidRPr="00B96F68">
        <w:rPr>
          <w:rFonts w:ascii="Times" w:eastAsia="Times New Roman" w:hAnsi="Times"/>
          <w:bdr w:val="none" w:sz="0" w:space="0" w:color="auto"/>
        </w:rPr>
        <w:t>Experiments in field settings</w:t>
      </w:r>
      <w:r w:rsidR="002A48A7" w:rsidRPr="002A48A7">
        <w:rPr>
          <w:rFonts w:ascii="Times" w:eastAsia="Times New Roman" w:hAnsi="Times"/>
          <w:bdr w:val="none" w:sz="0" w:space="0" w:color="auto"/>
        </w:rPr>
        <w:t xml:space="preserve">’, </w:t>
      </w:r>
      <w:r w:rsidR="002A48A7" w:rsidRPr="00B96F68">
        <w:rPr>
          <w:rFonts w:ascii="Times" w:eastAsia="Times New Roman" w:hAnsi="Times"/>
          <w:i/>
          <w:iCs/>
          <w:bdr w:val="none" w:sz="0" w:space="0" w:color="auto"/>
        </w:rPr>
        <w:t>Research methods in the behavioral sciences</w:t>
      </w:r>
      <w:r w:rsidR="002A48A7" w:rsidRPr="002A48A7">
        <w:rPr>
          <w:rFonts w:ascii="Times" w:eastAsia="Times New Roman" w:hAnsi="Times"/>
          <w:i/>
          <w:iCs/>
          <w:bdr w:val="none" w:sz="0" w:space="0" w:color="auto"/>
        </w:rPr>
        <w:t xml:space="preserve">, </w:t>
      </w:r>
      <w:r w:rsidR="002A48A7" w:rsidRPr="002A48A7">
        <w:rPr>
          <w:rFonts w:ascii="Times" w:eastAsia="Times New Roman" w:hAnsi="Times"/>
          <w:bdr w:val="none" w:sz="0" w:space="0" w:color="auto"/>
        </w:rPr>
        <w:t>ed. by L</w:t>
      </w:r>
      <w:r w:rsidR="002A48A7">
        <w:rPr>
          <w:rFonts w:ascii="Times" w:eastAsia="Times New Roman" w:hAnsi="Times"/>
          <w:bdr w:val="none" w:sz="0" w:space="0" w:color="auto"/>
        </w:rPr>
        <w:t>eon</w:t>
      </w:r>
      <w:r w:rsidR="002A48A7" w:rsidRPr="002A48A7">
        <w:rPr>
          <w:rFonts w:ascii="Times" w:eastAsia="Times New Roman" w:hAnsi="Times"/>
          <w:bdr w:val="none" w:sz="0" w:space="0" w:color="auto"/>
        </w:rPr>
        <w:t xml:space="preserve"> Festinger and D</w:t>
      </w:r>
      <w:r w:rsidR="002A48A7">
        <w:rPr>
          <w:rFonts w:ascii="Times" w:eastAsia="Times New Roman" w:hAnsi="Times"/>
          <w:bdr w:val="none" w:sz="0" w:space="0" w:color="auto"/>
        </w:rPr>
        <w:t>aniel</w:t>
      </w:r>
      <w:r w:rsidR="002A48A7" w:rsidRPr="002A48A7">
        <w:rPr>
          <w:rFonts w:ascii="Times" w:eastAsia="Times New Roman" w:hAnsi="Times"/>
          <w:bdr w:val="none" w:sz="0" w:space="0" w:color="auto"/>
        </w:rPr>
        <w:t xml:space="preserve"> Katz (New York: Holt </w:t>
      </w:r>
      <w:proofErr w:type="spellStart"/>
      <w:r w:rsidR="002A48A7" w:rsidRPr="002A48A7">
        <w:rPr>
          <w:rFonts w:ascii="Times" w:eastAsia="Times New Roman" w:hAnsi="Times"/>
          <w:bdr w:val="none" w:sz="0" w:space="0" w:color="auto"/>
        </w:rPr>
        <w:t>Rinhehart</w:t>
      </w:r>
      <w:proofErr w:type="spellEnd"/>
      <w:r w:rsidR="002A48A7" w:rsidRPr="002A48A7">
        <w:rPr>
          <w:rFonts w:ascii="Times" w:eastAsia="Times New Roman" w:hAnsi="Times"/>
          <w:bdr w:val="none" w:sz="0" w:space="0" w:color="auto"/>
        </w:rPr>
        <w:t xml:space="preserve"> and Winston, 1963), p. 101.</w:t>
      </w:r>
    </w:p>
  </w:footnote>
  <w:footnote w:id="22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="00F823FA" w:rsidRPr="00B96F68">
        <w:rPr>
          <w:rFonts w:ascii="Times" w:hAnsi="Times"/>
        </w:rPr>
        <w:t xml:space="preserve">Judith Bell and Stephen Waters, </w:t>
      </w:r>
      <w:r w:rsidR="00F823FA"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>, p. 34.</w:t>
      </w:r>
    </w:p>
  </w:footnote>
  <w:footnote w:id="23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189.</w:t>
      </w:r>
    </w:p>
  </w:footnote>
  <w:footnote w:id="24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189.</w:t>
      </w:r>
    </w:p>
  </w:footnote>
  <w:footnote w:id="25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Monique </w:t>
      </w:r>
      <w:proofErr w:type="spellStart"/>
      <w:r w:rsidR="00F823FA" w:rsidRPr="00B96F68">
        <w:rPr>
          <w:rFonts w:ascii="Times" w:hAnsi="Times"/>
        </w:rPr>
        <w:t>Hennink</w:t>
      </w:r>
      <w:proofErr w:type="spellEnd"/>
      <w:r w:rsidR="00F823FA" w:rsidRPr="00B96F68">
        <w:rPr>
          <w:rFonts w:ascii="Times" w:hAnsi="Times"/>
        </w:rPr>
        <w:t xml:space="preserve">, Inge </w:t>
      </w:r>
      <w:proofErr w:type="spellStart"/>
      <w:r w:rsidR="00F823FA" w:rsidRPr="00B96F68">
        <w:rPr>
          <w:rFonts w:ascii="Times" w:hAnsi="Times"/>
        </w:rPr>
        <w:t>Hutter</w:t>
      </w:r>
      <w:proofErr w:type="spellEnd"/>
      <w:r w:rsidR="00F823FA" w:rsidRPr="00B96F68">
        <w:rPr>
          <w:rFonts w:ascii="Times" w:hAnsi="Times"/>
        </w:rPr>
        <w:t xml:space="preserve"> and Ajay Bailey, </w:t>
      </w:r>
      <w:r w:rsidR="00F823FA" w:rsidRPr="00B96F68">
        <w:rPr>
          <w:rFonts w:ascii="Times" w:hAnsi="Times"/>
          <w:i/>
          <w:iCs/>
        </w:rPr>
        <w:t>Qualitative Research Methods,</w:t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>p</w:t>
      </w:r>
      <w:r w:rsidR="0046639F">
        <w:rPr>
          <w:rFonts w:ascii="Times" w:hAnsi="Times"/>
        </w:rPr>
        <w:t>p</w:t>
      </w:r>
      <w:r w:rsidR="00F823FA" w:rsidRPr="00B96F68">
        <w:rPr>
          <w:rFonts w:ascii="Times" w:hAnsi="Times"/>
        </w:rPr>
        <w:t>. 71, 105.</w:t>
      </w:r>
    </w:p>
  </w:footnote>
  <w:footnote w:id="26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="00F823FA" w:rsidRPr="00B96F68">
        <w:rPr>
          <w:rFonts w:ascii="Times" w:hAnsi="Times"/>
        </w:rPr>
        <w:t xml:space="preserve">Judith Bell and Stephen Waters, </w:t>
      </w:r>
      <w:r w:rsidR="00F823FA"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 xml:space="preserve">, </w:t>
      </w:r>
      <w:r w:rsidR="00F823FA" w:rsidRPr="00B96F68">
        <w:rPr>
          <w:rFonts w:ascii="Times" w:hAnsi="Times"/>
        </w:rPr>
        <w:t xml:space="preserve">p. </w:t>
      </w:r>
      <w:r w:rsidRPr="00B96F68">
        <w:rPr>
          <w:rFonts w:ascii="Times" w:hAnsi="Times"/>
        </w:rPr>
        <w:t>202</w:t>
      </w:r>
      <w:r w:rsidR="00F823FA" w:rsidRPr="00B96F68">
        <w:rPr>
          <w:rFonts w:ascii="Times" w:hAnsi="Times"/>
        </w:rPr>
        <w:t>.</w:t>
      </w:r>
    </w:p>
  </w:footnote>
  <w:footnote w:id="27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Tony Walter and Helen Waterhouse, ‘A Very Private Belief: Reincarnation in Contemporary England’, 189. </w:t>
      </w:r>
    </w:p>
  </w:footnote>
  <w:footnote w:id="28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 xml:space="preserve">Monique </w:t>
      </w:r>
      <w:proofErr w:type="spellStart"/>
      <w:r w:rsidRPr="00B96F68">
        <w:rPr>
          <w:rFonts w:ascii="Times" w:hAnsi="Times"/>
        </w:rPr>
        <w:t>Hennink</w:t>
      </w:r>
      <w:proofErr w:type="spellEnd"/>
      <w:r w:rsidRPr="00B96F68">
        <w:rPr>
          <w:rFonts w:ascii="Times" w:hAnsi="Times"/>
        </w:rPr>
        <w:t xml:space="preserve">, Inge </w:t>
      </w:r>
      <w:proofErr w:type="spellStart"/>
      <w:r w:rsidRPr="00B96F68">
        <w:rPr>
          <w:rFonts w:ascii="Times" w:hAnsi="Times"/>
        </w:rPr>
        <w:t>Hutter</w:t>
      </w:r>
      <w:proofErr w:type="spellEnd"/>
      <w:r w:rsidRPr="00B96F68">
        <w:rPr>
          <w:rFonts w:ascii="Times" w:hAnsi="Times"/>
        </w:rPr>
        <w:t xml:space="preserve"> and Ajay Bailey, </w:t>
      </w:r>
      <w:r w:rsidRPr="00B96F68">
        <w:rPr>
          <w:rFonts w:ascii="Times" w:hAnsi="Times"/>
          <w:i/>
          <w:iCs/>
        </w:rPr>
        <w:t>Qualitative Research Methods</w:t>
      </w:r>
      <w:r w:rsidRPr="00B96F68">
        <w:rPr>
          <w:rFonts w:ascii="Times" w:hAnsi="Times"/>
        </w:rPr>
        <w:t>, p. 128</w:t>
      </w:r>
      <w:r w:rsidR="00130E0C">
        <w:rPr>
          <w:rFonts w:ascii="Times" w:hAnsi="Times"/>
        </w:rPr>
        <w:t xml:space="preserve">; </w:t>
      </w:r>
      <w:r w:rsidRPr="00B96F68">
        <w:rPr>
          <w:rFonts w:ascii="Times" w:hAnsi="Times"/>
        </w:rPr>
        <w:t>Tony Walter and Helen Waterhouse, ‘A Very Private Belief: Reincarnation in Contemporary England’, 128.</w:t>
      </w:r>
    </w:p>
  </w:footnote>
  <w:footnote w:id="29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188.</w:t>
      </w:r>
    </w:p>
  </w:footnote>
  <w:footnote w:id="30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Judith Bell and Stephen Waters, </w:t>
      </w:r>
      <w:r w:rsidR="00F823FA" w:rsidRPr="00B96F68">
        <w:rPr>
          <w:rFonts w:ascii="Times" w:hAnsi="Times"/>
          <w:i/>
          <w:iCs/>
        </w:rPr>
        <w:t>Doing Your Research Project: a guide for first-time Researchers</w:t>
      </w:r>
      <w:r w:rsidRPr="00B96F68">
        <w:rPr>
          <w:rFonts w:ascii="Times" w:hAnsi="Times"/>
        </w:rPr>
        <w:t>, p. 200</w:t>
      </w:r>
      <w:r w:rsidR="00130E0C">
        <w:rPr>
          <w:rFonts w:ascii="Times" w:hAnsi="Times"/>
        </w:rPr>
        <w:t xml:space="preserve">; </w:t>
      </w:r>
      <w:r w:rsidR="00F823FA" w:rsidRPr="00B96F68">
        <w:rPr>
          <w:rFonts w:ascii="Times" w:hAnsi="Times"/>
        </w:rPr>
        <w:t xml:space="preserve">Monique </w:t>
      </w:r>
      <w:proofErr w:type="spellStart"/>
      <w:r w:rsidR="00F823FA" w:rsidRPr="00B96F68">
        <w:rPr>
          <w:rFonts w:ascii="Times" w:hAnsi="Times"/>
        </w:rPr>
        <w:t>Hennink</w:t>
      </w:r>
      <w:proofErr w:type="spellEnd"/>
      <w:r w:rsidR="00F823FA" w:rsidRPr="00B96F68">
        <w:rPr>
          <w:rFonts w:ascii="Times" w:hAnsi="Times"/>
        </w:rPr>
        <w:t xml:space="preserve">, Inge </w:t>
      </w:r>
      <w:proofErr w:type="spellStart"/>
      <w:r w:rsidR="00F823FA" w:rsidRPr="00B96F68">
        <w:rPr>
          <w:rFonts w:ascii="Times" w:hAnsi="Times"/>
        </w:rPr>
        <w:t>Hutter</w:t>
      </w:r>
      <w:proofErr w:type="spellEnd"/>
      <w:r w:rsidR="00F823FA" w:rsidRPr="00B96F68">
        <w:rPr>
          <w:rFonts w:ascii="Times" w:hAnsi="Times"/>
        </w:rPr>
        <w:t xml:space="preserve"> and Ajay Bailey, </w:t>
      </w:r>
      <w:r w:rsidR="00F823FA" w:rsidRPr="00B96F68">
        <w:rPr>
          <w:rFonts w:ascii="Times" w:hAnsi="Times"/>
          <w:i/>
          <w:iCs/>
        </w:rPr>
        <w:t>Qualitative Research Methods,</w:t>
      </w:r>
      <w:r w:rsidRPr="00B96F68">
        <w:rPr>
          <w:rFonts w:ascii="Times" w:hAnsi="Times"/>
        </w:rPr>
        <w:t xml:space="preserve"> p</w:t>
      </w:r>
      <w:r w:rsidR="00F823FA" w:rsidRPr="00B96F68">
        <w:rPr>
          <w:rFonts w:ascii="Times" w:hAnsi="Times"/>
        </w:rPr>
        <w:t>.</w:t>
      </w:r>
      <w:r w:rsidRPr="00B96F68">
        <w:rPr>
          <w:rFonts w:ascii="Times" w:hAnsi="Times"/>
        </w:rPr>
        <w:t xml:space="preserve"> 74.</w:t>
      </w:r>
    </w:p>
  </w:footnote>
  <w:footnote w:id="31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Judith Bell and Stephen Waters, </w:t>
      </w:r>
      <w:r w:rsidR="00F823FA" w:rsidRPr="00B96F68">
        <w:rPr>
          <w:rFonts w:ascii="Times" w:hAnsi="Times"/>
          <w:i/>
          <w:iCs/>
        </w:rPr>
        <w:t>Doing Your Research Project: a guide for first-time Researchers,</w:t>
      </w:r>
      <w:r w:rsidRPr="00B96F68">
        <w:rPr>
          <w:rFonts w:ascii="Times" w:hAnsi="Times"/>
        </w:rPr>
        <w:t xml:space="preserve"> p. 219.</w:t>
      </w:r>
    </w:p>
  </w:footnote>
  <w:footnote w:id="32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84-85.</w:t>
      </w:r>
    </w:p>
  </w:footnote>
  <w:footnote w:id="33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Alan Bryman, </w:t>
      </w:r>
      <w:r w:rsidR="00F823FA" w:rsidRPr="00B96F68">
        <w:rPr>
          <w:rFonts w:ascii="Times" w:hAnsi="Times"/>
          <w:i/>
          <w:iCs/>
        </w:rPr>
        <w:t>Quantity and Quality in Social Research</w:t>
      </w:r>
      <w:r w:rsidR="00F823FA" w:rsidRPr="00B96F68">
        <w:rPr>
          <w:rFonts w:ascii="Times" w:hAnsi="Times"/>
        </w:rPr>
        <w:t xml:space="preserve"> (London: </w:t>
      </w:r>
      <w:r w:rsidR="00990A36">
        <w:rPr>
          <w:rFonts w:ascii="Times" w:hAnsi="Times"/>
        </w:rPr>
        <w:t>Routledge</w:t>
      </w:r>
      <w:r w:rsidR="0046639F">
        <w:rPr>
          <w:rFonts w:ascii="Times" w:hAnsi="Times"/>
        </w:rPr>
        <w:t>,</w:t>
      </w:r>
      <w:r w:rsidR="00990A36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>2000)</w:t>
      </w:r>
      <w:r w:rsidRPr="00B96F68">
        <w:rPr>
          <w:rFonts w:ascii="Times" w:hAnsi="Times"/>
        </w:rPr>
        <w:t>, p. 87</w:t>
      </w:r>
      <w:r w:rsidR="00F823FA" w:rsidRPr="00B96F68">
        <w:rPr>
          <w:rFonts w:ascii="Times" w:hAnsi="Times"/>
        </w:rPr>
        <w:t>.</w:t>
      </w:r>
    </w:p>
  </w:footnote>
  <w:footnote w:id="34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Monique </w:t>
      </w:r>
      <w:proofErr w:type="spellStart"/>
      <w:r w:rsidR="00F823FA" w:rsidRPr="00B96F68">
        <w:rPr>
          <w:rFonts w:ascii="Times" w:hAnsi="Times"/>
        </w:rPr>
        <w:t>Hennink</w:t>
      </w:r>
      <w:proofErr w:type="spellEnd"/>
      <w:r w:rsidR="00F823FA" w:rsidRPr="00B96F68">
        <w:rPr>
          <w:rFonts w:ascii="Times" w:hAnsi="Times"/>
        </w:rPr>
        <w:t xml:space="preserve">, Inge </w:t>
      </w:r>
      <w:proofErr w:type="spellStart"/>
      <w:r w:rsidR="00F823FA" w:rsidRPr="00B96F68">
        <w:rPr>
          <w:rFonts w:ascii="Times" w:hAnsi="Times"/>
        </w:rPr>
        <w:t>Hutter</w:t>
      </w:r>
      <w:proofErr w:type="spellEnd"/>
      <w:r w:rsidR="00F823FA" w:rsidRPr="00B96F68">
        <w:rPr>
          <w:rFonts w:ascii="Times" w:hAnsi="Times"/>
        </w:rPr>
        <w:t xml:space="preserve"> and Ajay Bailey, </w:t>
      </w:r>
      <w:r w:rsidR="00F823FA" w:rsidRPr="00B96F68">
        <w:rPr>
          <w:rFonts w:ascii="Times" w:hAnsi="Times"/>
          <w:i/>
          <w:iCs/>
        </w:rPr>
        <w:t>Qualitative Research Methods</w:t>
      </w:r>
      <w:r w:rsidRPr="00B96F68">
        <w:rPr>
          <w:rFonts w:ascii="Times" w:hAnsi="Times"/>
        </w:rPr>
        <w:t>, p. 52</w:t>
      </w:r>
      <w:r w:rsidR="00F823FA" w:rsidRPr="00B96F68">
        <w:rPr>
          <w:rFonts w:ascii="Times" w:hAnsi="Times"/>
        </w:rPr>
        <w:t>.</w:t>
      </w:r>
    </w:p>
  </w:footnote>
  <w:footnote w:id="35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83</w:t>
      </w:r>
      <w:r w:rsidR="00130E0C">
        <w:rPr>
          <w:rFonts w:ascii="Times" w:hAnsi="Times"/>
        </w:rPr>
        <w:t xml:space="preserve">; </w:t>
      </w:r>
      <w:r w:rsidR="00F823FA" w:rsidRPr="00B96F68">
        <w:rPr>
          <w:rFonts w:ascii="Times" w:hAnsi="Times"/>
        </w:rPr>
        <w:t xml:space="preserve">Judith Bell and Stephen Waters, </w:t>
      </w:r>
      <w:r w:rsidR="00F823FA" w:rsidRPr="00B96F68">
        <w:rPr>
          <w:rFonts w:ascii="Times" w:hAnsi="Times"/>
          <w:i/>
          <w:iCs/>
        </w:rPr>
        <w:t>Doing Your Research Project: a guide for first-time Researchers,</w:t>
      </w:r>
      <w:r w:rsidR="00F823FA" w:rsidRPr="00B96F68">
        <w:rPr>
          <w:rFonts w:ascii="Times" w:hAnsi="Times"/>
        </w:rPr>
        <w:t xml:space="preserve"> </w:t>
      </w:r>
      <w:r w:rsidR="0046639F">
        <w:rPr>
          <w:rFonts w:ascii="Times" w:hAnsi="Times"/>
        </w:rPr>
        <w:t xml:space="preserve">p. </w:t>
      </w:r>
      <w:r w:rsidRPr="00B96F68">
        <w:rPr>
          <w:rFonts w:ascii="Times" w:hAnsi="Times"/>
        </w:rPr>
        <w:t>262</w:t>
      </w:r>
      <w:r w:rsidR="00F823FA" w:rsidRPr="00B96F68">
        <w:rPr>
          <w:rFonts w:ascii="Times" w:hAnsi="Times"/>
        </w:rPr>
        <w:t>.</w:t>
      </w:r>
    </w:p>
  </w:footnote>
  <w:footnote w:id="36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189.</w:t>
      </w:r>
    </w:p>
  </w:footnote>
  <w:footnote w:id="37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189.</w:t>
      </w:r>
    </w:p>
  </w:footnote>
  <w:footnote w:id="38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189.</w:t>
      </w:r>
    </w:p>
  </w:footnote>
  <w:footnote w:id="39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196.</w:t>
      </w:r>
    </w:p>
  </w:footnote>
  <w:footnote w:id="40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hAnsi="Times"/>
        </w:rPr>
        <w:t xml:space="preserve"> </w:t>
      </w:r>
      <w:r w:rsidR="00F823FA" w:rsidRPr="00B96F68">
        <w:rPr>
          <w:rFonts w:ascii="Times" w:hAnsi="Times"/>
        </w:rPr>
        <w:t xml:space="preserve">Monique </w:t>
      </w:r>
      <w:proofErr w:type="spellStart"/>
      <w:r w:rsidR="00F823FA" w:rsidRPr="00B96F68">
        <w:rPr>
          <w:rFonts w:ascii="Times" w:hAnsi="Times"/>
        </w:rPr>
        <w:t>Hennink</w:t>
      </w:r>
      <w:proofErr w:type="spellEnd"/>
      <w:r w:rsidR="00F823FA" w:rsidRPr="00B96F68">
        <w:rPr>
          <w:rFonts w:ascii="Times" w:hAnsi="Times"/>
        </w:rPr>
        <w:t xml:space="preserve">, Inge </w:t>
      </w:r>
      <w:proofErr w:type="spellStart"/>
      <w:r w:rsidR="00F823FA" w:rsidRPr="00B96F68">
        <w:rPr>
          <w:rFonts w:ascii="Times" w:hAnsi="Times"/>
        </w:rPr>
        <w:t>Hutter</w:t>
      </w:r>
      <w:proofErr w:type="spellEnd"/>
      <w:r w:rsidR="00F823FA" w:rsidRPr="00B96F68">
        <w:rPr>
          <w:rFonts w:ascii="Times" w:hAnsi="Times"/>
        </w:rPr>
        <w:t xml:space="preserve"> and Ajay Bailey, </w:t>
      </w:r>
      <w:r w:rsidR="00F823FA" w:rsidRPr="00B96F68">
        <w:rPr>
          <w:rFonts w:ascii="Times" w:hAnsi="Times"/>
          <w:i/>
          <w:iCs/>
        </w:rPr>
        <w:t>Qualitative Research Methods</w:t>
      </w:r>
      <w:r w:rsidRPr="00B96F68">
        <w:rPr>
          <w:rFonts w:ascii="Times" w:hAnsi="Times"/>
        </w:rPr>
        <w:t>, p. 53.</w:t>
      </w:r>
    </w:p>
  </w:footnote>
  <w:footnote w:id="41">
    <w:p w:rsidR="003857C0" w:rsidRPr="003857C0" w:rsidRDefault="003857C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84</w:t>
      </w:r>
      <w:r>
        <w:rPr>
          <w:rFonts w:ascii="Times" w:hAnsi="Times"/>
        </w:rPr>
        <w:t xml:space="preserve">; </w:t>
      </w:r>
      <w:r w:rsidRPr="00926960">
        <w:rPr>
          <w:rFonts w:ascii="Times New Roman" w:hAnsi="Times New Roman"/>
        </w:rPr>
        <w:t xml:space="preserve">Robert Wuthnow, ‘Astrology And Marginality’, </w:t>
      </w:r>
      <w:r w:rsidRPr="00926960">
        <w:rPr>
          <w:rFonts w:ascii="Times New Roman" w:hAnsi="Times New Roman"/>
          <w:i/>
        </w:rPr>
        <w:t>Journal For The Scientific Study Of Religion</w:t>
      </w:r>
      <w:r w:rsidRPr="00926960">
        <w:rPr>
          <w:rFonts w:ascii="Times New Roman" w:hAnsi="Times New Roman"/>
        </w:rPr>
        <w:t>, 15.2 (Jun., 1976), 157-168</w:t>
      </w:r>
      <w:r>
        <w:rPr>
          <w:rFonts w:ascii="Times New Roman" w:hAnsi="Times New Roman"/>
        </w:rPr>
        <w:t>.</w:t>
      </w:r>
    </w:p>
  </w:footnote>
  <w:footnote w:id="42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T. L. Brink, ‘Inconsistency of Belief among Roman Catholic Girls: Concerning Religion, Astrology, Reincarnation’, 83,-85</w:t>
      </w:r>
    </w:p>
  </w:footnote>
  <w:footnote w:id="43">
    <w:p w:rsidR="00C90781" w:rsidRPr="00B96F68" w:rsidRDefault="00D44A71">
      <w:pPr>
        <w:pStyle w:val="Textonotapie"/>
        <w:rPr>
          <w:rFonts w:ascii="Times" w:hAnsi="Times"/>
        </w:rPr>
      </w:pPr>
      <w:r w:rsidRPr="00B96F68">
        <w:rPr>
          <w:rFonts w:ascii="Times" w:eastAsia="Times Roman" w:hAnsi="Times" w:cs="Times Roman"/>
          <w:vertAlign w:val="superscript"/>
        </w:rPr>
        <w:footnoteRef/>
      </w:r>
      <w:r w:rsidRPr="00B96F68">
        <w:rPr>
          <w:rFonts w:ascii="Times" w:eastAsia="Arial Unicode MS" w:hAnsi="Times" w:cs="Arial Unicode MS"/>
        </w:rPr>
        <w:t xml:space="preserve"> </w:t>
      </w:r>
      <w:r w:rsidRPr="00B96F68">
        <w:rPr>
          <w:rFonts w:ascii="Times" w:hAnsi="Times"/>
        </w:rPr>
        <w:t>Tony Walter and Helen Waterhouse, ‘A Very Private Belief: Reincarnation in Contemporary England’, 189, 196.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-1123766253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:rsidR="005A6888" w:rsidRDefault="005A6888" w:rsidP="007D18D6">
        <w:pPr>
          <w:pStyle w:val="Encabezad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1977977127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:rsidR="00E633E0" w:rsidRDefault="00E633E0" w:rsidP="005A6888">
        <w:pPr>
          <w:pStyle w:val="Encabezado"/>
          <w:framePr w:wrap="none" w:vAnchor="text" w:hAnchor="margin" w:xAlign="right" w:y="1"/>
          <w:ind w:right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E633E0" w:rsidRDefault="00E633E0" w:rsidP="00E633E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1036399735"/>
      <w:docPartObj>
        <w:docPartGallery w:val="Page Numbers (Top of Page)"/>
        <w:docPartUnique/>
      </w:docPartObj>
    </w:sdtPr>
    <w:sdtEndPr>
      <w:rPr>
        <w:rStyle w:val="Nmerodepgina"/>
        <w:sz w:val="20"/>
        <w:szCs w:val="20"/>
      </w:rPr>
    </w:sdtEndPr>
    <w:sdtContent>
      <w:p w:rsidR="005A6888" w:rsidRPr="0046639F" w:rsidRDefault="005A6888" w:rsidP="007D18D6">
        <w:pPr>
          <w:pStyle w:val="Encabezado"/>
          <w:framePr w:wrap="none" w:vAnchor="text" w:hAnchor="margin" w:xAlign="right" w:y="1"/>
          <w:rPr>
            <w:rStyle w:val="Nmerodepgina"/>
            <w:sz w:val="20"/>
            <w:szCs w:val="20"/>
          </w:rPr>
        </w:pPr>
        <w:r w:rsidRPr="0046639F">
          <w:rPr>
            <w:rStyle w:val="Nmerodepgina"/>
            <w:sz w:val="20"/>
            <w:szCs w:val="20"/>
          </w:rPr>
          <w:fldChar w:fldCharType="begin"/>
        </w:r>
        <w:r w:rsidRPr="0046639F">
          <w:rPr>
            <w:rStyle w:val="Nmerodepgina"/>
            <w:sz w:val="20"/>
            <w:szCs w:val="20"/>
          </w:rPr>
          <w:instrText xml:space="preserve"> PAGE </w:instrText>
        </w:r>
        <w:r w:rsidRPr="0046639F">
          <w:rPr>
            <w:rStyle w:val="Nmerodepgina"/>
            <w:sz w:val="20"/>
            <w:szCs w:val="20"/>
          </w:rPr>
          <w:fldChar w:fldCharType="separate"/>
        </w:r>
        <w:r w:rsidRPr="0046639F">
          <w:rPr>
            <w:rStyle w:val="Nmerodepgina"/>
            <w:noProof/>
            <w:sz w:val="20"/>
            <w:szCs w:val="20"/>
          </w:rPr>
          <w:t>1</w:t>
        </w:r>
        <w:r w:rsidRPr="0046639F">
          <w:rPr>
            <w:rStyle w:val="Nmerodepgina"/>
            <w:sz w:val="20"/>
            <w:szCs w:val="20"/>
          </w:rPr>
          <w:fldChar w:fldCharType="end"/>
        </w:r>
      </w:p>
    </w:sdtContent>
  </w:sdt>
  <w:p w:rsidR="00C90781" w:rsidRPr="0046639F" w:rsidRDefault="00E633E0" w:rsidP="0046639F">
    <w:pPr>
      <w:pStyle w:val="Encabezado"/>
      <w:ind w:right="360"/>
      <w:rPr>
        <w:sz w:val="20"/>
        <w:szCs w:val="20"/>
        <w:lang w:val="es-ES"/>
      </w:rPr>
    </w:pPr>
    <w:r w:rsidRPr="0046639F">
      <w:rPr>
        <w:sz w:val="20"/>
        <w:szCs w:val="20"/>
        <w:lang w:val="es-ES"/>
      </w:rPr>
      <w:t>Alejo Matías López Silva 1710936</w:t>
    </w:r>
    <w:r w:rsidRPr="0046639F">
      <w:rPr>
        <w:sz w:val="20"/>
        <w:szCs w:val="20"/>
        <w:lang w:val="es-ES"/>
      </w:rPr>
      <w:tab/>
    </w:r>
    <w:r w:rsidRPr="0046639F">
      <w:rPr>
        <w:sz w:val="20"/>
        <w:szCs w:val="20"/>
        <w:lang w:val="es-E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81"/>
    <w:rsid w:val="00065C0C"/>
    <w:rsid w:val="00084920"/>
    <w:rsid w:val="00095505"/>
    <w:rsid w:val="00130E0C"/>
    <w:rsid w:val="001A1DF7"/>
    <w:rsid w:val="002A48A7"/>
    <w:rsid w:val="003857C0"/>
    <w:rsid w:val="0046639F"/>
    <w:rsid w:val="005048C7"/>
    <w:rsid w:val="005A6888"/>
    <w:rsid w:val="007877A1"/>
    <w:rsid w:val="0090495D"/>
    <w:rsid w:val="00990A36"/>
    <w:rsid w:val="00A25E89"/>
    <w:rsid w:val="00A3563D"/>
    <w:rsid w:val="00B96F68"/>
    <w:rsid w:val="00C3175E"/>
    <w:rsid w:val="00C90781"/>
    <w:rsid w:val="00C96FB6"/>
    <w:rsid w:val="00D44A71"/>
    <w:rsid w:val="00DD6C73"/>
    <w:rsid w:val="00E633E0"/>
    <w:rsid w:val="00F50FA7"/>
    <w:rsid w:val="00F8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7754F6"/>
  <w15:docId w15:val="{2A76571C-77C0-6348-9F8B-DCD32644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B96F6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  <w:lang w:val="es-ES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90A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Calibri" w:hAnsi="Calibri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Textonotapie">
    <w:name w:val="footnote text"/>
    <w:rPr>
      <w:rFonts w:ascii="Calibri" w:eastAsia="Calibri" w:hAnsi="Calibri" w:cs="Calibri"/>
      <w:color w:val="000000"/>
      <w:u w:color="000000"/>
      <w:lang w:val="en-US"/>
    </w:rPr>
  </w:style>
  <w:style w:type="paragraph" w:customStyle="1" w:styleId="Default">
    <w:name w:val="Default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77A1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77A1"/>
    <w:rPr>
      <w:sz w:val="18"/>
      <w:szCs w:val="18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D6C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B96F68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fn">
    <w:name w:val="fn"/>
    <w:basedOn w:val="Fuentedeprrafopredeter"/>
    <w:rsid w:val="00B96F68"/>
  </w:style>
  <w:style w:type="character" w:customStyle="1" w:styleId="apple-converted-space">
    <w:name w:val="apple-converted-space"/>
    <w:basedOn w:val="Fuentedeprrafopredeter"/>
    <w:rsid w:val="00B96F68"/>
  </w:style>
  <w:style w:type="character" w:styleId="nfasis">
    <w:name w:val="Emphasis"/>
    <w:basedOn w:val="Fuentedeprrafopredeter"/>
    <w:uiPriority w:val="20"/>
    <w:qFormat/>
    <w:rsid w:val="00B96F68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0A3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rsid w:val="00990A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bdr w:val="none" w:sz="0" w:space="0" w:color="auto"/>
      <w:lang w:val="en-GB" w:eastAsia="zh-CN"/>
    </w:rPr>
  </w:style>
  <w:style w:type="paragraph" w:styleId="Encabezado">
    <w:name w:val="header"/>
    <w:basedOn w:val="Normal"/>
    <w:link w:val="EncabezadoCar"/>
    <w:uiPriority w:val="99"/>
    <w:unhideWhenUsed/>
    <w:rsid w:val="00E633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3E0"/>
    <w:rPr>
      <w:sz w:val="24"/>
      <w:szCs w:val="24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E633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3E0"/>
    <w:rPr>
      <w:sz w:val="24"/>
      <w:szCs w:val="24"/>
      <w:lang w:val="en-US" w:eastAsia="en-US"/>
    </w:rPr>
  </w:style>
  <w:style w:type="character" w:styleId="Nmerodepgina">
    <w:name w:val="page number"/>
    <w:basedOn w:val="Fuentedeprrafopredeter"/>
    <w:uiPriority w:val="99"/>
    <w:semiHidden/>
    <w:unhideWhenUsed/>
    <w:rsid w:val="00E633E0"/>
  </w:style>
  <w:style w:type="character" w:styleId="Refdenotaalpie">
    <w:name w:val="footnote reference"/>
    <w:basedOn w:val="Fuentedeprrafopredeter"/>
    <w:uiPriority w:val="99"/>
    <w:semiHidden/>
    <w:unhideWhenUsed/>
    <w:rsid w:val="00A356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8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27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n.ac.uk/people/hjw2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researchportal.bath.ac.uk/en/persons/tony-walt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raftonhills.academia.edu/TLBrink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esearchportal.bath.ac.uk/en/persons/tony-walter" TargetMode="External"/><Relationship Id="rId2" Type="http://schemas.openxmlformats.org/officeDocument/2006/relationships/hyperlink" Target="https://craftonhills.academia.edu/TLBrink" TargetMode="External"/><Relationship Id="rId1" Type="http://schemas.openxmlformats.org/officeDocument/2006/relationships/hyperlink" Target="https://craftonhills.academia.edu/TLBrink" TargetMode="External"/><Relationship Id="rId5" Type="http://schemas.openxmlformats.org/officeDocument/2006/relationships/hyperlink" Target="http://www.open.ac.uk/people/hjw26" TargetMode="External"/><Relationship Id="rId4" Type="http://schemas.openxmlformats.org/officeDocument/2006/relationships/hyperlink" Target="https://researchportal.bath.ac.uk/en/persons/tony-walter" TargetMode="Externa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6B5DE6-0BAB-2543-896A-51CF29279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1580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Alejo López silva (1710936)</cp:lastModifiedBy>
  <cp:revision>8</cp:revision>
  <dcterms:created xsi:type="dcterms:W3CDTF">2020-05-30T08:12:00Z</dcterms:created>
  <dcterms:modified xsi:type="dcterms:W3CDTF">2020-05-30T13:05:00Z</dcterms:modified>
</cp:coreProperties>
</file>