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22324E" w14:textId="0C7F9011" w:rsidR="006A30E9" w:rsidRDefault="002D4C90" w:rsidP="007C0ED9">
      <w:pPr>
        <w:spacing w:before="100" w:beforeAutospacing="1" w:after="100" w:afterAutospacing="1" w:line="360" w:lineRule="auto"/>
        <w:rPr>
          <w:rFonts w:ascii="Arial" w:eastAsia="Times New Roman" w:hAnsi="Arial" w:cs="Arial"/>
          <w:b/>
          <w:sz w:val="22"/>
          <w:szCs w:val="22"/>
        </w:rPr>
      </w:pPr>
      <w:r>
        <w:rPr>
          <w:rFonts w:ascii="Arial" w:eastAsia="Times New Roman" w:hAnsi="Arial" w:cs="Arial"/>
          <w:b/>
          <w:sz w:val="22"/>
          <w:szCs w:val="22"/>
        </w:rPr>
        <w:t>Trusts</w:t>
      </w:r>
      <w:r w:rsidR="006A30E9" w:rsidRPr="006A30E9">
        <w:rPr>
          <w:rFonts w:ascii="Arial" w:eastAsia="Times New Roman" w:hAnsi="Arial" w:cs="Arial"/>
          <w:b/>
          <w:sz w:val="22"/>
          <w:szCs w:val="22"/>
        </w:rPr>
        <w:t xml:space="preserve"> Revision Exam</w:t>
      </w:r>
      <w:r>
        <w:rPr>
          <w:rFonts w:ascii="Arial" w:eastAsia="Times New Roman" w:hAnsi="Arial" w:cs="Arial"/>
          <w:b/>
          <w:sz w:val="22"/>
          <w:szCs w:val="22"/>
        </w:rPr>
        <w:t xml:space="preserve"> – answers</w:t>
      </w:r>
    </w:p>
    <w:p w14:paraId="39DD54A5" w14:textId="11F88558" w:rsidR="002D4C90" w:rsidRDefault="002D4C90" w:rsidP="007C0ED9">
      <w:pPr>
        <w:spacing w:before="100" w:beforeAutospacing="1" w:after="100" w:afterAutospacing="1" w:line="360" w:lineRule="auto"/>
        <w:rPr>
          <w:rFonts w:ascii="Arial" w:eastAsia="Times New Roman" w:hAnsi="Arial" w:cs="Arial"/>
          <w:b/>
          <w:sz w:val="22"/>
          <w:szCs w:val="22"/>
        </w:rPr>
      </w:pPr>
      <w:r>
        <w:rPr>
          <w:rFonts w:ascii="Arial" w:eastAsia="Times New Roman" w:hAnsi="Arial" w:cs="Arial"/>
          <w:b/>
          <w:sz w:val="22"/>
          <w:szCs w:val="22"/>
        </w:rPr>
        <w:t>Section A</w:t>
      </w:r>
    </w:p>
    <w:p w14:paraId="16E275FF" w14:textId="08D57AED" w:rsidR="002D4C90" w:rsidRPr="007C0ED9" w:rsidRDefault="002D4C90" w:rsidP="007C0ED9">
      <w:pPr>
        <w:spacing w:before="100" w:beforeAutospacing="1" w:after="100" w:afterAutospacing="1" w:line="360" w:lineRule="auto"/>
        <w:rPr>
          <w:rFonts w:ascii="Arial" w:eastAsia="Times New Roman" w:hAnsi="Arial" w:cs="Arial"/>
          <w:b/>
          <w:sz w:val="22"/>
          <w:szCs w:val="22"/>
        </w:rPr>
      </w:pPr>
      <w:r>
        <w:rPr>
          <w:rFonts w:ascii="Arial" w:eastAsia="Times New Roman" w:hAnsi="Arial" w:cs="Arial"/>
          <w:b/>
          <w:sz w:val="22"/>
          <w:szCs w:val="22"/>
        </w:rPr>
        <w:t>Question 1</w:t>
      </w:r>
    </w:p>
    <w:p w14:paraId="1F598738" w14:textId="11F88558" w:rsidR="006A30E9" w:rsidRPr="002D4C90" w:rsidRDefault="006A30E9" w:rsidP="002D4C90">
      <w:pPr>
        <w:spacing w:before="100" w:beforeAutospacing="1" w:after="100" w:afterAutospacing="1" w:line="360" w:lineRule="auto"/>
        <w:rPr>
          <w:rFonts w:ascii="Arial" w:eastAsia="Times New Roman" w:hAnsi="Arial" w:cs="Arial"/>
          <w:sz w:val="22"/>
          <w:szCs w:val="22"/>
        </w:rPr>
      </w:pPr>
      <w:r w:rsidRPr="002D4C90">
        <w:rPr>
          <w:rFonts w:ascii="Arial" w:eastAsia="Times New Roman" w:hAnsi="Arial" w:cs="Arial"/>
          <w:sz w:val="22"/>
          <w:szCs w:val="22"/>
        </w:rPr>
        <w:t>Generally, trusts are valid only if they have beneficiaries who can, if necessary, go to court to enforce them (</w:t>
      </w:r>
      <w:proofErr w:type="spellStart"/>
      <w:r w:rsidRPr="002D4C90">
        <w:rPr>
          <w:rFonts w:ascii="Arial" w:eastAsia="Times New Roman" w:hAnsi="Arial" w:cs="Arial"/>
          <w:sz w:val="22"/>
          <w:szCs w:val="22"/>
        </w:rPr>
        <w:t>Morice</w:t>
      </w:r>
      <w:proofErr w:type="spellEnd"/>
      <w:r w:rsidRPr="002D4C90">
        <w:rPr>
          <w:rFonts w:ascii="Arial" w:eastAsia="Times New Roman" w:hAnsi="Arial" w:cs="Arial"/>
          <w:sz w:val="22"/>
          <w:szCs w:val="22"/>
        </w:rPr>
        <w:t xml:space="preserve"> v Bishop of Durham (1804); Re Astor’s Settlement Trusts (1952)). This is known as the beneficiary principle. The key feature of a trust is that the trustees are under a duty to carry it out; a duty can be said to exist only if there is someone who can compel its performance. For this reason, beneficiaries are essential. The beneficiary principle means that non- charitable purpose trusts are generally void. </w:t>
      </w:r>
    </w:p>
    <w:p w14:paraId="48A53062"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In Re </w:t>
      </w:r>
      <w:proofErr w:type="spellStart"/>
      <w:r w:rsidRPr="006A30E9">
        <w:rPr>
          <w:rFonts w:ascii="Arial" w:eastAsia="Times New Roman" w:hAnsi="Arial" w:cs="Arial"/>
          <w:sz w:val="22"/>
          <w:szCs w:val="22"/>
        </w:rPr>
        <w:t>Denley’s</w:t>
      </w:r>
      <w:proofErr w:type="spellEnd"/>
      <w:r w:rsidRPr="006A30E9">
        <w:rPr>
          <w:rFonts w:ascii="Arial" w:eastAsia="Times New Roman" w:hAnsi="Arial" w:cs="Arial"/>
          <w:sz w:val="22"/>
          <w:szCs w:val="22"/>
        </w:rPr>
        <w:t xml:space="preserve"> Trust Deed (1969), it was held that trusts which are expressed as being for a purpose are valid if there are ascertainable beneficiaries who can enforce them. A trust to provide a sports ground for employees of a company was held to be valid because the employees derived a sufficient benefit to be able to enforce the trust. </w:t>
      </w:r>
    </w:p>
    <w:p w14:paraId="043DEC8F"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Goff J distinguished purpose trusts where the benefit to individuals was sufficiently direct and tangible to give them locus standi to enforce the trust and those where the benefit was too abstract, indirect, or intangible. The latter are not valid because they offend the beneficiary principle. The trust for the maintenance ...of good understanding between nations’ and the ‘preservation of the independence and integrity of newspapers’, which was declared invalid in Re Astor’s ST, could be regarded as an example of where the benefit to individuals was too abstract or indirect to give them locus standi to enforce the trust. </w:t>
      </w:r>
    </w:p>
    <w:p w14:paraId="56A8CBF7"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Prior to Re </w:t>
      </w:r>
      <w:proofErr w:type="spellStart"/>
      <w:r w:rsidRPr="006A30E9">
        <w:rPr>
          <w:rFonts w:ascii="Arial" w:eastAsia="Times New Roman" w:hAnsi="Arial" w:cs="Arial"/>
          <w:sz w:val="22"/>
          <w:szCs w:val="22"/>
        </w:rPr>
        <w:t>Denley</w:t>
      </w:r>
      <w:proofErr w:type="spellEnd"/>
      <w:r w:rsidRPr="006A30E9">
        <w:rPr>
          <w:rFonts w:ascii="Arial" w:eastAsia="Times New Roman" w:hAnsi="Arial" w:cs="Arial"/>
          <w:sz w:val="22"/>
          <w:szCs w:val="22"/>
        </w:rPr>
        <w:t xml:space="preserve">, it was thought that beneficiaries had to have a proprietary equitable interest in the trust property in order to enforce the trust. It is unclear whether the employees in Re </w:t>
      </w:r>
      <w:proofErr w:type="spellStart"/>
      <w:r w:rsidRPr="006A30E9">
        <w:rPr>
          <w:rFonts w:ascii="Arial" w:eastAsia="Times New Roman" w:hAnsi="Arial" w:cs="Arial"/>
          <w:sz w:val="22"/>
          <w:szCs w:val="22"/>
        </w:rPr>
        <w:t>Denley</w:t>
      </w:r>
      <w:proofErr w:type="spellEnd"/>
      <w:r w:rsidRPr="006A30E9">
        <w:rPr>
          <w:rFonts w:ascii="Arial" w:eastAsia="Times New Roman" w:hAnsi="Arial" w:cs="Arial"/>
          <w:sz w:val="22"/>
          <w:szCs w:val="22"/>
        </w:rPr>
        <w:t xml:space="preserve"> had such an interest or a mere factual benefit in being able to use the sports ground. As a result of </w:t>
      </w:r>
      <w:proofErr w:type="spellStart"/>
      <w:r w:rsidRPr="006A30E9">
        <w:rPr>
          <w:rFonts w:ascii="Arial" w:eastAsia="Times New Roman" w:hAnsi="Arial" w:cs="Arial"/>
          <w:sz w:val="22"/>
          <w:szCs w:val="22"/>
        </w:rPr>
        <w:t>Denley</w:t>
      </w:r>
      <w:proofErr w:type="spellEnd"/>
      <w:r w:rsidRPr="006A30E9">
        <w:rPr>
          <w:rFonts w:ascii="Arial" w:eastAsia="Times New Roman" w:hAnsi="Arial" w:cs="Arial"/>
          <w:sz w:val="22"/>
          <w:szCs w:val="22"/>
        </w:rPr>
        <w:t xml:space="preserve">, it is possible that a factual benefit from a trust is enough to allow beneficiaries to enforce it and thereby satisfy the beneficiary principle. The alternative explanation of </w:t>
      </w:r>
      <w:proofErr w:type="spellStart"/>
      <w:r w:rsidRPr="006A30E9">
        <w:rPr>
          <w:rFonts w:ascii="Arial" w:eastAsia="Times New Roman" w:hAnsi="Arial" w:cs="Arial"/>
          <w:sz w:val="22"/>
          <w:szCs w:val="22"/>
        </w:rPr>
        <w:t>Denley</w:t>
      </w:r>
      <w:proofErr w:type="spellEnd"/>
      <w:r w:rsidRPr="006A30E9">
        <w:rPr>
          <w:rFonts w:ascii="Arial" w:eastAsia="Times New Roman" w:hAnsi="Arial" w:cs="Arial"/>
          <w:sz w:val="22"/>
          <w:szCs w:val="22"/>
        </w:rPr>
        <w:t xml:space="preserve"> is that it was a more conventional discretionary trust (Re Grant’s WT (1980)). </w:t>
      </w:r>
    </w:p>
    <w:p w14:paraId="24A5AE68"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For the trust to be valid the beneficiaries must be ‘ascertained or ascertainable’. It is unclear which certainty of objects test appertains to </w:t>
      </w:r>
      <w:proofErr w:type="spellStart"/>
      <w:r w:rsidRPr="006A30E9">
        <w:rPr>
          <w:rFonts w:ascii="Arial" w:eastAsia="Times New Roman" w:hAnsi="Arial" w:cs="Arial"/>
          <w:sz w:val="22"/>
          <w:szCs w:val="22"/>
        </w:rPr>
        <w:t>Denley</w:t>
      </w:r>
      <w:proofErr w:type="spellEnd"/>
      <w:r w:rsidRPr="006A30E9">
        <w:rPr>
          <w:rFonts w:ascii="Arial" w:eastAsia="Times New Roman" w:hAnsi="Arial" w:cs="Arial"/>
          <w:sz w:val="22"/>
          <w:szCs w:val="22"/>
        </w:rPr>
        <w:t xml:space="preserve"> trusts but if they are discretionary trusts, the given postulant test applies (McPhail v Doulton (1971)): it must be possible to say of any given postulant that s/he is or is not a member of the class of objects. The description of </w:t>
      </w:r>
      <w:r w:rsidRPr="006A30E9">
        <w:rPr>
          <w:rFonts w:ascii="Arial" w:eastAsia="Times New Roman" w:hAnsi="Arial" w:cs="Arial"/>
          <w:sz w:val="22"/>
          <w:szCs w:val="22"/>
        </w:rPr>
        <w:lastRenderedPageBreak/>
        <w:t xml:space="preserve">objects must be conceptually certain (Re Baden’s Deed Trusts (No 2) (1973)). </w:t>
      </w:r>
      <w:proofErr w:type="spellStart"/>
      <w:r w:rsidRPr="006A30E9">
        <w:rPr>
          <w:rFonts w:ascii="Arial" w:eastAsia="Times New Roman" w:hAnsi="Arial" w:cs="Arial"/>
          <w:sz w:val="22"/>
          <w:szCs w:val="22"/>
        </w:rPr>
        <w:t>Denley</w:t>
      </w:r>
      <w:proofErr w:type="spellEnd"/>
      <w:r w:rsidRPr="006A30E9">
        <w:rPr>
          <w:rFonts w:ascii="Arial" w:eastAsia="Times New Roman" w:hAnsi="Arial" w:cs="Arial"/>
          <w:sz w:val="22"/>
          <w:szCs w:val="22"/>
        </w:rPr>
        <w:t xml:space="preserve"> trusts will fail if the class of objects is too wide to be administratively workable. In District Auditor, ex parte West Yorkshire Metropolitan County Council (1986) a purpose trust for 2.5 million inhabitants of West Yorkshire failed due to administrative unworkability. In Re Harding (Deceased) (2007) it was accepted that a trust for ‘the Black community’ of four named London boroughs would have been void for administrative unworkability had it been a non-charitable trust. The objection to these trusts may be that members of such a large class of objects would have little interest in enforcing the trust. </w:t>
      </w:r>
    </w:p>
    <w:p w14:paraId="03207FEF"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In some cases the purpose has been deemed to express the motive for the gift and the beneficiary is entitled to the property absolutely. In Re Andrews Trust (1905), a fund was raised for the education of children of a deceased vicar. It was held that when they ceased full time education, the fund should be divided between them absolutely. The same approach was used in Re </w:t>
      </w:r>
      <w:proofErr w:type="spellStart"/>
      <w:r w:rsidRPr="006A30E9">
        <w:rPr>
          <w:rFonts w:ascii="Arial" w:eastAsia="Times New Roman" w:hAnsi="Arial" w:cs="Arial"/>
          <w:sz w:val="22"/>
          <w:szCs w:val="22"/>
        </w:rPr>
        <w:t>Osoba</w:t>
      </w:r>
      <w:proofErr w:type="spellEnd"/>
      <w:r w:rsidRPr="006A30E9">
        <w:rPr>
          <w:rFonts w:ascii="Arial" w:eastAsia="Times New Roman" w:hAnsi="Arial" w:cs="Arial"/>
          <w:sz w:val="22"/>
          <w:szCs w:val="22"/>
        </w:rPr>
        <w:t xml:space="preserve"> (1979). In both cases, the educational purpose was merely the motive behind an absolute gift to the beneficiaries. </w:t>
      </w:r>
    </w:p>
    <w:p w14:paraId="10D8B77D"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The reasoning in Re </w:t>
      </w:r>
      <w:proofErr w:type="spellStart"/>
      <w:r w:rsidRPr="006A30E9">
        <w:rPr>
          <w:rFonts w:ascii="Arial" w:eastAsia="Times New Roman" w:hAnsi="Arial" w:cs="Arial"/>
          <w:sz w:val="22"/>
          <w:szCs w:val="22"/>
        </w:rPr>
        <w:t>Denley</w:t>
      </w:r>
      <w:proofErr w:type="spellEnd"/>
      <w:r w:rsidRPr="006A30E9">
        <w:rPr>
          <w:rFonts w:ascii="Arial" w:eastAsia="Times New Roman" w:hAnsi="Arial" w:cs="Arial"/>
          <w:sz w:val="22"/>
          <w:szCs w:val="22"/>
        </w:rPr>
        <w:t xml:space="preserve"> was applied in Re Lipinski’s Will Trusts (1976) to a gift to a non-charitable unincorporated association on trust to construct new buildings for the association and to make improvements to the said buildings. The judge held that this non-charitable purpose trust was valid because the members of the association were ascertainable beneficiaries who would have a sufficiently direct benefit from the trust to be able to enforce it. </w:t>
      </w:r>
    </w:p>
    <w:p w14:paraId="6503EAB6"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There are some anomalous cases where trusts for non-charitable purposes with no ascertainable beneficiary have been upheld. In Re Hooper (1932), it was held that a trust for the upkeep of various family graves was valid despite the absence of a beneficiary to enforce the trust. In Re Dean (1889) and </w:t>
      </w:r>
      <w:proofErr w:type="spellStart"/>
      <w:r w:rsidRPr="006A30E9">
        <w:rPr>
          <w:rFonts w:ascii="Arial" w:eastAsia="Times New Roman" w:hAnsi="Arial" w:cs="Arial"/>
          <w:sz w:val="22"/>
          <w:szCs w:val="22"/>
        </w:rPr>
        <w:t>Pettingall</w:t>
      </w:r>
      <w:proofErr w:type="spellEnd"/>
      <w:r w:rsidRPr="006A30E9">
        <w:rPr>
          <w:rFonts w:ascii="Arial" w:eastAsia="Times New Roman" w:hAnsi="Arial" w:cs="Arial"/>
          <w:sz w:val="22"/>
          <w:szCs w:val="22"/>
        </w:rPr>
        <w:t xml:space="preserve"> v </w:t>
      </w:r>
      <w:proofErr w:type="spellStart"/>
      <w:r w:rsidRPr="006A30E9">
        <w:rPr>
          <w:rFonts w:ascii="Arial" w:eastAsia="Times New Roman" w:hAnsi="Arial" w:cs="Arial"/>
          <w:sz w:val="22"/>
          <w:szCs w:val="22"/>
        </w:rPr>
        <w:t>Pettingall</w:t>
      </w:r>
      <w:proofErr w:type="spellEnd"/>
      <w:r w:rsidRPr="006A30E9">
        <w:rPr>
          <w:rFonts w:ascii="Arial" w:eastAsia="Times New Roman" w:hAnsi="Arial" w:cs="Arial"/>
          <w:sz w:val="22"/>
          <w:szCs w:val="22"/>
        </w:rPr>
        <w:t xml:space="preserve"> (1842), trusts to maintain specific animals were held to be valid despite the conflict with the beneficiary principle. Trusts for the saying of private masses are also valid (Re </w:t>
      </w:r>
      <w:proofErr w:type="spellStart"/>
      <w:r w:rsidRPr="006A30E9">
        <w:rPr>
          <w:rFonts w:ascii="Arial" w:eastAsia="Times New Roman" w:hAnsi="Arial" w:cs="Arial"/>
          <w:sz w:val="22"/>
          <w:szCs w:val="22"/>
        </w:rPr>
        <w:t>Khoo</w:t>
      </w:r>
      <w:proofErr w:type="spellEnd"/>
      <w:r w:rsidRPr="006A30E9">
        <w:rPr>
          <w:rFonts w:ascii="Arial" w:eastAsia="Times New Roman" w:hAnsi="Arial" w:cs="Arial"/>
          <w:sz w:val="22"/>
          <w:szCs w:val="22"/>
        </w:rPr>
        <w:t xml:space="preserve"> Cheng </w:t>
      </w:r>
      <w:proofErr w:type="spellStart"/>
      <w:r w:rsidRPr="006A30E9">
        <w:rPr>
          <w:rFonts w:ascii="Arial" w:eastAsia="Times New Roman" w:hAnsi="Arial" w:cs="Arial"/>
          <w:sz w:val="22"/>
          <w:szCs w:val="22"/>
        </w:rPr>
        <w:t>Teow</w:t>
      </w:r>
      <w:proofErr w:type="spellEnd"/>
      <w:r w:rsidRPr="006A30E9">
        <w:rPr>
          <w:rFonts w:ascii="Arial" w:eastAsia="Times New Roman" w:hAnsi="Arial" w:cs="Arial"/>
          <w:sz w:val="22"/>
          <w:szCs w:val="22"/>
        </w:rPr>
        <w:t xml:space="preserve"> (1932)). </w:t>
      </w:r>
    </w:p>
    <w:p w14:paraId="625030B7"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These exceptions to the beneficiary principle have been described as “concessions to human weakness” (Re </w:t>
      </w:r>
      <w:proofErr w:type="spellStart"/>
      <w:r w:rsidRPr="006A30E9">
        <w:rPr>
          <w:rFonts w:ascii="Arial" w:eastAsia="Times New Roman" w:hAnsi="Arial" w:cs="Arial"/>
          <w:sz w:val="22"/>
          <w:szCs w:val="22"/>
        </w:rPr>
        <w:t>Endacott</w:t>
      </w:r>
      <w:proofErr w:type="spellEnd"/>
      <w:r w:rsidRPr="006A30E9">
        <w:rPr>
          <w:rFonts w:ascii="Arial" w:eastAsia="Times New Roman" w:hAnsi="Arial" w:cs="Arial"/>
          <w:sz w:val="22"/>
          <w:szCs w:val="22"/>
        </w:rPr>
        <w:t xml:space="preserve"> (1960)). They are regarded as anomalous and the courts have refused to extend them to similar situations. </w:t>
      </w:r>
    </w:p>
    <w:p w14:paraId="3969CC33"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While these anomalous trusts are valid, they are unenforceable. There is no beneficiary who can compel the trustees to carry out the trust. The trustees need not perform the trust if they do not wish to do so. For this reason, they are called ‘trusts of imperfect obligation’. These </w:t>
      </w:r>
      <w:r w:rsidRPr="006A30E9">
        <w:rPr>
          <w:rFonts w:ascii="Arial" w:eastAsia="Times New Roman" w:hAnsi="Arial" w:cs="Arial"/>
          <w:sz w:val="22"/>
          <w:szCs w:val="22"/>
        </w:rPr>
        <w:lastRenderedPageBreak/>
        <w:t xml:space="preserve">trusts conflict with the statement because although they do not have beneficiaries with equitable interests capable of enforcing them, they are nevertheless valid. </w:t>
      </w:r>
    </w:p>
    <w:p w14:paraId="2ACB93B3"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Non-charitable purpose trusts will be declared void if they offend the rule against inalienability. The trustees must have the power to spend the trust capital within the perpetuity period of 21 years. However, the courts have allowed some trusts which do not appear to comply with the rule e.g. Re Dean where a trust for the maintenance of the testator’s horses and hounds for 50 years was held to be valid. </w:t>
      </w:r>
    </w:p>
    <w:p w14:paraId="5EEE0554" w14:textId="77777777" w:rsidR="006A30E9" w:rsidRPr="006A30E9" w:rsidRDefault="006A30E9" w:rsidP="007C0ED9">
      <w:pPr>
        <w:spacing w:before="100" w:beforeAutospacing="1" w:after="100" w:afterAutospacing="1" w:line="360" w:lineRule="auto"/>
        <w:rPr>
          <w:rFonts w:ascii="Arial" w:eastAsia="Times New Roman" w:hAnsi="Arial" w:cs="Arial"/>
          <w:sz w:val="22"/>
          <w:szCs w:val="22"/>
        </w:rPr>
      </w:pPr>
      <w:r w:rsidRPr="006A30E9">
        <w:rPr>
          <w:rFonts w:ascii="Arial" w:eastAsia="Times New Roman" w:hAnsi="Arial" w:cs="Arial"/>
          <w:sz w:val="22"/>
          <w:szCs w:val="22"/>
        </w:rPr>
        <w:t xml:space="preserve">In the main, trusts are valid only if they have beneficiaries to enforce them. The beneficiaries must be legal persons, namely humans or companies. In other jurisdictions, trusts are valid if the settlor has appointed a protector to enforce the trust. The protector does not have to be a beneficiary. This arrangement would make it possible to create a much wider range of non-charitable purpose trusts but it has not been tested in the UK. </w:t>
      </w:r>
    </w:p>
    <w:p w14:paraId="6C4F5668" w14:textId="35265693" w:rsidR="006A30E9" w:rsidRPr="006A30E9" w:rsidRDefault="006A30E9" w:rsidP="007C0ED9">
      <w:pPr>
        <w:pStyle w:val="NormalWeb"/>
        <w:spacing w:line="360" w:lineRule="auto"/>
        <w:rPr>
          <w:rFonts w:ascii="Arial" w:hAnsi="Arial" w:cs="Arial"/>
          <w:b/>
          <w:sz w:val="22"/>
          <w:szCs w:val="22"/>
          <w:u w:val="single"/>
        </w:rPr>
      </w:pPr>
      <w:r w:rsidRPr="006A30E9">
        <w:rPr>
          <w:rFonts w:ascii="Arial" w:hAnsi="Arial" w:cs="Arial"/>
          <w:b/>
          <w:sz w:val="22"/>
          <w:szCs w:val="22"/>
          <w:u w:val="single"/>
        </w:rPr>
        <w:t xml:space="preserve">Question 2 </w:t>
      </w:r>
    </w:p>
    <w:p w14:paraId="3AB2CD64"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 xml:space="preserve">Section 9 of the Wills Act 1837 provides that dispositions intended to have effect on a person’s death should be contained in a written will signed by the testator in the presence of two witnesses who then sign the will in the presence of the testator. Secret trusts do not comply with s9 because all the terms of the trust are not set out in the will. Fully secret trusts arise where a will contains an absolute gift to a legatee; outside the will the legatee agrees to hold the legacy on trust. In half secret trusts, the will indicates that there is a trust but does not set out its terms. </w:t>
      </w:r>
    </w:p>
    <w:p w14:paraId="787E47AC"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In both fully and half secret trusts, the testator must communicate the terms of the trust to the legatee and the legatee must agree. In fully secret trusts, the terms must be communicated before the testator’s death (</w:t>
      </w:r>
      <w:proofErr w:type="spellStart"/>
      <w:r w:rsidRPr="006A30E9">
        <w:rPr>
          <w:rFonts w:ascii="Arial" w:hAnsi="Arial" w:cs="Arial"/>
          <w:sz w:val="22"/>
          <w:szCs w:val="22"/>
        </w:rPr>
        <w:t>Wallgrave</w:t>
      </w:r>
      <w:proofErr w:type="spellEnd"/>
      <w:r w:rsidRPr="006A30E9">
        <w:rPr>
          <w:rFonts w:ascii="Arial" w:hAnsi="Arial" w:cs="Arial"/>
          <w:sz w:val="22"/>
          <w:szCs w:val="22"/>
        </w:rPr>
        <w:t xml:space="preserve"> v </w:t>
      </w:r>
      <w:proofErr w:type="spellStart"/>
      <w:r w:rsidRPr="006A30E9">
        <w:rPr>
          <w:rFonts w:ascii="Arial" w:hAnsi="Arial" w:cs="Arial"/>
          <w:sz w:val="22"/>
          <w:szCs w:val="22"/>
        </w:rPr>
        <w:t>Tebbs</w:t>
      </w:r>
      <w:proofErr w:type="spellEnd"/>
      <w:r w:rsidRPr="006A30E9">
        <w:rPr>
          <w:rFonts w:ascii="Arial" w:hAnsi="Arial" w:cs="Arial"/>
          <w:sz w:val="22"/>
          <w:szCs w:val="22"/>
        </w:rPr>
        <w:t xml:space="preserve"> (1855); Re Boyes (1884). In half secret trusts, the terms of the trust must be communicated before or at the time the will is executed (Re Keen (1937); Re Bateman (1970)). </w:t>
      </w:r>
    </w:p>
    <w:p w14:paraId="1F90833A"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 xml:space="preserve">In McCormick v Grogan (1869), it was held that fully secret trusts should be enforced because equity will not allow statute (s.9) to be used as an instrument of fraud. If a fully secret trust were not enforced, the legatee would take beneficially in accordance with the absolute gift in the will. This would be a fraud when the legatee has agreed to act as a trustee and, in reliance on the legatee’s agreement, the testator has made a will leaving the legacy to him or her or has left the legacy unrevoked. </w:t>
      </w:r>
    </w:p>
    <w:p w14:paraId="060717B9"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lastRenderedPageBreak/>
        <w:t xml:space="preserve">However, this does not explain why the secret beneficiary is allowed to benefit. Where the secret trustee refuses to abide by his or her agreement, the secret beneficiary is not defrauded; the secret trustee did not give the secret beneficiary a promise to hold on trust and the secret beneficiary did not rely on the promise to his or her detriment. There is an alternative suggestion that the fraud consists of the trustee’s refusal to keep the promise made to the testator on which the testator has relied. Fraud would thus be prevented by refusing to allow the trustee to take beneficially by imposing a resulting trust for the testator’s estate. </w:t>
      </w:r>
    </w:p>
    <w:p w14:paraId="5925CAE7"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 xml:space="preserve">The prevention of fraud theory does not justify the enforcement of half-secret trusts. The fact that the legatee is to be a trustee is apparent on the face of the will. There is no possibility of X taking beneficially and therefore, no possibility of fraud by X. </w:t>
      </w:r>
    </w:p>
    <w:p w14:paraId="19E5F0B0"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The modern explanation why secret trusts are enforced is the ‘</w:t>
      </w:r>
      <w:proofErr w:type="spellStart"/>
      <w:r w:rsidRPr="006A30E9">
        <w:rPr>
          <w:rFonts w:ascii="Arial" w:hAnsi="Arial" w:cs="Arial"/>
          <w:sz w:val="22"/>
          <w:szCs w:val="22"/>
        </w:rPr>
        <w:t>dehors</w:t>
      </w:r>
      <w:proofErr w:type="spellEnd"/>
      <w:r w:rsidRPr="006A30E9">
        <w:rPr>
          <w:rFonts w:ascii="Arial" w:hAnsi="Arial" w:cs="Arial"/>
          <w:sz w:val="22"/>
          <w:szCs w:val="22"/>
        </w:rPr>
        <w:t xml:space="preserve"> the will’ theory (Blackwell v Blackwell (1929)). This explanation runs as follows: </w:t>
      </w:r>
    </w:p>
    <w:p w14:paraId="254F5194" w14:textId="77777777" w:rsidR="006A30E9" w:rsidRPr="006A30E9" w:rsidRDefault="006A30E9" w:rsidP="007C0ED9">
      <w:pPr>
        <w:pStyle w:val="NormalWeb"/>
        <w:numPr>
          <w:ilvl w:val="0"/>
          <w:numId w:val="1"/>
        </w:numPr>
        <w:spacing w:line="360" w:lineRule="auto"/>
        <w:rPr>
          <w:rFonts w:ascii="Arial" w:hAnsi="Arial" w:cs="Arial"/>
          <w:sz w:val="22"/>
          <w:szCs w:val="22"/>
        </w:rPr>
      </w:pPr>
      <w:r w:rsidRPr="006A30E9">
        <w:rPr>
          <w:rFonts w:ascii="Arial" w:hAnsi="Arial" w:cs="Arial"/>
          <w:sz w:val="22"/>
          <w:szCs w:val="22"/>
        </w:rPr>
        <w:t xml:space="preserve">The testator communicates to the secret trustee the terms of the intended trust, and the secret trustee accepts the obligation. This is an inter </w:t>
      </w:r>
      <w:proofErr w:type="spellStart"/>
      <w:r w:rsidRPr="006A30E9">
        <w:rPr>
          <w:rFonts w:ascii="Arial" w:hAnsi="Arial" w:cs="Arial"/>
          <w:sz w:val="22"/>
          <w:szCs w:val="22"/>
        </w:rPr>
        <w:t>vivos</w:t>
      </w:r>
      <w:proofErr w:type="spellEnd"/>
      <w:r w:rsidRPr="006A30E9">
        <w:rPr>
          <w:rFonts w:ascii="Arial" w:hAnsi="Arial" w:cs="Arial"/>
          <w:sz w:val="22"/>
          <w:szCs w:val="22"/>
        </w:rPr>
        <w:t xml:space="preserve"> declaration of trust. At this stage the legal title remains with the testator, and the trust is incompletely constituted. </w:t>
      </w:r>
    </w:p>
    <w:p w14:paraId="6EF952BC" w14:textId="77777777" w:rsidR="006A30E9" w:rsidRPr="006A30E9" w:rsidRDefault="006A30E9" w:rsidP="007C0ED9">
      <w:pPr>
        <w:pStyle w:val="NormalWeb"/>
        <w:numPr>
          <w:ilvl w:val="0"/>
          <w:numId w:val="1"/>
        </w:numPr>
        <w:spacing w:line="360" w:lineRule="auto"/>
        <w:rPr>
          <w:rFonts w:ascii="Arial" w:hAnsi="Arial" w:cs="Arial"/>
          <w:sz w:val="22"/>
          <w:szCs w:val="22"/>
        </w:rPr>
      </w:pPr>
      <w:r w:rsidRPr="006A30E9">
        <w:rPr>
          <w:rFonts w:ascii="Arial" w:hAnsi="Arial" w:cs="Arial"/>
          <w:sz w:val="22"/>
          <w:szCs w:val="22"/>
        </w:rPr>
        <w:t xml:space="preserve">The testator dies, and the legal title is then transferred to the secret trustee/legatee under the testator’s will. The trust is now completely constituted. </w:t>
      </w:r>
    </w:p>
    <w:p w14:paraId="6DE7EA6F"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 xml:space="preserve">This solves the apparent contradiction with s. 9 Wills Act 1837, which requires any trust declared on death to be in the validly executed will. The secret trust is not declared on death: it is an inter </w:t>
      </w:r>
      <w:proofErr w:type="spellStart"/>
      <w:r w:rsidRPr="006A30E9">
        <w:rPr>
          <w:rFonts w:ascii="Arial" w:hAnsi="Arial" w:cs="Arial"/>
          <w:sz w:val="22"/>
          <w:szCs w:val="22"/>
        </w:rPr>
        <w:t>vivos</w:t>
      </w:r>
      <w:proofErr w:type="spellEnd"/>
      <w:r w:rsidRPr="006A30E9">
        <w:rPr>
          <w:rFonts w:ascii="Arial" w:hAnsi="Arial" w:cs="Arial"/>
          <w:sz w:val="22"/>
          <w:szCs w:val="22"/>
        </w:rPr>
        <w:t xml:space="preserve"> declaration of trust. </w:t>
      </w:r>
    </w:p>
    <w:p w14:paraId="75199324"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 xml:space="preserve">The </w:t>
      </w:r>
      <w:proofErr w:type="spellStart"/>
      <w:r w:rsidRPr="006A30E9">
        <w:rPr>
          <w:rFonts w:ascii="Arial" w:hAnsi="Arial" w:cs="Arial"/>
          <w:sz w:val="22"/>
          <w:szCs w:val="22"/>
        </w:rPr>
        <w:t>dehors</w:t>
      </w:r>
      <w:proofErr w:type="spellEnd"/>
      <w:r w:rsidRPr="006A30E9">
        <w:rPr>
          <w:rFonts w:ascii="Arial" w:hAnsi="Arial" w:cs="Arial"/>
          <w:sz w:val="22"/>
          <w:szCs w:val="22"/>
        </w:rPr>
        <w:t xml:space="preserve"> the will theory explains the decision in Re Gardner (No 2) (1923). The secret beneficiary died before the testator. A legacy contained in a will lapses and fails if the legatee predeceases the testator. However, in the much criticised decision of Re Gardner (No 2), it was held that the legacy should be paid to the deceased beneficiary’s estate because he was a beneficiary under a trust created in the testator’s lifetime and not a trust contained in a will. </w:t>
      </w:r>
    </w:p>
    <w:p w14:paraId="712EBECA"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 xml:space="preserve">In Re Young (1951), the secret beneficiary witnessed the testator’s will. Under s.15 Wills Act 1837, a legacy to a beneficiary who witnesses the will is invalid. However, the beneficiary was allowed to benefit under the secret trust; the judge held that it was not a trust created in the will but one which was declared in the testator’s lifetime. </w:t>
      </w:r>
    </w:p>
    <w:p w14:paraId="295A4F2F"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lastRenderedPageBreak/>
        <w:t xml:space="preserve">The decision in Re Baillie (1886) is consistent with the lifetime declaration theory; a half-secret trust of land was held to be unenforceable because there was no written evidence of the lifetime declaration of trust in compliance with s. 53(1)(b) LPA 1925. </w:t>
      </w:r>
    </w:p>
    <w:p w14:paraId="089C8509"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 xml:space="preserve">The </w:t>
      </w:r>
      <w:proofErr w:type="spellStart"/>
      <w:r w:rsidRPr="006A30E9">
        <w:rPr>
          <w:rFonts w:ascii="Arial" w:hAnsi="Arial" w:cs="Arial"/>
          <w:sz w:val="22"/>
          <w:szCs w:val="22"/>
        </w:rPr>
        <w:t>dehors</w:t>
      </w:r>
      <w:proofErr w:type="spellEnd"/>
      <w:r w:rsidRPr="006A30E9">
        <w:rPr>
          <w:rFonts w:ascii="Arial" w:hAnsi="Arial" w:cs="Arial"/>
          <w:sz w:val="22"/>
          <w:szCs w:val="22"/>
        </w:rPr>
        <w:t xml:space="preserve"> the will theory has not been universally adopted for fully secret trusts. If the trust includes land, the </w:t>
      </w:r>
      <w:proofErr w:type="spellStart"/>
      <w:r w:rsidRPr="006A30E9">
        <w:rPr>
          <w:rFonts w:ascii="Arial" w:hAnsi="Arial" w:cs="Arial"/>
          <w:sz w:val="22"/>
          <w:szCs w:val="22"/>
        </w:rPr>
        <w:t>dehors</w:t>
      </w:r>
      <w:proofErr w:type="spellEnd"/>
      <w:r w:rsidRPr="006A30E9">
        <w:rPr>
          <w:rFonts w:ascii="Arial" w:hAnsi="Arial" w:cs="Arial"/>
          <w:sz w:val="22"/>
          <w:szCs w:val="22"/>
        </w:rPr>
        <w:t xml:space="preserve"> the will theory would mean that the lifetime declaration would have to be evidenced in writing and signed by the testator to comply with s. 53(1)(b) of the Law of Property Act (‘LPA’) 1925. However, in Ottaway v Norman (1972) a fully secret trust of land, where the terms of the trust were communicated orally, was upheld despite the lack of writing. The point was not addressed but the decision might be justified on the basis that fully secret trusts are imposed to prevent fraud and are, therefore, constructive trusts, which are exempt from the requirement for written evidence by virtue of s. 53(2) LPA 1925. </w:t>
      </w:r>
    </w:p>
    <w:p w14:paraId="77A85E44"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 xml:space="preserve">If the </w:t>
      </w:r>
      <w:proofErr w:type="spellStart"/>
      <w:r w:rsidRPr="006A30E9">
        <w:rPr>
          <w:rFonts w:ascii="Arial" w:hAnsi="Arial" w:cs="Arial"/>
          <w:sz w:val="22"/>
          <w:szCs w:val="22"/>
        </w:rPr>
        <w:t>dehors</w:t>
      </w:r>
      <w:proofErr w:type="spellEnd"/>
      <w:r w:rsidRPr="006A30E9">
        <w:rPr>
          <w:rFonts w:ascii="Arial" w:hAnsi="Arial" w:cs="Arial"/>
          <w:sz w:val="22"/>
          <w:szCs w:val="22"/>
        </w:rPr>
        <w:t xml:space="preserve"> the will theory is correct and the trust is valid from the date of the lifetime declaration (as suggested by Re Gardner (No 2)), this would suggest that the testator cannot change the terms of the trust by revoking or changing his will, yet wills are ambulatory and are freely revocable until the testator dies. </w:t>
      </w:r>
    </w:p>
    <w:p w14:paraId="11355928" w14:textId="77777777" w:rsidR="006A30E9" w:rsidRPr="006A30E9" w:rsidRDefault="006A30E9" w:rsidP="007C0ED9">
      <w:pPr>
        <w:pStyle w:val="NormalWeb"/>
        <w:spacing w:line="360" w:lineRule="auto"/>
        <w:rPr>
          <w:rFonts w:ascii="Arial" w:hAnsi="Arial" w:cs="Arial"/>
          <w:sz w:val="22"/>
          <w:szCs w:val="22"/>
        </w:rPr>
      </w:pPr>
      <w:r w:rsidRPr="006A30E9">
        <w:rPr>
          <w:rFonts w:ascii="Arial" w:hAnsi="Arial" w:cs="Arial"/>
          <w:sz w:val="22"/>
          <w:szCs w:val="22"/>
        </w:rPr>
        <w:t xml:space="preserve">In conclusion, the fraud theory cannot be used to justify half secret trusts. The </w:t>
      </w:r>
      <w:proofErr w:type="spellStart"/>
      <w:r w:rsidRPr="006A30E9">
        <w:rPr>
          <w:rFonts w:ascii="Arial" w:hAnsi="Arial" w:cs="Arial"/>
          <w:sz w:val="22"/>
          <w:szCs w:val="22"/>
        </w:rPr>
        <w:t>dehors</w:t>
      </w:r>
      <w:proofErr w:type="spellEnd"/>
      <w:r w:rsidRPr="006A30E9">
        <w:rPr>
          <w:rFonts w:ascii="Arial" w:hAnsi="Arial" w:cs="Arial"/>
          <w:sz w:val="22"/>
          <w:szCs w:val="22"/>
        </w:rPr>
        <w:t xml:space="preserve"> the will theory has found favour in more recent cases but is not free from difficulty. </w:t>
      </w:r>
    </w:p>
    <w:p w14:paraId="46AA1026" w14:textId="555AFABB" w:rsidR="006A30E9" w:rsidRDefault="002D4C90" w:rsidP="007C0ED9">
      <w:pPr>
        <w:autoSpaceDE w:val="0"/>
        <w:autoSpaceDN w:val="0"/>
        <w:adjustRightInd w:val="0"/>
        <w:spacing w:after="240" w:line="360" w:lineRule="auto"/>
        <w:rPr>
          <w:rFonts w:ascii="Arial" w:hAnsi="Arial" w:cs="Arial"/>
          <w:b/>
          <w:color w:val="000000"/>
          <w:sz w:val="22"/>
          <w:szCs w:val="22"/>
          <w:u w:val="single"/>
          <w:lang w:val="en-US"/>
        </w:rPr>
      </w:pPr>
      <w:r>
        <w:rPr>
          <w:rFonts w:ascii="Arial" w:hAnsi="Arial" w:cs="Arial"/>
          <w:b/>
          <w:color w:val="000000"/>
          <w:sz w:val="22"/>
          <w:szCs w:val="22"/>
          <w:u w:val="single"/>
          <w:lang w:val="en-US"/>
        </w:rPr>
        <w:t>Question 3</w:t>
      </w:r>
    </w:p>
    <w:p w14:paraId="1E51CC43" w14:textId="4315ECEC" w:rsidR="002D4C90" w:rsidRPr="006A30E9" w:rsidRDefault="002D4C90" w:rsidP="007C0ED9">
      <w:pPr>
        <w:autoSpaceDE w:val="0"/>
        <w:autoSpaceDN w:val="0"/>
        <w:adjustRightInd w:val="0"/>
        <w:spacing w:after="240" w:line="360" w:lineRule="auto"/>
        <w:rPr>
          <w:rFonts w:ascii="Arial" w:hAnsi="Arial" w:cs="Arial"/>
          <w:b/>
          <w:color w:val="000000"/>
          <w:sz w:val="22"/>
          <w:szCs w:val="22"/>
          <w:u w:val="single"/>
          <w:lang w:val="en-US"/>
        </w:rPr>
      </w:pPr>
      <w:r>
        <w:rPr>
          <w:rFonts w:ascii="Arial" w:hAnsi="Arial" w:cs="Arial"/>
          <w:b/>
          <w:color w:val="000000"/>
          <w:sz w:val="22"/>
          <w:szCs w:val="22"/>
          <w:u w:val="single"/>
          <w:lang w:val="en-US"/>
        </w:rPr>
        <w:t>3a</w:t>
      </w:r>
    </w:p>
    <w:p w14:paraId="053A59A0" w14:textId="77777777" w:rsidR="006A30E9" w:rsidRP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The general rule is that, if an attempted transfer of property to trustees is imperfect, the trust is not completely constituted. A gift to a </w:t>
      </w:r>
      <w:proofErr w:type="spellStart"/>
      <w:r w:rsidRPr="006A30E9">
        <w:rPr>
          <w:rFonts w:ascii="Arial" w:hAnsi="Arial" w:cs="Arial"/>
          <w:color w:val="000000"/>
          <w:sz w:val="22"/>
          <w:szCs w:val="22"/>
          <w:lang w:val="en-US"/>
        </w:rPr>
        <w:t>donee</w:t>
      </w:r>
      <w:proofErr w:type="spellEnd"/>
      <w:r w:rsidRPr="006A30E9">
        <w:rPr>
          <w:rFonts w:ascii="Arial" w:hAnsi="Arial" w:cs="Arial"/>
          <w:color w:val="000000"/>
          <w:sz w:val="22"/>
          <w:szCs w:val="22"/>
          <w:lang w:val="en-US"/>
        </w:rPr>
        <w:t xml:space="preserve"> will be imperfect if the transfer has not been properly correctly completed. </w:t>
      </w:r>
    </w:p>
    <w:p w14:paraId="2A8CFE1B" w14:textId="77777777" w:rsidR="006A30E9" w:rsidRP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Where consideration has been provided, the transfer may be treated as perfect in the eyes of equity even though in law it is not. Where there has been no consideration, however, no effective trust is created, since equity will not assist a volunteer. </w:t>
      </w:r>
    </w:p>
    <w:p w14:paraId="7DFD2760" w14:textId="77777777" w:rsidR="006A30E9" w:rsidRP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A failed gift cannot then be saved by treating it instead as a self-declaration of trust: if a donor intends to use one method to confer a benefit on a person but fails to do so effectually, equity will not save the gift (Milroy v Lord (1862)). </w:t>
      </w:r>
    </w:p>
    <w:p w14:paraId="73DC7858" w14:textId="77777777" w:rsidR="006A30E9" w:rsidRP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Over the years, the courts have found a number of ways to avoid the harshness of the rule that equity will not perfect an imperfect gift. A gift is complete in equity as soon as the donor </w:t>
      </w:r>
      <w:r w:rsidRPr="006A30E9">
        <w:rPr>
          <w:rFonts w:ascii="Arial" w:hAnsi="Arial" w:cs="Arial"/>
          <w:color w:val="000000"/>
          <w:sz w:val="22"/>
          <w:szCs w:val="22"/>
          <w:lang w:val="en-US"/>
        </w:rPr>
        <w:lastRenderedPageBreak/>
        <w:t xml:space="preserve">has done everything in his power to complete the transfer, despite the fact that formal requirements at law may still be outstanding. </w:t>
      </w:r>
    </w:p>
    <w:p w14:paraId="6C01CC84" w14:textId="77777777" w:rsidR="006A30E9" w:rsidRP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In Re Rose (1949) a transfer of shares was treated as complete in equity when the donor submitted the completed transfer form and share certificate to the company. The outstanding legal requirement of registration was not something in the donor’s power to do. </w:t>
      </w:r>
    </w:p>
    <w:p w14:paraId="1C0FCA3C" w14:textId="77777777" w:rsidR="006A30E9" w:rsidRP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A legitimate query may be raised, however, as to how the principle in Re Rose (1949) would apply if the directors of a private company were to refuse to register the transfer, as is their right, even though the donor had done all in his power. It had been thought that the Re Rose principle applied only where donor’s actions had been irrevocable. In </w:t>
      </w:r>
      <w:proofErr w:type="spellStart"/>
      <w:r w:rsidRPr="006A30E9">
        <w:rPr>
          <w:rFonts w:ascii="Arial" w:hAnsi="Arial" w:cs="Arial"/>
          <w:color w:val="000000"/>
          <w:sz w:val="22"/>
          <w:szCs w:val="22"/>
          <w:lang w:val="en-US"/>
        </w:rPr>
        <w:t>Choithram</w:t>
      </w:r>
      <w:proofErr w:type="spellEnd"/>
      <w:r w:rsidRPr="006A30E9">
        <w:rPr>
          <w:rFonts w:ascii="Arial" w:hAnsi="Arial" w:cs="Arial"/>
          <w:color w:val="000000"/>
          <w:sz w:val="22"/>
          <w:szCs w:val="22"/>
          <w:lang w:val="en-US"/>
        </w:rPr>
        <w:t xml:space="preserve"> v </w:t>
      </w:r>
      <w:proofErr w:type="spellStart"/>
      <w:r w:rsidRPr="006A30E9">
        <w:rPr>
          <w:rFonts w:ascii="Arial" w:hAnsi="Arial" w:cs="Arial"/>
          <w:color w:val="000000"/>
          <w:sz w:val="22"/>
          <w:szCs w:val="22"/>
          <w:lang w:val="en-US"/>
        </w:rPr>
        <w:t>Pagarani</w:t>
      </w:r>
      <w:proofErr w:type="spellEnd"/>
      <w:r w:rsidRPr="006A30E9">
        <w:rPr>
          <w:rFonts w:ascii="Arial" w:hAnsi="Arial" w:cs="Arial"/>
          <w:color w:val="000000"/>
          <w:sz w:val="22"/>
          <w:szCs w:val="22"/>
          <w:lang w:val="en-US"/>
        </w:rPr>
        <w:t xml:space="preserve"> (2000) and Pennington v </w:t>
      </w:r>
      <w:proofErr w:type="spellStart"/>
      <w:r w:rsidRPr="006A30E9">
        <w:rPr>
          <w:rFonts w:ascii="Arial" w:hAnsi="Arial" w:cs="Arial"/>
          <w:color w:val="000000"/>
          <w:sz w:val="22"/>
          <w:szCs w:val="22"/>
          <w:lang w:val="en-US"/>
        </w:rPr>
        <w:t>Waine</w:t>
      </w:r>
      <w:proofErr w:type="spellEnd"/>
      <w:r w:rsidRPr="006A30E9">
        <w:rPr>
          <w:rFonts w:ascii="Arial" w:hAnsi="Arial" w:cs="Arial"/>
          <w:color w:val="000000"/>
          <w:sz w:val="22"/>
          <w:szCs w:val="22"/>
          <w:lang w:val="en-US"/>
        </w:rPr>
        <w:t xml:space="preserve"> (2002), however, the crucial question was said to be simply whether it would be unconscionable for the donor to refuse to complete the transfer. These cases suggest the development of a new approach to the constitution of trusts, although this introduction of the inherently uncertain concept of unconscionability has attracted criticism. </w:t>
      </w:r>
    </w:p>
    <w:p w14:paraId="24CE1107" w14:textId="13DE5918" w:rsidR="006A30E9" w:rsidRPr="006A30E9" w:rsidRDefault="002D4C90" w:rsidP="007C0ED9">
      <w:pPr>
        <w:autoSpaceDE w:val="0"/>
        <w:autoSpaceDN w:val="0"/>
        <w:adjustRightInd w:val="0"/>
        <w:spacing w:after="240" w:line="360" w:lineRule="auto"/>
        <w:rPr>
          <w:rFonts w:ascii="Arial" w:hAnsi="Arial" w:cs="Arial"/>
          <w:b/>
          <w:color w:val="000000"/>
          <w:sz w:val="22"/>
          <w:szCs w:val="22"/>
          <w:u w:val="single"/>
          <w:lang w:val="en-US"/>
        </w:rPr>
      </w:pPr>
      <w:r>
        <w:rPr>
          <w:rFonts w:ascii="Arial" w:hAnsi="Arial" w:cs="Arial"/>
          <w:b/>
          <w:color w:val="000000"/>
          <w:sz w:val="22"/>
          <w:szCs w:val="22"/>
          <w:u w:val="single"/>
          <w:lang w:val="en-US"/>
        </w:rPr>
        <w:t>3</w:t>
      </w:r>
      <w:r w:rsidR="006A30E9" w:rsidRPr="006A30E9">
        <w:rPr>
          <w:rFonts w:ascii="Arial" w:hAnsi="Arial" w:cs="Arial"/>
          <w:b/>
          <w:color w:val="000000"/>
          <w:sz w:val="22"/>
          <w:szCs w:val="22"/>
          <w:u w:val="single"/>
          <w:lang w:val="en-US"/>
        </w:rPr>
        <w:t xml:space="preserve">(b) </w:t>
      </w:r>
    </w:p>
    <w:p w14:paraId="106FF9FC" w14:textId="77777777" w:rsidR="006A30E9" w:rsidRP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When a donor makes an imperfect gift during his lifetime, and the </w:t>
      </w:r>
      <w:proofErr w:type="spellStart"/>
      <w:r w:rsidRPr="006A30E9">
        <w:rPr>
          <w:rFonts w:ascii="Arial" w:hAnsi="Arial" w:cs="Arial"/>
          <w:color w:val="000000"/>
          <w:sz w:val="22"/>
          <w:szCs w:val="22"/>
          <w:lang w:val="en-US"/>
        </w:rPr>
        <w:t>donee</w:t>
      </w:r>
      <w:proofErr w:type="spellEnd"/>
      <w:r w:rsidRPr="006A30E9">
        <w:rPr>
          <w:rFonts w:ascii="Arial" w:hAnsi="Arial" w:cs="Arial"/>
          <w:color w:val="000000"/>
          <w:sz w:val="22"/>
          <w:szCs w:val="22"/>
          <w:lang w:val="en-US"/>
        </w:rPr>
        <w:t xml:space="preserve"> is subsequently appointed as the donor's executor or becomes the donor's administrator on intestacy, the gift is perfected because the </w:t>
      </w:r>
      <w:proofErr w:type="spellStart"/>
      <w:r w:rsidRPr="006A30E9">
        <w:rPr>
          <w:rFonts w:ascii="Arial" w:hAnsi="Arial" w:cs="Arial"/>
          <w:color w:val="000000"/>
          <w:sz w:val="22"/>
          <w:szCs w:val="22"/>
          <w:lang w:val="en-US"/>
        </w:rPr>
        <w:t>donee</w:t>
      </w:r>
      <w:proofErr w:type="spellEnd"/>
      <w:r w:rsidRPr="006A30E9">
        <w:rPr>
          <w:rFonts w:ascii="Arial" w:hAnsi="Arial" w:cs="Arial"/>
          <w:color w:val="000000"/>
          <w:sz w:val="22"/>
          <w:szCs w:val="22"/>
          <w:lang w:val="en-US"/>
        </w:rPr>
        <w:t xml:space="preserve"> obtains legal title to the donor's property, including the subject matter of the intended gift, in the </w:t>
      </w:r>
      <w:proofErr w:type="spellStart"/>
      <w:r w:rsidRPr="006A30E9">
        <w:rPr>
          <w:rFonts w:ascii="Arial" w:hAnsi="Arial" w:cs="Arial"/>
          <w:color w:val="000000"/>
          <w:sz w:val="22"/>
          <w:szCs w:val="22"/>
          <w:lang w:val="en-US"/>
        </w:rPr>
        <w:t>donee's</w:t>
      </w:r>
      <w:proofErr w:type="spellEnd"/>
      <w:r w:rsidRPr="006A30E9">
        <w:rPr>
          <w:rFonts w:ascii="Arial" w:hAnsi="Arial" w:cs="Arial"/>
          <w:color w:val="000000"/>
          <w:sz w:val="22"/>
          <w:szCs w:val="22"/>
          <w:lang w:val="en-US"/>
        </w:rPr>
        <w:t xml:space="preserve"> capacity as executor or administrator. </w:t>
      </w:r>
    </w:p>
    <w:p w14:paraId="32D5F41E" w14:textId="77777777" w:rsidR="006A30E9" w:rsidRP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There are four conditions for the rule in Strong v Bird (1874): </w:t>
      </w:r>
    </w:p>
    <w:p w14:paraId="5502E5E2" w14:textId="77777777" w:rsidR="006A30E9" w:rsidRPr="006A30E9" w:rsidRDefault="006A30E9" w:rsidP="007C0ED9">
      <w:pPr>
        <w:numPr>
          <w:ilvl w:val="0"/>
          <w:numId w:val="3"/>
        </w:numPr>
        <w:tabs>
          <w:tab w:val="left" w:pos="220"/>
          <w:tab w:val="left" w:pos="720"/>
        </w:tabs>
        <w:autoSpaceDE w:val="0"/>
        <w:autoSpaceDN w:val="0"/>
        <w:adjustRightInd w:val="0"/>
        <w:spacing w:after="240" w:line="360" w:lineRule="auto"/>
        <w:ind w:hanging="720"/>
        <w:rPr>
          <w:rFonts w:ascii="Arial" w:hAnsi="Arial" w:cs="Arial"/>
          <w:color w:val="000000"/>
          <w:sz w:val="22"/>
          <w:szCs w:val="22"/>
          <w:lang w:val="en-US"/>
        </w:rPr>
      </w:pPr>
      <w:r w:rsidRPr="006A30E9">
        <w:rPr>
          <w:rFonts w:ascii="Arial" w:hAnsi="Arial" w:cs="Arial"/>
          <w:color w:val="000000"/>
          <w:kern w:val="1"/>
          <w:sz w:val="22"/>
          <w:szCs w:val="22"/>
          <w:lang w:val="en-US"/>
        </w:rPr>
        <w:tab/>
      </w:r>
      <w:r w:rsidRPr="006A30E9">
        <w:rPr>
          <w:rFonts w:ascii="Arial" w:hAnsi="Arial" w:cs="Arial"/>
          <w:color w:val="000000"/>
          <w:kern w:val="1"/>
          <w:sz w:val="22"/>
          <w:szCs w:val="22"/>
          <w:lang w:val="en-US"/>
        </w:rPr>
        <w:tab/>
      </w:r>
      <w:proofErr w:type="gramStart"/>
      <w:r w:rsidRPr="006A30E9">
        <w:rPr>
          <w:rFonts w:ascii="Arial" w:hAnsi="Arial" w:cs="Arial"/>
          <w:color w:val="000000"/>
          <w:sz w:val="22"/>
          <w:szCs w:val="22"/>
          <w:lang w:val="en-US"/>
        </w:rPr>
        <w:t>  The</w:t>
      </w:r>
      <w:proofErr w:type="gramEnd"/>
      <w:r w:rsidRPr="006A30E9">
        <w:rPr>
          <w:rFonts w:ascii="Arial" w:hAnsi="Arial" w:cs="Arial"/>
          <w:color w:val="000000"/>
          <w:sz w:val="22"/>
          <w:szCs w:val="22"/>
          <w:lang w:val="en-US"/>
        </w:rPr>
        <w:t xml:space="preserve"> donor must have intended to make an inter </w:t>
      </w:r>
      <w:proofErr w:type="spellStart"/>
      <w:r w:rsidRPr="006A30E9">
        <w:rPr>
          <w:rFonts w:ascii="Arial" w:hAnsi="Arial" w:cs="Arial"/>
          <w:color w:val="000000"/>
          <w:sz w:val="22"/>
          <w:szCs w:val="22"/>
          <w:lang w:val="en-US"/>
        </w:rPr>
        <w:t>vivos</w:t>
      </w:r>
      <w:proofErr w:type="spellEnd"/>
      <w:r w:rsidRPr="006A30E9">
        <w:rPr>
          <w:rFonts w:ascii="Arial" w:hAnsi="Arial" w:cs="Arial"/>
          <w:color w:val="000000"/>
          <w:sz w:val="22"/>
          <w:szCs w:val="22"/>
          <w:lang w:val="en-US"/>
        </w:rPr>
        <w:t xml:space="preserve"> gift. </w:t>
      </w:r>
      <w:r w:rsidRPr="006A30E9">
        <w:rPr>
          <w:rFonts w:ascii="MS Gothic" w:eastAsia="MS Gothic" w:hAnsi="MS Gothic" w:cs="MS Gothic" w:hint="eastAsia"/>
          <w:color w:val="000000"/>
          <w:sz w:val="22"/>
          <w:szCs w:val="22"/>
          <w:lang w:val="en-US"/>
        </w:rPr>
        <w:t> </w:t>
      </w:r>
    </w:p>
    <w:p w14:paraId="6B39F7C6" w14:textId="77777777" w:rsidR="006A30E9" w:rsidRPr="006A30E9" w:rsidRDefault="006A30E9" w:rsidP="007C0ED9">
      <w:pPr>
        <w:numPr>
          <w:ilvl w:val="0"/>
          <w:numId w:val="3"/>
        </w:numPr>
        <w:tabs>
          <w:tab w:val="left" w:pos="220"/>
          <w:tab w:val="left" w:pos="720"/>
        </w:tabs>
        <w:autoSpaceDE w:val="0"/>
        <w:autoSpaceDN w:val="0"/>
        <w:adjustRightInd w:val="0"/>
        <w:spacing w:after="240" w:line="360" w:lineRule="auto"/>
        <w:ind w:hanging="720"/>
        <w:rPr>
          <w:rFonts w:ascii="Arial" w:hAnsi="Arial" w:cs="Arial"/>
          <w:color w:val="000000"/>
          <w:sz w:val="22"/>
          <w:szCs w:val="22"/>
          <w:lang w:val="en-US"/>
        </w:rPr>
      </w:pPr>
      <w:r w:rsidRPr="006A30E9">
        <w:rPr>
          <w:rFonts w:ascii="Arial" w:hAnsi="Arial" w:cs="Arial"/>
          <w:color w:val="000000"/>
          <w:kern w:val="1"/>
          <w:sz w:val="22"/>
          <w:szCs w:val="22"/>
          <w:lang w:val="en-US"/>
        </w:rPr>
        <w:tab/>
      </w:r>
      <w:r w:rsidRPr="006A30E9">
        <w:rPr>
          <w:rFonts w:ascii="Arial" w:hAnsi="Arial" w:cs="Arial"/>
          <w:color w:val="000000"/>
          <w:kern w:val="1"/>
          <w:sz w:val="22"/>
          <w:szCs w:val="22"/>
          <w:lang w:val="en-US"/>
        </w:rPr>
        <w:tab/>
      </w:r>
      <w:proofErr w:type="gramStart"/>
      <w:r w:rsidRPr="006A30E9">
        <w:rPr>
          <w:rFonts w:ascii="Arial" w:hAnsi="Arial" w:cs="Arial"/>
          <w:color w:val="000000"/>
          <w:sz w:val="22"/>
          <w:szCs w:val="22"/>
          <w:lang w:val="en-US"/>
        </w:rPr>
        <w:t>  Such</w:t>
      </w:r>
      <w:proofErr w:type="gramEnd"/>
      <w:r w:rsidRPr="006A30E9">
        <w:rPr>
          <w:rFonts w:ascii="Arial" w:hAnsi="Arial" w:cs="Arial"/>
          <w:color w:val="000000"/>
          <w:sz w:val="22"/>
          <w:szCs w:val="22"/>
          <w:lang w:val="en-US"/>
        </w:rPr>
        <w:t xml:space="preserve"> donative intention must have persisted until the donor's death. </w:t>
      </w:r>
      <w:r w:rsidRPr="006A30E9">
        <w:rPr>
          <w:rFonts w:ascii="MS Gothic" w:eastAsia="MS Gothic" w:hAnsi="MS Gothic" w:cs="MS Gothic" w:hint="eastAsia"/>
          <w:color w:val="000000"/>
          <w:sz w:val="22"/>
          <w:szCs w:val="22"/>
          <w:lang w:val="en-US"/>
        </w:rPr>
        <w:t> </w:t>
      </w:r>
    </w:p>
    <w:p w14:paraId="29E35D9E" w14:textId="77777777" w:rsidR="006A30E9" w:rsidRPr="006A30E9" w:rsidRDefault="006A30E9" w:rsidP="007C0ED9">
      <w:pPr>
        <w:numPr>
          <w:ilvl w:val="0"/>
          <w:numId w:val="3"/>
        </w:numPr>
        <w:tabs>
          <w:tab w:val="left" w:pos="220"/>
          <w:tab w:val="left" w:pos="720"/>
        </w:tabs>
        <w:autoSpaceDE w:val="0"/>
        <w:autoSpaceDN w:val="0"/>
        <w:adjustRightInd w:val="0"/>
        <w:spacing w:after="240" w:line="360" w:lineRule="auto"/>
        <w:ind w:hanging="720"/>
        <w:rPr>
          <w:rFonts w:ascii="Arial" w:hAnsi="Arial" w:cs="Arial"/>
          <w:color w:val="000000"/>
          <w:sz w:val="22"/>
          <w:szCs w:val="22"/>
          <w:lang w:val="en-US"/>
        </w:rPr>
      </w:pPr>
      <w:r w:rsidRPr="006A30E9">
        <w:rPr>
          <w:rFonts w:ascii="Arial" w:hAnsi="Arial" w:cs="Arial"/>
          <w:color w:val="000000"/>
          <w:kern w:val="1"/>
          <w:sz w:val="22"/>
          <w:szCs w:val="22"/>
          <w:lang w:val="en-US"/>
        </w:rPr>
        <w:tab/>
      </w:r>
      <w:r w:rsidRPr="006A30E9">
        <w:rPr>
          <w:rFonts w:ascii="Arial" w:hAnsi="Arial" w:cs="Arial"/>
          <w:color w:val="000000"/>
          <w:kern w:val="1"/>
          <w:sz w:val="22"/>
          <w:szCs w:val="22"/>
          <w:lang w:val="en-US"/>
        </w:rPr>
        <w:tab/>
      </w:r>
      <w:r w:rsidRPr="006A30E9">
        <w:rPr>
          <w:rFonts w:ascii="Arial" w:hAnsi="Arial" w:cs="Arial"/>
          <w:color w:val="000000"/>
          <w:sz w:val="22"/>
          <w:szCs w:val="22"/>
          <w:lang w:val="en-US"/>
        </w:rPr>
        <w:t xml:space="preserve">  The </w:t>
      </w:r>
      <w:proofErr w:type="spellStart"/>
      <w:r w:rsidRPr="006A30E9">
        <w:rPr>
          <w:rFonts w:ascii="Arial" w:hAnsi="Arial" w:cs="Arial"/>
          <w:color w:val="000000"/>
          <w:sz w:val="22"/>
          <w:szCs w:val="22"/>
          <w:lang w:val="en-US"/>
        </w:rPr>
        <w:t>donee</w:t>
      </w:r>
      <w:proofErr w:type="spellEnd"/>
      <w:r w:rsidRPr="006A30E9">
        <w:rPr>
          <w:rFonts w:ascii="Arial" w:hAnsi="Arial" w:cs="Arial"/>
          <w:color w:val="000000"/>
          <w:sz w:val="22"/>
          <w:szCs w:val="22"/>
          <w:lang w:val="en-US"/>
        </w:rPr>
        <w:t xml:space="preserve"> is appointed the donor's executor (or administrator, Re </w:t>
      </w:r>
      <w:r w:rsidRPr="006A30E9">
        <w:rPr>
          <w:rFonts w:ascii="MS Gothic" w:eastAsia="MS Gothic" w:hAnsi="MS Gothic" w:cs="MS Gothic" w:hint="eastAsia"/>
          <w:color w:val="000000"/>
          <w:sz w:val="22"/>
          <w:szCs w:val="22"/>
          <w:lang w:val="en-US"/>
        </w:rPr>
        <w:t> </w:t>
      </w:r>
      <w:r w:rsidRPr="006A30E9">
        <w:rPr>
          <w:rFonts w:ascii="Arial" w:hAnsi="Arial" w:cs="Arial"/>
          <w:color w:val="000000"/>
          <w:sz w:val="22"/>
          <w:szCs w:val="22"/>
          <w:lang w:val="en-US"/>
        </w:rPr>
        <w:t xml:space="preserve">James (1935)) </w:t>
      </w:r>
      <w:r w:rsidRPr="006A30E9">
        <w:rPr>
          <w:rFonts w:ascii="MS Gothic" w:eastAsia="MS Gothic" w:hAnsi="MS Gothic" w:cs="MS Gothic" w:hint="eastAsia"/>
          <w:color w:val="000000"/>
          <w:sz w:val="22"/>
          <w:szCs w:val="22"/>
          <w:lang w:val="en-US"/>
        </w:rPr>
        <w:t> </w:t>
      </w:r>
    </w:p>
    <w:p w14:paraId="128B4573" w14:textId="77777777" w:rsidR="006A30E9" w:rsidRPr="006A30E9" w:rsidRDefault="006A30E9" w:rsidP="007C0ED9">
      <w:pPr>
        <w:numPr>
          <w:ilvl w:val="0"/>
          <w:numId w:val="3"/>
        </w:numPr>
        <w:tabs>
          <w:tab w:val="left" w:pos="220"/>
          <w:tab w:val="left" w:pos="720"/>
        </w:tabs>
        <w:autoSpaceDE w:val="0"/>
        <w:autoSpaceDN w:val="0"/>
        <w:adjustRightInd w:val="0"/>
        <w:spacing w:after="240" w:line="360" w:lineRule="auto"/>
        <w:ind w:hanging="720"/>
        <w:rPr>
          <w:rFonts w:ascii="Arial" w:hAnsi="Arial" w:cs="Arial"/>
          <w:color w:val="000000"/>
          <w:sz w:val="22"/>
          <w:szCs w:val="22"/>
          <w:lang w:val="en-US"/>
        </w:rPr>
      </w:pPr>
      <w:r w:rsidRPr="006A30E9">
        <w:rPr>
          <w:rFonts w:ascii="Arial" w:hAnsi="Arial" w:cs="Arial"/>
          <w:color w:val="000000"/>
          <w:kern w:val="1"/>
          <w:sz w:val="22"/>
          <w:szCs w:val="22"/>
          <w:lang w:val="en-US"/>
        </w:rPr>
        <w:tab/>
      </w:r>
      <w:r w:rsidRPr="006A30E9">
        <w:rPr>
          <w:rFonts w:ascii="Arial" w:hAnsi="Arial" w:cs="Arial"/>
          <w:color w:val="000000"/>
          <w:kern w:val="1"/>
          <w:sz w:val="22"/>
          <w:szCs w:val="22"/>
          <w:lang w:val="en-US"/>
        </w:rPr>
        <w:tab/>
      </w:r>
      <w:proofErr w:type="gramStart"/>
      <w:r w:rsidRPr="006A30E9">
        <w:rPr>
          <w:rFonts w:ascii="Arial" w:hAnsi="Arial" w:cs="Arial"/>
          <w:color w:val="000000"/>
          <w:sz w:val="22"/>
          <w:szCs w:val="22"/>
          <w:lang w:val="en-US"/>
        </w:rPr>
        <w:t>  The</w:t>
      </w:r>
      <w:proofErr w:type="gramEnd"/>
      <w:r w:rsidRPr="006A30E9">
        <w:rPr>
          <w:rFonts w:ascii="Arial" w:hAnsi="Arial" w:cs="Arial"/>
          <w:color w:val="000000"/>
          <w:sz w:val="22"/>
          <w:szCs w:val="22"/>
          <w:lang w:val="en-US"/>
        </w:rPr>
        <w:t xml:space="preserve"> subject matter of the intended gift must have been capable of </w:t>
      </w:r>
      <w:r w:rsidRPr="006A30E9">
        <w:rPr>
          <w:rFonts w:ascii="MS Gothic" w:eastAsia="MS Gothic" w:hAnsi="MS Gothic" w:cs="MS Gothic" w:hint="eastAsia"/>
          <w:color w:val="000000"/>
          <w:sz w:val="22"/>
          <w:szCs w:val="22"/>
          <w:lang w:val="en-US"/>
        </w:rPr>
        <w:t> </w:t>
      </w:r>
      <w:r w:rsidRPr="006A30E9">
        <w:rPr>
          <w:rFonts w:ascii="Arial" w:hAnsi="Arial" w:cs="Arial"/>
          <w:color w:val="000000"/>
          <w:sz w:val="22"/>
          <w:szCs w:val="22"/>
          <w:lang w:val="en-US"/>
        </w:rPr>
        <w:t>enduring the death of the donor.</w:t>
      </w:r>
    </w:p>
    <w:p w14:paraId="03F41875" w14:textId="77777777" w:rsidR="006A30E9" w:rsidRPr="006A30E9" w:rsidRDefault="006A30E9" w:rsidP="007C0ED9">
      <w:pPr>
        <w:tabs>
          <w:tab w:val="left" w:pos="220"/>
          <w:tab w:val="left" w:pos="720"/>
        </w:tabs>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In Re James (1935), Farwell J said, "The defendant by her</w:t>
      </w:r>
      <w:r>
        <w:rPr>
          <w:rFonts w:ascii="Arial" w:hAnsi="Arial" w:cs="Arial"/>
          <w:color w:val="000000"/>
          <w:sz w:val="22"/>
          <w:szCs w:val="22"/>
          <w:lang w:val="en-US"/>
        </w:rPr>
        <w:t xml:space="preserve"> </w:t>
      </w:r>
      <w:r w:rsidRPr="006A30E9">
        <w:rPr>
          <w:rFonts w:ascii="Arial" w:hAnsi="Arial" w:cs="Arial"/>
          <w:color w:val="000000"/>
          <w:sz w:val="22"/>
          <w:szCs w:val="22"/>
          <w:lang w:val="en-US"/>
        </w:rPr>
        <w:t xml:space="preserve">appointment as one of the administrators has got the legal estate vested in her and she needs no assistance from equity to complete her title. Under these circumstances she cannot be compelled at the suit of persons claiming through the donor to surrender her property. It follows that in my judgment </w:t>
      </w:r>
      <w:r w:rsidRPr="006A30E9">
        <w:rPr>
          <w:rFonts w:ascii="Arial" w:hAnsi="Arial" w:cs="Arial"/>
          <w:color w:val="000000"/>
          <w:sz w:val="22"/>
          <w:szCs w:val="22"/>
          <w:lang w:val="en-US"/>
        </w:rPr>
        <w:lastRenderedPageBreak/>
        <w:t xml:space="preserve">the plaintiff here must </w:t>
      </w:r>
      <w:proofErr w:type="spellStart"/>
      <w:r w:rsidRPr="006A30E9">
        <w:rPr>
          <w:rFonts w:ascii="Arial" w:hAnsi="Arial" w:cs="Arial"/>
          <w:color w:val="000000"/>
          <w:sz w:val="22"/>
          <w:szCs w:val="22"/>
          <w:lang w:val="en-US"/>
        </w:rPr>
        <w:t>recognise</w:t>
      </w:r>
      <w:proofErr w:type="spellEnd"/>
      <w:r w:rsidRPr="006A30E9">
        <w:rPr>
          <w:rFonts w:ascii="Arial" w:hAnsi="Arial" w:cs="Arial"/>
          <w:color w:val="000000"/>
          <w:sz w:val="22"/>
          <w:szCs w:val="22"/>
          <w:lang w:val="en-US"/>
        </w:rPr>
        <w:t xml:space="preserve"> the title of the defendant to the property and no steps should be taken to recover it from her." </w:t>
      </w:r>
      <w:r w:rsidRPr="006A30E9">
        <w:rPr>
          <w:rFonts w:ascii="MS Gothic" w:eastAsia="MS Gothic" w:hAnsi="MS Gothic" w:cs="MS Gothic" w:hint="eastAsia"/>
          <w:color w:val="000000"/>
          <w:sz w:val="22"/>
          <w:szCs w:val="22"/>
          <w:lang w:val="en-US"/>
        </w:rPr>
        <w:t> </w:t>
      </w:r>
    </w:p>
    <w:p w14:paraId="465B0583" w14:textId="77777777" w:rsidR="006A30E9" w:rsidRPr="006A30E9" w:rsidRDefault="006A30E9" w:rsidP="007C0ED9">
      <w:pPr>
        <w:tabs>
          <w:tab w:val="left" w:pos="220"/>
          <w:tab w:val="left" w:pos="720"/>
        </w:tabs>
        <w:autoSpaceDE w:val="0"/>
        <w:autoSpaceDN w:val="0"/>
        <w:adjustRightInd w:val="0"/>
        <w:spacing w:after="120" w:line="360" w:lineRule="auto"/>
        <w:rPr>
          <w:rFonts w:ascii="Arial" w:eastAsia="MS Mincho" w:hAnsi="Arial" w:cs="Arial"/>
          <w:color w:val="000000"/>
          <w:sz w:val="22"/>
          <w:szCs w:val="22"/>
          <w:lang w:val="en-US"/>
        </w:rPr>
      </w:pPr>
      <w:r w:rsidRPr="006A30E9">
        <w:rPr>
          <w:rFonts w:ascii="Arial" w:hAnsi="Arial" w:cs="Arial"/>
          <w:color w:val="000000"/>
          <w:sz w:val="22"/>
          <w:szCs w:val="22"/>
          <w:lang w:val="en-US"/>
        </w:rPr>
        <w:t xml:space="preserve">In criticism, the result may be contrary to the testator’s intentions/wishes. </w:t>
      </w:r>
      <w:r w:rsidRPr="006A30E9">
        <w:rPr>
          <w:rFonts w:ascii="MS Gothic" w:eastAsia="MS Gothic" w:hAnsi="MS Gothic" w:cs="MS Gothic" w:hint="eastAsia"/>
          <w:color w:val="000000"/>
          <w:sz w:val="22"/>
          <w:szCs w:val="22"/>
          <w:lang w:val="en-US"/>
        </w:rPr>
        <w:t> </w:t>
      </w:r>
    </w:p>
    <w:p w14:paraId="2CEF5798" w14:textId="77777777" w:rsidR="006A30E9" w:rsidRPr="006A30E9" w:rsidRDefault="006A30E9" w:rsidP="007C0ED9">
      <w:pPr>
        <w:tabs>
          <w:tab w:val="left" w:pos="220"/>
          <w:tab w:val="left" w:pos="720"/>
        </w:tabs>
        <w:autoSpaceDE w:val="0"/>
        <w:autoSpaceDN w:val="0"/>
        <w:adjustRightInd w:val="0"/>
        <w:spacing w:after="120" w:line="360" w:lineRule="auto"/>
        <w:rPr>
          <w:rFonts w:ascii="Arial" w:eastAsia="MS Mincho" w:hAnsi="Arial" w:cs="Arial"/>
          <w:color w:val="000000"/>
          <w:sz w:val="22"/>
          <w:szCs w:val="22"/>
          <w:lang w:val="en-US"/>
        </w:rPr>
      </w:pPr>
    </w:p>
    <w:p w14:paraId="7500365C" w14:textId="04A4C06D" w:rsidR="006A30E9" w:rsidRPr="006A30E9" w:rsidRDefault="002D4C90" w:rsidP="007C0ED9">
      <w:pPr>
        <w:tabs>
          <w:tab w:val="left" w:pos="220"/>
          <w:tab w:val="left" w:pos="720"/>
        </w:tabs>
        <w:autoSpaceDE w:val="0"/>
        <w:autoSpaceDN w:val="0"/>
        <w:adjustRightInd w:val="0"/>
        <w:spacing w:after="120" w:line="360" w:lineRule="auto"/>
        <w:rPr>
          <w:rFonts w:ascii="MS Gothic" w:eastAsia="MS Gothic" w:hAnsi="MS Gothic" w:cs="MS Gothic"/>
          <w:b/>
          <w:color w:val="000000"/>
          <w:sz w:val="22"/>
          <w:szCs w:val="22"/>
          <w:u w:val="single"/>
          <w:lang w:val="en-US"/>
        </w:rPr>
      </w:pPr>
      <w:r>
        <w:rPr>
          <w:rFonts w:ascii="Arial" w:hAnsi="Arial" w:cs="Arial"/>
          <w:b/>
          <w:color w:val="000000"/>
          <w:sz w:val="22"/>
          <w:szCs w:val="22"/>
          <w:u w:val="single"/>
          <w:lang w:val="en-US"/>
        </w:rPr>
        <w:t>3</w:t>
      </w:r>
      <w:r w:rsidR="006A30E9" w:rsidRPr="006A30E9">
        <w:rPr>
          <w:rFonts w:ascii="Arial" w:hAnsi="Arial" w:cs="Arial"/>
          <w:b/>
          <w:color w:val="000000"/>
          <w:sz w:val="22"/>
          <w:szCs w:val="22"/>
          <w:u w:val="single"/>
          <w:lang w:val="en-US"/>
        </w:rPr>
        <w:t>(c)</w:t>
      </w:r>
    </w:p>
    <w:p w14:paraId="243266F4" w14:textId="77777777" w:rsidR="006A30E9" w:rsidRPr="006A30E9" w:rsidRDefault="006A30E9" w:rsidP="007C0ED9">
      <w:pPr>
        <w:tabs>
          <w:tab w:val="left" w:pos="220"/>
          <w:tab w:val="left" w:pos="720"/>
        </w:tabs>
        <w:autoSpaceDE w:val="0"/>
        <w:autoSpaceDN w:val="0"/>
        <w:adjustRightInd w:val="0"/>
        <w:spacing w:after="120" w:line="360" w:lineRule="auto"/>
        <w:rPr>
          <w:rFonts w:ascii="Arial" w:eastAsia="MS Mincho" w:hAnsi="Arial" w:cs="Arial"/>
          <w:color w:val="000000"/>
          <w:sz w:val="22"/>
          <w:szCs w:val="22"/>
          <w:lang w:val="en-US"/>
        </w:rPr>
      </w:pPr>
      <w:r w:rsidRPr="006A30E9">
        <w:rPr>
          <w:rFonts w:ascii="Arial" w:hAnsi="Arial" w:cs="Arial"/>
          <w:color w:val="000000"/>
          <w:sz w:val="22"/>
          <w:szCs w:val="22"/>
          <w:lang w:val="en-US"/>
        </w:rPr>
        <w:t>A formally incomplete transfer may nevertheless be effective if it qualifies as a ‘</w:t>
      </w:r>
      <w:proofErr w:type="spellStart"/>
      <w:r w:rsidRPr="006A30E9">
        <w:rPr>
          <w:rFonts w:ascii="Arial" w:hAnsi="Arial" w:cs="Arial"/>
          <w:color w:val="000000"/>
          <w:sz w:val="22"/>
          <w:szCs w:val="22"/>
          <w:lang w:val="en-US"/>
        </w:rPr>
        <w:t>donatio</w:t>
      </w:r>
      <w:proofErr w:type="spellEnd"/>
      <w:r w:rsidRPr="006A30E9">
        <w:rPr>
          <w:rFonts w:ascii="Arial" w:hAnsi="Arial" w:cs="Arial"/>
          <w:color w:val="000000"/>
          <w:sz w:val="22"/>
          <w:szCs w:val="22"/>
          <w:lang w:val="en-US"/>
        </w:rPr>
        <w:t xml:space="preserve"> mortis causa’ (‘DMC’). The requirements are that (</w:t>
      </w:r>
      <w:proofErr w:type="spellStart"/>
      <w:r w:rsidRPr="006A30E9">
        <w:rPr>
          <w:rFonts w:ascii="Arial" w:hAnsi="Arial" w:cs="Arial"/>
          <w:color w:val="000000"/>
          <w:sz w:val="22"/>
          <w:szCs w:val="22"/>
          <w:lang w:val="en-US"/>
        </w:rPr>
        <w:t>i</w:t>
      </w:r>
      <w:proofErr w:type="spellEnd"/>
      <w:r w:rsidRPr="006A30E9">
        <w:rPr>
          <w:rFonts w:ascii="Arial" w:hAnsi="Arial" w:cs="Arial"/>
          <w:color w:val="000000"/>
          <w:sz w:val="22"/>
          <w:szCs w:val="22"/>
          <w:lang w:val="en-US"/>
        </w:rPr>
        <w:t xml:space="preserve">) the gift is made in contemplation of death (Wilkes v Allington (1931)), (ii) the gift is conditional on death (Gardiner v Parker (1818)), and (iii) there is delivery of the property or of something representing ownership, (Cain v Moon (1896). This last requirement involves parting with dominion or control (Re </w:t>
      </w:r>
      <w:proofErr w:type="spellStart"/>
      <w:r w:rsidRPr="006A30E9">
        <w:rPr>
          <w:rFonts w:ascii="Arial" w:hAnsi="Arial" w:cs="Arial"/>
          <w:color w:val="000000"/>
          <w:sz w:val="22"/>
          <w:szCs w:val="22"/>
          <w:lang w:val="en-US"/>
        </w:rPr>
        <w:t>Lillingston</w:t>
      </w:r>
      <w:proofErr w:type="spellEnd"/>
      <w:r w:rsidRPr="006A30E9">
        <w:rPr>
          <w:rFonts w:ascii="Arial" w:hAnsi="Arial" w:cs="Arial"/>
          <w:color w:val="000000"/>
          <w:sz w:val="22"/>
          <w:szCs w:val="22"/>
          <w:lang w:val="en-US"/>
        </w:rPr>
        <w:t xml:space="preserve"> (1952) and Sen v Headley (1991).) So, in Birch v Treasury Solicitor (1951), a savings account was held to have been validly transferred under the DMC principle, by the handing over of the savings account book. </w:t>
      </w:r>
      <w:r w:rsidRPr="006A30E9">
        <w:rPr>
          <w:rFonts w:ascii="MS Gothic" w:eastAsia="MS Gothic" w:hAnsi="MS Gothic" w:cs="MS Gothic" w:hint="eastAsia"/>
          <w:color w:val="000000"/>
          <w:sz w:val="22"/>
          <w:szCs w:val="22"/>
          <w:lang w:val="en-US"/>
        </w:rPr>
        <w:t> </w:t>
      </w:r>
    </w:p>
    <w:p w14:paraId="3CA4581C" w14:textId="77777777" w:rsidR="006A30E9" w:rsidRPr="006A30E9" w:rsidRDefault="006A30E9" w:rsidP="007C0ED9">
      <w:pPr>
        <w:tabs>
          <w:tab w:val="left" w:pos="220"/>
          <w:tab w:val="left" w:pos="720"/>
        </w:tabs>
        <w:autoSpaceDE w:val="0"/>
        <w:autoSpaceDN w:val="0"/>
        <w:adjustRightInd w:val="0"/>
        <w:spacing w:after="120" w:line="360" w:lineRule="auto"/>
        <w:rPr>
          <w:rFonts w:ascii="Arial" w:eastAsia="MS Mincho" w:hAnsi="Arial" w:cs="Arial"/>
          <w:color w:val="000000"/>
          <w:sz w:val="22"/>
          <w:szCs w:val="22"/>
          <w:lang w:val="en-US"/>
        </w:rPr>
      </w:pPr>
      <w:r w:rsidRPr="006A30E9">
        <w:rPr>
          <w:rFonts w:ascii="Arial" w:hAnsi="Arial" w:cs="Arial"/>
          <w:color w:val="000000"/>
          <w:sz w:val="22"/>
          <w:szCs w:val="22"/>
          <w:lang w:val="en-US"/>
        </w:rPr>
        <w:t xml:space="preserve">Generally, all forms of personal property can form the subject-matter of a DMC. The principle was extended to incomplete transfers also of (unregistered) real property by the Court of Appeal in Sen v Headley (1991). To date there has been no case on registered land but it is presumed the rule would apply. </w:t>
      </w:r>
      <w:r w:rsidRPr="006A30E9">
        <w:rPr>
          <w:rFonts w:ascii="MS Gothic" w:eastAsia="MS Gothic" w:hAnsi="MS Gothic" w:cs="MS Gothic" w:hint="eastAsia"/>
          <w:color w:val="000000"/>
          <w:sz w:val="22"/>
          <w:szCs w:val="22"/>
          <w:lang w:val="en-US"/>
        </w:rPr>
        <w:t> </w:t>
      </w:r>
    </w:p>
    <w:p w14:paraId="07D5103A" w14:textId="77777777" w:rsidR="006A30E9" w:rsidRP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DMCs are not without their critics given the fact that where there is a validly executed Will, the court is being asked to overturn the stated intentions of the testator. King v Chiltern Dog Rescue and Redwings Horse Sanctuary (2015) saw an appeal from the earlier decision that the deceased, when nearing the end of her life, had made a valid </w:t>
      </w:r>
      <w:proofErr w:type="spellStart"/>
      <w:r w:rsidRPr="006A30E9">
        <w:rPr>
          <w:rFonts w:ascii="Arial" w:hAnsi="Arial" w:cs="Arial"/>
          <w:color w:val="000000"/>
          <w:sz w:val="22"/>
          <w:szCs w:val="22"/>
          <w:lang w:val="en-US"/>
        </w:rPr>
        <w:t>donatio</w:t>
      </w:r>
      <w:proofErr w:type="spellEnd"/>
      <w:r w:rsidRPr="006A30E9">
        <w:rPr>
          <w:rFonts w:ascii="Arial" w:hAnsi="Arial" w:cs="Arial"/>
          <w:color w:val="000000"/>
          <w:sz w:val="22"/>
          <w:szCs w:val="22"/>
          <w:lang w:val="en-US"/>
        </w:rPr>
        <w:t xml:space="preserve"> mortis causa by delivering the title deeds of her house to her nephew, saying that he would need them after her death. She had made various failed attempts at wills giving him the house. The trial judge had found that those attempts indicated contemplation of death even though she was not suffering from any terminal illness. The Court of Appeal reversed this decision and went out of its way to </w:t>
      </w:r>
      <w:proofErr w:type="spellStart"/>
      <w:r w:rsidRPr="006A30E9">
        <w:rPr>
          <w:rFonts w:ascii="Arial" w:hAnsi="Arial" w:cs="Arial"/>
          <w:color w:val="000000"/>
          <w:sz w:val="22"/>
          <w:szCs w:val="22"/>
          <w:lang w:val="en-US"/>
        </w:rPr>
        <w:t>emphasise</w:t>
      </w:r>
      <w:proofErr w:type="spellEnd"/>
      <w:r w:rsidRPr="006A30E9">
        <w:rPr>
          <w:rFonts w:ascii="Arial" w:hAnsi="Arial" w:cs="Arial"/>
          <w:color w:val="000000"/>
          <w:sz w:val="22"/>
          <w:szCs w:val="22"/>
          <w:lang w:val="en-US"/>
        </w:rPr>
        <w:t xml:space="preserve"> the need to strictly limit the concept, which can easily lead to fraudulent claims. </w:t>
      </w:r>
    </w:p>
    <w:p w14:paraId="13DC43AF" w14:textId="77777777" w:rsidR="006A30E9" w:rsidRDefault="006A30E9" w:rsidP="007C0ED9">
      <w:pPr>
        <w:autoSpaceDE w:val="0"/>
        <w:autoSpaceDN w:val="0"/>
        <w:adjustRightInd w:val="0"/>
        <w:spacing w:after="240" w:line="360" w:lineRule="auto"/>
        <w:rPr>
          <w:rFonts w:ascii="Arial" w:hAnsi="Arial" w:cs="Arial"/>
          <w:color w:val="000000"/>
          <w:sz w:val="22"/>
          <w:szCs w:val="22"/>
          <w:lang w:val="en-US"/>
        </w:rPr>
      </w:pPr>
      <w:r w:rsidRPr="006A30E9">
        <w:rPr>
          <w:rFonts w:ascii="Arial" w:hAnsi="Arial" w:cs="Arial"/>
          <w:color w:val="000000"/>
          <w:sz w:val="22"/>
          <w:szCs w:val="22"/>
          <w:lang w:val="en-US"/>
        </w:rPr>
        <w:t xml:space="preserve">On 14 July 2017, the Law Commission published its much-awaited consultation on the law of wills (Law Commission paper 231: ‘Making a Will’). One of the subjects under consultation is the future of the DMC. The consultation paper describes the DMC as an anomaly and asks contributors for their views on the abolition of the doctrine. </w:t>
      </w:r>
    </w:p>
    <w:p w14:paraId="5AADF575" w14:textId="77777777" w:rsidR="007C0ED9" w:rsidRDefault="007C0ED9" w:rsidP="007C0ED9">
      <w:pPr>
        <w:autoSpaceDE w:val="0"/>
        <w:autoSpaceDN w:val="0"/>
        <w:adjustRightInd w:val="0"/>
        <w:spacing w:after="240" w:line="360" w:lineRule="auto"/>
        <w:rPr>
          <w:rFonts w:ascii="Arial" w:hAnsi="Arial" w:cs="Arial"/>
          <w:b/>
          <w:color w:val="000000"/>
          <w:sz w:val="22"/>
          <w:szCs w:val="22"/>
          <w:u w:val="single"/>
          <w:lang w:val="en-US"/>
        </w:rPr>
      </w:pPr>
    </w:p>
    <w:p w14:paraId="5EAE5CE6" w14:textId="492F850B" w:rsidR="006A30E9" w:rsidRPr="007C0ED9" w:rsidRDefault="002D4C90" w:rsidP="007C0ED9">
      <w:pPr>
        <w:autoSpaceDE w:val="0"/>
        <w:autoSpaceDN w:val="0"/>
        <w:adjustRightInd w:val="0"/>
        <w:spacing w:after="240" w:line="360" w:lineRule="auto"/>
        <w:rPr>
          <w:rFonts w:ascii="Arial" w:hAnsi="Arial" w:cs="Arial"/>
          <w:b/>
          <w:color w:val="000000"/>
          <w:sz w:val="22"/>
          <w:szCs w:val="22"/>
          <w:u w:val="single"/>
          <w:lang w:val="en-US"/>
        </w:rPr>
      </w:pPr>
      <w:r>
        <w:rPr>
          <w:rFonts w:ascii="Arial" w:hAnsi="Arial" w:cs="Arial"/>
          <w:b/>
          <w:color w:val="000000"/>
          <w:sz w:val="22"/>
          <w:szCs w:val="22"/>
          <w:u w:val="single"/>
          <w:lang w:val="en-US"/>
        </w:rPr>
        <w:lastRenderedPageBreak/>
        <w:t>Section</w:t>
      </w:r>
      <w:r w:rsidR="006A30E9" w:rsidRPr="007C0ED9">
        <w:rPr>
          <w:rFonts w:ascii="Arial" w:hAnsi="Arial" w:cs="Arial"/>
          <w:b/>
          <w:color w:val="000000"/>
          <w:sz w:val="22"/>
          <w:szCs w:val="22"/>
          <w:u w:val="single"/>
          <w:lang w:val="en-US"/>
        </w:rPr>
        <w:t xml:space="preserve"> B</w:t>
      </w:r>
    </w:p>
    <w:p w14:paraId="622EC3C3" w14:textId="5BC2FF50" w:rsidR="007C0ED9" w:rsidRPr="007C0ED9" w:rsidRDefault="002D4C90" w:rsidP="007C0ED9">
      <w:pPr>
        <w:spacing w:before="100" w:beforeAutospacing="1" w:after="100" w:afterAutospacing="1" w:line="360" w:lineRule="auto"/>
        <w:rPr>
          <w:rFonts w:ascii="Arial" w:eastAsia="Times New Roman" w:hAnsi="Arial" w:cs="Arial"/>
          <w:b/>
          <w:sz w:val="24"/>
          <w:szCs w:val="24"/>
          <w:u w:val="single"/>
        </w:rPr>
      </w:pPr>
      <w:r>
        <w:rPr>
          <w:rFonts w:ascii="Arial" w:eastAsia="Times New Roman" w:hAnsi="Arial" w:cs="Arial"/>
          <w:b/>
          <w:sz w:val="22"/>
          <w:szCs w:val="22"/>
          <w:u w:val="single"/>
        </w:rPr>
        <w:t>Question 1</w:t>
      </w:r>
    </w:p>
    <w:p w14:paraId="3718F25F"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w:t>
      </w:r>
      <w:proofErr w:type="spellStart"/>
      <w:proofErr w:type="gramStart"/>
      <w:r w:rsidRPr="007C0ED9">
        <w:rPr>
          <w:rFonts w:ascii="Arial" w:eastAsia="Times New Roman" w:hAnsi="Arial" w:cs="Arial"/>
          <w:sz w:val="22"/>
          <w:szCs w:val="22"/>
        </w:rPr>
        <w:t>i</w:t>
      </w:r>
      <w:proofErr w:type="spellEnd"/>
      <w:proofErr w:type="gramEnd"/>
      <w:r w:rsidRPr="007C0ED9">
        <w:rPr>
          <w:rFonts w:ascii="Arial" w:eastAsia="Times New Roman" w:hAnsi="Arial" w:cs="Arial"/>
          <w:sz w:val="22"/>
          <w:szCs w:val="22"/>
        </w:rPr>
        <w:t xml:space="preserve">) </w:t>
      </w:r>
    </w:p>
    <w:p w14:paraId="5316FAE1"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In order to be valid a declaration of trust must have the three certainties (intention, subject matter and objects) (Knight v Knight (1840)). </w:t>
      </w:r>
    </w:p>
    <w:p w14:paraId="33A377CF"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A trust can be created without the use of the word ‘trust’ but the testator’s words must impose a binding obligation on the trustee to deal with the property in a particular way. It has been held that precatory words expressing a wish or a hope do not demonstrate an intention to create a trust (Re Adams and the Kensington Vestry (1884); </w:t>
      </w:r>
      <w:proofErr w:type="spellStart"/>
      <w:r w:rsidRPr="007C0ED9">
        <w:rPr>
          <w:rFonts w:ascii="Arial" w:eastAsia="Times New Roman" w:hAnsi="Arial" w:cs="Arial"/>
          <w:sz w:val="22"/>
          <w:szCs w:val="22"/>
        </w:rPr>
        <w:t>Lambe</w:t>
      </w:r>
      <w:proofErr w:type="spellEnd"/>
      <w:r w:rsidRPr="007C0ED9">
        <w:rPr>
          <w:rFonts w:ascii="Arial" w:eastAsia="Times New Roman" w:hAnsi="Arial" w:cs="Arial"/>
          <w:sz w:val="22"/>
          <w:szCs w:val="22"/>
        </w:rPr>
        <w:t xml:space="preserve"> v Eames (1871)).The court will ascertain the testator’s intention from the whole will (Comiskey v Bowring Hanbury (1905). </w:t>
      </w:r>
    </w:p>
    <w:p w14:paraId="21381386"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The word ‘knowing’ does not impose a binding obligation on Charlotte to pay her mother’s rent and expenses. Charlotte could keep the entire £50,000 for herself. </w:t>
      </w:r>
    </w:p>
    <w:p w14:paraId="7F51AE8D"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If Ben intends to impose an obligation to provide for his mother, the will should state that Charlotte is to hold on trust for Yvonne. </w:t>
      </w:r>
    </w:p>
    <w:p w14:paraId="7BA2643C"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A trust is void if the trust property or the share of the beneficiary is uncertain. It is acceptable to provide an objective formula for calculating the amount to be given to the beneficiary (Re </w:t>
      </w:r>
      <w:proofErr w:type="spellStart"/>
      <w:r w:rsidRPr="007C0ED9">
        <w:rPr>
          <w:rFonts w:ascii="Arial" w:eastAsia="Times New Roman" w:hAnsi="Arial" w:cs="Arial"/>
          <w:sz w:val="22"/>
          <w:szCs w:val="22"/>
        </w:rPr>
        <w:t>Golay’s</w:t>
      </w:r>
      <w:proofErr w:type="spellEnd"/>
      <w:r w:rsidRPr="007C0ED9">
        <w:rPr>
          <w:rFonts w:ascii="Arial" w:eastAsia="Times New Roman" w:hAnsi="Arial" w:cs="Arial"/>
          <w:sz w:val="22"/>
          <w:szCs w:val="22"/>
        </w:rPr>
        <w:t xml:space="preserve"> Will Trusts (1965), where “a reasonable income from my other properties” was held to be ascertainable by objective means). </w:t>
      </w:r>
    </w:p>
    <w:p w14:paraId="1FEC4C4F"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There may be an objective formula to ascertain the amount to be paid in respect of Yvonne, namely the usual sums which Ben has paid out over the last few years, the amount of rent and usual outgoings. </w:t>
      </w:r>
    </w:p>
    <w:p w14:paraId="47382593"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To avoid all doubt, it may be better to specify an amount to be held on trust for Yvonne or create a discretionary trust for Charlotte and Yvonne and leave a letter of wishes advising the trustee that Ben wants him to pay his mother’s rent and outgoings from the trust funds. </w:t>
      </w:r>
    </w:p>
    <w:p w14:paraId="50065F0E"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(ii) </w:t>
      </w:r>
    </w:p>
    <w:p w14:paraId="1F797015"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Unincorporated associations have no legal personality and cannot, therefore, hold property or receive gifts. However, the courts have devised ways of construing legacies to unincorporated associations, enabling them to be valid. </w:t>
      </w:r>
    </w:p>
    <w:p w14:paraId="10CDA0DC"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lastRenderedPageBreak/>
        <w:t xml:space="preserve">Ben intended the club to hold the legacy on trust to carry out a purpose. The purpose benefits the members. In Re Lipinski (1976), it was held that such trusts are valid and fall under one of two constructions. </w:t>
      </w:r>
    </w:p>
    <w:p w14:paraId="3BA0D97C" w14:textId="77777777" w:rsidR="007C0ED9" w:rsidRPr="007C0ED9" w:rsidRDefault="007C0ED9" w:rsidP="007C0ED9">
      <w:pPr>
        <w:numPr>
          <w:ilvl w:val="0"/>
          <w:numId w:val="4"/>
        </w:num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sym w:font="Symbol" w:char="F0B7"/>
      </w:r>
      <w:r w:rsidRPr="007C0ED9">
        <w:rPr>
          <w:rFonts w:ascii="Arial" w:eastAsia="Times New Roman" w:hAnsi="Arial" w:cs="Arial"/>
          <w:sz w:val="22"/>
          <w:szCs w:val="22"/>
        </w:rPr>
        <w:t xml:space="preserve">  First it could be construed as a gift to the members as an accretion to the club’s funds to be dealt with in accordance with the rules. This construction was used for an outright gift to a club in Re </w:t>
      </w:r>
      <w:proofErr w:type="spellStart"/>
      <w:r w:rsidRPr="007C0ED9">
        <w:rPr>
          <w:rFonts w:ascii="Arial" w:eastAsia="Times New Roman" w:hAnsi="Arial" w:cs="Arial"/>
          <w:sz w:val="22"/>
          <w:szCs w:val="22"/>
        </w:rPr>
        <w:t>Recher</w:t>
      </w:r>
      <w:proofErr w:type="spellEnd"/>
      <w:r w:rsidRPr="007C0ED9">
        <w:rPr>
          <w:rFonts w:ascii="Arial" w:eastAsia="Times New Roman" w:hAnsi="Arial" w:cs="Arial"/>
          <w:sz w:val="22"/>
          <w:szCs w:val="22"/>
        </w:rPr>
        <w:t xml:space="preserve"> (1972). Also, see Re Horley Town Football Club (2006). In Re Lipinski, it was held that the construction could be applied equally to a trust for a purpose which benefits members especially where the resulting property will belong to the members. </w:t>
      </w:r>
    </w:p>
    <w:p w14:paraId="24C4416A" w14:textId="77777777" w:rsidR="007C0ED9" w:rsidRPr="007C0ED9" w:rsidRDefault="007C0ED9" w:rsidP="007C0ED9">
      <w:pPr>
        <w:spacing w:before="100" w:beforeAutospacing="1" w:after="100" w:afterAutospacing="1" w:line="360" w:lineRule="auto"/>
        <w:ind w:left="720"/>
        <w:rPr>
          <w:rFonts w:ascii="Arial" w:eastAsia="Times New Roman" w:hAnsi="Arial" w:cs="Arial"/>
          <w:sz w:val="24"/>
          <w:szCs w:val="24"/>
        </w:rPr>
      </w:pPr>
      <w:r w:rsidRPr="007C0ED9">
        <w:rPr>
          <w:rFonts w:ascii="Arial" w:eastAsia="Times New Roman" w:hAnsi="Arial" w:cs="Arial"/>
          <w:sz w:val="22"/>
          <w:szCs w:val="22"/>
        </w:rPr>
        <w:t xml:space="preserve">There will be no perpetuity problems provided the club’s rules allow members to wind up the club and spend the club’s funds or divide them between themselves (Re Grant (1980)). </w:t>
      </w:r>
    </w:p>
    <w:p w14:paraId="180E5168" w14:textId="77777777" w:rsidR="007C0ED9" w:rsidRPr="007C0ED9" w:rsidRDefault="007C0ED9" w:rsidP="007C0ED9">
      <w:pPr>
        <w:numPr>
          <w:ilvl w:val="0"/>
          <w:numId w:val="4"/>
        </w:num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sym w:font="Symbol" w:char="F0B7"/>
      </w:r>
      <w:r w:rsidRPr="007C0ED9">
        <w:rPr>
          <w:rFonts w:ascii="Arial" w:eastAsia="Times New Roman" w:hAnsi="Arial" w:cs="Arial"/>
          <w:sz w:val="22"/>
          <w:szCs w:val="22"/>
        </w:rPr>
        <w:t xml:space="preserve">  Alternatively it may be valid as a trust for a purpose which brings a sufficiently direct and tangible benefit to ascertainable beneficiaries (the members) who would be able to enforce the trust as in Re </w:t>
      </w:r>
      <w:proofErr w:type="spellStart"/>
      <w:r w:rsidRPr="007C0ED9">
        <w:rPr>
          <w:rFonts w:ascii="Arial" w:eastAsia="Times New Roman" w:hAnsi="Arial" w:cs="Arial"/>
          <w:sz w:val="22"/>
          <w:szCs w:val="22"/>
        </w:rPr>
        <w:t>Denley</w:t>
      </w:r>
      <w:proofErr w:type="spellEnd"/>
      <w:r w:rsidRPr="007C0ED9">
        <w:rPr>
          <w:rFonts w:ascii="Arial" w:eastAsia="Times New Roman" w:hAnsi="Arial" w:cs="Arial"/>
          <w:sz w:val="22"/>
          <w:szCs w:val="22"/>
        </w:rPr>
        <w:t xml:space="preserve"> (1969). The members of the club would all be ascertainable and there would be no problem with the rule against inalienability because the whole of the fund would be spent on the construction of the changing rooms. </w:t>
      </w:r>
    </w:p>
    <w:p w14:paraId="7855CAB6" w14:textId="77777777" w:rsidR="007C0ED9" w:rsidRPr="007C0ED9" w:rsidRDefault="007C0ED9" w:rsidP="007C0ED9">
      <w:pPr>
        <w:spacing w:before="100" w:beforeAutospacing="1" w:after="100" w:afterAutospacing="1" w:line="360" w:lineRule="auto"/>
        <w:rPr>
          <w:rFonts w:ascii="Arial" w:eastAsia="Times New Roman" w:hAnsi="Arial" w:cs="Arial"/>
          <w:b/>
          <w:sz w:val="24"/>
          <w:szCs w:val="24"/>
        </w:rPr>
      </w:pPr>
      <w:r w:rsidRPr="007C0ED9">
        <w:rPr>
          <w:rFonts w:ascii="Arial" w:eastAsia="Times New Roman" w:hAnsi="Arial" w:cs="Arial"/>
          <w:b/>
          <w:sz w:val="22"/>
          <w:szCs w:val="22"/>
        </w:rPr>
        <w:t xml:space="preserve">It is likely that this trust is valid. </w:t>
      </w:r>
    </w:p>
    <w:p w14:paraId="0E4E9059"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(iii) </w:t>
      </w:r>
    </w:p>
    <w:p w14:paraId="77044CEB"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This is a discretionary trust- trustees are bound to distribute. The testator has used the obligatory word ‘shall’. </w:t>
      </w:r>
    </w:p>
    <w:p w14:paraId="7B07C21D" w14:textId="77777777" w:rsidR="007C0ED9" w:rsidRPr="007C0ED9" w:rsidRDefault="007C0ED9" w:rsidP="007C0ED9">
      <w:pPr>
        <w:pStyle w:val="NormalWeb"/>
        <w:spacing w:line="360" w:lineRule="auto"/>
        <w:rPr>
          <w:rFonts w:ascii="Arial" w:hAnsi="Arial" w:cs="Arial"/>
          <w:sz w:val="24"/>
          <w:szCs w:val="24"/>
        </w:rPr>
      </w:pPr>
      <w:r w:rsidRPr="007C0ED9">
        <w:rPr>
          <w:rFonts w:ascii="Arial" w:hAnsi="Arial" w:cs="Arial"/>
          <w:sz w:val="22"/>
          <w:szCs w:val="22"/>
        </w:rPr>
        <w:t xml:space="preserve">The certainty of objects test for discretionary trusts is the given postulant test: can it be said with certainty whether any given postulant is or is not a member of the class of objects (McPhail v Doulton (1971). This requires conceptual or linguistic certainty. Evidential uncertainty occurs where a claimant cannot prove that he falls within the description but this does not lead to failure of the trust (Re Baden’s Deed Trusts (No 2) (1972).In Re Baden, Stamp LJ decided that if you had to say of any individual that you did not know whether or not he fell within the class of objects, the trust was void. The other judges disagreed. Sachs LJ insisted that the description of the objects must be conceptually certain but the burden was on the claimant to show that he fell within the description. If he could not do this, either because </w:t>
      </w:r>
      <w:r w:rsidRPr="007C0ED9">
        <w:rPr>
          <w:rFonts w:ascii="Arial" w:hAnsi="Arial" w:cs="Arial"/>
          <w:sz w:val="22"/>
          <w:szCs w:val="22"/>
        </w:rPr>
        <w:lastRenderedPageBreak/>
        <w:t xml:space="preserve">he was outside the description or because it was not known whether he was in or out, the trust could still be valid. Thus, ‘don’t knows’ did not lead to failure if the description was conceptually certain. Megaw LJ held that the trust was valid if one could say of a substantial number that they fell within the class even if, as regards a number of other objects, it had to be said that they were outside or it was not known whether they were in or out. </w:t>
      </w:r>
    </w:p>
    <w:p w14:paraId="73AEBE5B" w14:textId="77777777" w:rsidR="007C0ED9" w:rsidRPr="007C0ED9" w:rsidRDefault="007C0ED9" w:rsidP="007C0ED9">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Even if the description of the objects is certain, the discretionary trust will be void (due to administrative unworkability) if the definition of the beneficiaries is “so hopelessly wide as not to form anything like a class” (per Lord Wilberforce in McPhail v Doulton). Lord Wilberforce used “the residents of Greater London” as an example. In R v District Auditor ex p. West Yorkshire MCC (1986) a discretionary trust for 2.5 inhabitants of West Yorkshire was held to be void due to administrative unworkability. </w:t>
      </w:r>
    </w:p>
    <w:p w14:paraId="11C99196" w14:textId="77777777" w:rsidR="007C0ED9" w:rsidRPr="007C0ED9" w:rsidRDefault="007C0ED9" w:rsidP="005A104D">
      <w:pPr>
        <w:spacing w:before="100" w:beforeAutospacing="1" w:after="100" w:afterAutospacing="1" w:line="360" w:lineRule="auto"/>
        <w:rPr>
          <w:rFonts w:ascii="Arial" w:eastAsia="Times New Roman" w:hAnsi="Arial" w:cs="Arial"/>
          <w:sz w:val="24"/>
          <w:szCs w:val="24"/>
        </w:rPr>
      </w:pPr>
      <w:r w:rsidRPr="007C0ED9">
        <w:rPr>
          <w:rFonts w:ascii="Arial" w:eastAsia="Times New Roman" w:hAnsi="Arial" w:cs="Arial"/>
          <w:sz w:val="22"/>
          <w:szCs w:val="22"/>
        </w:rPr>
        <w:t xml:space="preserve">A discretionary trust which is capricious (irrational) will be void. </w:t>
      </w:r>
    </w:p>
    <w:p w14:paraId="7CE2E9F3" w14:textId="77777777" w:rsidR="007C0ED9" w:rsidRPr="007C0ED9" w:rsidRDefault="007C0ED9" w:rsidP="005A104D">
      <w:pPr>
        <w:spacing w:before="100" w:beforeAutospacing="1" w:after="100" w:afterAutospacing="1" w:line="360" w:lineRule="auto"/>
        <w:rPr>
          <w:rFonts w:ascii="Times New Roman" w:eastAsia="Times New Roman" w:hAnsi="Times New Roman" w:cs="Times New Roman"/>
          <w:sz w:val="24"/>
          <w:szCs w:val="24"/>
        </w:rPr>
      </w:pPr>
      <w:r w:rsidRPr="007C0ED9">
        <w:rPr>
          <w:rFonts w:ascii="Verdana" w:eastAsia="Times New Roman" w:hAnsi="Verdana" w:cs="Times New Roman"/>
          <w:sz w:val="22"/>
          <w:szCs w:val="22"/>
        </w:rPr>
        <w:t xml:space="preserve">In this case, the gift of residue would probably be void because it does not satisfy the given postulant test. There are no objective criteria to indicate who would be a ‘worthy young cricket player’. Also the number of young cricket players may also lead to failure of the trust due to administrative unworkability. Capriciousness is not an issue because </w:t>
      </w:r>
      <w:r>
        <w:rPr>
          <w:rFonts w:ascii="Verdana" w:eastAsia="Times New Roman" w:hAnsi="Verdana" w:cs="Times New Roman"/>
          <w:sz w:val="22"/>
          <w:szCs w:val="22"/>
        </w:rPr>
        <w:t>Ben</w:t>
      </w:r>
      <w:r w:rsidRPr="007C0ED9">
        <w:rPr>
          <w:rFonts w:ascii="Verdana" w:eastAsia="Times New Roman" w:hAnsi="Verdana" w:cs="Times New Roman"/>
          <w:sz w:val="22"/>
          <w:szCs w:val="22"/>
        </w:rPr>
        <w:t xml:space="preserve"> clearly has a love of cricket. </w:t>
      </w:r>
    </w:p>
    <w:p w14:paraId="283613E7" w14:textId="77777777" w:rsidR="007C0ED9" w:rsidRDefault="007C0ED9" w:rsidP="005A104D">
      <w:pPr>
        <w:spacing w:before="100" w:beforeAutospacing="1" w:after="100" w:afterAutospacing="1" w:line="360" w:lineRule="auto"/>
        <w:rPr>
          <w:rFonts w:ascii="Verdana" w:eastAsia="Times New Roman" w:hAnsi="Verdana" w:cs="Times New Roman"/>
          <w:sz w:val="22"/>
          <w:szCs w:val="22"/>
        </w:rPr>
      </w:pPr>
      <w:r w:rsidRPr="007C0ED9">
        <w:rPr>
          <w:rFonts w:ascii="Verdana" w:eastAsia="Times New Roman" w:hAnsi="Verdana" w:cs="Times New Roman"/>
          <w:sz w:val="22"/>
          <w:szCs w:val="22"/>
        </w:rPr>
        <w:t xml:space="preserve">The words ‘worthy’ and ‘young’” are too vague. </w:t>
      </w:r>
      <w:r>
        <w:rPr>
          <w:rFonts w:ascii="Verdana" w:eastAsia="Times New Roman" w:hAnsi="Verdana" w:cs="Times New Roman"/>
          <w:sz w:val="22"/>
          <w:szCs w:val="22"/>
        </w:rPr>
        <w:t>Ben</w:t>
      </w:r>
      <w:r w:rsidRPr="007C0ED9">
        <w:rPr>
          <w:rFonts w:ascii="Verdana" w:eastAsia="Times New Roman" w:hAnsi="Verdana" w:cs="Times New Roman"/>
          <w:sz w:val="22"/>
          <w:szCs w:val="22"/>
        </w:rPr>
        <w:t xml:space="preserve"> should be more specific e.g. ‘members of the under 21 England cricket squad’ or require trustees to run an annual tournament and award prizes to the winners or give to a charity or other organisation which promotes young cricket players. </w:t>
      </w:r>
    </w:p>
    <w:p w14:paraId="3DA64BE0" w14:textId="79C53EEE" w:rsidR="006B6FC1" w:rsidRPr="006B6FC1" w:rsidRDefault="002D4C90" w:rsidP="005A104D">
      <w:pPr>
        <w:spacing w:before="100" w:beforeAutospacing="1" w:after="100" w:afterAutospacing="1" w:line="360" w:lineRule="auto"/>
        <w:rPr>
          <w:rFonts w:ascii="Arial" w:eastAsia="Times New Roman" w:hAnsi="Arial" w:cs="Arial"/>
          <w:b/>
          <w:sz w:val="24"/>
          <w:szCs w:val="24"/>
          <w:u w:val="single"/>
        </w:rPr>
      </w:pPr>
      <w:r>
        <w:rPr>
          <w:rFonts w:ascii="Arial" w:eastAsia="Times New Roman" w:hAnsi="Arial" w:cs="Arial"/>
          <w:b/>
          <w:sz w:val="22"/>
          <w:szCs w:val="22"/>
          <w:u w:val="single"/>
        </w:rPr>
        <w:t>Question 2</w:t>
      </w:r>
    </w:p>
    <w:p w14:paraId="2FB9AABD" w14:textId="77777777" w:rsidR="006B6FC1" w:rsidRPr="006B6FC1" w:rsidRDefault="006B6FC1" w:rsidP="005A104D">
      <w:pPr>
        <w:spacing w:before="100" w:beforeAutospacing="1" w:after="100" w:afterAutospacing="1" w:line="360" w:lineRule="auto"/>
        <w:rPr>
          <w:rFonts w:ascii="Arial" w:eastAsia="Times New Roman" w:hAnsi="Arial" w:cs="Arial"/>
          <w:b/>
          <w:sz w:val="24"/>
          <w:szCs w:val="24"/>
        </w:rPr>
      </w:pPr>
      <w:r w:rsidRPr="006B6FC1">
        <w:rPr>
          <w:rFonts w:ascii="Arial" w:eastAsia="Times New Roman" w:hAnsi="Arial" w:cs="Arial"/>
          <w:b/>
          <w:sz w:val="22"/>
          <w:szCs w:val="22"/>
        </w:rPr>
        <w:t xml:space="preserve">The trust property </w:t>
      </w:r>
    </w:p>
    <w:p w14:paraId="00D7F0C0"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Carla owned an equitable interest in the trust property. The trust became a bare trust on Carla’s thirtieth birthday. However, the trustees do not appear to have transferred legal title to the trust property to Carla. </w:t>
      </w:r>
    </w:p>
    <w:p w14:paraId="773BB24A"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Section 53(1)(c) LPA 1925 provides that in order to be valid, a disposition of a subsisting equitable interest must be in writing and signed by the person disposing of the same or by their agent authorised in writing. </w:t>
      </w:r>
    </w:p>
    <w:p w14:paraId="4833B818"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lastRenderedPageBreak/>
        <w:t xml:space="preserve">As a beneficiary under a bare trust, Carla was entitled to direct the trustees to hold on trust for another. According to Grey v IRC (1960) a direction to trustees to hold on trust for another is a disposition of the equitable interest and must comply with s53(1)(c). Carla’s oral direction was ineffective. The equitable interest will pass as part of her residue to Oxfam. </w:t>
      </w:r>
    </w:p>
    <w:p w14:paraId="032A55CD" w14:textId="77777777" w:rsidR="006B6FC1" w:rsidRPr="006B6FC1" w:rsidRDefault="006B6FC1" w:rsidP="005A104D">
      <w:pPr>
        <w:spacing w:before="100" w:beforeAutospacing="1" w:after="100" w:afterAutospacing="1" w:line="360" w:lineRule="auto"/>
        <w:rPr>
          <w:rFonts w:ascii="Arial" w:eastAsia="Times New Roman" w:hAnsi="Arial" w:cs="Arial"/>
          <w:b/>
          <w:sz w:val="24"/>
          <w:szCs w:val="24"/>
        </w:rPr>
      </w:pPr>
      <w:r w:rsidRPr="006B6FC1">
        <w:rPr>
          <w:rFonts w:ascii="Arial" w:eastAsia="Times New Roman" w:hAnsi="Arial" w:cs="Arial"/>
          <w:b/>
          <w:sz w:val="22"/>
          <w:szCs w:val="22"/>
        </w:rPr>
        <w:t xml:space="preserve">Shares in </w:t>
      </w:r>
      <w:proofErr w:type="spellStart"/>
      <w:r w:rsidRPr="006B6FC1">
        <w:rPr>
          <w:rFonts w:ascii="Arial" w:eastAsia="Times New Roman" w:hAnsi="Arial" w:cs="Arial"/>
          <w:b/>
          <w:sz w:val="22"/>
          <w:szCs w:val="22"/>
        </w:rPr>
        <w:t>Ellco</w:t>
      </w:r>
      <w:proofErr w:type="spellEnd"/>
      <w:r w:rsidRPr="006B6FC1">
        <w:rPr>
          <w:rFonts w:ascii="Arial" w:eastAsia="Times New Roman" w:hAnsi="Arial" w:cs="Arial"/>
          <w:b/>
          <w:sz w:val="22"/>
          <w:szCs w:val="22"/>
        </w:rPr>
        <w:t xml:space="preserve"> Ltd </w:t>
      </w:r>
    </w:p>
    <w:p w14:paraId="0A2A4E3A"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In order to transfer legal title to shares, Carla should have sent a signed stock transfer form and the share certificate to Stefan or the company. Legal title does not pass until the transferee is registered at the company. In this case, Stefan has not acquired legal title. </w:t>
      </w:r>
    </w:p>
    <w:p w14:paraId="1407B5C2"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In Milroy v Lord (1862), it was held that equity regards the transfer as complete if the transferor has done everything necessary for them to do in order to transfer legal title. According to Re Rose (1952), this point is reached when the transferor parts with the stock transfer form and share certificate beyond recall. In this case, the every effort test is not satisfied because Carla has not handed over the share certificate </w:t>
      </w:r>
    </w:p>
    <w:p w14:paraId="06D47DCE"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Equity will also regard the transfer as complete if the stage has been reached when it would be unconscionable for the transferor to change his or her mind (Pennington v </w:t>
      </w:r>
      <w:proofErr w:type="spellStart"/>
      <w:r w:rsidRPr="006B6FC1">
        <w:rPr>
          <w:rFonts w:ascii="Arial" w:eastAsia="Times New Roman" w:hAnsi="Arial" w:cs="Arial"/>
          <w:sz w:val="22"/>
          <w:szCs w:val="22"/>
        </w:rPr>
        <w:t>Waine</w:t>
      </w:r>
      <w:proofErr w:type="spellEnd"/>
      <w:r w:rsidRPr="006B6FC1">
        <w:rPr>
          <w:rFonts w:ascii="Arial" w:eastAsia="Times New Roman" w:hAnsi="Arial" w:cs="Arial"/>
          <w:sz w:val="22"/>
          <w:szCs w:val="22"/>
        </w:rPr>
        <w:t xml:space="preserve"> (2002)). Pennington is a controversial decision. Lady Arden said that it was impossible to lay down a definitive list of factors making a withdrawal from the attempted gift unconscionable. The factors in Pennington itself were: the donor intended an immediate gift, she had told the </w:t>
      </w:r>
      <w:proofErr w:type="spellStart"/>
      <w:r w:rsidRPr="006B6FC1">
        <w:rPr>
          <w:rFonts w:ascii="Arial" w:eastAsia="Times New Roman" w:hAnsi="Arial" w:cs="Arial"/>
          <w:sz w:val="22"/>
          <w:szCs w:val="22"/>
        </w:rPr>
        <w:t>donee</w:t>
      </w:r>
      <w:proofErr w:type="spellEnd"/>
      <w:r w:rsidRPr="006B6FC1">
        <w:rPr>
          <w:rFonts w:ascii="Arial" w:eastAsia="Times New Roman" w:hAnsi="Arial" w:cs="Arial"/>
          <w:sz w:val="22"/>
          <w:szCs w:val="22"/>
        </w:rPr>
        <w:t xml:space="preserve"> of the gift, the company’s auditor had told the </w:t>
      </w:r>
      <w:proofErr w:type="spellStart"/>
      <w:r w:rsidRPr="006B6FC1">
        <w:rPr>
          <w:rFonts w:ascii="Arial" w:eastAsia="Times New Roman" w:hAnsi="Arial" w:cs="Arial"/>
          <w:sz w:val="22"/>
          <w:szCs w:val="22"/>
        </w:rPr>
        <w:t>donee</w:t>
      </w:r>
      <w:proofErr w:type="spellEnd"/>
      <w:r w:rsidRPr="006B6FC1">
        <w:rPr>
          <w:rFonts w:ascii="Arial" w:eastAsia="Times New Roman" w:hAnsi="Arial" w:cs="Arial"/>
          <w:sz w:val="22"/>
          <w:szCs w:val="22"/>
        </w:rPr>
        <w:t xml:space="preserve"> that there was nothing he needed to do, the </w:t>
      </w:r>
      <w:proofErr w:type="spellStart"/>
      <w:r w:rsidRPr="006B6FC1">
        <w:rPr>
          <w:rFonts w:ascii="Arial" w:eastAsia="Times New Roman" w:hAnsi="Arial" w:cs="Arial"/>
          <w:sz w:val="22"/>
          <w:szCs w:val="22"/>
        </w:rPr>
        <w:t>donee</w:t>
      </w:r>
      <w:proofErr w:type="spellEnd"/>
      <w:r w:rsidRPr="006B6FC1">
        <w:rPr>
          <w:rFonts w:ascii="Arial" w:eastAsia="Times New Roman" w:hAnsi="Arial" w:cs="Arial"/>
          <w:sz w:val="22"/>
          <w:szCs w:val="22"/>
        </w:rPr>
        <w:t xml:space="preserve"> had become a director on the faith of the intended gift. In Curtis v </w:t>
      </w:r>
      <w:proofErr w:type="spellStart"/>
      <w:r w:rsidRPr="006B6FC1">
        <w:rPr>
          <w:rFonts w:ascii="Arial" w:eastAsia="Times New Roman" w:hAnsi="Arial" w:cs="Arial"/>
          <w:sz w:val="22"/>
          <w:szCs w:val="22"/>
        </w:rPr>
        <w:t>Pulbrook</w:t>
      </w:r>
      <w:proofErr w:type="spellEnd"/>
      <w:r w:rsidRPr="006B6FC1">
        <w:rPr>
          <w:rFonts w:ascii="Arial" w:eastAsia="Times New Roman" w:hAnsi="Arial" w:cs="Arial"/>
          <w:sz w:val="22"/>
          <w:szCs w:val="22"/>
        </w:rPr>
        <w:t xml:space="preserve"> (2011), the judge said that Pennington was a case of proprietary estoppel, which applies where a person acts to their detriment in reliance on an assurance that they should have an interest in property. The loan will not be regarded as detriment because it was made before Stefan was told of the gift. The facts do not tell us whether Stefan has acted to his detriment. If he has not, it is unlikely that the promised gift will be saved and the shares will pass to Oxfam. </w:t>
      </w:r>
    </w:p>
    <w:p w14:paraId="20EB041E" w14:textId="77777777" w:rsidR="006B6FC1" w:rsidRPr="006B6FC1" w:rsidRDefault="006B6FC1" w:rsidP="005A104D">
      <w:pPr>
        <w:spacing w:before="100" w:beforeAutospacing="1" w:after="100" w:afterAutospacing="1" w:line="360" w:lineRule="auto"/>
        <w:rPr>
          <w:rFonts w:ascii="Arial" w:eastAsia="Times New Roman" w:hAnsi="Arial" w:cs="Arial"/>
          <w:b/>
          <w:sz w:val="24"/>
          <w:szCs w:val="24"/>
        </w:rPr>
      </w:pPr>
      <w:r w:rsidRPr="006B6FC1">
        <w:rPr>
          <w:rFonts w:ascii="Arial" w:eastAsia="Times New Roman" w:hAnsi="Arial" w:cs="Arial"/>
          <w:b/>
          <w:sz w:val="22"/>
          <w:szCs w:val="22"/>
        </w:rPr>
        <w:t xml:space="preserve">The paintings </w:t>
      </w:r>
    </w:p>
    <w:p w14:paraId="7309BE89"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Carla intended to make an outright gift of the paintings to Patrick</w:t>
      </w:r>
      <w:proofErr w:type="gramStart"/>
      <w:r w:rsidRPr="006B6FC1">
        <w:rPr>
          <w:rFonts w:ascii="Arial" w:eastAsia="Times New Roman" w:hAnsi="Arial" w:cs="Arial"/>
          <w:sz w:val="22"/>
          <w:szCs w:val="22"/>
        </w:rPr>
        <w:t>..</w:t>
      </w:r>
      <w:proofErr w:type="gramEnd"/>
      <w:r w:rsidRPr="006B6FC1">
        <w:rPr>
          <w:rFonts w:ascii="Arial" w:eastAsia="Times New Roman" w:hAnsi="Arial" w:cs="Arial"/>
          <w:sz w:val="22"/>
          <w:szCs w:val="22"/>
        </w:rPr>
        <w:t xml:space="preserve"> Chattels can be transferred by physical delivery or by deed (Jaffa v Taylor House Gallery (1990)). The letter is unlikely to satisfy the requirements for a valid deed in s. 1 LP (MP) Act 1989 (in writing, shows that the parties intend it to be a deed and witnessed). The paintings have not been delivered to Patrick</w:t>
      </w:r>
      <w:proofErr w:type="gramStart"/>
      <w:r w:rsidRPr="006B6FC1">
        <w:rPr>
          <w:rFonts w:ascii="Arial" w:eastAsia="Times New Roman" w:hAnsi="Arial" w:cs="Arial"/>
          <w:sz w:val="22"/>
          <w:szCs w:val="22"/>
        </w:rPr>
        <w:t>..</w:t>
      </w:r>
      <w:proofErr w:type="gramEnd"/>
      <w:r w:rsidRPr="006B6FC1">
        <w:rPr>
          <w:rFonts w:ascii="Arial" w:eastAsia="Times New Roman" w:hAnsi="Arial" w:cs="Arial"/>
          <w:sz w:val="22"/>
          <w:szCs w:val="22"/>
        </w:rPr>
        <w:t xml:space="preserve"> </w:t>
      </w:r>
    </w:p>
    <w:p w14:paraId="57DF88D7"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lastRenderedPageBreak/>
        <w:t xml:space="preserve">As Carla’s executor, Patrick automatically acquired legal title to Carla’s assets when she died. Under Strong v Bird (1874), the gift is perfected if Carla intended an immediate unconditional gift in her lifetime and did not change her mind before she died. The facts suggest that Carla intended an immediate gift but that her intention did not continue until her death. Carla’s will leaving the paintings to Bill indicates that she changed her mind. Therefore, Patrick cannot rely on Strong v Bird and the paintings will pass to Bill. </w:t>
      </w:r>
    </w:p>
    <w:p w14:paraId="3591741A"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The every effort test is not satisfied because Carla did not take the necessary steps to transfer title to the paintings. (There is no suggestion of unconscionability.) </w:t>
      </w:r>
    </w:p>
    <w:p w14:paraId="281FD4AD" w14:textId="77777777" w:rsidR="006B6FC1" w:rsidRPr="006B6FC1" w:rsidRDefault="006B6FC1" w:rsidP="005A104D">
      <w:pPr>
        <w:spacing w:before="100" w:beforeAutospacing="1" w:after="100" w:afterAutospacing="1" w:line="360" w:lineRule="auto"/>
        <w:rPr>
          <w:rFonts w:ascii="Arial" w:eastAsia="Times New Roman" w:hAnsi="Arial" w:cs="Arial"/>
          <w:b/>
          <w:sz w:val="24"/>
          <w:szCs w:val="24"/>
        </w:rPr>
      </w:pPr>
      <w:r w:rsidRPr="006B6FC1">
        <w:rPr>
          <w:rFonts w:ascii="Arial" w:eastAsia="Times New Roman" w:hAnsi="Arial" w:cs="Arial"/>
          <w:b/>
          <w:sz w:val="22"/>
          <w:szCs w:val="22"/>
        </w:rPr>
        <w:t xml:space="preserve">Park House </w:t>
      </w:r>
    </w:p>
    <w:p w14:paraId="682EB268"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Carla intended to transfer Park House to Julia to act as a trustee. For the trust to be valid, Carla must make a valid declaration of trust and transfer the property to the trustee in the correct manner in order to constitute the trust. </w:t>
      </w:r>
    </w:p>
    <w:p w14:paraId="627F3D82"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In order for a declaration of trust over land to be enforceable, the declaration must be evidenced in signed writing (s53(1)(b) LPA 1925). The letter would suffice assuming that Carla signed it. </w:t>
      </w:r>
    </w:p>
    <w:p w14:paraId="46679C7D" w14:textId="77777777" w:rsidR="006B6FC1" w:rsidRDefault="006B6FC1" w:rsidP="005A104D">
      <w:pPr>
        <w:spacing w:before="100" w:beforeAutospacing="1" w:after="100" w:afterAutospacing="1" w:line="360" w:lineRule="auto"/>
        <w:rPr>
          <w:rFonts w:ascii="Arial" w:eastAsia="Times New Roman" w:hAnsi="Arial" w:cs="Arial"/>
          <w:sz w:val="22"/>
          <w:szCs w:val="22"/>
        </w:rPr>
      </w:pPr>
      <w:r w:rsidRPr="006B6FC1">
        <w:rPr>
          <w:rFonts w:ascii="Arial" w:eastAsia="Times New Roman" w:hAnsi="Arial" w:cs="Arial"/>
          <w:sz w:val="22"/>
          <w:szCs w:val="22"/>
        </w:rPr>
        <w:t>A deed is required to transfer the legal title to land (s52 Law of Property Act 1925) and the transferee must be registered at the Land Registry. This has not occurred. However, Carla did all that she needed to do in order to transfer legal title because she handed the deed to Julia. In these circumstances, equity regards the transfer as complete (</w:t>
      </w:r>
      <w:proofErr w:type="spellStart"/>
      <w:r w:rsidRPr="006B6FC1">
        <w:rPr>
          <w:rFonts w:ascii="Arial" w:eastAsia="Times New Roman" w:hAnsi="Arial" w:cs="Arial"/>
          <w:sz w:val="22"/>
          <w:szCs w:val="22"/>
        </w:rPr>
        <w:t>Mascall</w:t>
      </w:r>
      <w:proofErr w:type="spellEnd"/>
      <w:r w:rsidRPr="006B6FC1">
        <w:rPr>
          <w:rFonts w:ascii="Arial" w:eastAsia="Times New Roman" w:hAnsi="Arial" w:cs="Arial"/>
          <w:sz w:val="22"/>
          <w:szCs w:val="22"/>
        </w:rPr>
        <w:t xml:space="preserve"> v </w:t>
      </w:r>
      <w:proofErr w:type="spellStart"/>
      <w:r w:rsidRPr="006B6FC1">
        <w:rPr>
          <w:rFonts w:ascii="Arial" w:eastAsia="Times New Roman" w:hAnsi="Arial" w:cs="Arial"/>
          <w:sz w:val="22"/>
          <w:szCs w:val="22"/>
        </w:rPr>
        <w:t>Mascall</w:t>
      </w:r>
      <w:proofErr w:type="spellEnd"/>
      <w:r w:rsidRPr="006B6FC1">
        <w:rPr>
          <w:rFonts w:ascii="Arial" w:eastAsia="Times New Roman" w:hAnsi="Arial" w:cs="Arial"/>
          <w:sz w:val="22"/>
          <w:szCs w:val="22"/>
        </w:rPr>
        <w:t xml:space="preserve"> (1984). Julia can attend to registration. Having effectively created a trust, Carla was not able to dispose of Park House by will to Bill. </w:t>
      </w:r>
    </w:p>
    <w:p w14:paraId="0FEB2F58" w14:textId="7E85AFCB" w:rsidR="006B6FC1" w:rsidRPr="006B6FC1" w:rsidRDefault="006B6FC1" w:rsidP="005A104D">
      <w:pPr>
        <w:spacing w:before="100" w:beforeAutospacing="1" w:after="100" w:afterAutospacing="1" w:line="360" w:lineRule="auto"/>
        <w:rPr>
          <w:rFonts w:ascii="Arial" w:eastAsia="Times New Roman" w:hAnsi="Arial" w:cs="Arial"/>
          <w:b/>
          <w:sz w:val="24"/>
          <w:szCs w:val="24"/>
          <w:u w:val="single"/>
        </w:rPr>
      </w:pPr>
      <w:r w:rsidRPr="006B6FC1">
        <w:rPr>
          <w:rFonts w:ascii="Arial" w:eastAsia="Times New Roman" w:hAnsi="Arial" w:cs="Arial"/>
          <w:b/>
          <w:sz w:val="22"/>
          <w:szCs w:val="22"/>
          <w:u w:val="single"/>
        </w:rPr>
        <w:t>Ques</w:t>
      </w:r>
      <w:r w:rsidR="008A1FF6">
        <w:rPr>
          <w:rFonts w:ascii="Arial" w:eastAsia="Times New Roman" w:hAnsi="Arial" w:cs="Arial"/>
          <w:b/>
          <w:sz w:val="22"/>
          <w:szCs w:val="22"/>
          <w:u w:val="single"/>
        </w:rPr>
        <w:t>tion 3</w:t>
      </w:r>
      <w:bookmarkStart w:id="0" w:name="_GoBack"/>
      <w:bookmarkEnd w:id="0"/>
    </w:p>
    <w:p w14:paraId="4C8404D5" w14:textId="77777777" w:rsidR="006B6FC1" w:rsidRPr="006B6FC1"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Grace</w:t>
      </w:r>
      <w:r w:rsidR="006B6FC1" w:rsidRPr="006B6FC1">
        <w:rPr>
          <w:rFonts w:ascii="Arial" w:eastAsia="Times New Roman" w:hAnsi="Arial" w:cs="Arial"/>
          <w:sz w:val="22"/>
          <w:szCs w:val="22"/>
        </w:rPr>
        <w:t xml:space="preserve"> will have to establish that </w:t>
      </w:r>
      <w:r w:rsidRPr="005A104D">
        <w:rPr>
          <w:rFonts w:ascii="Arial" w:eastAsia="Times New Roman" w:hAnsi="Arial" w:cs="Arial"/>
          <w:sz w:val="22"/>
          <w:szCs w:val="22"/>
        </w:rPr>
        <w:t>Daniel</w:t>
      </w:r>
      <w:r w:rsidR="006B6FC1" w:rsidRPr="006B6FC1">
        <w:rPr>
          <w:rFonts w:ascii="Arial" w:eastAsia="Times New Roman" w:hAnsi="Arial" w:cs="Arial"/>
          <w:sz w:val="22"/>
          <w:szCs w:val="22"/>
        </w:rPr>
        <w:t xml:space="preserve"> held the legal title to the house on trust for her. The presumption is that a sole owner of the legal estate is also the sole equitable owner. The burden will be on </w:t>
      </w:r>
      <w:r w:rsidRPr="005A104D">
        <w:rPr>
          <w:rFonts w:ascii="Arial" w:eastAsia="Times New Roman" w:hAnsi="Arial" w:cs="Arial"/>
          <w:sz w:val="22"/>
          <w:szCs w:val="22"/>
        </w:rPr>
        <w:t>Grace</w:t>
      </w:r>
      <w:r w:rsidR="006B6FC1" w:rsidRPr="006B6FC1">
        <w:rPr>
          <w:rFonts w:ascii="Arial" w:eastAsia="Times New Roman" w:hAnsi="Arial" w:cs="Arial"/>
          <w:sz w:val="22"/>
          <w:szCs w:val="22"/>
        </w:rPr>
        <w:t xml:space="preserve"> to prove that she has an equitable interest. Unlike express trusts, resulting and constructive trusts can be created without writing (s53(2) Law of Property Act 1925). </w:t>
      </w:r>
    </w:p>
    <w:p w14:paraId="7FBA2C40" w14:textId="77777777" w:rsidR="006B6FC1" w:rsidRPr="006B6FC1"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Grace</w:t>
      </w:r>
      <w:r w:rsidR="006B6FC1" w:rsidRPr="006B6FC1">
        <w:rPr>
          <w:rFonts w:ascii="Arial" w:eastAsia="Times New Roman" w:hAnsi="Arial" w:cs="Arial"/>
          <w:sz w:val="22"/>
          <w:szCs w:val="22"/>
        </w:rPr>
        <w:t xml:space="preserve"> cannot claim an interest under a resulting trust because she made no direct contribution to the purchase price at the time of purchase (Curley v Parkes (2004)). The payment for furniture was not a contribution to the purchase price. In any event, constructive trusts are more appropriate for determining the interests of cohabitees (Stack v Dowden (2007)). </w:t>
      </w:r>
    </w:p>
    <w:p w14:paraId="2440A164"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lastRenderedPageBreak/>
        <w:t xml:space="preserve">To establish a constructive trust, </w:t>
      </w:r>
      <w:r w:rsidR="005A104D" w:rsidRPr="005A104D">
        <w:rPr>
          <w:rFonts w:ascii="Arial" w:eastAsia="Times New Roman" w:hAnsi="Arial" w:cs="Arial"/>
          <w:sz w:val="22"/>
          <w:szCs w:val="22"/>
        </w:rPr>
        <w:t>Grace</w:t>
      </w:r>
      <w:r w:rsidRPr="006B6FC1">
        <w:rPr>
          <w:rFonts w:ascii="Arial" w:eastAsia="Times New Roman" w:hAnsi="Arial" w:cs="Arial"/>
          <w:sz w:val="22"/>
          <w:szCs w:val="22"/>
        </w:rPr>
        <w:t xml:space="preserve"> will have to show there was a common intention that she should have an interest in the house and she acted to her detriment in reliance on that common intention (Lloyds Bank v Rosset (1990)). The common intention may be express or implied. </w:t>
      </w:r>
    </w:p>
    <w:p w14:paraId="5E7C42D5"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An express common intention exists if there was an ‘agreement, arrangement or understanding’ that the house should be shared beneficially. </w:t>
      </w:r>
      <w:r w:rsidR="005A104D" w:rsidRPr="005A104D">
        <w:rPr>
          <w:rFonts w:ascii="Arial" w:eastAsia="Times New Roman" w:hAnsi="Arial" w:cs="Arial"/>
          <w:sz w:val="22"/>
          <w:szCs w:val="22"/>
        </w:rPr>
        <w:t>Daniel’s</w:t>
      </w:r>
      <w:r w:rsidRPr="006B6FC1">
        <w:rPr>
          <w:rFonts w:ascii="Arial" w:eastAsia="Times New Roman" w:hAnsi="Arial" w:cs="Arial"/>
          <w:sz w:val="22"/>
          <w:szCs w:val="22"/>
        </w:rPr>
        <w:t xml:space="preserve"> statement that he would treat it as </w:t>
      </w:r>
      <w:r w:rsidR="005A104D" w:rsidRPr="005A104D">
        <w:rPr>
          <w:rFonts w:ascii="Arial" w:eastAsia="Times New Roman" w:hAnsi="Arial" w:cs="Arial"/>
          <w:sz w:val="22"/>
          <w:szCs w:val="22"/>
        </w:rPr>
        <w:t>Grace’s</w:t>
      </w:r>
      <w:r w:rsidRPr="006B6FC1">
        <w:rPr>
          <w:rFonts w:ascii="Arial" w:eastAsia="Times New Roman" w:hAnsi="Arial" w:cs="Arial"/>
          <w:sz w:val="22"/>
          <w:szCs w:val="22"/>
        </w:rPr>
        <w:t xml:space="preserve"> home may have been intended to be a statement that she could live there, but not an agreement that she should have a beneficial interest. However, </w:t>
      </w:r>
      <w:r w:rsidR="005A104D" w:rsidRPr="005A104D">
        <w:rPr>
          <w:rFonts w:ascii="Arial" w:eastAsia="Times New Roman" w:hAnsi="Arial" w:cs="Arial"/>
          <w:sz w:val="22"/>
          <w:szCs w:val="22"/>
        </w:rPr>
        <w:t>Grace</w:t>
      </w:r>
      <w:r w:rsidRPr="006B6FC1">
        <w:rPr>
          <w:rFonts w:ascii="Arial" w:eastAsia="Times New Roman" w:hAnsi="Arial" w:cs="Arial"/>
          <w:sz w:val="22"/>
          <w:szCs w:val="22"/>
        </w:rPr>
        <w:t xml:space="preserve"> could argue that there was a common intention that the house would have been in joint names but for the mortgagee’s stance. In Grant v Edwards (1986) the party who would become the sole legal owner of the house explained that it would be better not to convey it into joint names because it would prejudice the claimant’s divorce. This was sufficient evidence of an express common intention that the house was jointly owned. The court reached a similar decision in Eves v Eves (1975). Grant and Eves are controversial decisions. Arguably, the ‘excuse’ why the house is not in joint names shows that the legal owner had no intention of sharing the beneficial interest. </w:t>
      </w:r>
    </w:p>
    <w:p w14:paraId="601CC67C"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If the court decides there is insufficient evidence of an express common intention, </w:t>
      </w:r>
      <w:r w:rsidR="005A104D" w:rsidRPr="005A104D">
        <w:rPr>
          <w:rFonts w:ascii="Arial" w:eastAsia="Times New Roman" w:hAnsi="Arial" w:cs="Arial"/>
          <w:sz w:val="22"/>
          <w:szCs w:val="22"/>
        </w:rPr>
        <w:t>Grace</w:t>
      </w:r>
      <w:r w:rsidRPr="006B6FC1">
        <w:rPr>
          <w:rFonts w:ascii="Arial" w:eastAsia="Times New Roman" w:hAnsi="Arial" w:cs="Arial"/>
          <w:sz w:val="22"/>
          <w:szCs w:val="22"/>
        </w:rPr>
        <w:t xml:space="preserve"> will have to persuade the court to infer a common intention which may prove difficult. In Lloyds Bank v Rosset, Lord Bridge said that a common intention could be inferred only from direct contributions to the price such as paying the deposit or some of the mortgage instalments. </w:t>
      </w:r>
      <w:r w:rsidR="005A104D" w:rsidRPr="005A104D">
        <w:rPr>
          <w:rFonts w:ascii="Arial" w:eastAsia="Times New Roman" w:hAnsi="Arial" w:cs="Arial"/>
          <w:sz w:val="22"/>
          <w:szCs w:val="22"/>
        </w:rPr>
        <w:t>Grace’s</w:t>
      </w:r>
      <w:r w:rsidRPr="006B6FC1">
        <w:rPr>
          <w:rFonts w:ascii="Arial" w:eastAsia="Times New Roman" w:hAnsi="Arial" w:cs="Arial"/>
          <w:sz w:val="22"/>
          <w:szCs w:val="22"/>
        </w:rPr>
        <w:t xml:space="preserve"> payments for furniture and household expenses were not direct contributions. </w:t>
      </w:r>
    </w:p>
    <w:p w14:paraId="4AF76C78" w14:textId="77777777" w:rsidR="006B6FC1" w:rsidRPr="006B6FC1"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Grace</w:t>
      </w:r>
      <w:r w:rsidR="006B6FC1" w:rsidRPr="006B6FC1">
        <w:rPr>
          <w:rFonts w:ascii="Arial" w:eastAsia="Times New Roman" w:hAnsi="Arial" w:cs="Arial"/>
          <w:sz w:val="22"/>
          <w:szCs w:val="22"/>
        </w:rPr>
        <w:t xml:space="preserve"> might argue that her substantial contributions to household expenses were indirect contributions to the purchase price because they freed up </w:t>
      </w:r>
      <w:r w:rsidRPr="005A104D">
        <w:rPr>
          <w:rFonts w:ascii="Arial" w:eastAsia="Times New Roman" w:hAnsi="Arial" w:cs="Arial"/>
          <w:sz w:val="22"/>
          <w:szCs w:val="22"/>
        </w:rPr>
        <w:t>Daniel’s</w:t>
      </w:r>
      <w:r w:rsidR="006B6FC1" w:rsidRPr="006B6FC1">
        <w:rPr>
          <w:rFonts w:ascii="Arial" w:eastAsia="Times New Roman" w:hAnsi="Arial" w:cs="Arial"/>
          <w:sz w:val="22"/>
          <w:szCs w:val="22"/>
        </w:rPr>
        <w:t xml:space="preserve"> resources to pay the mortgage. Indirect contributions were not sufficient for the court to infer a common intention in Gissing v Gissing (1971) nor </w:t>
      </w:r>
      <w:proofErr w:type="spellStart"/>
      <w:r w:rsidR="006B6FC1" w:rsidRPr="006B6FC1">
        <w:rPr>
          <w:rFonts w:ascii="Arial" w:eastAsia="Times New Roman" w:hAnsi="Arial" w:cs="Arial"/>
          <w:sz w:val="22"/>
          <w:szCs w:val="22"/>
        </w:rPr>
        <w:t>Tackaberry</w:t>
      </w:r>
      <w:proofErr w:type="spellEnd"/>
      <w:r w:rsidR="006B6FC1" w:rsidRPr="006B6FC1">
        <w:rPr>
          <w:rFonts w:ascii="Arial" w:eastAsia="Times New Roman" w:hAnsi="Arial" w:cs="Arial"/>
          <w:sz w:val="22"/>
          <w:szCs w:val="22"/>
        </w:rPr>
        <w:t xml:space="preserve"> v Hollis (2007). However, in Le Foe v Le Foe, the High Court judge felt able to infer a common intention from the wife’s substantial contribution to household expenses pursuant to an agreement that the parties would share the mortgage and expenses equally with one paying the mortgage and the other paying the general household expenses. There have been obiter dicta suggesting the Lord Bridge’s statement ruling out indirect contributions might be too narrow (House of Lords in Stack v Dowden). </w:t>
      </w:r>
    </w:p>
    <w:p w14:paraId="1109273D" w14:textId="77777777" w:rsidR="006B6FC1" w:rsidRPr="006B6FC1" w:rsidRDefault="006B6FC1" w:rsidP="005A104D">
      <w:pPr>
        <w:spacing w:before="100" w:beforeAutospacing="1" w:after="100" w:afterAutospacing="1" w:line="360" w:lineRule="auto"/>
        <w:rPr>
          <w:rFonts w:ascii="Arial" w:eastAsia="Times New Roman" w:hAnsi="Arial" w:cs="Arial"/>
          <w:sz w:val="24"/>
          <w:szCs w:val="24"/>
        </w:rPr>
      </w:pPr>
      <w:r w:rsidRPr="006B6FC1">
        <w:rPr>
          <w:rFonts w:ascii="Arial" w:eastAsia="Times New Roman" w:hAnsi="Arial" w:cs="Arial"/>
          <w:sz w:val="22"/>
          <w:szCs w:val="22"/>
        </w:rPr>
        <w:t xml:space="preserve">If </w:t>
      </w:r>
      <w:r w:rsidR="005A104D" w:rsidRPr="005A104D">
        <w:rPr>
          <w:rFonts w:ascii="Arial" w:eastAsia="Times New Roman" w:hAnsi="Arial" w:cs="Arial"/>
          <w:sz w:val="22"/>
          <w:szCs w:val="22"/>
        </w:rPr>
        <w:t>Grace</w:t>
      </w:r>
      <w:r w:rsidRPr="006B6FC1">
        <w:rPr>
          <w:rFonts w:ascii="Arial" w:eastAsia="Times New Roman" w:hAnsi="Arial" w:cs="Arial"/>
          <w:sz w:val="22"/>
          <w:szCs w:val="22"/>
        </w:rPr>
        <w:t xml:space="preserve"> is able to establish a common intention (whether expressly or by inference), her payment of the household expenses will also suffice for detrimental reliance (Grant v Edwards). </w:t>
      </w:r>
    </w:p>
    <w:p w14:paraId="27331B5D" w14:textId="77777777" w:rsidR="005A104D" w:rsidRPr="005A104D"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lastRenderedPageBreak/>
        <w:t xml:space="preserve">The next step is to quantify her interest. In Stack v Dowden the House of Lords said that the court will look at the whole course of dealings between the parties to determine the extent of a claimant’s beneficial interest under a constructive trust. The size of each party’s share will be what was said or agreed when the property was acquired. If there is no evidence of any such agreement or discussion, the court will infer the parties’ intentions having regard to the whole course of dealing between them in relation to the property. Baroness </w:t>
      </w:r>
      <w:r w:rsidRPr="005A104D">
        <w:rPr>
          <w:rFonts w:ascii="Arial" w:eastAsia="Times New Roman" w:hAnsi="Arial" w:cs="Arial"/>
          <w:color w:val="211E1E"/>
          <w:sz w:val="22"/>
          <w:szCs w:val="22"/>
        </w:rPr>
        <w:t xml:space="preserve">Hale envisaged that many factors could be taken into account to determine the nature of this intention including: discussions at the time of purchase, the nature of the parties’ relationship, how the parties’ arranged their finances, and how the parties discharged outgoings on the property. </w:t>
      </w:r>
    </w:p>
    <w:p w14:paraId="6EAD8E35" w14:textId="77777777" w:rsidR="005A104D" w:rsidRPr="005A104D"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 xml:space="preserve">In Jones v Kernott (2011) the Supreme Court adopted the same approach but it was held that if the court cannot ascertain the parties’ intentions as regards their shares, the court will ascertain what would be fair having regard to the whole course of dealings. </w:t>
      </w:r>
    </w:p>
    <w:p w14:paraId="133575C7" w14:textId="77777777" w:rsidR="005A104D" w:rsidRPr="005A104D"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 xml:space="preserve">It is arguable that the parties intended to have equal shares at the beginning (because it would have been a joint purchase had it not been for Grace’s credit rating). The fact that they opened a joint account and Grace’s contributions to the joint account will be significant according to Stack v Dowden. </w:t>
      </w:r>
    </w:p>
    <w:p w14:paraId="04F403C7" w14:textId="77777777" w:rsidR="005A104D" w:rsidRPr="005A104D"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 xml:space="preserve">Grace could argue that she should have a remedy through proprietary estoppel. </w:t>
      </w:r>
    </w:p>
    <w:p w14:paraId="20418A6A" w14:textId="77777777" w:rsidR="005A104D" w:rsidRPr="005A104D"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 xml:space="preserve">A claimant can use proprietary estoppel as a cause of action if the defendant made an assurance on which the claimant relied to her detriment. The three elements are intertwined and the courts are favouring a broader approach where they consider whether it would be unconscionable to deny the claimant what was promised or understood (Gillett v Holt (2000)). </w:t>
      </w:r>
    </w:p>
    <w:p w14:paraId="0D67C2ED" w14:textId="77777777" w:rsidR="005A104D" w:rsidRPr="005A104D"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 xml:space="preserve">Arguably, Daniel made an active assurance that Grace could live there. In any event, Grace will contend that he made a passive assurance because he stood by and watched her act to her detriment believing that she had an interest. </w:t>
      </w:r>
    </w:p>
    <w:p w14:paraId="60ADBD56" w14:textId="77777777" w:rsidR="005A104D" w:rsidRPr="005A104D"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 xml:space="preserve">Grace acted to her detriment by contributing substantial sums to the joint account. Daniel may argue that she did not incur this detriment in reliance on the belief that she had a share of the house but rather she was just paying her way in which case there will be no estoppel. </w:t>
      </w:r>
    </w:p>
    <w:p w14:paraId="044571C6" w14:textId="77777777" w:rsidR="006A30E9" w:rsidRPr="005A104D" w:rsidRDefault="005A104D" w:rsidP="005A104D">
      <w:pPr>
        <w:spacing w:before="100" w:beforeAutospacing="1" w:after="100" w:afterAutospacing="1" w:line="360" w:lineRule="auto"/>
        <w:rPr>
          <w:rFonts w:ascii="Arial" w:eastAsia="Times New Roman" w:hAnsi="Arial" w:cs="Arial"/>
          <w:sz w:val="24"/>
          <w:szCs w:val="24"/>
        </w:rPr>
      </w:pPr>
      <w:r w:rsidRPr="005A104D">
        <w:rPr>
          <w:rFonts w:ascii="Arial" w:eastAsia="Times New Roman" w:hAnsi="Arial" w:cs="Arial"/>
          <w:sz w:val="22"/>
          <w:szCs w:val="22"/>
        </w:rPr>
        <w:t>The remedy for proprietary estoppel is in the court’s discretion. In Jennings v Rice (2003) it was said that the court had to ensure that justice was done between the parties and that the remedy was proportionate. The court may award a share in the house or monetary compensation for Grace’s detriment or occupation rights.</w:t>
      </w:r>
    </w:p>
    <w:sectPr w:rsidR="006A30E9" w:rsidRPr="005A104D"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4D64453"/>
    <w:multiLevelType w:val="multilevel"/>
    <w:tmpl w:val="B8786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736202"/>
    <w:multiLevelType w:val="hybridMultilevel"/>
    <w:tmpl w:val="3FF03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DB33CD"/>
    <w:multiLevelType w:val="hybridMultilevel"/>
    <w:tmpl w:val="97ECB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747259"/>
    <w:multiLevelType w:val="multilevel"/>
    <w:tmpl w:val="15325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30E9"/>
    <w:rsid w:val="002D4C90"/>
    <w:rsid w:val="005A104D"/>
    <w:rsid w:val="005C6E88"/>
    <w:rsid w:val="006A30E9"/>
    <w:rsid w:val="006B6FC1"/>
    <w:rsid w:val="007C0ED9"/>
    <w:rsid w:val="008A1F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8DFC4"/>
  <w15:chartTrackingRefBased/>
  <w15:docId w15:val="{49613018-EDC3-DF47-AA9C-46CACE3B0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30E9"/>
  </w:style>
  <w:style w:type="paragraph" w:styleId="Heading1">
    <w:name w:val="heading 1"/>
    <w:basedOn w:val="Normal"/>
    <w:next w:val="Normal"/>
    <w:link w:val="Heading1Char"/>
    <w:uiPriority w:val="9"/>
    <w:qFormat/>
    <w:rsid w:val="006A30E9"/>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6A30E9"/>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6A30E9"/>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6A30E9"/>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6A30E9"/>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6A30E9"/>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6A30E9"/>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6A30E9"/>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6A30E9"/>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A30E9"/>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6A30E9"/>
    <w:rPr>
      <w:smallCaps/>
      <w:spacing w:val="5"/>
      <w:sz w:val="32"/>
      <w:szCs w:val="32"/>
    </w:rPr>
  </w:style>
  <w:style w:type="character" w:customStyle="1" w:styleId="Heading2Char">
    <w:name w:val="Heading 2 Char"/>
    <w:basedOn w:val="DefaultParagraphFont"/>
    <w:link w:val="Heading2"/>
    <w:uiPriority w:val="9"/>
    <w:semiHidden/>
    <w:rsid w:val="006A30E9"/>
    <w:rPr>
      <w:smallCaps/>
      <w:spacing w:val="5"/>
      <w:sz w:val="28"/>
      <w:szCs w:val="28"/>
    </w:rPr>
  </w:style>
  <w:style w:type="character" w:customStyle="1" w:styleId="Heading3Char">
    <w:name w:val="Heading 3 Char"/>
    <w:basedOn w:val="DefaultParagraphFont"/>
    <w:link w:val="Heading3"/>
    <w:uiPriority w:val="9"/>
    <w:semiHidden/>
    <w:rsid w:val="006A30E9"/>
    <w:rPr>
      <w:smallCaps/>
      <w:spacing w:val="5"/>
      <w:sz w:val="24"/>
      <w:szCs w:val="24"/>
    </w:rPr>
  </w:style>
  <w:style w:type="character" w:customStyle="1" w:styleId="Heading4Char">
    <w:name w:val="Heading 4 Char"/>
    <w:basedOn w:val="DefaultParagraphFont"/>
    <w:link w:val="Heading4"/>
    <w:uiPriority w:val="9"/>
    <w:semiHidden/>
    <w:rsid w:val="006A30E9"/>
    <w:rPr>
      <w:smallCaps/>
      <w:spacing w:val="10"/>
      <w:sz w:val="22"/>
      <w:szCs w:val="22"/>
    </w:rPr>
  </w:style>
  <w:style w:type="character" w:customStyle="1" w:styleId="Heading5Char">
    <w:name w:val="Heading 5 Char"/>
    <w:basedOn w:val="DefaultParagraphFont"/>
    <w:link w:val="Heading5"/>
    <w:uiPriority w:val="9"/>
    <w:semiHidden/>
    <w:rsid w:val="006A30E9"/>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6A30E9"/>
    <w:rPr>
      <w:smallCaps/>
      <w:color w:val="ED7D31" w:themeColor="accent2"/>
      <w:spacing w:val="5"/>
      <w:sz w:val="22"/>
    </w:rPr>
  </w:style>
  <w:style w:type="character" w:customStyle="1" w:styleId="Heading7Char">
    <w:name w:val="Heading 7 Char"/>
    <w:basedOn w:val="DefaultParagraphFont"/>
    <w:link w:val="Heading7"/>
    <w:uiPriority w:val="9"/>
    <w:semiHidden/>
    <w:rsid w:val="006A30E9"/>
    <w:rPr>
      <w:b/>
      <w:smallCaps/>
      <w:color w:val="ED7D31" w:themeColor="accent2"/>
      <w:spacing w:val="10"/>
    </w:rPr>
  </w:style>
  <w:style w:type="character" w:customStyle="1" w:styleId="Heading8Char">
    <w:name w:val="Heading 8 Char"/>
    <w:basedOn w:val="DefaultParagraphFont"/>
    <w:link w:val="Heading8"/>
    <w:uiPriority w:val="9"/>
    <w:semiHidden/>
    <w:rsid w:val="006A30E9"/>
    <w:rPr>
      <w:b/>
      <w:i/>
      <w:smallCaps/>
      <w:color w:val="C45911" w:themeColor="accent2" w:themeShade="BF"/>
    </w:rPr>
  </w:style>
  <w:style w:type="character" w:customStyle="1" w:styleId="Heading9Char">
    <w:name w:val="Heading 9 Char"/>
    <w:basedOn w:val="DefaultParagraphFont"/>
    <w:link w:val="Heading9"/>
    <w:uiPriority w:val="9"/>
    <w:semiHidden/>
    <w:rsid w:val="006A30E9"/>
    <w:rPr>
      <w:b/>
      <w:i/>
      <w:smallCaps/>
      <w:color w:val="823B0B" w:themeColor="accent2" w:themeShade="7F"/>
    </w:rPr>
  </w:style>
  <w:style w:type="paragraph" w:styleId="Caption">
    <w:name w:val="caption"/>
    <w:basedOn w:val="Normal"/>
    <w:next w:val="Normal"/>
    <w:uiPriority w:val="35"/>
    <w:semiHidden/>
    <w:unhideWhenUsed/>
    <w:qFormat/>
    <w:rsid w:val="006A30E9"/>
    <w:rPr>
      <w:b/>
      <w:bCs/>
      <w:caps/>
      <w:sz w:val="16"/>
      <w:szCs w:val="18"/>
    </w:rPr>
  </w:style>
  <w:style w:type="paragraph" w:styleId="Title">
    <w:name w:val="Title"/>
    <w:basedOn w:val="Normal"/>
    <w:next w:val="Normal"/>
    <w:link w:val="TitleChar"/>
    <w:uiPriority w:val="10"/>
    <w:qFormat/>
    <w:rsid w:val="006A30E9"/>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6A30E9"/>
    <w:rPr>
      <w:smallCaps/>
      <w:sz w:val="48"/>
      <w:szCs w:val="48"/>
    </w:rPr>
  </w:style>
  <w:style w:type="paragraph" w:styleId="Subtitle">
    <w:name w:val="Subtitle"/>
    <w:basedOn w:val="Normal"/>
    <w:next w:val="Normal"/>
    <w:link w:val="SubtitleChar"/>
    <w:uiPriority w:val="11"/>
    <w:qFormat/>
    <w:rsid w:val="006A30E9"/>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6A30E9"/>
    <w:rPr>
      <w:rFonts w:asciiTheme="majorHAnsi" w:eastAsiaTheme="majorEastAsia" w:hAnsiTheme="majorHAnsi" w:cstheme="majorBidi"/>
      <w:szCs w:val="22"/>
    </w:rPr>
  </w:style>
  <w:style w:type="character" w:styleId="Strong">
    <w:name w:val="Strong"/>
    <w:uiPriority w:val="22"/>
    <w:qFormat/>
    <w:rsid w:val="006A30E9"/>
    <w:rPr>
      <w:b/>
      <w:color w:val="ED7D31" w:themeColor="accent2"/>
    </w:rPr>
  </w:style>
  <w:style w:type="character" w:styleId="Emphasis">
    <w:name w:val="Emphasis"/>
    <w:uiPriority w:val="20"/>
    <w:qFormat/>
    <w:rsid w:val="006A30E9"/>
    <w:rPr>
      <w:b/>
      <w:i/>
      <w:spacing w:val="10"/>
    </w:rPr>
  </w:style>
  <w:style w:type="paragraph" w:styleId="NoSpacing">
    <w:name w:val="No Spacing"/>
    <w:basedOn w:val="Normal"/>
    <w:link w:val="NoSpacingChar"/>
    <w:uiPriority w:val="1"/>
    <w:qFormat/>
    <w:rsid w:val="006A30E9"/>
    <w:pPr>
      <w:spacing w:after="0" w:line="240" w:lineRule="auto"/>
    </w:pPr>
  </w:style>
  <w:style w:type="character" w:customStyle="1" w:styleId="NoSpacingChar">
    <w:name w:val="No Spacing Char"/>
    <w:basedOn w:val="DefaultParagraphFont"/>
    <w:link w:val="NoSpacing"/>
    <w:uiPriority w:val="1"/>
    <w:rsid w:val="006A30E9"/>
  </w:style>
  <w:style w:type="paragraph" w:styleId="ListParagraph">
    <w:name w:val="List Paragraph"/>
    <w:basedOn w:val="Normal"/>
    <w:uiPriority w:val="34"/>
    <w:qFormat/>
    <w:rsid w:val="006A30E9"/>
    <w:pPr>
      <w:ind w:left="720"/>
      <w:contextualSpacing/>
    </w:pPr>
  </w:style>
  <w:style w:type="paragraph" w:styleId="Quote">
    <w:name w:val="Quote"/>
    <w:basedOn w:val="Normal"/>
    <w:next w:val="Normal"/>
    <w:link w:val="QuoteChar"/>
    <w:uiPriority w:val="29"/>
    <w:qFormat/>
    <w:rsid w:val="006A30E9"/>
    <w:rPr>
      <w:i/>
    </w:rPr>
  </w:style>
  <w:style w:type="character" w:customStyle="1" w:styleId="QuoteChar">
    <w:name w:val="Quote Char"/>
    <w:basedOn w:val="DefaultParagraphFont"/>
    <w:link w:val="Quote"/>
    <w:uiPriority w:val="29"/>
    <w:rsid w:val="006A30E9"/>
    <w:rPr>
      <w:i/>
    </w:rPr>
  </w:style>
  <w:style w:type="paragraph" w:styleId="IntenseQuote">
    <w:name w:val="Intense Quote"/>
    <w:basedOn w:val="Normal"/>
    <w:next w:val="Normal"/>
    <w:link w:val="IntenseQuoteChar"/>
    <w:uiPriority w:val="30"/>
    <w:qFormat/>
    <w:rsid w:val="006A30E9"/>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6A30E9"/>
    <w:rPr>
      <w:b/>
      <w:i/>
      <w:color w:val="FFFFFF" w:themeColor="background1"/>
      <w:shd w:val="clear" w:color="auto" w:fill="ED7D31" w:themeFill="accent2"/>
    </w:rPr>
  </w:style>
  <w:style w:type="character" w:styleId="SubtleEmphasis">
    <w:name w:val="Subtle Emphasis"/>
    <w:uiPriority w:val="19"/>
    <w:qFormat/>
    <w:rsid w:val="006A30E9"/>
    <w:rPr>
      <w:i/>
    </w:rPr>
  </w:style>
  <w:style w:type="character" w:styleId="IntenseEmphasis">
    <w:name w:val="Intense Emphasis"/>
    <w:uiPriority w:val="21"/>
    <w:qFormat/>
    <w:rsid w:val="006A30E9"/>
    <w:rPr>
      <w:b/>
      <w:i/>
      <w:color w:val="ED7D31" w:themeColor="accent2"/>
      <w:spacing w:val="10"/>
    </w:rPr>
  </w:style>
  <w:style w:type="character" w:styleId="SubtleReference">
    <w:name w:val="Subtle Reference"/>
    <w:uiPriority w:val="31"/>
    <w:qFormat/>
    <w:rsid w:val="006A30E9"/>
    <w:rPr>
      <w:b/>
    </w:rPr>
  </w:style>
  <w:style w:type="character" w:styleId="IntenseReference">
    <w:name w:val="Intense Reference"/>
    <w:uiPriority w:val="32"/>
    <w:qFormat/>
    <w:rsid w:val="006A30E9"/>
    <w:rPr>
      <w:b/>
      <w:bCs/>
      <w:smallCaps/>
      <w:spacing w:val="5"/>
      <w:sz w:val="22"/>
      <w:szCs w:val="22"/>
      <w:u w:val="single"/>
    </w:rPr>
  </w:style>
  <w:style w:type="character" w:styleId="BookTitle">
    <w:name w:val="Book Title"/>
    <w:uiPriority w:val="33"/>
    <w:qFormat/>
    <w:rsid w:val="006A30E9"/>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6A30E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960456">
      <w:bodyDiv w:val="1"/>
      <w:marLeft w:val="0"/>
      <w:marRight w:val="0"/>
      <w:marTop w:val="0"/>
      <w:marBottom w:val="0"/>
      <w:divBdr>
        <w:top w:val="none" w:sz="0" w:space="0" w:color="auto"/>
        <w:left w:val="none" w:sz="0" w:space="0" w:color="auto"/>
        <w:bottom w:val="none" w:sz="0" w:space="0" w:color="auto"/>
        <w:right w:val="none" w:sz="0" w:space="0" w:color="auto"/>
      </w:divBdr>
      <w:divsChild>
        <w:div w:id="874120926">
          <w:marLeft w:val="0"/>
          <w:marRight w:val="0"/>
          <w:marTop w:val="0"/>
          <w:marBottom w:val="0"/>
          <w:divBdr>
            <w:top w:val="none" w:sz="0" w:space="0" w:color="auto"/>
            <w:left w:val="none" w:sz="0" w:space="0" w:color="auto"/>
            <w:bottom w:val="none" w:sz="0" w:space="0" w:color="auto"/>
            <w:right w:val="none" w:sz="0" w:space="0" w:color="auto"/>
          </w:divBdr>
          <w:divsChild>
            <w:div w:id="1316489545">
              <w:marLeft w:val="0"/>
              <w:marRight w:val="0"/>
              <w:marTop w:val="0"/>
              <w:marBottom w:val="0"/>
              <w:divBdr>
                <w:top w:val="none" w:sz="0" w:space="0" w:color="auto"/>
                <w:left w:val="none" w:sz="0" w:space="0" w:color="auto"/>
                <w:bottom w:val="none" w:sz="0" w:space="0" w:color="auto"/>
                <w:right w:val="none" w:sz="0" w:space="0" w:color="auto"/>
              </w:divBdr>
              <w:divsChild>
                <w:div w:id="102270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36068">
      <w:bodyDiv w:val="1"/>
      <w:marLeft w:val="0"/>
      <w:marRight w:val="0"/>
      <w:marTop w:val="0"/>
      <w:marBottom w:val="0"/>
      <w:divBdr>
        <w:top w:val="none" w:sz="0" w:space="0" w:color="auto"/>
        <w:left w:val="none" w:sz="0" w:space="0" w:color="auto"/>
        <w:bottom w:val="none" w:sz="0" w:space="0" w:color="auto"/>
        <w:right w:val="none" w:sz="0" w:space="0" w:color="auto"/>
      </w:divBdr>
      <w:divsChild>
        <w:div w:id="1965697067">
          <w:marLeft w:val="0"/>
          <w:marRight w:val="0"/>
          <w:marTop w:val="0"/>
          <w:marBottom w:val="0"/>
          <w:divBdr>
            <w:top w:val="none" w:sz="0" w:space="0" w:color="auto"/>
            <w:left w:val="none" w:sz="0" w:space="0" w:color="auto"/>
            <w:bottom w:val="none" w:sz="0" w:space="0" w:color="auto"/>
            <w:right w:val="none" w:sz="0" w:space="0" w:color="auto"/>
          </w:divBdr>
          <w:divsChild>
            <w:div w:id="1553341935">
              <w:marLeft w:val="0"/>
              <w:marRight w:val="0"/>
              <w:marTop w:val="0"/>
              <w:marBottom w:val="0"/>
              <w:divBdr>
                <w:top w:val="none" w:sz="0" w:space="0" w:color="auto"/>
                <w:left w:val="none" w:sz="0" w:space="0" w:color="auto"/>
                <w:bottom w:val="none" w:sz="0" w:space="0" w:color="auto"/>
                <w:right w:val="none" w:sz="0" w:space="0" w:color="auto"/>
              </w:divBdr>
              <w:divsChild>
                <w:div w:id="134724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833544">
      <w:bodyDiv w:val="1"/>
      <w:marLeft w:val="0"/>
      <w:marRight w:val="0"/>
      <w:marTop w:val="0"/>
      <w:marBottom w:val="0"/>
      <w:divBdr>
        <w:top w:val="none" w:sz="0" w:space="0" w:color="auto"/>
        <w:left w:val="none" w:sz="0" w:space="0" w:color="auto"/>
        <w:bottom w:val="none" w:sz="0" w:space="0" w:color="auto"/>
        <w:right w:val="none" w:sz="0" w:space="0" w:color="auto"/>
      </w:divBdr>
      <w:divsChild>
        <w:div w:id="941451038">
          <w:marLeft w:val="0"/>
          <w:marRight w:val="0"/>
          <w:marTop w:val="0"/>
          <w:marBottom w:val="0"/>
          <w:divBdr>
            <w:top w:val="none" w:sz="0" w:space="0" w:color="auto"/>
            <w:left w:val="none" w:sz="0" w:space="0" w:color="auto"/>
            <w:bottom w:val="none" w:sz="0" w:space="0" w:color="auto"/>
            <w:right w:val="none" w:sz="0" w:space="0" w:color="auto"/>
          </w:divBdr>
          <w:divsChild>
            <w:div w:id="1992715203">
              <w:marLeft w:val="0"/>
              <w:marRight w:val="0"/>
              <w:marTop w:val="0"/>
              <w:marBottom w:val="0"/>
              <w:divBdr>
                <w:top w:val="none" w:sz="0" w:space="0" w:color="auto"/>
                <w:left w:val="none" w:sz="0" w:space="0" w:color="auto"/>
                <w:bottom w:val="none" w:sz="0" w:space="0" w:color="auto"/>
                <w:right w:val="none" w:sz="0" w:space="0" w:color="auto"/>
              </w:divBdr>
              <w:divsChild>
                <w:div w:id="158244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364002">
      <w:bodyDiv w:val="1"/>
      <w:marLeft w:val="0"/>
      <w:marRight w:val="0"/>
      <w:marTop w:val="0"/>
      <w:marBottom w:val="0"/>
      <w:divBdr>
        <w:top w:val="none" w:sz="0" w:space="0" w:color="auto"/>
        <w:left w:val="none" w:sz="0" w:space="0" w:color="auto"/>
        <w:bottom w:val="none" w:sz="0" w:space="0" w:color="auto"/>
        <w:right w:val="none" w:sz="0" w:space="0" w:color="auto"/>
      </w:divBdr>
      <w:divsChild>
        <w:div w:id="1603033352">
          <w:marLeft w:val="0"/>
          <w:marRight w:val="0"/>
          <w:marTop w:val="0"/>
          <w:marBottom w:val="0"/>
          <w:divBdr>
            <w:top w:val="none" w:sz="0" w:space="0" w:color="auto"/>
            <w:left w:val="none" w:sz="0" w:space="0" w:color="auto"/>
            <w:bottom w:val="none" w:sz="0" w:space="0" w:color="auto"/>
            <w:right w:val="none" w:sz="0" w:space="0" w:color="auto"/>
          </w:divBdr>
          <w:divsChild>
            <w:div w:id="1441875935">
              <w:marLeft w:val="0"/>
              <w:marRight w:val="0"/>
              <w:marTop w:val="0"/>
              <w:marBottom w:val="0"/>
              <w:divBdr>
                <w:top w:val="none" w:sz="0" w:space="0" w:color="auto"/>
                <w:left w:val="none" w:sz="0" w:space="0" w:color="auto"/>
                <w:bottom w:val="none" w:sz="0" w:space="0" w:color="auto"/>
                <w:right w:val="none" w:sz="0" w:space="0" w:color="auto"/>
              </w:divBdr>
              <w:divsChild>
                <w:div w:id="203634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016839">
      <w:bodyDiv w:val="1"/>
      <w:marLeft w:val="0"/>
      <w:marRight w:val="0"/>
      <w:marTop w:val="0"/>
      <w:marBottom w:val="0"/>
      <w:divBdr>
        <w:top w:val="none" w:sz="0" w:space="0" w:color="auto"/>
        <w:left w:val="none" w:sz="0" w:space="0" w:color="auto"/>
        <w:bottom w:val="none" w:sz="0" w:space="0" w:color="auto"/>
        <w:right w:val="none" w:sz="0" w:space="0" w:color="auto"/>
      </w:divBdr>
      <w:divsChild>
        <w:div w:id="2077512327">
          <w:marLeft w:val="0"/>
          <w:marRight w:val="0"/>
          <w:marTop w:val="0"/>
          <w:marBottom w:val="0"/>
          <w:divBdr>
            <w:top w:val="none" w:sz="0" w:space="0" w:color="auto"/>
            <w:left w:val="none" w:sz="0" w:space="0" w:color="auto"/>
            <w:bottom w:val="none" w:sz="0" w:space="0" w:color="auto"/>
            <w:right w:val="none" w:sz="0" w:space="0" w:color="auto"/>
          </w:divBdr>
          <w:divsChild>
            <w:div w:id="2110536781">
              <w:marLeft w:val="0"/>
              <w:marRight w:val="0"/>
              <w:marTop w:val="0"/>
              <w:marBottom w:val="0"/>
              <w:divBdr>
                <w:top w:val="none" w:sz="0" w:space="0" w:color="auto"/>
                <w:left w:val="none" w:sz="0" w:space="0" w:color="auto"/>
                <w:bottom w:val="none" w:sz="0" w:space="0" w:color="auto"/>
                <w:right w:val="none" w:sz="0" w:space="0" w:color="auto"/>
              </w:divBdr>
              <w:divsChild>
                <w:div w:id="1010258469">
                  <w:marLeft w:val="0"/>
                  <w:marRight w:val="0"/>
                  <w:marTop w:val="0"/>
                  <w:marBottom w:val="0"/>
                  <w:divBdr>
                    <w:top w:val="none" w:sz="0" w:space="0" w:color="auto"/>
                    <w:left w:val="none" w:sz="0" w:space="0" w:color="auto"/>
                    <w:bottom w:val="none" w:sz="0" w:space="0" w:color="auto"/>
                    <w:right w:val="none" w:sz="0" w:space="0" w:color="auto"/>
                  </w:divBdr>
                  <w:divsChild>
                    <w:div w:id="96989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9719385">
      <w:bodyDiv w:val="1"/>
      <w:marLeft w:val="0"/>
      <w:marRight w:val="0"/>
      <w:marTop w:val="0"/>
      <w:marBottom w:val="0"/>
      <w:divBdr>
        <w:top w:val="none" w:sz="0" w:space="0" w:color="auto"/>
        <w:left w:val="none" w:sz="0" w:space="0" w:color="auto"/>
        <w:bottom w:val="none" w:sz="0" w:space="0" w:color="auto"/>
        <w:right w:val="none" w:sz="0" w:space="0" w:color="auto"/>
      </w:divBdr>
      <w:divsChild>
        <w:div w:id="1631978154">
          <w:marLeft w:val="0"/>
          <w:marRight w:val="0"/>
          <w:marTop w:val="0"/>
          <w:marBottom w:val="0"/>
          <w:divBdr>
            <w:top w:val="none" w:sz="0" w:space="0" w:color="auto"/>
            <w:left w:val="none" w:sz="0" w:space="0" w:color="auto"/>
            <w:bottom w:val="none" w:sz="0" w:space="0" w:color="auto"/>
            <w:right w:val="none" w:sz="0" w:space="0" w:color="auto"/>
          </w:divBdr>
          <w:divsChild>
            <w:div w:id="447434698">
              <w:marLeft w:val="0"/>
              <w:marRight w:val="0"/>
              <w:marTop w:val="0"/>
              <w:marBottom w:val="0"/>
              <w:divBdr>
                <w:top w:val="none" w:sz="0" w:space="0" w:color="auto"/>
                <w:left w:val="none" w:sz="0" w:space="0" w:color="auto"/>
                <w:bottom w:val="none" w:sz="0" w:space="0" w:color="auto"/>
                <w:right w:val="none" w:sz="0" w:space="0" w:color="auto"/>
              </w:divBdr>
              <w:divsChild>
                <w:div w:id="1465923258">
                  <w:marLeft w:val="0"/>
                  <w:marRight w:val="0"/>
                  <w:marTop w:val="0"/>
                  <w:marBottom w:val="0"/>
                  <w:divBdr>
                    <w:top w:val="none" w:sz="0" w:space="0" w:color="auto"/>
                    <w:left w:val="none" w:sz="0" w:space="0" w:color="auto"/>
                    <w:bottom w:val="none" w:sz="0" w:space="0" w:color="auto"/>
                    <w:right w:val="none" w:sz="0" w:space="0" w:color="auto"/>
                  </w:divBdr>
                </w:div>
              </w:divsChild>
            </w:div>
            <w:div w:id="1763604576">
              <w:marLeft w:val="0"/>
              <w:marRight w:val="0"/>
              <w:marTop w:val="0"/>
              <w:marBottom w:val="0"/>
              <w:divBdr>
                <w:top w:val="none" w:sz="0" w:space="0" w:color="auto"/>
                <w:left w:val="none" w:sz="0" w:space="0" w:color="auto"/>
                <w:bottom w:val="none" w:sz="0" w:space="0" w:color="auto"/>
                <w:right w:val="none" w:sz="0" w:space="0" w:color="auto"/>
              </w:divBdr>
              <w:divsChild>
                <w:div w:id="492575085">
                  <w:marLeft w:val="0"/>
                  <w:marRight w:val="0"/>
                  <w:marTop w:val="0"/>
                  <w:marBottom w:val="0"/>
                  <w:divBdr>
                    <w:top w:val="none" w:sz="0" w:space="0" w:color="auto"/>
                    <w:left w:val="none" w:sz="0" w:space="0" w:color="auto"/>
                    <w:bottom w:val="none" w:sz="0" w:space="0" w:color="auto"/>
                    <w:right w:val="none" w:sz="0" w:space="0" w:color="auto"/>
                  </w:divBdr>
                </w:div>
              </w:divsChild>
            </w:div>
            <w:div w:id="1480270139">
              <w:marLeft w:val="0"/>
              <w:marRight w:val="0"/>
              <w:marTop w:val="0"/>
              <w:marBottom w:val="0"/>
              <w:divBdr>
                <w:top w:val="none" w:sz="0" w:space="0" w:color="auto"/>
                <w:left w:val="none" w:sz="0" w:space="0" w:color="auto"/>
                <w:bottom w:val="none" w:sz="0" w:space="0" w:color="auto"/>
                <w:right w:val="none" w:sz="0" w:space="0" w:color="auto"/>
              </w:divBdr>
              <w:divsChild>
                <w:div w:id="89812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381906">
      <w:bodyDiv w:val="1"/>
      <w:marLeft w:val="0"/>
      <w:marRight w:val="0"/>
      <w:marTop w:val="0"/>
      <w:marBottom w:val="0"/>
      <w:divBdr>
        <w:top w:val="none" w:sz="0" w:space="0" w:color="auto"/>
        <w:left w:val="none" w:sz="0" w:space="0" w:color="auto"/>
        <w:bottom w:val="none" w:sz="0" w:space="0" w:color="auto"/>
        <w:right w:val="none" w:sz="0" w:space="0" w:color="auto"/>
      </w:divBdr>
      <w:divsChild>
        <w:div w:id="26951823">
          <w:marLeft w:val="0"/>
          <w:marRight w:val="0"/>
          <w:marTop w:val="0"/>
          <w:marBottom w:val="0"/>
          <w:divBdr>
            <w:top w:val="none" w:sz="0" w:space="0" w:color="auto"/>
            <w:left w:val="none" w:sz="0" w:space="0" w:color="auto"/>
            <w:bottom w:val="none" w:sz="0" w:space="0" w:color="auto"/>
            <w:right w:val="none" w:sz="0" w:space="0" w:color="auto"/>
          </w:divBdr>
          <w:divsChild>
            <w:div w:id="2121101540">
              <w:marLeft w:val="0"/>
              <w:marRight w:val="0"/>
              <w:marTop w:val="0"/>
              <w:marBottom w:val="0"/>
              <w:divBdr>
                <w:top w:val="none" w:sz="0" w:space="0" w:color="auto"/>
                <w:left w:val="none" w:sz="0" w:space="0" w:color="auto"/>
                <w:bottom w:val="none" w:sz="0" w:space="0" w:color="auto"/>
                <w:right w:val="none" w:sz="0" w:space="0" w:color="auto"/>
              </w:divBdr>
              <w:divsChild>
                <w:div w:id="183606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0353939">
      <w:bodyDiv w:val="1"/>
      <w:marLeft w:val="0"/>
      <w:marRight w:val="0"/>
      <w:marTop w:val="0"/>
      <w:marBottom w:val="0"/>
      <w:divBdr>
        <w:top w:val="none" w:sz="0" w:space="0" w:color="auto"/>
        <w:left w:val="none" w:sz="0" w:space="0" w:color="auto"/>
        <w:bottom w:val="none" w:sz="0" w:space="0" w:color="auto"/>
        <w:right w:val="none" w:sz="0" w:space="0" w:color="auto"/>
      </w:divBdr>
      <w:divsChild>
        <w:div w:id="6520299">
          <w:marLeft w:val="0"/>
          <w:marRight w:val="0"/>
          <w:marTop w:val="0"/>
          <w:marBottom w:val="0"/>
          <w:divBdr>
            <w:top w:val="none" w:sz="0" w:space="0" w:color="auto"/>
            <w:left w:val="none" w:sz="0" w:space="0" w:color="auto"/>
            <w:bottom w:val="none" w:sz="0" w:space="0" w:color="auto"/>
            <w:right w:val="none" w:sz="0" w:space="0" w:color="auto"/>
          </w:divBdr>
          <w:divsChild>
            <w:div w:id="1271820689">
              <w:marLeft w:val="0"/>
              <w:marRight w:val="0"/>
              <w:marTop w:val="0"/>
              <w:marBottom w:val="0"/>
              <w:divBdr>
                <w:top w:val="none" w:sz="0" w:space="0" w:color="auto"/>
                <w:left w:val="none" w:sz="0" w:space="0" w:color="auto"/>
                <w:bottom w:val="none" w:sz="0" w:space="0" w:color="auto"/>
                <w:right w:val="none" w:sz="0" w:space="0" w:color="auto"/>
              </w:divBdr>
              <w:divsChild>
                <w:div w:id="893085468">
                  <w:marLeft w:val="0"/>
                  <w:marRight w:val="0"/>
                  <w:marTop w:val="0"/>
                  <w:marBottom w:val="0"/>
                  <w:divBdr>
                    <w:top w:val="none" w:sz="0" w:space="0" w:color="auto"/>
                    <w:left w:val="none" w:sz="0" w:space="0" w:color="auto"/>
                    <w:bottom w:val="none" w:sz="0" w:space="0" w:color="auto"/>
                    <w:right w:val="none" w:sz="0" w:space="0" w:color="auto"/>
                  </w:divBdr>
                  <w:divsChild>
                    <w:div w:id="159292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11781">
      <w:bodyDiv w:val="1"/>
      <w:marLeft w:val="0"/>
      <w:marRight w:val="0"/>
      <w:marTop w:val="0"/>
      <w:marBottom w:val="0"/>
      <w:divBdr>
        <w:top w:val="none" w:sz="0" w:space="0" w:color="auto"/>
        <w:left w:val="none" w:sz="0" w:space="0" w:color="auto"/>
        <w:bottom w:val="none" w:sz="0" w:space="0" w:color="auto"/>
        <w:right w:val="none" w:sz="0" w:space="0" w:color="auto"/>
      </w:divBdr>
      <w:divsChild>
        <w:div w:id="120534197">
          <w:marLeft w:val="0"/>
          <w:marRight w:val="0"/>
          <w:marTop w:val="0"/>
          <w:marBottom w:val="0"/>
          <w:divBdr>
            <w:top w:val="none" w:sz="0" w:space="0" w:color="auto"/>
            <w:left w:val="none" w:sz="0" w:space="0" w:color="auto"/>
            <w:bottom w:val="none" w:sz="0" w:space="0" w:color="auto"/>
            <w:right w:val="none" w:sz="0" w:space="0" w:color="auto"/>
          </w:divBdr>
          <w:divsChild>
            <w:div w:id="1618171258">
              <w:marLeft w:val="0"/>
              <w:marRight w:val="0"/>
              <w:marTop w:val="0"/>
              <w:marBottom w:val="0"/>
              <w:divBdr>
                <w:top w:val="none" w:sz="0" w:space="0" w:color="auto"/>
                <w:left w:val="none" w:sz="0" w:space="0" w:color="auto"/>
                <w:bottom w:val="none" w:sz="0" w:space="0" w:color="auto"/>
                <w:right w:val="none" w:sz="0" w:space="0" w:color="auto"/>
              </w:divBdr>
              <w:divsChild>
                <w:div w:id="338701721">
                  <w:marLeft w:val="0"/>
                  <w:marRight w:val="0"/>
                  <w:marTop w:val="0"/>
                  <w:marBottom w:val="0"/>
                  <w:divBdr>
                    <w:top w:val="none" w:sz="0" w:space="0" w:color="auto"/>
                    <w:left w:val="none" w:sz="0" w:space="0" w:color="auto"/>
                    <w:bottom w:val="none" w:sz="0" w:space="0" w:color="auto"/>
                    <w:right w:val="none" w:sz="0" w:space="0" w:color="auto"/>
                  </w:divBdr>
                </w:div>
              </w:divsChild>
            </w:div>
            <w:div w:id="917863890">
              <w:marLeft w:val="0"/>
              <w:marRight w:val="0"/>
              <w:marTop w:val="0"/>
              <w:marBottom w:val="0"/>
              <w:divBdr>
                <w:top w:val="none" w:sz="0" w:space="0" w:color="auto"/>
                <w:left w:val="none" w:sz="0" w:space="0" w:color="auto"/>
                <w:bottom w:val="none" w:sz="0" w:space="0" w:color="auto"/>
                <w:right w:val="none" w:sz="0" w:space="0" w:color="auto"/>
              </w:divBdr>
              <w:divsChild>
                <w:div w:id="120209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301701">
          <w:marLeft w:val="0"/>
          <w:marRight w:val="0"/>
          <w:marTop w:val="0"/>
          <w:marBottom w:val="0"/>
          <w:divBdr>
            <w:top w:val="none" w:sz="0" w:space="0" w:color="auto"/>
            <w:left w:val="none" w:sz="0" w:space="0" w:color="auto"/>
            <w:bottom w:val="none" w:sz="0" w:space="0" w:color="auto"/>
            <w:right w:val="none" w:sz="0" w:space="0" w:color="auto"/>
          </w:divBdr>
          <w:divsChild>
            <w:div w:id="646277476">
              <w:marLeft w:val="0"/>
              <w:marRight w:val="0"/>
              <w:marTop w:val="0"/>
              <w:marBottom w:val="0"/>
              <w:divBdr>
                <w:top w:val="none" w:sz="0" w:space="0" w:color="auto"/>
                <w:left w:val="none" w:sz="0" w:space="0" w:color="auto"/>
                <w:bottom w:val="none" w:sz="0" w:space="0" w:color="auto"/>
                <w:right w:val="none" w:sz="0" w:space="0" w:color="auto"/>
              </w:divBdr>
              <w:divsChild>
                <w:div w:id="654720926">
                  <w:marLeft w:val="0"/>
                  <w:marRight w:val="0"/>
                  <w:marTop w:val="0"/>
                  <w:marBottom w:val="0"/>
                  <w:divBdr>
                    <w:top w:val="none" w:sz="0" w:space="0" w:color="auto"/>
                    <w:left w:val="none" w:sz="0" w:space="0" w:color="auto"/>
                    <w:bottom w:val="none" w:sz="0" w:space="0" w:color="auto"/>
                    <w:right w:val="none" w:sz="0" w:space="0" w:color="auto"/>
                  </w:divBdr>
                </w:div>
              </w:divsChild>
            </w:div>
            <w:div w:id="647826905">
              <w:marLeft w:val="0"/>
              <w:marRight w:val="0"/>
              <w:marTop w:val="0"/>
              <w:marBottom w:val="0"/>
              <w:divBdr>
                <w:top w:val="none" w:sz="0" w:space="0" w:color="auto"/>
                <w:left w:val="none" w:sz="0" w:space="0" w:color="auto"/>
                <w:bottom w:val="none" w:sz="0" w:space="0" w:color="auto"/>
                <w:right w:val="none" w:sz="0" w:space="0" w:color="auto"/>
              </w:divBdr>
              <w:divsChild>
                <w:div w:id="125948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3537">
          <w:marLeft w:val="0"/>
          <w:marRight w:val="0"/>
          <w:marTop w:val="0"/>
          <w:marBottom w:val="0"/>
          <w:divBdr>
            <w:top w:val="none" w:sz="0" w:space="0" w:color="auto"/>
            <w:left w:val="none" w:sz="0" w:space="0" w:color="auto"/>
            <w:bottom w:val="none" w:sz="0" w:space="0" w:color="auto"/>
            <w:right w:val="none" w:sz="0" w:space="0" w:color="auto"/>
          </w:divBdr>
          <w:divsChild>
            <w:div w:id="705523199">
              <w:marLeft w:val="0"/>
              <w:marRight w:val="0"/>
              <w:marTop w:val="0"/>
              <w:marBottom w:val="0"/>
              <w:divBdr>
                <w:top w:val="none" w:sz="0" w:space="0" w:color="auto"/>
                <w:left w:val="none" w:sz="0" w:space="0" w:color="auto"/>
                <w:bottom w:val="none" w:sz="0" w:space="0" w:color="auto"/>
                <w:right w:val="none" w:sz="0" w:space="0" w:color="auto"/>
              </w:divBdr>
              <w:divsChild>
                <w:div w:id="92742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167169">
      <w:bodyDiv w:val="1"/>
      <w:marLeft w:val="0"/>
      <w:marRight w:val="0"/>
      <w:marTop w:val="0"/>
      <w:marBottom w:val="0"/>
      <w:divBdr>
        <w:top w:val="none" w:sz="0" w:space="0" w:color="auto"/>
        <w:left w:val="none" w:sz="0" w:space="0" w:color="auto"/>
        <w:bottom w:val="none" w:sz="0" w:space="0" w:color="auto"/>
        <w:right w:val="none" w:sz="0" w:space="0" w:color="auto"/>
      </w:divBdr>
      <w:divsChild>
        <w:div w:id="903099388">
          <w:marLeft w:val="0"/>
          <w:marRight w:val="0"/>
          <w:marTop w:val="0"/>
          <w:marBottom w:val="0"/>
          <w:divBdr>
            <w:top w:val="none" w:sz="0" w:space="0" w:color="auto"/>
            <w:left w:val="none" w:sz="0" w:space="0" w:color="auto"/>
            <w:bottom w:val="none" w:sz="0" w:space="0" w:color="auto"/>
            <w:right w:val="none" w:sz="0" w:space="0" w:color="auto"/>
          </w:divBdr>
          <w:divsChild>
            <w:div w:id="181239495">
              <w:marLeft w:val="0"/>
              <w:marRight w:val="0"/>
              <w:marTop w:val="0"/>
              <w:marBottom w:val="0"/>
              <w:divBdr>
                <w:top w:val="none" w:sz="0" w:space="0" w:color="auto"/>
                <w:left w:val="none" w:sz="0" w:space="0" w:color="auto"/>
                <w:bottom w:val="none" w:sz="0" w:space="0" w:color="auto"/>
                <w:right w:val="none" w:sz="0" w:space="0" w:color="auto"/>
              </w:divBdr>
              <w:divsChild>
                <w:div w:id="89485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518106">
      <w:bodyDiv w:val="1"/>
      <w:marLeft w:val="0"/>
      <w:marRight w:val="0"/>
      <w:marTop w:val="0"/>
      <w:marBottom w:val="0"/>
      <w:divBdr>
        <w:top w:val="none" w:sz="0" w:space="0" w:color="auto"/>
        <w:left w:val="none" w:sz="0" w:space="0" w:color="auto"/>
        <w:bottom w:val="none" w:sz="0" w:space="0" w:color="auto"/>
        <w:right w:val="none" w:sz="0" w:space="0" w:color="auto"/>
      </w:divBdr>
      <w:divsChild>
        <w:div w:id="894194553">
          <w:marLeft w:val="0"/>
          <w:marRight w:val="0"/>
          <w:marTop w:val="0"/>
          <w:marBottom w:val="0"/>
          <w:divBdr>
            <w:top w:val="none" w:sz="0" w:space="0" w:color="auto"/>
            <w:left w:val="none" w:sz="0" w:space="0" w:color="auto"/>
            <w:bottom w:val="none" w:sz="0" w:space="0" w:color="auto"/>
            <w:right w:val="none" w:sz="0" w:space="0" w:color="auto"/>
          </w:divBdr>
          <w:divsChild>
            <w:div w:id="1065181679">
              <w:marLeft w:val="0"/>
              <w:marRight w:val="0"/>
              <w:marTop w:val="0"/>
              <w:marBottom w:val="0"/>
              <w:divBdr>
                <w:top w:val="none" w:sz="0" w:space="0" w:color="auto"/>
                <w:left w:val="none" w:sz="0" w:space="0" w:color="auto"/>
                <w:bottom w:val="none" w:sz="0" w:space="0" w:color="auto"/>
                <w:right w:val="none" w:sz="0" w:space="0" w:color="auto"/>
              </w:divBdr>
              <w:divsChild>
                <w:div w:id="95613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5720824">
      <w:bodyDiv w:val="1"/>
      <w:marLeft w:val="0"/>
      <w:marRight w:val="0"/>
      <w:marTop w:val="0"/>
      <w:marBottom w:val="0"/>
      <w:divBdr>
        <w:top w:val="none" w:sz="0" w:space="0" w:color="auto"/>
        <w:left w:val="none" w:sz="0" w:space="0" w:color="auto"/>
        <w:bottom w:val="none" w:sz="0" w:space="0" w:color="auto"/>
        <w:right w:val="none" w:sz="0" w:space="0" w:color="auto"/>
      </w:divBdr>
      <w:divsChild>
        <w:div w:id="1979604855">
          <w:marLeft w:val="0"/>
          <w:marRight w:val="0"/>
          <w:marTop w:val="0"/>
          <w:marBottom w:val="0"/>
          <w:divBdr>
            <w:top w:val="none" w:sz="0" w:space="0" w:color="auto"/>
            <w:left w:val="none" w:sz="0" w:space="0" w:color="auto"/>
            <w:bottom w:val="none" w:sz="0" w:space="0" w:color="auto"/>
            <w:right w:val="none" w:sz="0" w:space="0" w:color="auto"/>
          </w:divBdr>
          <w:divsChild>
            <w:div w:id="129981016">
              <w:marLeft w:val="0"/>
              <w:marRight w:val="0"/>
              <w:marTop w:val="0"/>
              <w:marBottom w:val="0"/>
              <w:divBdr>
                <w:top w:val="none" w:sz="0" w:space="0" w:color="auto"/>
                <w:left w:val="none" w:sz="0" w:space="0" w:color="auto"/>
                <w:bottom w:val="none" w:sz="0" w:space="0" w:color="auto"/>
                <w:right w:val="none" w:sz="0" w:space="0" w:color="auto"/>
              </w:divBdr>
              <w:divsChild>
                <w:div w:id="1865678888">
                  <w:marLeft w:val="0"/>
                  <w:marRight w:val="0"/>
                  <w:marTop w:val="0"/>
                  <w:marBottom w:val="0"/>
                  <w:divBdr>
                    <w:top w:val="none" w:sz="0" w:space="0" w:color="auto"/>
                    <w:left w:val="none" w:sz="0" w:space="0" w:color="auto"/>
                    <w:bottom w:val="none" w:sz="0" w:space="0" w:color="auto"/>
                    <w:right w:val="none" w:sz="0" w:space="0" w:color="auto"/>
                  </w:divBdr>
                  <w:divsChild>
                    <w:div w:id="17048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311126">
      <w:bodyDiv w:val="1"/>
      <w:marLeft w:val="0"/>
      <w:marRight w:val="0"/>
      <w:marTop w:val="0"/>
      <w:marBottom w:val="0"/>
      <w:divBdr>
        <w:top w:val="none" w:sz="0" w:space="0" w:color="auto"/>
        <w:left w:val="none" w:sz="0" w:space="0" w:color="auto"/>
        <w:bottom w:val="none" w:sz="0" w:space="0" w:color="auto"/>
        <w:right w:val="none" w:sz="0" w:space="0" w:color="auto"/>
      </w:divBdr>
      <w:divsChild>
        <w:div w:id="2107459629">
          <w:marLeft w:val="0"/>
          <w:marRight w:val="0"/>
          <w:marTop w:val="0"/>
          <w:marBottom w:val="0"/>
          <w:divBdr>
            <w:top w:val="none" w:sz="0" w:space="0" w:color="auto"/>
            <w:left w:val="none" w:sz="0" w:space="0" w:color="auto"/>
            <w:bottom w:val="none" w:sz="0" w:space="0" w:color="auto"/>
            <w:right w:val="none" w:sz="0" w:space="0" w:color="auto"/>
          </w:divBdr>
          <w:divsChild>
            <w:div w:id="1931617419">
              <w:marLeft w:val="0"/>
              <w:marRight w:val="0"/>
              <w:marTop w:val="0"/>
              <w:marBottom w:val="0"/>
              <w:divBdr>
                <w:top w:val="none" w:sz="0" w:space="0" w:color="auto"/>
                <w:left w:val="none" w:sz="0" w:space="0" w:color="auto"/>
                <w:bottom w:val="none" w:sz="0" w:space="0" w:color="auto"/>
                <w:right w:val="none" w:sz="0" w:space="0" w:color="auto"/>
              </w:divBdr>
              <w:divsChild>
                <w:div w:id="59953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B77129-5122-4FA2-83C9-AD18FF78E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5120</Words>
  <Characters>29185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 (FBAM)</cp:lastModifiedBy>
  <cp:revision>2</cp:revision>
  <dcterms:created xsi:type="dcterms:W3CDTF">2019-01-08T15:35:00Z</dcterms:created>
  <dcterms:modified xsi:type="dcterms:W3CDTF">2019-01-08T15:35:00Z</dcterms:modified>
</cp:coreProperties>
</file>