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325B6" w14:textId="117E5970" w:rsidR="00646406" w:rsidRPr="00DD54B8" w:rsidRDefault="00C57D61" w:rsidP="00646406">
      <w:pPr>
        <w:jc w:val="center"/>
        <w:rPr>
          <w:rFonts w:ascii="Arial" w:hAnsi="Arial" w:cs="Arial"/>
        </w:rPr>
      </w:pPr>
      <w:r w:rsidRPr="00DD54B8">
        <w:rPr>
          <w:rFonts w:ascii="Arial" w:hAnsi="Arial" w:cs="Arial"/>
          <w:noProof/>
          <w:lang w:val="en-US"/>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DD54B8">
        <w:rPr>
          <w:rFonts w:ascii="Arial" w:hAnsi="Arial" w:cs="Arial"/>
        </w:rPr>
        <w:fldChar w:fldCharType="begin"/>
      </w:r>
      <w:r w:rsidRPr="00DD54B8">
        <w:rPr>
          <w:rFonts w:ascii="Arial" w:hAnsi="Arial" w:cs="Arial"/>
        </w:rPr>
        <w:instrText xml:space="preserve"> INCLUDEPICTURE "C:\\Users\\AzZedin01\\Library\\Group Containers\\UBF8T346G9.ms\\WebArchiveCopyPasteTempFiles\\com.microsoft.Word\\8P2xdp3q1g646AAAAAElFTkSuQmCC" \* MERGEFORMAT </w:instrText>
      </w:r>
      <w:r w:rsidR="00646406" w:rsidRPr="00DD54B8">
        <w:rPr>
          <w:rFonts w:ascii="Arial" w:hAnsi="Arial" w:cs="Arial"/>
        </w:rPr>
        <w:fldChar w:fldCharType="end"/>
      </w:r>
    </w:p>
    <w:p w14:paraId="6D0C4720" w14:textId="77777777" w:rsidR="00646406" w:rsidRPr="00DD54B8" w:rsidRDefault="00646406" w:rsidP="00646406">
      <w:pPr>
        <w:jc w:val="center"/>
        <w:rPr>
          <w:rFonts w:ascii="Arial" w:hAnsi="Arial" w:cs="Arial"/>
        </w:rPr>
      </w:pPr>
    </w:p>
    <w:p w14:paraId="384AD48D" w14:textId="77777777" w:rsidR="00646406" w:rsidRPr="00DD54B8" w:rsidRDefault="00646406" w:rsidP="00646406">
      <w:pPr>
        <w:jc w:val="center"/>
        <w:rPr>
          <w:rFonts w:ascii="Arial" w:hAnsi="Arial" w:cs="Arial"/>
        </w:rPr>
      </w:pPr>
    </w:p>
    <w:p w14:paraId="1C4A58E1" w14:textId="77777777" w:rsidR="00646406" w:rsidRPr="00DD54B8" w:rsidRDefault="00646406" w:rsidP="00646406">
      <w:pPr>
        <w:jc w:val="center"/>
        <w:rPr>
          <w:rFonts w:ascii="Arial" w:hAnsi="Arial" w:cs="Arial"/>
        </w:rPr>
      </w:pPr>
    </w:p>
    <w:p w14:paraId="21811744" w14:textId="77777777" w:rsidR="00646406" w:rsidRPr="00DD54B8" w:rsidRDefault="00646406" w:rsidP="00646406">
      <w:pPr>
        <w:jc w:val="center"/>
        <w:rPr>
          <w:rFonts w:ascii="Arial" w:hAnsi="Arial" w:cs="Arial"/>
        </w:rPr>
      </w:pPr>
    </w:p>
    <w:p w14:paraId="1EC34BAD" w14:textId="77777777" w:rsidR="00646406" w:rsidRPr="00DD54B8" w:rsidRDefault="00646406" w:rsidP="00646406">
      <w:pPr>
        <w:jc w:val="center"/>
        <w:rPr>
          <w:rFonts w:ascii="Arial" w:hAnsi="Arial" w:cs="Arial"/>
        </w:rPr>
      </w:pPr>
    </w:p>
    <w:p w14:paraId="020B9CFF" w14:textId="57D4E6E3" w:rsidR="00646406" w:rsidRPr="00DD54B8" w:rsidRDefault="00646406" w:rsidP="00646406">
      <w:pPr>
        <w:jc w:val="center"/>
        <w:rPr>
          <w:rFonts w:ascii="Arial" w:hAnsi="Arial" w:cs="Arial"/>
          <w:b/>
          <w:bCs/>
        </w:rPr>
      </w:pPr>
      <w:r w:rsidRPr="00DD54B8">
        <w:rPr>
          <w:rFonts w:ascii="Arial" w:hAnsi="Arial" w:cs="Arial"/>
          <w:b/>
          <w:bCs/>
        </w:rPr>
        <w:t>Student Name:</w:t>
      </w:r>
      <w:r w:rsidR="004C3C36" w:rsidRPr="00DD54B8">
        <w:rPr>
          <w:rFonts w:ascii="Arial" w:hAnsi="Arial" w:cs="Arial"/>
          <w:b/>
          <w:bCs/>
        </w:rPr>
        <w:t xml:space="preserve"> </w:t>
      </w:r>
      <w:bookmarkStart w:id="0" w:name="_Hlk214530058"/>
      <w:r w:rsidR="003E76DA">
        <w:rPr>
          <w:rFonts w:ascii="Arial" w:hAnsi="Arial" w:cs="Arial"/>
          <w:b/>
          <w:bCs/>
        </w:rPr>
        <w:t>Md Forhad Hossen Rony</w:t>
      </w:r>
    </w:p>
    <w:p w14:paraId="2AAC98E7" w14:textId="77777777" w:rsidR="00646406" w:rsidRPr="00DD54B8" w:rsidRDefault="00646406" w:rsidP="00646406">
      <w:pPr>
        <w:jc w:val="center"/>
        <w:rPr>
          <w:rFonts w:ascii="Arial" w:hAnsi="Arial" w:cs="Arial"/>
          <w:b/>
          <w:bCs/>
        </w:rPr>
      </w:pPr>
    </w:p>
    <w:p w14:paraId="7FA30728" w14:textId="77777777" w:rsidR="008E3103" w:rsidRDefault="00646406" w:rsidP="008E3103">
      <w:pPr>
        <w:jc w:val="center"/>
        <w:rPr>
          <w:rFonts w:ascii="Arial" w:hAnsi="Arial" w:cs="Arial"/>
          <w:b/>
        </w:rPr>
      </w:pPr>
      <w:r w:rsidRPr="00DD54B8">
        <w:rPr>
          <w:rFonts w:ascii="Arial" w:hAnsi="Arial" w:cs="Arial"/>
          <w:b/>
          <w:bCs/>
        </w:rPr>
        <w:t>Student ID:</w:t>
      </w:r>
      <w:r w:rsidR="007A4E97" w:rsidRPr="00DD54B8">
        <w:rPr>
          <w:rFonts w:ascii="Arial" w:hAnsi="Arial" w:cs="Arial"/>
          <w:b/>
          <w:bCs/>
        </w:rPr>
        <w:t xml:space="preserve"> </w:t>
      </w:r>
      <w:r w:rsidR="003E76DA">
        <w:rPr>
          <w:rFonts w:ascii="Arial" w:hAnsi="Arial" w:cs="Arial"/>
          <w:b/>
          <w:bCs/>
        </w:rPr>
        <w:t>2433472</w:t>
      </w:r>
      <w:bookmarkStart w:id="1" w:name="_Toc140363577"/>
      <w:bookmarkStart w:id="2" w:name="_Toc140363543"/>
      <w:bookmarkStart w:id="3" w:name="_Toc140238564"/>
      <w:bookmarkStart w:id="4" w:name="_Toc148912751"/>
      <w:bookmarkStart w:id="5" w:name="_Toc147542866"/>
      <w:bookmarkStart w:id="6" w:name="_Toc147531027"/>
      <w:bookmarkStart w:id="7" w:name="_Toc147103702"/>
      <w:r w:rsidR="008E3103" w:rsidRPr="008E3103">
        <w:rPr>
          <w:rFonts w:ascii="Arial" w:hAnsi="Arial" w:cs="Arial"/>
          <w:b/>
        </w:rPr>
        <w:t xml:space="preserve"> </w:t>
      </w:r>
    </w:p>
    <w:p w14:paraId="0EEBE340" w14:textId="77777777" w:rsidR="008E3103" w:rsidRDefault="008E3103" w:rsidP="008E3103">
      <w:pPr>
        <w:jc w:val="center"/>
        <w:rPr>
          <w:rFonts w:ascii="Arial" w:hAnsi="Arial" w:cs="Arial"/>
          <w:b/>
        </w:rPr>
      </w:pPr>
    </w:p>
    <w:p w14:paraId="4822944D" w14:textId="2C5689A9" w:rsidR="008E3103" w:rsidRPr="00E84D32" w:rsidRDefault="008E3103" w:rsidP="008E3103">
      <w:pPr>
        <w:jc w:val="center"/>
        <w:rPr>
          <w:rFonts w:ascii="Arial" w:hAnsi="Arial" w:cs="Arial"/>
          <w:b/>
          <w:position w:val="-1"/>
        </w:rPr>
      </w:pPr>
      <w:r w:rsidRPr="00E84D32">
        <w:rPr>
          <w:rFonts w:ascii="Arial" w:hAnsi="Arial" w:cs="Arial"/>
          <w:b/>
        </w:rPr>
        <w:t xml:space="preserve">Programme Name: </w:t>
      </w:r>
      <w:bookmarkEnd w:id="1"/>
      <w:bookmarkEnd w:id="2"/>
      <w:bookmarkEnd w:id="3"/>
      <w:bookmarkEnd w:id="4"/>
      <w:bookmarkEnd w:id="5"/>
      <w:bookmarkEnd w:id="6"/>
      <w:bookmarkEnd w:id="7"/>
      <w:r w:rsidRPr="00E84D32">
        <w:rPr>
          <w:rFonts w:ascii="Arial" w:hAnsi="Arial" w:cs="Arial"/>
          <w:b/>
        </w:rPr>
        <w:t>Master of Business Administration</w:t>
      </w:r>
    </w:p>
    <w:p w14:paraId="586C6996" w14:textId="712D4008" w:rsidR="00646406" w:rsidRPr="00DD54B8" w:rsidRDefault="00646406" w:rsidP="00646406">
      <w:pPr>
        <w:jc w:val="center"/>
        <w:rPr>
          <w:rFonts w:ascii="Arial" w:hAnsi="Arial" w:cs="Arial"/>
          <w:b/>
          <w:bCs/>
        </w:rPr>
      </w:pPr>
    </w:p>
    <w:bookmarkEnd w:id="0"/>
    <w:p w14:paraId="3D7751B6" w14:textId="77777777" w:rsidR="00646406" w:rsidRPr="00DD54B8" w:rsidRDefault="00646406" w:rsidP="00646406">
      <w:pPr>
        <w:jc w:val="center"/>
        <w:rPr>
          <w:rFonts w:ascii="Arial" w:hAnsi="Arial" w:cs="Arial"/>
        </w:rPr>
      </w:pPr>
    </w:p>
    <w:p w14:paraId="37F10C9F" w14:textId="2FF0D0FD" w:rsidR="00646406" w:rsidRPr="00DD54B8" w:rsidRDefault="00646406" w:rsidP="00646406">
      <w:pPr>
        <w:jc w:val="center"/>
        <w:rPr>
          <w:rFonts w:ascii="Arial" w:hAnsi="Arial" w:cs="Arial"/>
          <w:b/>
          <w:bCs/>
        </w:rPr>
      </w:pPr>
      <w:r w:rsidRPr="00DD54B8">
        <w:rPr>
          <w:rFonts w:ascii="Arial" w:hAnsi="Arial" w:cs="Arial"/>
          <w:b/>
          <w:bCs/>
        </w:rPr>
        <w:t>Module Name: Marketing Management</w:t>
      </w:r>
    </w:p>
    <w:p w14:paraId="1F614A44" w14:textId="77777777" w:rsidR="00646406" w:rsidRPr="00DD54B8" w:rsidRDefault="00646406" w:rsidP="00646406">
      <w:pPr>
        <w:jc w:val="center"/>
        <w:rPr>
          <w:rFonts w:ascii="Arial" w:hAnsi="Arial" w:cs="Arial"/>
          <w:b/>
          <w:bCs/>
        </w:rPr>
      </w:pPr>
    </w:p>
    <w:p w14:paraId="0794A99E" w14:textId="13A859A0" w:rsidR="00646406" w:rsidRDefault="00646406" w:rsidP="00646406">
      <w:pPr>
        <w:jc w:val="center"/>
        <w:rPr>
          <w:rFonts w:ascii="Arial" w:hAnsi="Arial" w:cs="Arial"/>
          <w:b/>
          <w:bCs/>
        </w:rPr>
      </w:pPr>
      <w:r w:rsidRPr="00DD54B8">
        <w:rPr>
          <w:rFonts w:ascii="Arial" w:hAnsi="Arial" w:cs="Arial"/>
          <w:b/>
          <w:bCs/>
        </w:rPr>
        <w:t>Module Code: LCMB7024</w:t>
      </w:r>
    </w:p>
    <w:p w14:paraId="3C830A18" w14:textId="77777777" w:rsidR="00FA7292" w:rsidRPr="00DD54B8" w:rsidRDefault="00FA7292" w:rsidP="00646406">
      <w:pPr>
        <w:jc w:val="center"/>
        <w:rPr>
          <w:rFonts w:ascii="Arial" w:hAnsi="Arial" w:cs="Arial"/>
          <w:b/>
          <w:bCs/>
        </w:rPr>
      </w:pPr>
    </w:p>
    <w:p w14:paraId="38F1A035" w14:textId="0A2712B0" w:rsidR="00646406" w:rsidRPr="00FA7292" w:rsidRDefault="00FA7292" w:rsidP="00FA7292">
      <w:pPr>
        <w:spacing w:line="360" w:lineRule="auto"/>
        <w:jc w:val="center"/>
        <w:rPr>
          <w:rFonts w:ascii="Arial" w:hAnsi="Arial" w:cs="Arial"/>
          <w:b/>
        </w:rPr>
      </w:pPr>
      <w:r w:rsidRPr="00E84D32">
        <w:rPr>
          <w:rFonts w:ascii="Arial" w:hAnsi="Arial" w:cs="Arial"/>
          <w:b/>
        </w:rPr>
        <w:t xml:space="preserve">Assignment Title: </w:t>
      </w:r>
      <w:r w:rsidRPr="00BC75BB">
        <w:rPr>
          <w:rFonts w:ascii="Arial" w:hAnsi="Arial" w:cs="Arial"/>
          <w:b/>
          <w:bCs/>
        </w:rPr>
        <w:t>Assessment component 1: Marketing Environment Analysis</w:t>
      </w:r>
      <w:r w:rsidRPr="00B2603A">
        <w:rPr>
          <w:rFonts w:ascii="Arial" w:hAnsi="Arial" w:cs="Arial"/>
          <w:b/>
          <w:bCs/>
        </w:rPr>
        <w:t>.</w:t>
      </w:r>
    </w:p>
    <w:p w14:paraId="7E74A1F6" w14:textId="77777777" w:rsidR="00646406" w:rsidRPr="00DD54B8" w:rsidRDefault="00646406" w:rsidP="00646406">
      <w:pPr>
        <w:jc w:val="center"/>
        <w:rPr>
          <w:rFonts w:ascii="Arial" w:hAnsi="Arial" w:cs="Arial"/>
          <w:b/>
          <w:bCs/>
        </w:rPr>
      </w:pPr>
    </w:p>
    <w:p w14:paraId="1C05EEAE" w14:textId="7B34CE45" w:rsidR="00646406" w:rsidRPr="00DD54B8" w:rsidRDefault="00646406" w:rsidP="00646406">
      <w:pPr>
        <w:jc w:val="center"/>
        <w:rPr>
          <w:rFonts w:ascii="Arial" w:hAnsi="Arial" w:cs="Arial"/>
          <w:b/>
          <w:bCs/>
        </w:rPr>
      </w:pPr>
      <w:r w:rsidRPr="00DD54B8">
        <w:rPr>
          <w:rFonts w:ascii="Arial" w:hAnsi="Arial" w:cs="Arial"/>
          <w:b/>
          <w:bCs/>
        </w:rPr>
        <w:t>Lecturer’s Name:</w:t>
      </w:r>
      <w:r w:rsidR="004C3C36" w:rsidRPr="00DD54B8">
        <w:rPr>
          <w:rFonts w:ascii="Arial" w:hAnsi="Arial" w:cs="Arial"/>
          <w:b/>
          <w:bCs/>
        </w:rPr>
        <w:t xml:space="preserve"> Dr Laila </w:t>
      </w:r>
      <w:proofErr w:type="spellStart"/>
      <w:r w:rsidR="004C3C36" w:rsidRPr="00DD54B8">
        <w:rPr>
          <w:rFonts w:ascii="Arial" w:hAnsi="Arial" w:cs="Arial"/>
          <w:b/>
          <w:bCs/>
        </w:rPr>
        <w:t>Maazouz</w:t>
      </w:r>
      <w:proofErr w:type="spellEnd"/>
    </w:p>
    <w:p w14:paraId="2534BC8F" w14:textId="77777777" w:rsidR="00646406" w:rsidRPr="00DD54B8" w:rsidRDefault="00646406" w:rsidP="00646406">
      <w:pPr>
        <w:jc w:val="center"/>
        <w:rPr>
          <w:rFonts w:ascii="Arial" w:hAnsi="Arial" w:cs="Arial"/>
          <w:b/>
          <w:bCs/>
        </w:rPr>
      </w:pPr>
    </w:p>
    <w:p w14:paraId="70E1BD2A" w14:textId="77777777" w:rsidR="00646406" w:rsidRPr="00DD54B8" w:rsidRDefault="00646406" w:rsidP="00646406">
      <w:pPr>
        <w:jc w:val="center"/>
        <w:rPr>
          <w:rFonts w:ascii="Arial" w:hAnsi="Arial" w:cs="Arial"/>
          <w:b/>
          <w:bCs/>
        </w:rPr>
      </w:pPr>
    </w:p>
    <w:p w14:paraId="55B10977" w14:textId="77777777" w:rsidR="00646406" w:rsidRPr="00DD54B8" w:rsidRDefault="00646406" w:rsidP="00646406">
      <w:pPr>
        <w:rPr>
          <w:rFonts w:ascii="Arial" w:hAnsi="Arial" w:cs="Arial"/>
          <w:b/>
          <w:bCs/>
        </w:rPr>
      </w:pPr>
    </w:p>
    <w:p w14:paraId="507903DA" w14:textId="77777777" w:rsidR="002F240D" w:rsidRDefault="00646406" w:rsidP="00646406">
      <w:pPr>
        <w:jc w:val="center"/>
        <w:rPr>
          <w:rFonts w:ascii="Arial" w:hAnsi="Arial" w:cs="Arial"/>
          <w:b/>
          <w:bCs/>
        </w:rPr>
      </w:pPr>
      <w:r w:rsidRPr="00DD54B8">
        <w:rPr>
          <w:rFonts w:ascii="Arial" w:hAnsi="Arial" w:cs="Arial"/>
          <w:b/>
          <w:bCs/>
        </w:rPr>
        <w:t>Wor</w:t>
      </w:r>
      <w:r w:rsidR="00D717BB">
        <w:rPr>
          <w:rFonts w:ascii="Arial" w:hAnsi="Arial" w:cs="Arial"/>
          <w:b/>
          <w:bCs/>
        </w:rPr>
        <w:t>d</w:t>
      </w:r>
      <w:r w:rsidRPr="00DD54B8">
        <w:rPr>
          <w:rFonts w:ascii="Arial" w:hAnsi="Arial" w:cs="Arial"/>
          <w:b/>
          <w:bCs/>
        </w:rPr>
        <w:t xml:space="preserve"> Count:</w:t>
      </w:r>
      <w:r w:rsidR="004C3C36" w:rsidRPr="00DD54B8">
        <w:rPr>
          <w:rFonts w:ascii="Arial" w:hAnsi="Arial" w:cs="Arial"/>
          <w:b/>
          <w:bCs/>
        </w:rPr>
        <w:t xml:space="preserve"> 2682</w:t>
      </w:r>
      <w:r w:rsidR="002F240D">
        <w:rPr>
          <w:rFonts w:ascii="Arial" w:hAnsi="Arial" w:cs="Arial"/>
          <w:b/>
          <w:bCs/>
        </w:rPr>
        <w:t xml:space="preserve"> </w:t>
      </w:r>
    </w:p>
    <w:p w14:paraId="7EDD9EF5" w14:textId="77777777" w:rsidR="002F240D" w:rsidRDefault="002F240D" w:rsidP="00646406">
      <w:pPr>
        <w:jc w:val="center"/>
        <w:rPr>
          <w:rFonts w:ascii="Arial" w:hAnsi="Arial" w:cs="Arial"/>
          <w:b/>
          <w:bCs/>
        </w:rPr>
      </w:pPr>
    </w:p>
    <w:p w14:paraId="39FE983B" w14:textId="5AF14300" w:rsidR="00646406" w:rsidRPr="00DD54B8" w:rsidRDefault="002F240D" w:rsidP="00646406">
      <w:pPr>
        <w:jc w:val="center"/>
        <w:rPr>
          <w:rFonts w:ascii="Arial" w:hAnsi="Arial" w:cs="Arial"/>
          <w:b/>
          <w:bCs/>
        </w:rPr>
      </w:pPr>
      <w:r>
        <w:rPr>
          <w:rFonts w:ascii="Arial" w:hAnsi="Arial" w:cs="Arial"/>
          <w:b/>
          <w:bCs/>
        </w:rPr>
        <w:t xml:space="preserve">Date of Submission: 21 </w:t>
      </w:r>
      <w:r w:rsidR="00926E33">
        <w:rPr>
          <w:rFonts w:ascii="Arial" w:hAnsi="Arial" w:cs="Arial"/>
          <w:b/>
          <w:bCs/>
        </w:rPr>
        <w:t>November</w:t>
      </w:r>
      <w:r>
        <w:rPr>
          <w:rFonts w:ascii="Arial" w:hAnsi="Arial" w:cs="Arial"/>
          <w:b/>
          <w:bCs/>
        </w:rPr>
        <w:t xml:space="preserve"> 2025</w:t>
      </w:r>
    </w:p>
    <w:p w14:paraId="2CC2A054" w14:textId="77777777" w:rsidR="00646406" w:rsidRPr="00DD54B8" w:rsidRDefault="00646406" w:rsidP="00646406">
      <w:pPr>
        <w:jc w:val="center"/>
        <w:rPr>
          <w:rFonts w:ascii="Arial" w:hAnsi="Arial" w:cs="Arial"/>
          <w:b/>
          <w:bCs/>
        </w:rPr>
      </w:pPr>
    </w:p>
    <w:p w14:paraId="6A8F56C7" w14:textId="77777777" w:rsidR="00646406" w:rsidRPr="00DD54B8" w:rsidRDefault="00646406" w:rsidP="00646406">
      <w:pPr>
        <w:jc w:val="center"/>
        <w:rPr>
          <w:rFonts w:ascii="Arial" w:hAnsi="Arial" w:cs="Arial"/>
          <w:b/>
          <w:bCs/>
        </w:rPr>
      </w:pPr>
    </w:p>
    <w:p w14:paraId="74532E5F" w14:textId="77777777" w:rsidR="00646406" w:rsidRPr="00DD54B8" w:rsidRDefault="00646406" w:rsidP="00646406">
      <w:pPr>
        <w:jc w:val="center"/>
        <w:rPr>
          <w:rFonts w:ascii="Arial" w:hAnsi="Arial" w:cs="Arial"/>
          <w:b/>
          <w:bCs/>
        </w:rPr>
      </w:pPr>
    </w:p>
    <w:p w14:paraId="102B9D5E" w14:textId="77777777" w:rsidR="00646406" w:rsidRPr="00DD54B8" w:rsidRDefault="00646406" w:rsidP="00646406">
      <w:pPr>
        <w:jc w:val="center"/>
        <w:rPr>
          <w:rFonts w:ascii="Arial" w:hAnsi="Arial" w:cs="Arial"/>
          <w:b/>
          <w:bCs/>
        </w:rPr>
      </w:pPr>
    </w:p>
    <w:p w14:paraId="76B4AC18" w14:textId="77777777" w:rsidR="00646406" w:rsidRPr="00DD54B8" w:rsidRDefault="00646406" w:rsidP="00646406">
      <w:pPr>
        <w:jc w:val="center"/>
        <w:rPr>
          <w:rFonts w:ascii="Arial" w:hAnsi="Arial" w:cs="Arial"/>
          <w:b/>
          <w:bCs/>
        </w:rPr>
      </w:pPr>
    </w:p>
    <w:p w14:paraId="3D7042D2" w14:textId="33DA3A3B" w:rsidR="00646406" w:rsidRPr="00DD54B8" w:rsidRDefault="00646406" w:rsidP="00646406">
      <w:pPr>
        <w:jc w:val="center"/>
        <w:rPr>
          <w:rFonts w:ascii="Arial" w:hAnsi="Arial" w:cs="Arial"/>
          <w:b/>
          <w:bCs/>
        </w:rPr>
      </w:pPr>
    </w:p>
    <w:p w14:paraId="795BE6E7" w14:textId="16C05007" w:rsidR="00646406" w:rsidRPr="00DD54B8" w:rsidRDefault="00646406">
      <w:pPr>
        <w:rPr>
          <w:rFonts w:ascii="Arial" w:hAnsi="Arial" w:cs="Arial"/>
          <w:b/>
          <w:bCs/>
        </w:rPr>
      </w:pPr>
      <w:r w:rsidRPr="00DD54B8">
        <w:rPr>
          <w:rFonts w:ascii="Arial" w:hAnsi="Arial" w:cs="Arial"/>
          <w:b/>
          <w:bCs/>
        </w:rPr>
        <w:br w:type="page"/>
      </w:r>
    </w:p>
    <w:sdt>
      <w:sdtPr>
        <w:rPr>
          <w:rFonts w:ascii="Arial" w:eastAsiaTheme="minorHAnsi" w:hAnsi="Arial" w:cs="Arial"/>
          <w:b w:val="0"/>
          <w:bCs w:val="0"/>
          <w:color w:val="auto"/>
          <w:kern w:val="2"/>
          <w:sz w:val="24"/>
          <w:szCs w:val="24"/>
          <w:lang w:val="en-GB"/>
          <w14:ligatures w14:val="standardContextual"/>
        </w:rPr>
        <w:id w:val="-29875851"/>
        <w:docPartObj>
          <w:docPartGallery w:val="Table of Contents"/>
          <w:docPartUnique/>
        </w:docPartObj>
      </w:sdtPr>
      <w:sdtEndPr>
        <w:rPr>
          <w:noProof/>
        </w:rPr>
      </w:sdtEndPr>
      <w:sdtContent>
        <w:p w14:paraId="098D9430" w14:textId="59ED492B" w:rsidR="00325A3E" w:rsidRPr="00DD54B8" w:rsidRDefault="00325A3E" w:rsidP="00DD54B8">
          <w:pPr>
            <w:pStyle w:val="TOCHeading"/>
            <w:jc w:val="center"/>
            <w:rPr>
              <w:rFonts w:ascii="Arial" w:hAnsi="Arial" w:cs="Arial"/>
              <w:color w:val="auto"/>
            </w:rPr>
          </w:pPr>
          <w:r w:rsidRPr="00DD54B8">
            <w:rPr>
              <w:rFonts w:ascii="Arial" w:hAnsi="Arial" w:cs="Arial"/>
              <w:color w:val="auto"/>
            </w:rPr>
            <w:t>Table of Contents</w:t>
          </w:r>
        </w:p>
        <w:p w14:paraId="6457DA3D" w14:textId="77777777" w:rsidR="000B116E" w:rsidRPr="00440AEC" w:rsidRDefault="00325A3E">
          <w:pPr>
            <w:pStyle w:val="TOC1"/>
            <w:tabs>
              <w:tab w:val="right" w:leader="dot" w:pos="9016"/>
            </w:tabs>
            <w:rPr>
              <w:rFonts w:ascii="Arial" w:eastAsiaTheme="minorEastAsia" w:hAnsi="Arial" w:cs="Arial"/>
              <w:b w:val="0"/>
              <w:bCs w:val="0"/>
              <w:caps w:val="0"/>
              <w:noProof/>
              <w:kern w:val="0"/>
              <w:sz w:val="24"/>
              <w:szCs w:val="24"/>
              <w:lang w:val="en-US"/>
              <w14:ligatures w14:val="none"/>
            </w:rPr>
          </w:pPr>
          <w:r w:rsidRPr="00440AEC">
            <w:rPr>
              <w:rFonts w:ascii="Arial" w:hAnsi="Arial" w:cs="Arial"/>
              <w:b w:val="0"/>
              <w:bCs w:val="0"/>
              <w:sz w:val="24"/>
              <w:szCs w:val="24"/>
            </w:rPr>
            <w:fldChar w:fldCharType="begin"/>
          </w:r>
          <w:r w:rsidRPr="00440AEC">
            <w:rPr>
              <w:rFonts w:ascii="Arial" w:hAnsi="Arial" w:cs="Arial"/>
              <w:sz w:val="24"/>
              <w:szCs w:val="24"/>
            </w:rPr>
            <w:instrText xml:space="preserve"> TOC \o "1-3" \h \z \u </w:instrText>
          </w:r>
          <w:r w:rsidRPr="00440AEC">
            <w:rPr>
              <w:rFonts w:ascii="Arial" w:hAnsi="Arial" w:cs="Arial"/>
              <w:b w:val="0"/>
              <w:bCs w:val="0"/>
              <w:sz w:val="24"/>
              <w:szCs w:val="24"/>
            </w:rPr>
            <w:fldChar w:fldCharType="separate"/>
          </w:r>
          <w:hyperlink w:anchor="_Toc214528428" w:history="1">
            <w:r w:rsidR="000B116E" w:rsidRPr="00440AEC">
              <w:rPr>
                <w:rStyle w:val="Hyperlink"/>
                <w:rFonts w:ascii="Arial" w:hAnsi="Arial" w:cs="Arial"/>
                <w:noProof/>
                <w:sz w:val="24"/>
                <w:szCs w:val="24"/>
              </w:rPr>
              <w:t>1. Introduction</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_Toc214528428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1</w:t>
            </w:r>
            <w:r w:rsidR="000B116E" w:rsidRPr="00440AEC">
              <w:rPr>
                <w:rFonts w:ascii="Arial" w:hAnsi="Arial" w:cs="Arial"/>
                <w:noProof/>
                <w:webHidden/>
                <w:sz w:val="24"/>
                <w:szCs w:val="24"/>
              </w:rPr>
              <w:fldChar w:fldCharType="end"/>
            </w:r>
          </w:hyperlink>
        </w:p>
        <w:p w14:paraId="195C36BF" w14:textId="77777777" w:rsidR="000B116E" w:rsidRPr="00440AEC" w:rsidRDefault="003F1181">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29" w:history="1">
            <w:r w:rsidR="000B116E" w:rsidRPr="00440AEC">
              <w:rPr>
                <w:rStyle w:val="Hyperlink"/>
                <w:rFonts w:ascii="Arial" w:hAnsi="Arial" w:cs="Arial"/>
                <w:noProof/>
                <w:sz w:val="24"/>
                <w:szCs w:val="24"/>
                <w:lang w:val="en-US"/>
              </w:rPr>
              <w:t>Task 1: Macro Marketing Environment Critical Analysis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_Toc214528429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2</w:t>
            </w:r>
            <w:r w:rsidR="000B116E" w:rsidRPr="00440AEC">
              <w:rPr>
                <w:rFonts w:ascii="Arial" w:hAnsi="Arial" w:cs="Arial"/>
                <w:noProof/>
                <w:webHidden/>
                <w:sz w:val="24"/>
                <w:szCs w:val="24"/>
              </w:rPr>
              <w:fldChar w:fldCharType="end"/>
            </w:r>
          </w:hyperlink>
        </w:p>
        <w:p w14:paraId="01ACF609" w14:textId="77777777" w:rsidR="000B116E" w:rsidRPr="00440AEC" w:rsidRDefault="003F1181">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0" w:history="1">
            <w:r w:rsidR="000B116E" w:rsidRPr="00440AEC">
              <w:rPr>
                <w:rStyle w:val="Hyperlink"/>
                <w:rFonts w:ascii="Arial" w:hAnsi="Arial" w:cs="Arial"/>
                <w:noProof/>
                <w:sz w:val="24"/>
                <w:szCs w:val="24"/>
                <w:lang w:val="en-US"/>
              </w:rPr>
              <w:t>2.1 Macro Marketing Environment Overview</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_Toc214528430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2</w:t>
            </w:r>
            <w:r w:rsidR="000B116E" w:rsidRPr="00440AEC">
              <w:rPr>
                <w:rFonts w:ascii="Arial" w:hAnsi="Arial" w:cs="Arial"/>
                <w:noProof/>
                <w:webHidden/>
                <w:sz w:val="24"/>
                <w:szCs w:val="24"/>
              </w:rPr>
              <w:fldChar w:fldCharType="end"/>
            </w:r>
          </w:hyperlink>
        </w:p>
        <w:p w14:paraId="63677708" w14:textId="77777777" w:rsidR="000B116E" w:rsidRPr="00440AEC" w:rsidRDefault="003F1181">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1" w:history="1">
            <w:r w:rsidR="000B116E" w:rsidRPr="00440AEC">
              <w:rPr>
                <w:rStyle w:val="Hyperlink"/>
                <w:rFonts w:ascii="Arial" w:hAnsi="Arial" w:cs="Arial"/>
                <w:noProof/>
                <w:sz w:val="24"/>
                <w:szCs w:val="24"/>
                <w:lang w:val="en-US"/>
              </w:rPr>
              <w:t>2.2 Selection of Two External Macro Marketing Actors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_Toc214528431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3</w:t>
            </w:r>
            <w:r w:rsidR="000B116E" w:rsidRPr="00440AEC">
              <w:rPr>
                <w:rFonts w:ascii="Arial" w:hAnsi="Arial" w:cs="Arial"/>
                <w:noProof/>
                <w:webHidden/>
                <w:sz w:val="24"/>
                <w:szCs w:val="24"/>
              </w:rPr>
              <w:fldChar w:fldCharType="end"/>
            </w:r>
          </w:hyperlink>
        </w:p>
        <w:p w14:paraId="134E5DDB" w14:textId="77777777" w:rsidR="000B116E" w:rsidRPr="00440AEC" w:rsidRDefault="003F1181">
          <w:pPr>
            <w:pStyle w:val="TOC3"/>
            <w:tabs>
              <w:tab w:val="right" w:leader="dot" w:pos="9016"/>
            </w:tabs>
            <w:rPr>
              <w:rFonts w:ascii="Arial" w:eastAsiaTheme="minorEastAsia" w:hAnsi="Arial" w:cs="Arial"/>
              <w:i w:val="0"/>
              <w:iCs w:val="0"/>
              <w:noProof/>
              <w:kern w:val="0"/>
              <w:sz w:val="24"/>
              <w:szCs w:val="24"/>
              <w:lang w:val="en-US"/>
              <w14:ligatures w14:val="none"/>
            </w:rPr>
          </w:pPr>
          <w:hyperlink w:anchor="_Toc214528432" w:history="1">
            <w:r w:rsidR="000B116E" w:rsidRPr="00440AEC">
              <w:rPr>
                <w:rStyle w:val="Hyperlink"/>
                <w:rFonts w:ascii="Arial" w:hAnsi="Arial" w:cs="Arial"/>
                <w:noProof/>
                <w:sz w:val="24"/>
                <w:szCs w:val="24"/>
                <w:lang w:val="en-US"/>
              </w:rPr>
              <w:t>Technological Factors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_Toc214528432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3</w:t>
            </w:r>
            <w:r w:rsidR="000B116E" w:rsidRPr="00440AEC">
              <w:rPr>
                <w:rFonts w:ascii="Arial" w:hAnsi="Arial" w:cs="Arial"/>
                <w:noProof/>
                <w:webHidden/>
                <w:sz w:val="24"/>
                <w:szCs w:val="24"/>
              </w:rPr>
              <w:fldChar w:fldCharType="end"/>
            </w:r>
          </w:hyperlink>
        </w:p>
        <w:p w14:paraId="40734CE9" w14:textId="77777777" w:rsidR="000B116E" w:rsidRPr="00440AEC" w:rsidRDefault="003F1181">
          <w:pPr>
            <w:pStyle w:val="TOC3"/>
            <w:tabs>
              <w:tab w:val="right" w:leader="dot" w:pos="9016"/>
            </w:tabs>
            <w:rPr>
              <w:rFonts w:ascii="Arial" w:eastAsiaTheme="minorEastAsia" w:hAnsi="Arial" w:cs="Arial"/>
              <w:i w:val="0"/>
              <w:iCs w:val="0"/>
              <w:noProof/>
              <w:kern w:val="0"/>
              <w:sz w:val="24"/>
              <w:szCs w:val="24"/>
              <w:lang w:val="en-US"/>
              <w14:ligatures w14:val="none"/>
            </w:rPr>
          </w:pPr>
          <w:hyperlink w:anchor="_Toc214528433" w:history="1">
            <w:r w:rsidR="000B116E" w:rsidRPr="00440AEC">
              <w:rPr>
                <w:rStyle w:val="Hyperlink"/>
                <w:rFonts w:ascii="Arial" w:hAnsi="Arial" w:cs="Arial"/>
                <w:noProof/>
                <w:sz w:val="24"/>
                <w:szCs w:val="24"/>
                <w:lang w:val="en-US"/>
              </w:rPr>
              <w:t>Legal Factors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_Toc214528433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4</w:t>
            </w:r>
            <w:r w:rsidR="000B116E" w:rsidRPr="00440AEC">
              <w:rPr>
                <w:rFonts w:ascii="Arial" w:hAnsi="Arial" w:cs="Arial"/>
                <w:noProof/>
                <w:webHidden/>
                <w:sz w:val="24"/>
                <w:szCs w:val="24"/>
              </w:rPr>
              <w:fldChar w:fldCharType="end"/>
            </w:r>
          </w:hyperlink>
        </w:p>
        <w:p w14:paraId="225A62E2" w14:textId="77777777" w:rsidR="000B116E" w:rsidRPr="00440AEC" w:rsidRDefault="003F1181">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4" w:history="1">
            <w:r w:rsidR="000B116E" w:rsidRPr="00440AEC">
              <w:rPr>
                <w:rStyle w:val="Hyperlink"/>
                <w:rFonts w:ascii="Arial" w:hAnsi="Arial" w:cs="Arial"/>
                <w:noProof/>
                <w:sz w:val="24"/>
                <w:szCs w:val="24"/>
              </w:rPr>
              <w:t>2.3 Critical Analysis of Each Actor</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_Toc214528434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4</w:t>
            </w:r>
            <w:r w:rsidR="000B116E" w:rsidRPr="00440AEC">
              <w:rPr>
                <w:rFonts w:ascii="Arial" w:hAnsi="Arial" w:cs="Arial"/>
                <w:noProof/>
                <w:webHidden/>
                <w:sz w:val="24"/>
                <w:szCs w:val="24"/>
              </w:rPr>
              <w:fldChar w:fldCharType="end"/>
            </w:r>
          </w:hyperlink>
        </w:p>
        <w:p w14:paraId="00904296" w14:textId="77777777" w:rsidR="000B116E" w:rsidRPr="00440AEC" w:rsidRDefault="003F1181">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35" w:history="1">
            <w:r w:rsidR="000B116E" w:rsidRPr="00440AEC">
              <w:rPr>
                <w:rStyle w:val="Hyperlink"/>
                <w:rFonts w:ascii="Arial" w:hAnsi="Arial" w:cs="Arial"/>
                <w:noProof/>
                <w:sz w:val="24"/>
                <w:szCs w:val="24"/>
                <w:lang w:val="en-US"/>
              </w:rPr>
              <w:t>Task 2: Strategic Responses of Pioneering and Follower Organisations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_Toc214528435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7</w:t>
            </w:r>
            <w:r w:rsidR="000B116E" w:rsidRPr="00440AEC">
              <w:rPr>
                <w:rFonts w:ascii="Arial" w:hAnsi="Arial" w:cs="Arial"/>
                <w:noProof/>
                <w:webHidden/>
                <w:sz w:val="24"/>
                <w:szCs w:val="24"/>
              </w:rPr>
              <w:fldChar w:fldCharType="end"/>
            </w:r>
          </w:hyperlink>
        </w:p>
        <w:p w14:paraId="395716BC" w14:textId="77777777" w:rsidR="000B116E" w:rsidRPr="00440AEC" w:rsidRDefault="003F1181">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6" w:history="1">
            <w:r w:rsidR="000B116E" w:rsidRPr="00440AEC">
              <w:rPr>
                <w:rStyle w:val="Hyperlink"/>
                <w:rFonts w:ascii="Arial" w:hAnsi="Arial" w:cs="Arial"/>
                <w:noProof/>
                <w:sz w:val="24"/>
                <w:szCs w:val="24"/>
                <w:lang w:val="en-US"/>
              </w:rPr>
              <w:t>3.1 Strategic Responses of Organisations Pioneer - Apple Inc.</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_Toc214528436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7</w:t>
            </w:r>
            <w:r w:rsidR="000B116E" w:rsidRPr="00440AEC">
              <w:rPr>
                <w:rFonts w:ascii="Arial" w:hAnsi="Arial" w:cs="Arial"/>
                <w:noProof/>
                <w:webHidden/>
                <w:sz w:val="24"/>
                <w:szCs w:val="24"/>
              </w:rPr>
              <w:fldChar w:fldCharType="end"/>
            </w:r>
          </w:hyperlink>
        </w:p>
        <w:p w14:paraId="5D100483" w14:textId="77777777" w:rsidR="000B116E" w:rsidRPr="00440AEC" w:rsidRDefault="003F1181">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7" w:history="1">
            <w:r w:rsidR="000B116E" w:rsidRPr="00440AEC">
              <w:rPr>
                <w:rStyle w:val="Hyperlink"/>
                <w:rFonts w:ascii="Arial" w:hAnsi="Arial" w:cs="Arial"/>
                <w:noProof/>
                <w:sz w:val="24"/>
                <w:szCs w:val="24"/>
              </w:rPr>
              <w:t>3.2 Strategic responses of Follower Organisations - Samsung Electronics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_Toc214528437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9</w:t>
            </w:r>
            <w:r w:rsidR="000B116E" w:rsidRPr="00440AEC">
              <w:rPr>
                <w:rFonts w:ascii="Arial" w:hAnsi="Arial" w:cs="Arial"/>
                <w:noProof/>
                <w:webHidden/>
                <w:sz w:val="24"/>
                <w:szCs w:val="24"/>
              </w:rPr>
              <w:fldChar w:fldCharType="end"/>
            </w:r>
          </w:hyperlink>
        </w:p>
        <w:p w14:paraId="4A89EF34" w14:textId="77777777" w:rsidR="000B116E" w:rsidRPr="00440AEC" w:rsidRDefault="003F1181">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38" w:history="1">
            <w:r w:rsidR="000B116E" w:rsidRPr="00440AEC">
              <w:rPr>
                <w:rStyle w:val="Hyperlink"/>
                <w:rFonts w:ascii="Arial" w:hAnsi="Arial" w:cs="Arial"/>
                <w:noProof/>
                <w:sz w:val="24"/>
                <w:szCs w:val="24"/>
              </w:rPr>
              <w:t>4. Conclusion</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_Toc214528438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11</w:t>
            </w:r>
            <w:r w:rsidR="000B116E" w:rsidRPr="00440AEC">
              <w:rPr>
                <w:rFonts w:ascii="Arial" w:hAnsi="Arial" w:cs="Arial"/>
                <w:noProof/>
                <w:webHidden/>
                <w:sz w:val="24"/>
                <w:szCs w:val="24"/>
              </w:rPr>
              <w:fldChar w:fldCharType="end"/>
            </w:r>
          </w:hyperlink>
        </w:p>
        <w:p w14:paraId="28AA8106" w14:textId="77777777" w:rsidR="000B116E" w:rsidRPr="00440AEC" w:rsidRDefault="003F1181">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39" w:history="1">
            <w:r w:rsidR="000B116E" w:rsidRPr="00440AEC">
              <w:rPr>
                <w:rStyle w:val="Hyperlink"/>
                <w:rFonts w:ascii="Arial" w:hAnsi="Arial" w:cs="Arial"/>
                <w:noProof/>
                <w:sz w:val="24"/>
                <w:szCs w:val="24"/>
              </w:rPr>
              <w:t>5. References</w:t>
            </w:r>
            <w:r w:rsidR="000B116E" w:rsidRPr="00440AEC">
              <w:rPr>
                <w:rFonts w:ascii="Arial" w:hAnsi="Arial" w:cs="Arial"/>
                <w:noProof/>
                <w:webHidden/>
                <w:sz w:val="24"/>
                <w:szCs w:val="24"/>
              </w:rPr>
              <w:tab/>
            </w:r>
            <w:r w:rsidR="000B116E" w:rsidRPr="00440AEC">
              <w:rPr>
                <w:rFonts w:ascii="Arial" w:hAnsi="Arial" w:cs="Arial"/>
                <w:noProof/>
                <w:webHidden/>
                <w:sz w:val="24"/>
                <w:szCs w:val="24"/>
              </w:rPr>
              <w:fldChar w:fldCharType="begin"/>
            </w:r>
            <w:r w:rsidR="000B116E" w:rsidRPr="00440AEC">
              <w:rPr>
                <w:rFonts w:ascii="Arial" w:hAnsi="Arial" w:cs="Arial"/>
                <w:noProof/>
                <w:webHidden/>
                <w:sz w:val="24"/>
                <w:szCs w:val="24"/>
              </w:rPr>
              <w:instrText xml:space="preserve"> PAGEREF _Toc214528439 \h </w:instrText>
            </w:r>
            <w:r w:rsidR="000B116E" w:rsidRPr="00440AEC">
              <w:rPr>
                <w:rFonts w:ascii="Arial" w:hAnsi="Arial" w:cs="Arial"/>
                <w:noProof/>
                <w:webHidden/>
                <w:sz w:val="24"/>
                <w:szCs w:val="24"/>
              </w:rPr>
            </w:r>
            <w:r w:rsidR="000B116E" w:rsidRPr="00440AEC">
              <w:rPr>
                <w:rFonts w:ascii="Arial" w:hAnsi="Arial" w:cs="Arial"/>
                <w:noProof/>
                <w:webHidden/>
                <w:sz w:val="24"/>
                <w:szCs w:val="24"/>
              </w:rPr>
              <w:fldChar w:fldCharType="separate"/>
            </w:r>
            <w:r w:rsidR="000B116E" w:rsidRPr="00440AEC">
              <w:rPr>
                <w:rFonts w:ascii="Arial" w:hAnsi="Arial" w:cs="Arial"/>
                <w:noProof/>
                <w:webHidden/>
                <w:sz w:val="24"/>
                <w:szCs w:val="24"/>
              </w:rPr>
              <w:t>12</w:t>
            </w:r>
            <w:r w:rsidR="000B116E" w:rsidRPr="00440AEC">
              <w:rPr>
                <w:rFonts w:ascii="Arial" w:hAnsi="Arial" w:cs="Arial"/>
                <w:noProof/>
                <w:webHidden/>
                <w:sz w:val="24"/>
                <w:szCs w:val="24"/>
              </w:rPr>
              <w:fldChar w:fldCharType="end"/>
            </w:r>
          </w:hyperlink>
        </w:p>
        <w:p w14:paraId="177A9E47" w14:textId="457040B4" w:rsidR="00325A3E" w:rsidRPr="00440AEC" w:rsidRDefault="00325A3E">
          <w:pPr>
            <w:rPr>
              <w:rFonts w:ascii="Arial" w:hAnsi="Arial" w:cs="Arial"/>
            </w:rPr>
          </w:pPr>
          <w:r w:rsidRPr="00440AEC">
            <w:rPr>
              <w:rFonts w:ascii="Arial" w:hAnsi="Arial" w:cs="Arial"/>
              <w:b/>
              <w:bCs/>
              <w:noProof/>
            </w:rPr>
            <w:fldChar w:fldCharType="end"/>
          </w:r>
        </w:p>
      </w:sdtContent>
    </w:sdt>
    <w:p w14:paraId="2DCCDEE9" w14:textId="7BF53B5C" w:rsidR="00CB01F0" w:rsidRPr="000B116E" w:rsidRDefault="00467A68" w:rsidP="00467A68">
      <w:pPr>
        <w:pStyle w:val="TOCHeading"/>
        <w:jc w:val="center"/>
        <w:rPr>
          <w:rFonts w:ascii="Arial" w:hAnsi="Arial" w:cs="Arial"/>
          <w:color w:val="auto"/>
          <w:sz w:val="24"/>
          <w:szCs w:val="24"/>
        </w:rPr>
      </w:pPr>
      <w:r w:rsidRPr="000B116E">
        <w:rPr>
          <w:rFonts w:ascii="Arial" w:hAnsi="Arial" w:cs="Arial"/>
          <w:color w:val="auto"/>
          <w:sz w:val="24"/>
          <w:szCs w:val="24"/>
        </w:rPr>
        <w:t>List of Figures</w:t>
      </w:r>
    </w:p>
    <w:p w14:paraId="10CEC539" w14:textId="1616E069" w:rsidR="00467A68" w:rsidRPr="000B116E" w:rsidRDefault="00467A68">
      <w:pPr>
        <w:pStyle w:val="TableofFigures"/>
        <w:tabs>
          <w:tab w:val="right" w:leader="dot" w:pos="9016"/>
        </w:tabs>
        <w:rPr>
          <w:rFonts w:ascii="Arial" w:eastAsiaTheme="minorEastAsia" w:hAnsi="Arial" w:cs="Arial"/>
          <w:i w:val="0"/>
          <w:iCs w:val="0"/>
          <w:noProof/>
          <w:kern w:val="0"/>
          <w:sz w:val="24"/>
          <w:lang w:val="en-US" w:bidi="bn-BD"/>
          <w14:ligatures w14:val="none"/>
        </w:rPr>
      </w:pPr>
      <w:r w:rsidRPr="000B116E">
        <w:rPr>
          <w:rFonts w:ascii="Arial" w:hAnsi="Arial" w:cs="Arial"/>
          <w:i w:val="0"/>
          <w:sz w:val="24"/>
          <w:highlight w:val="yellow"/>
        </w:rPr>
        <w:fldChar w:fldCharType="begin"/>
      </w:r>
      <w:r w:rsidRPr="000B116E">
        <w:rPr>
          <w:rFonts w:ascii="Arial" w:hAnsi="Arial" w:cs="Arial"/>
          <w:i w:val="0"/>
          <w:sz w:val="24"/>
          <w:highlight w:val="yellow"/>
        </w:rPr>
        <w:instrText xml:space="preserve"> TOC \h \z \c "Figure" </w:instrText>
      </w:r>
      <w:r w:rsidRPr="000B116E">
        <w:rPr>
          <w:rFonts w:ascii="Arial" w:hAnsi="Arial" w:cs="Arial"/>
          <w:i w:val="0"/>
          <w:sz w:val="24"/>
          <w:highlight w:val="yellow"/>
        </w:rPr>
        <w:fldChar w:fldCharType="separate"/>
      </w:r>
      <w:hyperlink w:anchor="_Toc214491900" w:history="1">
        <w:r w:rsidRPr="000B116E">
          <w:rPr>
            <w:rStyle w:val="Hyperlink"/>
            <w:rFonts w:ascii="Arial" w:hAnsi="Arial" w:cs="Arial"/>
            <w:i w:val="0"/>
            <w:noProof/>
            <w:color w:val="auto"/>
            <w:sz w:val="24"/>
          </w:rPr>
          <w:t>Figure 1</w:t>
        </w:r>
        <w:r w:rsidRPr="000B116E">
          <w:rPr>
            <w:rStyle w:val="Hyperlink"/>
            <w:rFonts w:ascii="Arial" w:hAnsi="Arial" w:cs="Arial"/>
            <w:i w:val="0"/>
            <w:noProof/>
            <w:color w:val="auto"/>
            <w:sz w:val="24"/>
            <w:lang w:val="en-US"/>
          </w:rPr>
          <w:t>: PESTEL Analysis (Source: Akisconnect)</w:t>
        </w:r>
        <w:r w:rsidRPr="000B116E">
          <w:rPr>
            <w:rFonts w:ascii="Arial" w:hAnsi="Arial" w:cs="Arial"/>
            <w:i w:val="0"/>
            <w:noProof/>
            <w:webHidden/>
            <w:sz w:val="24"/>
          </w:rPr>
          <w:tab/>
        </w:r>
        <w:r w:rsidR="008746F0">
          <w:rPr>
            <w:rFonts w:ascii="Arial" w:hAnsi="Arial" w:cs="Arial"/>
            <w:i w:val="0"/>
            <w:noProof/>
            <w:webHidden/>
            <w:sz w:val="24"/>
          </w:rPr>
          <w:t>2</w:t>
        </w:r>
      </w:hyperlink>
    </w:p>
    <w:p w14:paraId="6770D3C0" w14:textId="0A346253" w:rsidR="00467A68" w:rsidRPr="000B116E" w:rsidRDefault="003F1181">
      <w:pPr>
        <w:pStyle w:val="TableofFigures"/>
        <w:tabs>
          <w:tab w:val="right" w:leader="dot" w:pos="9016"/>
        </w:tabs>
        <w:rPr>
          <w:rFonts w:ascii="Arial" w:eastAsiaTheme="minorEastAsia" w:hAnsi="Arial" w:cs="Arial"/>
          <w:i w:val="0"/>
          <w:iCs w:val="0"/>
          <w:noProof/>
          <w:kern w:val="0"/>
          <w:sz w:val="24"/>
          <w:lang w:val="en-US" w:bidi="bn-BD"/>
          <w14:ligatures w14:val="none"/>
        </w:rPr>
      </w:pPr>
      <w:hyperlink w:anchor="_Toc214491901" w:history="1">
        <w:r w:rsidR="00467A68" w:rsidRPr="000B116E">
          <w:rPr>
            <w:rStyle w:val="Hyperlink"/>
            <w:rFonts w:ascii="Arial" w:hAnsi="Arial" w:cs="Arial"/>
            <w:i w:val="0"/>
            <w:noProof/>
            <w:color w:val="auto"/>
            <w:sz w:val="24"/>
          </w:rPr>
          <w:t>Figure 2: Matrix</w:t>
        </w:r>
        <w:bookmarkStart w:id="8" w:name="_GoBack"/>
        <w:bookmarkEnd w:id="8"/>
        <w:r w:rsidR="00467A68" w:rsidRPr="000B116E">
          <w:rPr>
            <w:rStyle w:val="Hyperlink"/>
            <w:rFonts w:ascii="Arial" w:hAnsi="Arial" w:cs="Arial"/>
            <w:i w:val="0"/>
            <w:noProof/>
            <w:color w:val="auto"/>
            <w:sz w:val="24"/>
          </w:rPr>
          <w:t xml:space="preserve"> of Ansoff used to the battleground of Global Tech Industry</w:t>
        </w:r>
        <w:r w:rsidR="00467A68" w:rsidRPr="000B116E">
          <w:rPr>
            <w:rFonts w:ascii="Arial" w:hAnsi="Arial" w:cs="Arial"/>
            <w:i w:val="0"/>
            <w:noProof/>
            <w:webHidden/>
            <w:sz w:val="24"/>
          </w:rPr>
          <w:tab/>
        </w:r>
        <w:r w:rsidR="008746F0">
          <w:rPr>
            <w:rFonts w:ascii="Arial" w:hAnsi="Arial" w:cs="Arial"/>
            <w:i w:val="0"/>
            <w:noProof/>
            <w:webHidden/>
            <w:sz w:val="24"/>
          </w:rPr>
          <w:t>9</w:t>
        </w:r>
      </w:hyperlink>
    </w:p>
    <w:p w14:paraId="6E7867DB" w14:textId="79C31460" w:rsidR="00467A68" w:rsidRPr="000B116E" w:rsidRDefault="003F1181">
      <w:pPr>
        <w:pStyle w:val="TableofFigures"/>
        <w:tabs>
          <w:tab w:val="right" w:leader="dot" w:pos="9016"/>
        </w:tabs>
        <w:rPr>
          <w:rFonts w:ascii="Arial" w:eastAsiaTheme="minorEastAsia" w:hAnsi="Arial" w:cs="Arial"/>
          <w:i w:val="0"/>
          <w:iCs w:val="0"/>
          <w:noProof/>
          <w:kern w:val="0"/>
          <w:sz w:val="24"/>
          <w:lang w:val="en-US" w:bidi="bn-BD"/>
          <w14:ligatures w14:val="none"/>
        </w:rPr>
      </w:pPr>
      <w:hyperlink w:anchor="_Toc214491902" w:history="1">
        <w:r w:rsidR="00467A68" w:rsidRPr="000B116E">
          <w:rPr>
            <w:rStyle w:val="Hyperlink"/>
            <w:rFonts w:ascii="Arial" w:hAnsi="Arial" w:cs="Arial"/>
            <w:i w:val="0"/>
            <w:noProof/>
            <w:color w:val="auto"/>
            <w:sz w:val="24"/>
          </w:rPr>
          <w:t>Figure 3</w:t>
        </w:r>
        <w:r w:rsidR="00467A68" w:rsidRPr="000B116E">
          <w:rPr>
            <w:rStyle w:val="Hyperlink"/>
            <w:rFonts w:ascii="Arial" w:hAnsi="Arial" w:cs="Arial"/>
            <w:i w:val="0"/>
            <w:noProof/>
            <w:color w:val="auto"/>
            <w:sz w:val="24"/>
            <w:lang w:val="en-US"/>
          </w:rPr>
          <w:t xml:space="preserve">: </w:t>
        </w:r>
        <w:r w:rsidR="00467A68" w:rsidRPr="000B116E">
          <w:rPr>
            <w:rStyle w:val="Hyperlink"/>
            <w:rFonts w:ascii="Arial" w:hAnsi="Arial" w:cs="Arial"/>
            <w:i w:val="0"/>
            <w:noProof/>
            <w:color w:val="auto"/>
            <w:sz w:val="24"/>
          </w:rPr>
          <w:t>Porter's Generic Strategies (Source: Digitalleadership)</w:t>
        </w:r>
        <w:r w:rsidR="00467A68" w:rsidRPr="000B116E">
          <w:rPr>
            <w:rFonts w:ascii="Arial" w:hAnsi="Arial" w:cs="Arial"/>
            <w:i w:val="0"/>
            <w:noProof/>
            <w:webHidden/>
            <w:sz w:val="24"/>
          </w:rPr>
          <w:tab/>
        </w:r>
        <w:r w:rsidR="008746F0">
          <w:rPr>
            <w:rFonts w:ascii="Arial" w:hAnsi="Arial" w:cs="Arial"/>
            <w:i w:val="0"/>
            <w:noProof/>
            <w:webHidden/>
            <w:sz w:val="24"/>
          </w:rPr>
          <w:t>9</w:t>
        </w:r>
      </w:hyperlink>
    </w:p>
    <w:p w14:paraId="485F857E" w14:textId="679576E3" w:rsidR="00DD54B8" w:rsidRDefault="00467A68" w:rsidP="000B116E">
      <w:pPr>
        <w:rPr>
          <w:highlight w:val="yellow"/>
        </w:rPr>
        <w:sectPr w:rsidR="00DD54B8">
          <w:footerReference w:type="default" r:id="rId9"/>
          <w:pgSz w:w="11906" w:h="16838"/>
          <w:pgMar w:top="1440" w:right="1440" w:bottom="1440" w:left="1440" w:header="708" w:footer="708" w:gutter="0"/>
          <w:cols w:space="708"/>
          <w:docGrid w:linePitch="360"/>
        </w:sectPr>
      </w:pPr>
      <w:r w:rsidRPr="000B116E">
        <w:rPr>
          <w:rFonts w:ascii="Arial" w:hAnsi="Arial" w:cs="Arial"/>
          <w:highlight w:val="yellow"/>
        </w:rPr>
        <w:fldChar w:fldCharType="end"/>
      </w:r>
      <w:r w:rsidR="00CB01F0" w:rsidRPr="00DD54B8">
        <w:rPr>
          <w:highlight w:val="yellow"/>
        </w:rPr>
        <w:br w:type="page"/>
      </w:r>
    </w:p>
    <w:p w14:paraId="14B123F0" w14:textId="1D8D14B1" w:rsidR="00DE5D5B" w:rsidRPr="00DD54B8" w:rsidRDefault="00DE5D5B" w:rsidP="000B116E">
      <w:pPr>
        <w:pStyle w:val="Heading1"/>
        <w:spacing w:before="0"/>
        <w:rPr>
          <w:rFonts w:ascii="Arial" w:hAnsi="Arial" w:cs="Arial"/>
          <w:color w:val="auto"/>
        </w:rPr>
      </w:pPr>
      <w:bookmarkStart w:id="9" w:name="_Toc214528428"/>
      <w:r w:rsidRPr="00DD54B8">
        <w:rPr>
          <w:rStyle w:val="Heading1Char"/>
          <w:rFonts w:ascii="Arial" w:hAnsi="Arial" w:cs="Arial"/>
          <w:color w:val="auto"/>
        </w:rPr>
        <w:lastRenderedPageBreak/>
        <w:t>1. Introduction</w:t>
      </w:r>
      <w:bookmarkEnd w:id="9"/>
    </w:p>
    <w:p w14:paraId="56AF1BDC" w14:textId="358DE755" w:rsidR="006364F2" w:rsidRPr="00DD54B8" w:rsidRDefault="006364F2" w:rsidP="000B116E">
      <w:pPr>
        <w:spacing w:after="80" w:line="360" w:lineRule="auto"/>
        <w:jc w:val="both"/>
        <w:rPr>
          <w:rFonts w:ascii="Arial" w:eastAsiaTheme="majorEastAsia" w:hAnsi="Arial" w:cs="Arial"/>
          <w:lang w:val="en-US"/>
        </w:rPr>
      </w:pPr>
      <w:r w:rsidRPr="00DD54B8">
        <w:rPr>
          <w:rFonts w:ascii="Arial" w:eastAsiaTheme="majorEastAsia" w:hAnsi="Arial" w:cs="Arial"/>
          <w:lang w:val="en-US"/>
        </w:rPr>
        <w:t xml:space="preserve">The external marketing environment in the contemporary hyper-competitive global economy is a paramount part of strategic marketing management. It helps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to predict opportunities and threats, manage resources efficiently, and maintain competitive advantage (Kotler and Keller</w:t>
      </w:r>
      <w:r w:rsidR="00417591">
        <w:rPr>
          <w:rFonts w:ascii="Arial" w:eastAsiaTheme="majorEastAsia" w:hAnsi="Arial" w:cs="Arial"/>
          <w:lang w:val="en-US"/>
        </w:rPr>
        <w:t>,</w:t>
      </w:r>
      <w:r w:rsidRPr="00DD54B8">
        <w:rPr>
          <w:rFonts w:ascii="Arial" w:eastAsiaTheme="majorEastAsia" w:hAnsi="Arial" w:cs="Arial"/>
          <w:lang w:val="en-US"/>
        </w:rPr>
        <w:t xml:space="preserve"> 2023). Technology is a highly innovative sector, digital ecosystem convergence, and the industry is highly regulated, so it is a wonderful opportunity to study the environmental dynamics that influence marketing strategies (Grant</w:t>
      </w:r>
      <w:r w:rsidR="00417591">
        <w:rPr>
          <w:rFonts w:ascii="Arial" w:eastAsiaTheme="majorEastAsia" w:hAnsi="Arial" w:cs="Arial"/>
          <w:lang w:val="en-US"/>
        </w:rPr>
        <w:t>,</w:t>
      </w:r>
      <w:r w:rsidRPr="00DD54B8">
        <w:rPr>
          <w:rFonts w:ascii="Arial" w:eastAsiaTheme="majorEastAsia" w:hAnsi="Arial" w:cs="Arial"/>
          <w:lang w:val="en-US"/>
        </w:rPr>
        <w:t xml:space="preserve"> 2022).</w:t>
      </w:r>
    </w:p>
    <w:p w14:paraId="16CC9ED1" w14:textId="65128B0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report concentrates on two priority macro-environmental factors of the PESTEL framework-Technological and Legal factors-that have brought about a transformative impact to the technology industry across the world. New products and customer engagement model can be achieved through technological change, such as artificial intelligence, automation, and cloud computing (</w:t>
      </w:r>
      <w:proofErr w:type="spellStart"/>
      <w:r w:rsidRPr="00DD54B8">
        <w:rPr>
          <w:rFonts w:ascii="Arial" w:eastAsiaTheme="majorEastAsia" w:hAnsi="Arial" w:cs="Arial"/>
          <w:lang w:val="en-US"/>
        </w:rPr>
        <w:t>Narver</w:t>
      </w:r>
      <w:proofErr w:type="spellEnd"/>
      <w:r w:rsidRPr="00DD54B8">
        <w:rPr>
          <w:rFonts w:ascii="Arial" w:eastAsiaTheme="majorEastAsia" w:hAnsi="Arial" w:cs="Arial"/>
          <w:lang w:val="en-US"/>
        </w:rPr>
        <w:t xml:space="preserve"> and Slater</w:t>
      </w:r>
      <w:r w:rsidR="00417591">
        <w:rPr>
          <w:rFonts w:ascii="Arial" w:eastAsiaTheme="majorEastAsia" w:hAnsi="Arial" w:cs="Arial"/>
          <w:lang w:val="en-US"/>
        </w:rPr>
        <w:t>,</w:t>
      </w:r>
      <w:r w:rsidRPr="00DD54B8">
        <w:rPr>
          <w:rFonts w:ascii="Arial" w:eastAsiaTheme="majorEastAsia" w:hAnsi="Arial" w:cs="Arial"/>
          <w:lang w:val="en-US"/>
        </w:rPr>
        <w:t xml:space="preserve"> 2020). In the meantime, legal settings, in particular, related to data protection, intellectual-property rights, and antitrust oversight provide both limitations and strategic demands on technology companies (Porter &amp; </w:t>
      </w:r>
      <w:proofErr w:type="spellStart"/>
      <w:r w:rsidRPr="00DD54B8">
        <w:rPr>
          <w:rFonts w:ascii="Arial" w:eastAsiaTheme="majorEastAsia" w:hAnsi="Arial" w:cs="Arial"/>
          <w:lang w:val="en-US"/>
        </w:rPr>
        <w:t>Heppelmann</w:t>
      </w:r>
      <w:proofErr w:type="spellEnd"/>
      <w:r w:rsidR="00417591">
        <w:rPr>
          <w:rFonts w:ascii="Arial" w:eastAsiaTheme="majorEastAsia" w:hAnsi="Arial" w:cs="Arial"/>
          <w:lang w:val="en-US"/>
        </w:rPr>
        <w:t>,</w:t>
      </w:r>
      <w:r w:rsidRPr="00DD54B8">
        <w:rPr>
          <w:rFonts w:ascii="Arial" w:eastAsiaTheme="majorEastAsia" w:hAnsi="Arial" w:cs="Arial"/>
          <w:lang w:val="en-US"/>
        </w:rPr>
        <w:t xml:space="preserve"> 2021).</w:t>
      </w:r>
    </w:p>
    <w:p w14:paraId="42F56DE0"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report uses Apple Inc. as an exemplary </w:t>
      </w:r>
      <w:proofErr w:type="spellStart"/>
      <w:r w:rsidRPr="00DD54B8">
        <w:rPr>
          <w:rFonts w:ascii="Arial" w:eastAsiaTheme="majorEastAsia" w:hAnsi="Arial" w:cs="Arial"/>
          <w:lang w:val="en-US"/>
        </w:rPr>
        <w:t>organisation</w:t>
      </w:r>
      <w:proofErr w:type="spellEnd"/>
      <w:r w:rsidRPr="00DD54B8">
        <w:rPr>
          <w:rFonts w:ascii="Arial" w:eastAsiaTheme="majorEastAsia" w:hAnsi="Arial" w:cs="Arial"/>
          <w:lang w:val="en-US"/>
        </w:rPr>
        <w:t xml:space="preserve"> that is a leader in innovation and Samsung Electronics as a follower company that has the skill to adapt strategically. Task 1 is a critical investigation into the opportunity and threat created by technological and legal change to these firms, whereas Task 2 is an assessment of their strategy responses through the lens of theory like Ansoff Matrix and Porters Generic Strategies. The conclusion will also </w:t>
      </w:r>
      <w:proofErr w:type="spellStart"/>
      <w:r w:rsidRPr="00DD54B8">
        <w:rPr>
          <w:rFonts w:ascii="Arial" w:eastAsiaTheme="majorEastAsia" w:hAnsi="Arial" w:cs="Arial"/>
          <w:lang w:val="en-US"/>
        </w:rPr>
        <w:t>summarise</w:t>
      </w:r>
      <w:proofErr w:type="spellEnd"/>
      <w:r w:rsidRPr="00DD54B8">
        <w:rPr>
          <w:rFonts w:ascii="Arial" w:eastAsiaTheme="majorEastAsia" w:hAnsi="Arial" w:cs="Arial"/>
          <w:lang w:val="en-US"/>
        </w:rPr>
        <w:t xml:space="preserve"> the most important findings to underscore the strategic significance of constant environmental scanning and dynamic marketing response.</w:t>
      </w:r>
    </w:p>
    <w:p w14:paraId="5C84FBD2" w14:textId="77777777" w:rsidR="006364F2" w:rsidRPr="00DD54B8" w:rsidRDefault="006364F2" w:rsidP="006364F2">
      <w:pPr>
        <w:spacing w:line="360" w:lineRule="auto"/>
        <w:jc w:val="both"/>
        <w:rPr>
          <w:rFonts w:ascii="Arial" w:eastAsiaTheme="majorEastAsia" w:hAnsi="Arial" w:cs="Arial"/>
          <w:lang w:val="en-US"/>
        </w:rPr>
      </w:pPr>
    </w:p>
    <w:p w14:paraId="06EB214A" w14:textId="77777777" w:rsidR="00DB3C6A" w:rsidRPr="00DD54B8" w:rsidRDefault="00DB3C6A" w:rsidP="00DD54B8">
      <w:pPr>
        <w:rPr>
          <w:rFonts w:ascii="Arial" w:hAnsi="Arial" w:cs="Arial"/>
          <w:lang w:val="en-US"/>
        </w:rPr>
      </w:pPr>
    </w:p>
    <w:p w14:paraId="384BFBA4" w14:textId="77777777" w:rsidR="00DB3C6A" w:rsidRPr="00DD54B8" w:rsidRDefault="00DB3C6A">
      <w:pPr>
        <w:rPr>
          <w:rFonts w:ascii="Arial" w:eastAsiaTheme="majorEastAsia" w:hAnsi="Arial" w:cs="Arial"/>
          <w:sz w:val="36"/>
          <w:szCs w:val="36"/>
          <w:lang w:val="en-US"/>
        </w:rPr>
      </w:pPr>
      <w:r w:rsidRPr="00DD54B8">
        <w:rPr>
          <w:rFonts w:ascii="Arial" w:hAnsi="Arial" w:cs="Arial"/>
          <w:sz w:val="36"/>
          <w:szCs w:val="36"/>
          <w:lang w:val="en-US"/>
        </w:rPr>
        <w:br w:type="page"/>
      </w:r>
    </w:p>
    <w:p w14:paraId="74BD9222" w14:textId="56E207A4" w:rsidR="006364F2" w:rsidRPr="00DD54B8" w:rsidRDefault="006364F2" w:rsidP="00DB3C6A">
      <w:pPr>
        <w:pStyle w:val="Heading1"/>
        <w:rPr>
          <w:rFonts w:ascii="Arial" w:hAnsi="Arial" w:cs="Arial"/>
          <w:color w:val="auto"/>
          <w:sz w:val="36"/>
          <w:szCs w:val="36"/>
          <w:lang w:val="en-US"/>
        </w:rPr>
      </w:pPr>
      <w:bookmarkStart w:id="10" w:name="_Toc214528429"/>
      <w:r w:rsidRPr="00DD54B8">
        <w:rPr>
          <w:rFonts w:ascii="Arial" w:hAnsi="Arial" w:cs="Arial"/>
          <w:color w:val="auto"/>
          <w:sz w:val="36"/>
          <w:szCs w:val="36"/>
          <w:lang w:val="en-US"/>
        </w:rPr>
        <w:lastRenderedPageBreak/>
        <w:t>Task 1: Macro Marketing Environment Critica</w:t>
      </w:r>
      <w:r w:rsidR="00DB3C6A" w:rsidRPr="00DD54B8">
        <w:rPr>
          <w:rFonts w:ascii="Arial" w:hAnsi="Arial" w:cs="Arial"/>
          <w:color w:val="auto"/>
          <w:sz w:val="36"/>
          <w:szCs w:val="36"/>
          <w:lang w:val="en-US"/>
        </w:rPr>
        <w:t>l Analysis</w:t>
      </w:r>
      <w:bookmarkEnd w:id="10"/>
    </w:p>
    <w:p w14:paraId="279C234E" w14:textId="432EF31B"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However, the performance of marketing of a firm is determined not only by internal capabilities of a firm but also by external macro-environmental forces that define the situation in the industry and strategic flexibility. In the case of technology companies operating in fast-paced markets, these external forces are critical to strategic marketing management (Kotler and Keller</w:t>
      </w:r>
      <w:r w:rsidR="00417591">
        <w:rPr>
          <w:rFonts w:ascii="Arial" w:eastAsiaTheme="majorEastAsia" w:hAnsi="Arial" w:cs="Arial"/>
          <w:lang w:val="en-US"/>
        </w:rPr>
        <w:t>,</w:t>
      </w:r>
      <w:r w:rsidRPr="00DD54B8">
        <w:rPr>
          <w:rFonts w:ascii="Arial" w:eastAsiaTheme="majorEastAsia" w:hAnsi="Arial" w:cs="Arial"/>
          <w:lang w:val="en-US"/>
        </w:rPr>
        <w:t xml:space="preserve"> 2023). The macro environment presents the general contextual forces which can affect consumer </w:t>
      </w:r>
      <w:proofErr w:type="spellStart"/>
      <w:r w:rsidRPr="00DD54B8">
        <w:rPr>
          <w:rFonts w:ascii="Arial" w:eastAsiaTheme="majorEastAsia" w:hAnsi="Arial" w:cs="Arial"/>
          <w:lang w:val="en-US"/>
        </w:rPr>
        <w:t>behaviour</w:t>
      </w:r>
      <w:proofErr w:type="spellEnd"/>
      <w:r w:rsidRPr="00DD54B8">
        <w:rPr>
          <w:rFonts w:ascii="Arial" w:eastAsiaTheme="majorEastAsia" w:hAnsi="Arial" w:cs="Arial"/>
          <w:lang w:val="en-US"/>
        </w:rPr>
        <w:t>, innovations, and competitive positioning: political, economic, social, technological, environmental, and legal (Grant</w:t>
      </w:r>
      <w:r w:rsidR="00417591">
        <w:rPr>
          <w:rFonts w:ascii="Arial" w:eastAsiaTheme="majorEastAsia" w:hAnsi="Arial" w:cs="Arial"/>
          <w:lang w:val="en-US"/>
        </w:rPr>
        <w:t>,</w:t>
      </w:r>
      <w:r w:rsidRPr="00DD54B8">
        <w:rPr>
          <w:rFonts w:ascii="Arial" w:eastAsiaTheme="majorEastAsia" w:hAnsi="Arial" w:cs="Arial"/>
          <w:lang w:val="en-US"/>
        </w:rPr>
        <w:t xml:space="preserve"> 2022). This section uses the PESTEL model to critically examine two such </w:t>
      </w:r>
      <w:r w:rsidR="006559B2" w:rsidRPr="00DD54B8">
        <w:rPr>
          <w:rFonts w:ascii="Arial" w:eastAsiaTheme="majorEastAsia" w:hAnsi="Arial" w:cs="Arial"/>
          <w:lang w:val="en-US"/>
        </w:rPr>
        <w:t>factors</w:t>
      </w:r>
      <w:r w:rsidRPr="00DD54B8">
        <w:rPr>
          <w:rFonts w:ascii="Arial" w:eastAsiaTheme="majorEastAsia" w:hAnsi="Arial" w:cs="Arial"/>
          <w:lang w:val="en-US"/>
        </w:rPr>
        <w:t xml:space="preserve"> namely technological and legal factors and assess the ways the factors present opportunities and threats to pioneering and follower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in the world of global technology.</w:t>
      </w:r>
    </w:p>
    <w:p w14:paraId="2C03320A" w14:textId="3E7016EC" w:rsidR="006364F2" w:rsidRPr="00DD54B8" w:rsidRDefault="006364F2" w:rsidP="00DB3C6A">
      <w:pPr>
        <w:pStyle w:val="Heading2"/>
        <w:rPr>
          <w:rFonts w:ascii="Arial" w:hAnsi="Arial" w:cs="Arial"/>
          <w:color w:val="auto"/>
          <w:lang w:val="en-US"/>
        </w:rPr>
      </w:pPr>
      <w:bookmarkStart w:id="11" w:name="_Toc214528430"/>
      <w:r w:rsidRPr="00DD54B8">
        <w:rPr>
          <w:rFonts w:ascii="Arial" w:hAnsi="Arial" w:cs="Arial"/>
          <w:color w:val="auto"/>
          <w:lang w:val="en-US"/>
        </w:rPr>
        <w:t>2.1 Macro</w:t>
      </w:r>
      <w:r w:rsidR="003160ED" w:rsidRPr="00DD54B8">
        <w:rPr>
          <w:rFonts w:ascii="Arial" w:hAnsi="Arial" w:cs="Arial"/>
          <w:color w:val="auto"/>
          <w:lang w:val="en-US"/>
        </w:rPr>
        <w:t xml:space="preserve"> Marketing Environment Overview</w:t>
      </w:r>
      <w:bookmarkEnd w:id="11"/>
    </w:p>
    <w:p w14:paraId="11A38725" w14:textId="291D4762"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macro marketing environment can be defined by the external conditions which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cannot directly influence yet need to keep track of and adjust to at all </w:t>
      </w:r>
      <w:r w:rsidR="00DB3C6A" w:rsidRPr="00DD54B8">
        <w:rPr>
          <w:rFonts w:ascii="Arial" w:eastAsiaTheme="majorEastAsia" w:hAnsi="Arial" w:cs="Arial"/>
          <w:lang w:val="en-US"/>
        </w:rPr>
        <w:t>time</w:t>
      </w:r>
      <w:r w:rsidRPr="00DD54B8">
        <w:rPr>
          <w:rFonts w:ascii="Arial" w:eastAsiaTheme="majorEastAsia" w:hAnsi="Arial" w:cs="Arial"/>
          <w:lang w:val="en-US"/>
        </w:rPr>
        <w:t xml:space="preserve"> (Johnson, Scholes and Whittington</w:t>
      </w:r>
      <w:r w:rsidR="00417591">
        <w:rPr>
          <w:rFonts w:ascii="Arial" w:eastAsiaTheme="majorEastAsia" w:hAnsi="Arial" w:cs="Arial"/>
          <w:lang w:val="en-US"/>
        </w:rPr>
        <w:t>,</w:t>
      </w:r>
      <w:r w:rsidRPr="00DD54B8">
        <w:rPr>
          <w:rFonts w:ascii="Arial" w:eastAsiaTheme="majorEastAsia" w:hAnsi="Arial" w:cs="Arial"/>
          <w:lang w:val="en-US"/>
        </w:rPr>
        <w:t xml:space="preserve"> 2020). These are </w:t>
      </w:r>
      <w:proofErr w:type="spellStart"/>
      <w:r w:rsidRPr="00DD54B8">
        <w:rPr>
          <w:rFonts w:ascii="Arial" w:eastAsiaTheme="majorEastAsia" w:hAnsi="Arial" w:cs="Arial"/>
          <w:lang w:val="en-US"/>
        </w:rPr>
        <w:t>analysed</w:t>
      </w:r>
      <w:proofErr w:type="spellEnd"/>
      <w:r w:rsidRPr="00DD54B8">
        <w:rPr>
          <w:rFonts w:ascii="Arial" w:eastAsiaTheme="majorEastAsia" w:hAnsi="Arial" w:cs="Arial"/>
          <w:lang w:val="en-US"/>
        </w:rPr>
        <w:t xml:space="preserve"> together by the use of PESTEL model that classifies the environment into six dimensions-Political, Economic, Social, Technological, Environmental and Legal. The model helps the marketer to determine the impact of change in regulation, innovation, social-cultural values, or global trade patterns on strategic decision making (</w:t>
      </w:r>
      <w:proofErr w:type="spellStart"/>
      <w:r w:rsidRPr="00DD54B8">
        <w:rPr>
          <w:rFonts w:ascii="Arial" w:eastAsiaTheme="majorEastAsia" w:hAnsi="Arial" w:cs="Arial"/>
          <w:lang w:val="en-US"/>
        </w:rPr>
        <w:t>Yuksel</w:t>
      </w:r>
      <w:proofErr w:type="spellEnd"/>
      <w:r w:rsidR="00417591">
        <w:rPr>
          <w:rFonts w:ascii="Arial" w:eastAsiaTheme="majorEastAsia" w:hAnsi="Arial" w:cs="Arial"/>
          <w:lang w:val="en-US"/>
        </w:rPr>
        <w:t>,</w:t>
      </w:r>
      <w:r w:rsidRPr="00DD54B8">
        <w:rPr>
          <w:rFonts w:ascii="Arial" w:eastAsiaTheme="majorEastAsia" w:hAnsi="Arial" w:cs="Arial"/>
          <w:lang w:val="en-US"/>
        </w:rPr>
        <w:t xml:space="preserve"> 2012).</w:t>
      </w:r>
    </w:p>
    <w:p w14:paraId="51A33602" w14:textId="77777777" w:rsidR="003160ED" w:rsidRPr="00DD54B8" w:rsidRDefault="003160ED" w:rsidP="003160ED">
      <w:pPr>
        <w:spacing w:after="240" w:line="360" w:lineRule="auto"/>
        <w:jc w:val="center"/>
        <w:rPr>
          <w:rFonts w:ascii="Arial" w:eastAsiaTheme="majorEastAsia" w:hAnsi="Arial" w:cs="Arial"/>
          <w:lang w:val="en-US"/>
        </w:rPr>
      </w:pPr>
      <w:r w:rsidRPr="00DD54B8">
        <w:rPr>
          <w:rFonts w:ascii="Arial" w:eastAsiaTheme="majorEastAsia" w:hAnsi="Arial" w:cs="Arial"/>
          <w:noProof/>
          <w:lang w:val="en-US"/>
        </w:rPr>
        <w:drawing>
          <wp:inline distT="0" distB="0" distL="0" distR="0" wp14:anchorId="072EACD1" wp14:editId="04395FFB">
            <wp:extent cx="2673310" cy="2743200"/>
            <wp:effectExtent l="0" t="0" r="0" b="0"/>
            <wp:docPr id="4" name="Picture 4" descr="Tool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Tool cover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3310" cy="2743200"/>
                    </a:xfrm>
                    <a:prstGeom prst="rect">
                      <a:avLst/>
                    </a:prstGeom>
                    <a:noFill/>
                    <a:ln>
                      <a:noFill/>
                    </a:ln>
                  </pic:spPr>
                </pic:pic>
              </a:graphicData>
            </a:graphic>
          </wp:inline>
        </w:drawing>
      </w:r>
    </w:p>
    <w:p w14:paraId="2823C520" w14:textId="75A35430" w:rsidR="003160ED" w:rsidRPr="00DD54B8" w:rsidRDefault="003160ED" w:rsidP="003160ED">
      <w:pPr>
        <w:pStyle w:val="Caption"/>
        <w:jc w:val="center"/>
        <w:rPr>
          <w:rFonts w:ascii="Arial" w:eastAsiaTheme="majorEastAsia" w:hAnsi="Arial" w:cs="Arial"/>
          <w:color w:val="auto"/>
          <w:sz w:val="20"/>
          <w:szCs w:val="20"/>
          <w:lang w:val="en-US"/>
        </w:rPr>
      </w:pPr>
      <w:bookmarkStart w:id="12" w:name="_Toc214491900"/>
      <w:r w:rsidRPr="00DD54B8">
        <w:rPr>
          <w:rFonts w:ascii="Arial" w:hAnsi="Arial" w:cs="Arial"/>
          <w:color w:val="auto"/>
          <w:sz w:val="24"/>
          <w:szCs w:val="24"/>
        </w:rPr>
        <w:t xml:space="preserve">Figure </w:t>
      </w:r>
      <w:r w:rsidRPr="00DD54B8">
        <w:rPr>
          <w:rFonts w:ascii="Arial" w:hAnsi="Arial" w:cs="Arial"/>
          <w:color w:val="auto"/>
          <w:sz w:val="24"/>
          <w:szCs w:val="24"/>
        </w:rPr>
        <w:fldChar w:fldCharType="begin"/>
      </w:r>
      <w:r w:rsidRPr="00DD54B8">
        <w:rPr>
          <w:rFonts w:ascii="Arial" w:hAnsi="Arial" w:cs="Arial"/>
          <w:color w:val="auto"/>
          <w:sz w:val="24"/>
          <w:szCs w:val="24"/>
        </w:rPr>
        <w:instrText xml:space="preserve"> SEQ Figure \* ARABIC </w:instrText>
      </w:r>
      <w:r w:rsidRPr="00DD54B8">
        <w:rPr>
          <w:rFonts w:ascii="Arial" w:hAnsi="Arial" w:cs="Arial"/>
          <w:color w:val="auto"/>
          <w:sz w:val="24"/>
          <w:szCs w:val="24"/>
        </w:rPr>
        <w:fldChar w:fldCharType="separate"/>
      </w:r>
      <w:r w:rsidRPr="00DD54B8">
        <w:rPr>
          <w:rFonts w:ascii="Arial" w:hAnsi="Arial" w:cs="Arial"/>
          <w:noProof/>
          <w:color w:val="auto"/>
          <w:sz w:val="24"/>
          <w:szCs w:val="24"/>
        </w:rPr>
        <w:t>1</w:t>
      </w:r>
      <w:r w:rsidRPr="00DD54B8">
        <w:rPr>
          <w:rFonts w:ascii="Arial" w:hAnsi="Arial" w:cs="Arial"/>
          <w:color w:val="auto"/>
          <w:sz w:val="24"/>
          <w:szCs w:val="24"/>
        </w:rPr>
        <w:fldChar w:fldCharType="end"/>
      </w:r>
      <w:r w:rsidRPr="00DD54B8">
        <w:rPr>
          <w:rFonts w:ascii="Arial" w:hAnsi="Arial" w:cs="Arial"/>
          <w:color w:val="auto"/>
          <w:sz w:val="24"/>
          <w:szCs w:val="24"/>
          <w:lang w:val="en-US"/>
        </w:rPr>
        <w:t xml:space="preserve">: </w:t>
      </w:r>
      <w:r w:rsidRPr="00DD54B8">
        <w:rPr>
          <w:rFonts w:ascii="Arial" w:hAnsi="Arial" w:cs="Arial"/>
          <w:i w:val="0"/>
          <w:iCs w:val="0"/>
          <w:color w:val="auto"/>
          <w:sz w:val="24"/>
          <w:szCs w:val="24"/>
          <w:lang w:val="en-US"/>
        </w:rPr>
        <w:t xml:space="preserve">PESTEL Analysis </w:t>
      </w:r>
      <w:r w:rsidRPr="00DD54B8">
        <w:rPr>
          <w:rFonts w:ascii="Arial" w:hAnsi="Arial" w:cs="Arial"/>
          <w:i w:val="0"/>
          <w:iCs w:val="0"/>
          <w:color w:val="auto"/>
          <w:sz w:val="20"/>
          <w:szCs w:val="20"/>
          <w:lang w:val="en-US"/>
        </w:rPr>
        <w:t>(</w:t>
      </w:r>
      <w:r w:rsidRPr="00DD54B8">
        <w:rPr>
          <w:rFonts w:ascii="Arial" w:hAnsi="Arial" w:cs="Arial"/>
          <w:color w:val="auto"/>
          <w:sz w:val="20"/>
          <w:szCs w:val="20"/>
          <w:lang w:val="en-US"/>
        </w:rPr>
        <w:t>Source:</w:t>
      </w:r>
      <w:r w:rsidRPr="00DD54B8">
        <w:rPr>
          <w:rFonts w:ascii="Arial" w:hAnsi="Arial" w:cs="Arial"/>
          <w:i w:val="0"/>
          <w:iCs w:val="0"/>
          <w:color w:val="auto"/>
          <w:sz w:val="20"/>
          <w:szCs w:val="20"/>
          <w:lang w:val="en-US"/>
        </w:rPr>
        <w:t xml:space="preserve"> </w:t>
      </w:r>
      <w:hyperlink r:id="rId11" w:history="1">
        <w:proofErr w:type="spellStart"/>
        <w:r w:rsidRPr="00DD54B8">
          <w:rPr>
            <w:rStyle w:val="Hyperlink"/>
            <w:rFonts w:ascii="Arial" w:hAnsi="Arial" w:cs="Arial"/>
            <w:i w:val="0"/>
            <w:iCs w:val="0"/>
            <w:color w:val="auto"/>
            <w:sz w:val="20"/>
            <w:szCs w:val="20"/>
            <w:lang w:val="en-US"/>
          </w:rPr>
          <w:t>Akisconnect</w:t>
        </w:r>
        <w:proofErr w:type="spellEnd"/>
      </w:hyperlink>
      <w:r w:rsidRPr="00DD54B8">
        <w:rPr>
          <w:rFonts w:ascii="Arial" w:hAnsi="Arial" w:cs="Arial"/>
          <w:i w:val="0"/>
          <w:iCs w:val="0"/>
          <w:color w:val="auto"/>
          <w:sz w:val="20"/>
          <w:szCs w:val="20"/>
          <w:lang w:val="en-US"/>
        </w:rPr>
        <w:t>)</w:t>
      </w:r>
      <w:bookmarkEnd w:id="12"/>
    </w:p>
    <w:p w14:paraId="4984644B" w14:textId="660DA50D"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lastRenderedPageBreak/>
        <w:t>Macro-environmental analysis in the technology sector is decisive in strategic marketing efforts, specifically on product development and market penetration and risk management (West, Ford and Ibrahim</w:t>
      </w:r>
      <w:r w:rsidR="00417591">
        <w:rPr>
          <w:rFonts w:ascii="Arial" w:eastAsiaTheme="majorEastAsia" w:hAnsi="Arial" w:cs="Arial"/>
          <w:lang w:val="en-US"/>
        </w:rPr>
        <w:t>,</w:t>
      </w:r>
      <w:r w:rsidRPr="00DD54B8">
        <w:rPr>
          <w:rFonts w:ascii="Arial" w:eastAsiaTheme="majorEastAsia" w:hAnsi="Arial" w:cs="Arial"/>
          <w:lang w:val="en-US"/>
        </w:rPr>
        <w:t xml:space="preserve"> 2015). The life cycle of innovation is driven by technology change which affects the rate at which new products are introduced and those ones are phased away. Law also limits the extent of competitive action, whether it is an obligation to protect data or a right to defend intellectual property (OECD</w:t>
      </w:r>
      <w:r w:rsidR="00417591">
        <w:rPr>
          <w:rFonts w:ascii="Arial" w:eastAsiaTheme="majorEastAsia" w:hAnsi="Arial" w:cs="Arial"/>
          <w:lang w:val="en-US"/>
        </w:rPr>
        <w:t>,</w:t>
      </w:r>
      <w:r w:rsidRPr="00DD54B8">
        <w:rPr>
          <w:rFonts w:ascii="Arial" w:eastAsiaTheme="majorEastAsia" w:hAnsi="Arial" w:cs="Arial"/>
          <w:lang w:val="en-US"/>
        </w:rPr>
        <w:t xml:space="preserve"> 2023).</w:t>
      </w:r>
    </w:p>
    <w:p w14:paraId="77086084" w14:textId="4745C715"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In the case of innovating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like Apple Inc., the scanning of the environment enables them to foresee the trends and sustain the first mover position with the help of innovation and integration of the ecosystem (</w:t>
      </w:r>
      <w:proofErr w:type="spellStart"/>
      <w:r w:rsidRPr="00DD54B8">
        <w:rPr>
          <w:rFonts w:ascii="Arial" w:eastAsiaTheme="majorEastAsia" w:hAnsi="Arial" w:cs="Arial"/>
          <w:lang w:val="en-US"/>
        </w:rPr>
        <w:t>Narver</w:t>
      </w:r>
      <w:proofErr w:type="spellEnd"/>
      <w:r w:rsidRPr="00DD54B8">
        <w:rPr>
          <w:rFonts w:ascii="Arial" w:eastAsiaTheme="majorEastAsia" w:hAnsi="Arial" w:cs="Arial"/>
          <w:lang w:val="en-US"/>
        </w:rPr>
        <w:t xml:space="preserve"> and Slater</w:t>
      </w:r>
      <w:r w:rsidR="00417591">
        <w:rPr>
          <w:rFonts w:ascii="Arial" w:eastAsiaTheme="majorEastAsia" w:hAnsi="Arial" w:cs="Arial"/>
          <w:lang w:val="en-US"/>
        </w:rPr>
        <w:t>,</w:t>
      </w:r>
      <w:r w:rsidRPr="00DD54B8">
        <w:rPr>
          <w:rFonts w:ascii="Arial" w:eastAsiaTheme="majorEastAsia" w:hAnsi="Arial" w:cs="Arial"/>
          <w:lang w:val="en-US"/>
        </w:rPr>
        <w:t xml:space="preserve"> 2020). In the case of follower firms such as Samsung Electronics, the macro analysis facilitates the adaptive imitation, cost </w:t>
      </w:r>
      <w:proofErr w:type="spellStart"/>
      <w:r w:rsidRPr="00DD54B8">
        <w:rPr>
          <w:rFonts w:ascii="Arial" w:eastAsiaTheme="majorEastAsia" w:hAnsi="Arial" w:cs="Arial"/>
          <w:lang w:val="en-US"/>
        </w:rPr>
        <w:t>optimisation</w:t>
      </w:r>
      <w:proofErr w:type="spellEnd"/>
      <w:r w:rsidRPr="00DD54B8">
        <w:rPr>
          <w:rFonts w:ascii="Arial" w:eastAsiaTheme="majorEastAsia" w:hAnsi="Arial" w:cs="Arial"/>
          <w:lang w:val="en-US"/>
        </w:rPr>
        <w:t xml:space="preserve">, and speedy reaction to the changes in regulations or technology (Porter and </w:t>
      </w:r>
      <w:proofErr w:type="spellStart"/>
      <w:r w:rsidRPr="00DD54B8">
        <w:rPr>
          <w:rFonts w:ascii="Arial" w:eastAsiaTheme="majorEastAsia" w:hAnsi="Arial" w:cs="Arial"/>
          <w:lang w:val="en-US"/>
        </w:rPr>
        <w:t>Heppelmann</w:t>
      </w:r>
      <w:proofErr w:type="spellEnd"/>
      <w:r w:rsidR="00417591">
        <w:rPr>
          <w:rFonts w:ascii="Arial" w:eastAsiaTheme="majorEastAsia" w:hAnsi="Arial" w:cs="Arial"/>
          <w:lang w:val="en-US"/>
        </w:rPr>
        <w:t>,</w:t>
      </w:r>
      <w:r w:rsidRPr="00DD54B8">
        <w:rPr>
          <w:rFonts w:ascii="Arial" w:eastAsiaTheme="majorEastAsia" w:hAnsi="Arial" w:cs="Arial"/>
          <w:lang w:val="en-US"/>
        </w:rPr>
        <w:t xml:space="preserve"> 2021). As such, the macro environment does not only affect strategic opportunities but also distinguishes the ways in which pioneers and followers perceive and can </w:t>
      </w:r>
      <w:proofErr w:type="spellStart"/>
      <w:r w:rsidRPr="00DD54B8">
        <w:rPr>
          <w:rFonts w:ascii="Arial" w:eastAsiaTheme="majorEastAsia" w:hAnsi="Arial" w:cs="Arial"/>
          <w:lang w:val="en-US"/>
        </w:rPr>
        <w:t>utilise</w:t>
      </w:r>
      <w:proofErr w:type="spellEnd"/>
      <w:r w:rsidRPr="00DD54B8">
        <w:rPr>
          <w:rFonts w:ascii="Arial" w:eastAsiaTheme="majorEastAsia" w:hAnsi="Arial" w:cs="Arial"/>
          <w:lang w:val="en-US"/>
        </w:rPr>
        <w:t xml:space="preserve"> them.</w:t>
      </w:r>
    </w:p>
    <w:p w14:paraId="7325135F" w14:textId="44322E55" w:rsidR="00DB3C6A"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In the sub-sections below, the two external macro actors that will be chosen and justified (Technological and Legal) will be critically </w:t>
      </w:r>
      <w:proofErr w:type="spellStart"/>
      <w:r w:rsidRPr="00DD54B8">
        <w:rPr>
          <w:rFonts w:ascii="Arial" w:eastAsiaTheme="majorEastAsia" w:hAnsi="Arial" w:cs="Arial"/>
          <w:lang w:val="en-US"/>
        </w:rPr>
        <w:t>analysed</w:t>
      </w:r>
      <w:proofErr w:type="spellEnd"/>
      <w:r w:rsidRPr="00DD54B8">
        <w:rPr>
          <w:rFonts w:ascii="Arial" w:eastAsiaTheme="majorEastAsia" w:hAnsi="Arial" w:cs="Arial"/>
          <w:lang w:val="en-US"/>
        </w:rPr>
        <w:t xml:space="preserve"> and how these two factors contribute to opportunities and threats of Apple and Samsung in the modern technology industry.</w:t>
      </w:r>
    </w:p>
    <w:p w14:paraId="371D3650" w14:textId="3754BD26" w:rsidR="006364F2" w:rsidRPr="00DD54B8" w:rsidRDefault="00DB3C6A" w:rsidP="00DB3C6A">
      <w:pPr>
        <w:pStyle w:val="Heading2"/>
        <w:rPr>
          <w:rFonts w:ascii="Arial" w:hAnsi="Arial" w:cs="Arial"/>
          <w:color w:val="auto"/>
          <w:lang w:val="en-US"/>
        </w:rPr>
      </w:pPr>
      <w:bookmarkStart w:id="13" w:name="_Toc214528431"/>
      <w:r w:rsidRPr="00DD54B8">
        <w:rPr>
          <w:rFonts w:ascii="Arial" w:hAnsi="Arial" w:cs="Arial"/>
          <w:color w:val="auto"/>
          <w:lang w:val="en-US"/>
        </w:rPr>
        <w:t>2.2 Selection of Two External Macro Marketing Actors</w:t>
      </w:r>
      <w:bookmarkEnd w:id="13"/>
    </w:p>
    <w:p w14:paraId="76B96085" w14:textId="2725EC0D"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technological and the legal aspect of the macro marketing environment are two of the most conclusive external factors that influence the global technology industry. The reasons why they were chosen to be </w:t>
      </w:r>
      <w:proofErr w:type="spellStart"/>
      <w:r w:rsidRPr="00DD54B8">
        <w:rPr>
          <w:rFonts w:ascii="Arial" w:eastAsiaTheme="majorEastAsia" w:hAnsi="Arial" w:cs="Arial"/>
          <w:lang w:val="en-US"/>
        </w:rPr>
        <w:t>analysed</w:t>
      </w:r>
      <w:proofErr w:type="spellEnd"/>
      <w:r w:rsidRPr="00DD54B8">
        <w:rPr>
          <w:rFonts w:ascii="Arial" w:eastAsiaTheme="majorEastAsia" w:hAnsi="Arial" w:cs="Arial"/>
          <w:lang w:val="en-US"/>
        </w:rPr>
        <w:t xml:space="preserve"> in detail are that these factors directly impact the innovation cycles, entering the market, data governance, and overall competitiveness-the pillars of strategic marketing management (Grant</w:t>
      </w:r>
      <w:r w:rsidR="00417591">
        <w:rPr>
          <w:rFonts w:ascii="Arial" w:eastAsiaTheme="majorEastAsia" w:hAnsi="Arial" w:cs="Arial"/>
          <w:lang w:val="en-US"/>
        </w:rPr>
        <w:t>,</w:t>
      </w:r>
      <w:r w:rsidRPr="00DD54B8">
        <w:rPr>
          <w:rFonts w:ascii="Arial" w:eastAsiaTheme="majorEastAsia" w:hAnsi="Arial" w:cs="Arial"/>
          <w:lang w:val="en-US"/>
        </w:rPr>
        <w:t xml:space="preserve"> 2022).</w:t>
      </w:r>
    </w:p>
    <w:p w14:paraId="40B8B6C4" w14:textId="77777777" w:rsidR="006364F2" w:rsidRPr="00DD54B8" w:rsidRDefault="006364F2" w:rsidP="006559B2">
      <w:pPr>
        <w:pStyle w:val="Heading3"/>
        <w:rPr>
          <w:rFonts w:ascii="Arial" w:hAnsi="Arial" w:cs="Arial"/>
          <w:color w:val="auto"/>
          <w:lang w:val="en-US"/>
        </w:rPr>
      </w:pPr>
      <w:bookmarkStart w:id="14" w:name="_Toc214528432"/>
      <w:r w:rsidRPr="00DD54B8">
        <w:rPr>
          <w:rFonts w:ascii="Arial" w:hAnsi="Arial" w:cs="Arial"/>
          <w:color w:val="auto"/>
          <w:lang w:val="en-US"/>
        </w:rPr>
        <w:t>Technological Factors</w:t>
      </w:r>
      <w:bookmarkEnd w:id="14"/>
    </w:p>
    <w:p w14:paraId="09485F23" w14:textId="5AF35089"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consumer electronic and digital services market is changing and differentiating at a rate that is shaped by technological advancement. New technologies (artificial intelligence (AI), Internet of Things [IoT], 5G connectivity, and cloud ecosystems) have reinvented the value creation and customer interaction (World Economic Forum</w:t>
      </w:r>
      <w:r w:rsidR="00417591">
        <w:rPr>
          <w:rFonts w:ascii="Arial" w:eastAsiaTheme="majorEastAsia" w:hAnsi="Arial" w:cs="Arial"/>
          <w:lang w:val="en-US"/>
        </w:rPr>
        <w:t>,</w:t>
      </w:r>
      <w:r w:rsidRPr="00DD54B8">
        <w:rPr>
          <w:rFonts w:ascii="Arial" w:eastAsiaTheme="majorEastAsia" w:hAnsi="Arial" w:cs="Arial"/>
          <w:lang w:val="en-US"/>
        </w:rPr>
        <w:t xml:space="preserve"> 2024). Statista (2025) predicts that worldwide revenues of AI market will surpass </w:t>
      </w:r>
      <w:r w:rsidRPr="00DD54B8">
        <w:rPr>
          <w:rFonts w:ascii="Arial" w:eastAsiaTheme="majorEastAsia" w:hAnsi="Arial" w:cs="Arial"/>
          <w:lang w:val="en-US"/>
        </w:rPr>
        <w:lastRenderedPageBreak/>
        <w:t>US550 billion in the year 2027 and it illustrates the potential magnitude of possible transformations.</w:t>
      </w:r>
    </w:p>
    <w:p w14:paraId="329D5381" w14:textId="28A41E3D" w:rsidR="00DB3C6A"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In the case of Apple Inc., technological innovation is its strategic strength and risk at the same time. The company is also constantly using R&amp;D investment-more than US 30 billion in 2024-to stay ahead in terms of first-mover in systems ecosystem-like Apple Intelligence and Vision Pro platforms (Apple Annual Report</w:t>
      </w:r>
      <w:r w:rsidR="00417591">
        <w:rPr>
          <w:rFonts w:ascii="Arial" w:eastAsiaTheme="majorEastAsia" w:hAnsi="Arial" w:cs="Arial"/>
          <w:lang w:val="en-US"/>
        </w:rPr>
        <w:t>,</w:t>
      </w:r>
      <w:r w:rsidRPr="00DD54B8">
        <w:rPr>
          <w:rFonts w:ascii="Arial" w:eastAsiaTheme="majorEastAsia" w:hAnsi="Arial" w:cs="Arial"/>
          <w:lang w:val="en-US"/>
        </w:rPr>
        <w:t xml:space="preserve"> 2024). On the contrary, Samsung Electronics, being historically a follower, strategically transforms and perfects such innovations with the help of agile production and wide market segmentation. The fact that Samsung was the first manufacturer to introduce foldable screens and AI-based mobile chips proves how its imitators could convert the technological diffusion into a dominant position in the market in certain product segments (IDC</w:t>
      </w:r>
      <w:r w:rsidR="00417591">
        <w:rPr>
          <w:rFonts w:ascii="Arial" w:eastAsiaTheme="majorEastAsia" w:hAnsi="Arial" w:cs="Arial"/>
          <w:lang w:val="en-US"/>
        </w:rPr>
        <w:t>,</w:t>
      </w:r>
      <w:r w:rsidRPr="00DD54B8">
        <w:rPr>
          <w:rFonts w:ascii="Arial" w:eastAsiaTheme="majorEastAsia" w:hAnsi="Arial" w:cs="Arial"/>
          <w:lang w:val="en-US"/>
        </w:rPr>
        <w:t xml:space="preserve"> 2025).</w:t>
      </w:r>
    </w:p>
    <w:p w14:paraId="35CDAFB4" w14:textId="77777777" w:rsidR="006364F2" w:rsidRPr="00DD54B8" w:rsidRDefault="006364F2" w:rsidP="006559B2">
      <w:pPr>
        <w:pStyle w:val="Heading3"/>
        <w:rPr>
          <w:rFonts w:ascii="Arial" w:hAnsi="Arial" w:cs="Arial"/>
          <w:color w:val="auto"/>
          <w:lang w:val="en-US"/>
        </w:rPr>
      </w:pPr>
      <w:bookmarkStart w:id="15" w:name="_Toc214528433"/>
      <w:r w:rsidRPr="00DD54B8">
        <w:rPr>
          <w:rFonts w:ascii="Arial" w:hAnsi="Arial" w:cs="Arial"/>
          <w:color w:val="auto"/>
          <w:lang w:val="en-US"/>
        </w:rPr>
        <w:t>Legal Factors</w:t>
      </w:r>
      <w:bookmarkEnd w:id="15"/>
    </w:p>
    <w:p w14:paraId="2EDA5CB7" w14:textId="3B28D05E"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Data privacy, intellectual-property rights, and competition-related issues have made the legal environment to be more complicated to technology firms. Recent laws and regulations like the EU General Data Protection Regulation (GDPR), Digital Markets Act (DMA), and changing AI liability concepts have a significant impact on marketing and data-driven innovation (European Commission</w:t>
      </w:r>
      <w:r w:rsidR="00417591">
        <w:rPr>
          <w:rFonts w:ascii="Arial" w:eastAsiaTheme="majorEastAsia" w:hAnsi="Arial" w:cs="Arial"/>
          <w:lang w:val="en-US"/>
        </w:rPr>
        <w:t>,</w:t>
      </w:r>
      <w:r w:rsidRPr="00DD54B8">
        <w:rPr>
          <w:rFonts w:ascii="Arial" w:eastAsiaTheme="majorEastAsia" w:hAnsi="Arial" w:cs="Arial"/>
          <w:lang w:val="en-US"/>
        </w:rPr>
        <w:t xml:space="preserve"> 2024).</w:t>
      </w:r>
    </w:p>
    <w:p w14:paraId="0A23A789" w14:textId="39333185"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To Apple, compliance with privacy has become part of its brand differentiation strategy, known as privacy as a product feature, though it has been under antitrust scrutiny regarding its App Store policies (OECD</w:t>
      </w:r>
      <w:r w:rsidR="00417591">
        <w:rPr>
          <w:rFonts w:ascii="Arial" w:eastAsiaTheme="majorEastAsia" w:hAnsi="Arial" w:cs="Arial"/>
          <w:lang w:val="en-US"/>
        </w:rPr>
        <w:t>,</w:t>
      </w:r>
      <w:r w:rsidRPr="00DD54B8">
        <w:rPr>
          <w:rFonts w:ascii="Arial" w:eastAsiaTheme="majorEastAsia" w:hAnsi="Arial" w:cs="Arial"/>
          <w:lang w:val="en-US"/>
        </w:rPr>
        <w:t xml:space="preserve"> 2023). In the meantime, Samsung enjoys a more lenient supply-chain frame of reference, but it needs to wrestle with patent litigation and trade-compliance matters in the international markets (Reuters</w:t>
      </w:r>
      <w:r w:rsidR="00417591">
        <w:rPr>
          <w:rFonts w:ascii="Arial" w:eastAsiaTheme="majorEastAsia" w:hAnsi="Arial" w:cs="Arial"/>
          <w:lang w:val="en-US"/>
        </w:rPr>
        <w:t>,</w:t>
      </w:r>
      <w:r w:rsidRPr="00DD54B8">
        <w:rPr>
          <w:rFonts w:ascii="Arial" w:eastAsiaTheme="majorEastAsia" w:hAnsi="Arial" w:cs="Arial"/>
          <w:lang w:val="en-US"/>
        </w:rPr>
        <w:t xml:space="preserve"> 2024).</w:t>
      </w:r>
    </w:p>
    <w:p w14:paraId="4B8F68CB" w14:textId="38248A10" w:rsidR="00DE5D5B"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two external players: technological and legal were thus selected since they are both factors that describe the twin forces of innovation and regulation that both drive and limit strategic marketing in the technology industry. They are the analytical basis of assessing the macro-environmental challenges as interpreted and reacted to by pioneers and followers.</w:t>
      </w:r>
    </w:p>
    <w:p w14:paraId="57B3FFCC" w14:textId="77777777" w:rsidR="00DE5D5B" w:rsidRPr="00DD54B8" w:rsidRDefault="00DE5D5B" w:rsidP="00DB3C6A">
      <w:pPr>
        <w:pStyle w:val="Heading2"/>
        <w:rPr>
          <w:rFonts w:ascii="Arial" w:hAnsi="Arial" w:cs="Arial"/>
          <w:color w:val="auto"/>
        </w:rPr>
      </w:pPr>
      <w:bookmarkStart w:id="16" w:name="_Toc214528434"/>
      <w:r w:rsidRPr="00DD54B8">
        <w:rPr>
          <w:rFonts w:ascii="Arial" w:hAnsi="Arial" w:cs="Arial"/>
          <w:color w:val="auto"/>
        </w:rPr>
        <w:t>2.3 Critical Analysis of Each Actor</w:t>
      </w:r>
      <w:bookmarkEnd w:id="16"/>
    </w:p>
    <w:p w14:paraId="78C2F002" w14:textId="0DCFD62B" w:rsidR="006559B2" w:rsidRPr="00DD54B8" w:rsidRDefault="0043162A" w:rsidP="00467A68">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This section applies critical thinking to assess how </w:t>
      </w:r>
      <w:r w:rsidRPr="00DD54B8">
        <w:rPr>
          <w:rFonts w:ascii="Arial" w:eastAsiaTheme="majorEastAsia" w:hAnsi="Arial" w:cs="Arial"/>
          <w:i/>
          <w:iCs/>
          <w:lang w:val="en-US"/>
        </w:rPr>
        <w:t>technological</w:t>
      </w:r>
      <w:r w:rsidRPr="00DD54B8">
        <w:rPr>
          <w:rFonts w:ascii="Arial" w:eastAsiaTheme="majorEastAsia" w:hAnsi="Arial" w:cs="Arial"/>
          <w:lang w:val="en-US"/>
        </w:rPr>
        <w:t xml:space="preserve"> and </w:t>
      </w:r>
      <w:r w:rsidRPr="00DD54B8">
        <w:rPr>
          <w:rFonts w:ascii="Arial" w:eastAsiaTheme="majorEastAsia" w:hAnsi="Arial" w:cs="Arial"/>
          <w:i/>
          <w:iCs/>
          <w:lang w:val="en-US"/>
        </w:rPr>
        <w:t>legal</w:t>
      </w:r>
      <w:r w:rsidRPr="00DD54B8">
        <w:rPr>
          <w:rFonts w:ascii="Arial" w:eastAsiaTheme="majorEastAsia" w:hAnsi="Arial" w:cs="Arial"/>
          <w:lang w:val="en-US"/>
        </w:rPr>
        <w:t xml:space="preserve"> macro-environmental changes generate both opportunities and threats for pioneering (Apple </w:t>
      </w:r>
      <w:r w:rsidRPr="00DD54B8">
        <w:rPr>
          <w:rFonts w:ascii="Arial" w:eastAsiaTheme="majorEastAsia" w:hAnsi="Arial" w:cs="Arial"/>
          <w:lang w:val="en-US"/>
        </w:rPr>
        <w:lastRenderedPageBreak/>
        <w:t xml:space="preserve">Inc.) and follower (Samsung Electronics)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in the global technology industry.</w:t>
      </w:r>
      <w:r w:rsidRPr="00DD54B8">
        <w:rPr>
          <w:rFonts w:ascii="Arial" w:eastAsiaTheme="majorEastAsia" w:hAnsi="Arial" w:cs="Arial"/>
          <w:lang w:val="en-US"/>
        </w:rPr>
        <w:br/>
        <w:t>We’ll begin with a comparative table (for clarity and academic presentation marks) and then a deeper analysis.</w:t>
      </w:r>
    </w:p>
    <w:p w14:paraId="3FC8FCC2" w14:textId="77777777" w:rsidR="0043162A" w:rsidRPr="00DD54B8" w:rsidRDefault="0043162A" w:rsidP="006559B2">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Table 1: Opportunities and Threats Created by Technological and Legal Factors</w:t>
      </w:r>
    </w:p>
    <w:tbl>
      <w:tblPr>
        <w:tblStyle w:val="TableGrid"/>
        <w:tblW w:w="0" w:type="auto"/>
        <w:tblLook w:val="04A0" w:firstRow="1" w:lastRow="0" w:firstColumn="1" w:lastColumn="0" w:noHBand="0" w:noVBand="1"/>
      </w:tblPr>
      <w:tblGrid>
        <w:gridCol w:w="2002"/>
        <w:gridCol w:w="3506"/>
        <w:gridCol w:w="3508"/>
      </w:tblGrid>
      <w:tr w:rsidR="00DD54B8" w:rsidRPr="00DD54B8" w14:paraId="15750CF2" w14:textId="77777777" w:rsidTr="006364F2">
        <w:tc>
          <w:tcPr>
            <w:tcW w:w="0" w:type="auto"/>
            <w:hideMark/>
          </w:tcPr>
          <w:p w14:paraId="1C956C68" w14:textId="77777777" w:rsidR="0043162A" w:rsidRPr="00DD54B8" w:rsidRDefault="0043162A"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Macro Actor</w:t>
            </w:r>
          </w:p>
        </w:tc>
        <w:tc>
          <w:tcPr>
            <w:tcW w:w="0" w:type="auto"/>
            <w:hideMark/>
          </w:tcPr>
          <w:p w14:paraId="2B6C81A9" w14:textId="77777777" w:rsidR="0043162A" w:rsidRPr="00DD54B8" w:rsidRDefault="0043162A"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Pioneering Firm (Apple Inc.)</w:t>
            </w:r>
          </w:p>
        </w:tc>
        <w:tc>
          <w:tcPr>
            <w:tcW w:w="0" w:type="auto"/>
            <w:hideMark/>
          </w:tcPr>
          <w:p w14:paraId="7CB70CDA" w14:textId="77777777" w:rsidR="0043162A" w:rsidRPr="00DD54B8" w:rsidRDefault="0043162A"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Follower Firm (Samsung Electronics)</w:t>
            </w:r>
          </w:p>
        </w:tc>
      </w:tr>
      <w:tr w:rsidR="00DD54B8" w:rsidRPr="00DD54B8" w14:paraId="5863F48E" w14:textId="77777777" w:rsidTr="006364F2">
        <w:tc>
          <w:tcPr>
            <w:tcW w:w="0" w:type="auto"/>
            <w:hideMark/>
          </w:tcPr>
          <w:p w14:paraId="467E5C3B" w14:textId="77777777" w:rsidR="0043162A" w:rsidRPr="00DD54B8" w:rsidRDefault="0043162A" w:rsidP="006559B2">
            <w:pPr>
              <w:spacing w:line="276" w:lineRule="auto"/>
              <w:jc w:val="both"/>
              <w:rPr>
                <w:rFonts w:ascii="Arial" w:eastAsiaTheme="majorEastAsia" w:hAnsi="Arial" w:cs="Arial"/>
                <w:lang w:val="en-US"/>
              </w:rPr>
            </w:pPr>
            <w:r w:rsidRPr="00DD54B8">
              <w:rPr>
                <w:rFonts w:ascii="Arial" w:eastAsiaTheme="majorEastAsia" w:hAnsi="Arial" w:cs="Arial"/>
                <w:b/>
                <w:bCs/>
                <w:lang w:val="en-US"/>
              </w:rPr>
              <w:t>Technological Factors</w:t>
            </w:r>
          </w:p>
        </w:tc>
        <w:tc>
          <w:tcPr>
            <w:tcW w:w="0" w:type="auto"/>
            <w:hideMark/>
          </w:tcPr>
          <w:p w14:paraId="0888DE61"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05C7F6A6"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Use AI, AR, and IoT to integrate and lock customers in an ecosystem.</w:t>
            </w:r>
          </w:p>
          <w:p w14:paraId="634DF5C0"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Innovation leadership to improve brand equity.</w:t>
            </w:r>
          </w:p>
          <w:p w14:paraId="40D9B079" w14:textId="77777777" w:rsidR="008A48D8" w:rsidRPr="00DD54B8" w:rsidRDefault="008A48D8" w:rsidP="006559B2">
            <w:pPr>
              <w:spacing w:line="276" w:lineRule="auto"/>
              <w:jc w:val="both"/>
              <w:rPr>
                <w:rFonts w:ascii="Arial" w:eastAsiaTheme="majorEastAsia" w:hAnsi="Arial" w:cs="Arial"/>
                <w:lang w:val="en-US"/>
              </w:rPr>
            </w:pPr>
          </w:p>
          <w:p w14:paraId="7A53F71B"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023BCF42"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High rate of obsolescence in the products.</w:t>
            </w:r>
          </w:p>
          <w:p w14:paraId="09EF503D" w14:textId="25CA522F"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Cost reduction in profit margins due to the high expenditure in R&amp;D (~US$30bn, 2024).</w:t>
            </w:r>
          </w:p>
          <w:p w14:paraId="78A525BD" w14:textId="1EBD7F1C" w:rsidR="0043162A" w:rsidRPr="00DD54B8" w:rsidRDefault="0043162A" w:rsidP="006559B2">
            <w:pPr>
              <w:spacing w:line="276" w:lineRule="auto"/>
              <w:jc w:val="both"/>
              <w:rPr>
                <w:rFonts w:ascii="Arial" w:eastAsiaTheme="majorEastAsia" w:hAnsi="Arial" w:cs="Arial"/>
                <w:lang w:val="en-US"/>
              </w:rPr>
            </w:pPr>
          </w:p>
        </w:tc>
        <w:tc>
          <w:tcPr>
            <w:tcW w:w="0" w:type="auto"/>
            <w:hideMark/>
          </w:tcPr>
          <w:p w14:paraId="756CF7AF"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7066E81C"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Take advantage of the fast-follower by embracing mature technologies.</w:t>
            </w:r>
          </w:p>
          <w:p w14:paraId="36E37DF9"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Take advantage of a wide product line into new markets.</w:t>
            </w:r>
          </w:p>
          <w:p w14:paraId="5064806A" w14:textId="77777777" w:rsidR="008A48D8" w:rsidRPr="00DD54B8" w:rsidRDefault="008A48D8" w:rsidP="006559B2">
            <w:pPr>
              <w:spacing w:line="276" w:lineRule="auto"/>
              <w:jc w:val="both"/>
              <w:rPr>
                <w:rFonts w:ascii="Arial" w:eastAsiaTheme="majorEastAsia" w:hAnsi="Arial" w:cs="Arial"/>
                <w:lang w:val="en-US"/>
              </w:rPr>
            </w:pPr>
          </w:p>
          <w:p w14:paraId="3A9F3CDF"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09EF131A"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Relying on the innovation cycles of pioneers.</w:t>
            </w:r>
          </w:p>
          <w:p w14:paraId="33BC88FD" w14:textId="7BFF9A79"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Threat of technological imitation lawsuits (Reuters</w:t>
            </w:r>
            <w:r w:rsidR="00417591">
              <w:rPr>
                <w:rFonts w:ascii="Arial" w:eastAsiaTheme="majorEastAsia" w:hAnsi="Arial" w:cs="Arial"/>
                <w:lang w:val="en-US"/>
              </w:rPr>
              <w:t>,</w:t>
            </w:r>
            <w:r w:rsidRPr="00DD54B8">
              <w:rPr>
                <w:rFonts w:ascii="Arial" w:eastAsiaTheme="majorEastAsia" w:hAnsi="Arial" w:cs="Arial"/>
                <w:lang w:val="en-US"/>
              </w:rPr>
              <w:t xml:space="preserve"> 2024).</w:t>
            </w:r>
          </w:p>
          <w:p w14:paraId="72A5A97C" w14:textId="3B5BCD24" w:rsidR="0043162A" w:rsidRPr="00DD54B8" w:rsidRDefault="0043162A" w:rsidP="006559B2">
            <w:pPr>
              <w:spacing w:line="276" w:lineRule="auto"/>
              <w:jc w:val="both"/>
              <w:rPr>
                <w:rFonts w:ascii="Arial" w:eastAsiaTheme="majorEastAsia" w:hAnsi="Arial" w:cs="Arial"/>
                <w:lang w:val="en-US"/>
              </w:rPr>
            </w:pPr>
          </w:p>
        </w:tc>
      </w:tr>
      <w:tr w:rsidR="00DD54B8" w:rsidRPr="00DD54B8" w14:paraId="772FBD1B" w14:textId="77777777" w:rsidTr="006364F2">
        <w:tc>
          <w:tcPr>
            <w:tcW w:w="0" w:type="auto"/>
            <w:hideMark/>
          </w:tcPr>
          <w:p w14:paraId="0DA9C4D4" w14:textId="77777777" w:rsidR="0043162A" w:rsidRPr="00DD54B8" w:rsidRDefault="0043162A" w:rsidP="006559B2">
            <w:pPr>
              <w:spacing w:line="276" w:lineRule="auto"/>
              <w:jc w:val="both"/>
              <w:rPr>
                <w:rFonts w:ascii="Arial" w:eastAsiaTheme="majorEastAsia" w:hAnsi="Arial" w:cs="Arial"/>
                <w:lang w:val="en-US"/>
              </w:rPr>
            </w:pPr>
            <w:r w:rsidRPr="00DD54B8">
              <w:rPr>
                <w:rFonts w:ascii="Arial" w:eastAsiaTheme="majorEastAsia" w:hAnsi="Arial" w:cs="Arial"/>
                <w:b/>
                <w:bCs/>
                <w:lang w:val="en-US"/>
              </w:rPr>
              <w:t>Legal Factors</w:t>
            </w:r>
          </w:p>
        </w:tc>
        <w:tc>
          <w:tcPr>
            <w:tcW w:w="0" w:type="auto"/>
            <w:hideMark/>
          </w:tcPr>
          <w:p w14:paraId="3A6B359F"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3DF4D640"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Enhance brand credibility by means of excellent adherence to privacy regulations (GDPR).</w:t>
            </w:r>
          </w:p>
          <w:p w14:paraId="74CC25A5"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Differentiate data protection "Privacy as a Product feature).</w:t>
            </w:r>
          </w:p>
          <w:p w14:paraId="56CD2752" w14:textId="77777777" w:rsidR="008A48D8" w:rsidRPr="00DD54B8" w:rsidRDefault="008A48D8" w:rsidP="006559B2">
            <w:pPr>
              <w:spacing w:line="276" w:lineRule="auto"/>
              <w:jc w:val="both"/>
              <w:rPr>
                <w:rFonts w:ascii="Arial" w:eastAsiaTheme="majorEastAsia" w:hAnsi="Arial" w:cs="Arial"/>
                <w:lang w:val="en-US"/>
              </w:rPr>
            </w:pPr>
          </w:p>
          <w:p w14:paraId="697E6E8A" w14:textId="77777777" w:rsidR="006559B2" w:rsidRPr="00DD54B8" w:rsidRDefault="006559B2" w:rsidP="006559B2">
            <w:pPr>
              <w:spacing w:line="276" w:lineRule="auto"/>
              <w:jc w:val="both"/>
              <w:rPr>
                <w:rFonts w:ascii="Arial" w:eastAsiaTheme="majorEastAsia" w:hAnsi="Arial" w:cs="Arial"/>
                <w:b/>
                <w:bCs/>
                <w:lang w:val="en-US"/>
              </w:rPr>
            </w:pPr>
          </w:p>
          <w:p w14:paraId="3263A10A" w14:textId="77777777" w:rsidR="006559B2" w:rsidRPr="00DD54B8" w:rsidRDefault="006559B2" w:rsidP="006559B2">
            <w:pPr>
              <w:spacing w:line="276" w:lineRule="auto"/>
              <w:jc w:val="both"/>
              <w:rPr>
                <w:rFonts w:ascii="Arial" w:eastAsiaTheme="majorEastAsia" w:hAnsi="Arial" w:cs="Arial"/>
                <w:b/>
                <w:bCs/>
                <w:lang w:val="en-US"/>
              </w:rPr>
            </w:pPr>
          </w:p>
          <w:p w14:paraId="176A62B6"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6759A580"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Antitrust investigations (EU, US) restricting dominance of App Store.</w:t>
            </w:r>
          </w:p>
          <w:p w14:paraId="44F0B94E" w14:textId="08FE8F99" w:rsidR="0043162A"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Tighter control over AI ethics and data use (EU</w:t>
            </w:r>
            <w:r w:rsidR="00417591">
              <w:rPr>
                <w:rFonts w:ascii="Arial" w:eastAsiaTheme="majorEastAsia" w:hAnsi="Arial" w:cs="Arial"/>
                <w:lang w:val="en-US"/>
              </w:rPr>
              <w:t>,</w:t>
            </w:r>
            <w:r w:rsidRPr="00DD54B8">
              <w:rPr>
                <w:rFonts w:ascii="Arial" w:eastAsiaTheme="majorEastAsia" w:hAnsi="Arial" w:cs="Arial"/>
                <w:lang w:val="en-US"/>
              </w:rPr>
              <w:t xml:space="preserve"> 2024).</w:t>
            </w:r>
          </w:p>
        </w:tc>
        <w:tc>
          <w:tcPr>
            <w:tcW w:w="0" w:type="auto"/>
            <w:hideMark/>
          </w:tcPr>
          <w:p w14:paraId="0AEEB32E"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025CAA81"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Bring to bear diversified legal structures mitigating the single-region risk.</w:t>
            </w:r>
          </w:p>
          <w:p w14:paraId="3805D295"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The share of the market can be increased in case of regulatory punishment of competitors.</w:t>
            </w:r>
          </w:p>
          <w:p w14:paraId="526C6F0E" w14:textId="77777777" w:rsidR="008A48D8" w:rsidRPr="00DD54B8" w:rsidRDefault="008A48D8" w:rsidP="006559B2">
            <w:pPr>
              <w:spacing w:line="276" w:lineRule="auto"/>
              <w:jc w:val="both"/>
              <w:rPr>
                <w:rFonts w:ascii="Arial" w:eastAsiaTheme="majorEastAsia" w:hAnsi="Arial" w:cs="Arial"/>
                <w:lang w:val="en-US"/>
              </w:rPr>
            </w:pPr>
          </w:p>
          <w:p w14:paraId="24ED3D29"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3C5015E7" w14:textId="17D60806"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Patent disputes, export-control laws, and data </w:t>
            </w:r>
            <w:proofErr w:type="spellStart"/>
            <w:r w:rsidRPr="00DD54B8">
              <w:rPr>
                <w:rFonts w:ascii="Arial" w:eastAsiaTheme="majorEastAsia" w:hAnsi="Arial" w:cs="Arial"/>
                <w:lang w:val="en-US"/>
              </w:rPr>
              <w:t>localisation</w:t>
            </w:r>
            <w:proofErr w:type="spellEnd"/>
            <w:r w:rsidRPr="00DD54B8">
              <w:rPr>
                <w:rFonts w:ascii="Arial" w:eastAsiaTheme="majorEastAsia" w:hAnsi="Arial" w:cs="Arial"/>
                <w:lang w:val="en-US"/>
              </w:rPr>
              <w:t xml:space="preserve"> laws (OECD</w:t>
            </w:r>
            <w:r w:rsidR="00417591">
              <w:rPr>
                <w:rFonts w:ascii="Arial" w:eastAsiaTheme="majorEastAsia" w:hAnsi="Arial" w:cs="Arial"/>
                <w:lang w:val="en-US"/>
              </w:rPr>
              <w:t>,</w:t>
            </w:r>
            <w:r w:rsidRPr="00DD54B8">
              <w:rPr>
                <w:rFonts w:ascii="Arial" w:eastAsiaTheme="majorEastAsia" w:hAnsi="Arial" w:cs="Arial"/>
                <w:lang w:val="en-US"/>
              </w:rPr>
              <w:t xml:space="preserve"> 2023).</w:t>
            </w:r>
          </w:p>
          <w:p w14:paraId="6201B954" w14:textId="726A6930" w:rsidR="0043162A" w:rsidRPr="00DD54B8" w:rsidRDefault="0043162A" w:rsidP="006559B2">
            <w:pPr>
              <w:spacing w:line="276" w:lineRule="auto"/>
              <w:jc w:val="both"/>
              <w:rPr>
                <w:rFonts w:ascii="Arial" w:eastAsiaTheme="majorEastAsia" w:hAnsi="Arial" w:cs="Arial"/>
                <w:lang w:val="en-US"/>
              </w:rPr>
            </w:pPr>
          </w:p>
        </w:tc>
      </w:tr>
    </w:tbl>
    <w:p w14:paraId="5B359B8D" w14:textId="34EC0FC6" w:rsidR="00DB3C6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i/>
          <w:iCs/>
          <w:lang w:val="en-US"/>
        </w:rPr>
        <w:t>Source: Developed by the author using data from Apple (2024), OECD (2023), Reuters (2024), European Commission (2024), and Statista (2025).</w:t>
      </w:r>
    </w:p>
    <w:p w14:paraId="06CDBE9B" w14:textId="77777777" w:rsidR="0043162A" w:rsidRPr="00DD54B8" w:rsidRDefault="0043162A" w:rsidP="00DB3C6A">
      <w:pPr>
        <w:spacing w:before="240" w:line="360" w:lineRule="auto"/>
        <w:jc w:val="both"/>
        <w:rPr>
          <w:rFonts w:ascii="Arial" w:eastAsiaTheme="majorEastAsia" w:hAnsi="Arial" w:cs="Arial"/>
          <w:b/>
          <w:bCs/>
          <w:lang w:val="en-US"/>
        </w:rPr>
      </w:pPr>
      <w:r w:rsidRPr="00DD54B8">
        <w:rPr>
          <w:rFonts w:ascii="Arial" w:eastAsiaTheme="majorEastAsia" w:hAnsi="Arial" w:cs="Arial"/>
          <w:b/>
          <w:bCs/>
          <w:lang w:val="en-US"/>
        </w:rPr>
        <w:t>Technological Factors: Opportunities and Threats</w:t>
      </w:r>
    </w:p>
    <w:p w14:paraId="3627A6AD" w14:textId="299BCA55"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lastRenderedPageBreak/>
        <w:t xml:space="preserve">The global technology industry is </w:t>
      </w:r>
      <w:proofErr w:type="spellStart"/>
      <w:r w:rsidRPr="00DD54B8">
        <w:rPr>
          <w:rFonts w:ascii="Arial" w:eastAsiaTheme="majorEastAsia" w:hAnsi="Arial" w:cs="Arial"/>
          <w:lang w:val="en-US"/>
        </w:rPr>
        <w:t>characterised</w:t>
      </w:r>
      <w:proofErr w:type="spellEnd"/>
      <w:r w:rsidRPr="00DD54B8">
        <w:rPr>
          <w:rFonts w:ascii="Arial" w:eastAsiaTheme="majorEastAsia" w:hAnsi="Arial" w:cs="Arial"/>
          <w:lang w:val="en-US"/>
        </w:rPr>
        <w:t xml:space="preserve"> by technological innovation. Due to their innovativeness, as first-mover companies, companies such as Apple Inc. gain competitive advantage by adding disruptive innovations and redefining product categories. An example is the 2024 release of the Apple Vision Pro, which combined spatial computing and AI, which supports the differentiation strategy of Apple ecosystem (Apple</w:t>
      </w:r>
      <w:r w:rsidR="00556571">
        <w:rPr>
          <w:rFonts w:ascii="Arial" w:eastAsiaTheme="majorEastAsia" w:hAnsi="Arial" w:cs="Arial"/>
          <w:lang w:val="en-US"/>
        </w:rPr>
        <w:t>,</w:t>
      </w:r>
      <w:r w:rsidRPr="00DD54B8">
        <w:rPr>
          <w:rFonts w:ascii="Arial" w:eastAsiaTheme="majorEastAsia" w:hAnsi="Arial" w:cs="Arial"/>
          <w:lang w:val="en-US"/>
        </w:rPr>
        <w:t xml:space="preserve"> 2024). This is in line with the first-mover advantage theory where the innovator becomes the leader in the brand and has customers remain loyal to his product (Lieberman and Montgomery</w:t>
      </w:r>
      <w:r w:rsidR="00556571">
        <w:rPr>
          <w:rFonts w:ascii="Arial" w:eastAsiaTheme="majorEastAsia" w:hAnsi="Arial" w:cs="Arial"/>
          <w:lang w:val="en-US"/>
        </w:rPr>
        <w:t>,</w:t>
      </w:r>
      <w:r w:rsidRPr="00DD54B8">
        <w:rPr>
          <w:rFonts w:ascii="Arial" w:eastAsiaTheme="majorEastAsia" w:hAnsi="Arial" w:cs="Arial"/>
          <w:lang w:val="en-US"/>
        </w:rPr>
        <w:t xml:space="preserve"> 1988). Nevertheless, the pace of technological change also amplifies the intensity of R&amp;D and the threat of technological obsolescence, particularly as the product life cycle becomes shorter (Grant</w:t>
      </w:r>
      <w:r w:rsidR="00556571">
        <w:rPr>
          <w:rFonts w:ascii="Arial" w:eastAsiaTheme="majorEastAsia" w:hAnsi="Arial" w:cs="Arial"/>
          <w:lang w:val="en-US"/>
        </w:rPr>
        <w:t>,</w:t>
      </w:r>
      <w:r w:rsidRPr="00DD54B8">
        <w:rPr>
          <w:rFonts w:ascii="Arial" w:eastAsiaTheme="majorEastAsia" w:hAnsi="Arial" w:cs="Arial"/>
          <w:lang w:val="en-US"/>
        </w:rPr>
        <w:t xml:space="preserve"> 2022).</w:t>
      </w:r>
    </w:p>
    <w:p w14:paraId="5BA17484" w14:textId="221ABFD3"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On the contrary, Samsung Electronics as a strategic follower </w:t>
      </w:r>
      <w:proofErr w:type="spellStart"/>
      <w:r w:rsidRPr="00DD54B8">
        <w:rPr>
          <w:rFonts w:ascii="Arial" w:eastAsiaTheme="majorEastAsia" w:hAnsi="Arial" w:cs="Arial"/>
          <w:lang w:val="en-US"/>
        </w:rPr>
        <w:t>utilises</w:t>
      </w:r>
      <w:proofErr w:type="spellEnd"/>
      <w:r w:rsidRPr="00DD54B8">
        <w:rPr>
          <w:rFonts w:ascii="Arial" w:eastAsiaTheme="majorEastAsia" w:hAnsi="Arial" w:cs="Arial"/>
          <w:lang w:val="en-US"/>
        </w:rPr>
        <w:t xml:space="preserve"> the fast-follower model to </w:t>
      </w:r>
      <w:proofErr w:type="spellStart"/>
      <w:r w:rsidRPr="00DD54B8">
        <w:rPr>
          <w:rFonts w:ascii="Arial" w:eastAsiaTheme="majorEastAsia" w:hAnsi="Arial" w:cs="Arial"/>
          <w:lang w:val="en-US"/>
        </w:rPr>
        <w:t>maximise</w:t>
      </w:r>
      <w:proofErr w:type="spellEnd"/>
      <w:r w:rsidRPr="00DD54B8">
        <w:rPr>
          <w:rFonts w:ascii="Arial" w:eastAsiaTheme="majorEastAsia" w:hAnsi="Arial" w:cs="Arial"/>
          <w:lang w:val="en-US"/>
        </w:rPr>
        <w:t xml:space="preserve"> the timing and cost effectiveness of innovation (Suarez and </w:t>
      </w:r>
      <w:proofErr w:type="spellStart"/>
      <w:r w:rsidRPr="00DD54B8">
        <w:rPr>
          <w:rFonts w:ascii="Arial" w:eastAsiaTheme="majorEastAsia" w:hAnsi="Arial" w:cs="Arial"/>
          <w:lang w:val="en-US"/>
        </w:rPr>
        <w:t>Lanzolla</w:t>
      </w:r>
      <w:proofErr w:type="spellEnd"/>
      <w:r w:rsidR="00556571">
        <w:rPr>
          <w:rFonts w:ascii="Arial" w:eastAsiaTheme="majorEastAsia" w:hAnsi="Arial" w:cs="Arial"/>
          <w:lang w:val="en-US"/>
        </w:rPr>
        <w:t>,</w:t>
      </w:r>
      <w:r w:rsidRPr="00DD54B8">
        <w:rPr>
          <w:rFonts w:ascii="Arial" w:eastAsiaTheme="majorEastAsia" w:hAnsi="Arial" w:cs="Arial"/>
          <w:lang w:val="en-US"/>
        </w:rPr>
        <w:t xml:space="preserve"> 2020). Samsung is able to swiftly duplicate and enhance innovative inventions such as foldable screens and AI-powered cameras because of its versatile manufacturing systems, which are able to establish the early majority share of the market. However, the follower strategies have legal and brand-positioning risks, especially when imitation causes differentiation to disappear or intellectual property to arise in courts (Reuters</w:t>
      </w:r>
      <w:r w:rsidR="00556571">
        <w:rPr>
          <w:rFonts w:ascii="Arial" w:eastAsiaTheme="majorEastAsia" w:hAnsi="Arial" w:cs="Arial"/>
          <w:lang w:val="en-US"/>
        </w:rPr>
        <w:t>,</w:t>
      </w:r>
      <w:r w:rsidRPr="00DD54B8">
        <w:rPr>
          <w:rFonts w:ascii="Arial" w:eastAsiaTheme="majorEastAsia" w:hAnsi="Arial" w:cs="Arial"/>
          <w:lang w:val="en-US"/>
        </w:rPr>
        <w:t xml:space="preserve"> 2024). Therefore, the technological evolution is a two-sided process, both the innovators get strength in their innovation and the followers in their flexibility.</w:t>
      </w:r>
    </w:p>
    <w:p w14:paraId="5BFFDF31" w14:textId="77777777" w:rsidR="006364F2" w:rsidRPr="00DD54B8" w:rsidRDefault="006364F2" w:rsidP="00DB3C6A">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Legal Factors: Opportunity and threats.</w:t>
      </w:r>
    </w:p>
    <w:p w14:paraId="02224295" w14:textId="17294FD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legal and regulatory environment has become a strategic predeterminer of marketing success, particularly in the case of technology companies that operate in data-driven business models. In the case of Apple, compliance with the rules is not only a necessity but a marketing instrument: privacy and security are presented as a brand promise (European Commission</w:t>
      </w:r>
      <w:r w:rsidR="00556571">
        <w:rPr>
          <w:rFonts w:ascii="Arial" w:eastAsiaTheme="majorEastAsia" w:hAnsi="Arial" w:cs="Arial"/>
          <w:lang w:val="en-US"/>
        </w:rPr>
        <w:t>,</w:t>
      </w:r>
      <w:r w:rsidRPr="00DD54B8">
        <w:rPr>
          <w:rFonts w:ascii="Arial" w:eastAsiaTheme="majorEastAsia" w:hAnsi="Arial" w:cs="Arial"/>
          <w:lang w:val="en-US"/>
        </w:rPr>
        <w:t xml:space="preserve"> 2024). This allows differentiation strategy (Porter 1985) and complies becomes a competitive advantage. Nonetheless, the vertical integration and control of its App Store by Apple has led to antitrust litigation in both the EU and the U.S., which has caused reputational and financial harm (OECD</w:t>
      </w:r>
      <w:r w:rsidR="00556571">
        <w:rPr>
          <w:rFonts w:ascii="Arial" w:eastAsiaTheme="majorEastAsia" w:hAnsi="Arial" w:cs="Arial"/>
          <w:lang w:val="en-US"/>
        </w:rPr>
        <w:t>,</w:t>
      </w:r>
      <w:r w:rsidRPr="00DD54B8">
        <w:rPr>
          <w:rFonts w:ascii="Arial" w:eastAsiaTheme="majorEastAsia" w:hAnsi="Arial" w:cs="Arial"/>
          <w:lang w:val="en-US"/>
        </w:rPr>
        <w:t xml:space="preserve"> 2023). Tighter control of AI, including the upcoming EU AI Act, is another way to undermine its autonomy in innovation.</w:t>
      </w:r>
    </w:p>
    <w:p w14:paraId="5D11E54E" w14:textId="4917DDC3"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lastRenderedPageBreak/>
        <w:t>On the other hand, Samsung has a presence in various jurisdictions thereby spreading legal risks to Asia, North America and Europe. Such geographic flexibility reduces single-market regulatory risk but complicates compliance management (PwC</w:t>
      </w:r>
      <w:r w:rsidR="00556571">
        <w:rPr>
          <w:rFonts w:ascii="Arial" w:eastAsiaTheme="majorEastAsia" w:hAnsi="Arial" w:cs="Arial"/>
          <w:lang w:val="en-US"/>
        </w:rPr>
        <w:t>,</w:t>
      </w:r>
      <w:r w:rsidRPr="00DD54B8">
        <w:rPr>
          <w:rFonts w:ascii="Arial" w:eastAsiaTheme="majorEastAsia" w:hAnsi="Arial" w:cs="Arial"/>
          <w:lang w:val="en-US"/>
        </w:rPr>
        <w:t xml:space="preserve"> 2023). Further, Samsung is dependent on worldwide supply chains, thus it is vulnerable to trade restrictions and export-control regulations especially on semiconductor technologies (Reuters</w:t>
      </w:r>
      <w:r w:rsidR="00556571">
        <w:rPr>
          <w:rFonts w:ascii="Arial" w:eastAsiaTheme="majorEastAsia" w:hAnsi="Arial" w:cs="Arial"/>
          <w:lang w:val="en-US"/>
        </w:rPr>
        <w:t>,</w:t>
      </w:r>
      <w:r w:rsidRPr="00DD54B8">
        <w:rPr>
          <w:rFonts w:ascii="Arial" w:eastAsiaTheme="majorEastAsia" w:hAnsi="Arial" w:cs="Arial"/>
          <w:lang w:val="en-US"/>
        </w:rPr>
        <w:t xml:space="preserve"> 2024). Although these limits exist, in some cases, legal frameworks also bring an advantage of entry into the market where more regulation punishes competitors, and the agile followers can rebrand themselves in a strategic way.</w:t>
      </w:r>
    </w:p>
    <w:p w14:paraId="16BB373E" w14:textId="3F5A402C" w:rsidR="006364F2" w:rsidRPr="00DD54B8" w:rsidRDefault="006364F2" w:rsidP="00DB3C6A">
      <w:pPr>
        <w:pStyle w:val="Heading1"/>
        <w:rPr>
          <w:rFonts w:ascii="Arial" w:hAnsi="Arial" w:cs="Arial"/>
          <w:color w:val="auto"/>
          <w:lang w:val="en-US"/>
        </w:rPr>
      </w:pPr>
      <w:bookmarkStart w:id="17" w:name="_Toc214528435"/>
      <w:r w:rsidRPr="00DD54B8">
        <w:rPr>
          <w:rFonts w:ascii="Arial" w:hAnsi="Arial" w:cs="Arial"/>
          <w:color w:val="auto"/>
          <w:lang w:val="en-US"/>
        </w:rPr>
        <w:t>Task 2: Strategic Responses of Pioneer</w:t>
      </w:r>
      <w:r w:rsidR="006559B2" w:rsidRPr="00DD54B8">
        <w:rPr>
          <w:rFonts w:ascii="Arial" w:hAnsi="Arial" w:cs="Arial"/>
          <w:color w:val="auto"/>
          <w:lang w:val="en-US"/>
        </w:rPr>
        <w:t xml:space="preserve">ing and Follower </w:t>
      </w:r>
      <w:proofErr w:type="spellStart"/>
      <w:r w:rsidR="006559B2" w:rsidRPr="00DD54B8">
        <w:rPr>
          <w:rFonts w:ascii="Arial" w:hAnsi="Arial" w:cs="Arial"/>
          <w:color w:val="auto"/>
          <w:lang w:val="en-US"/>
        </w:rPr>
        <w:t>Organisations</w:t>
      </w:r>
      <w:bookmarkEnd w:id="17"/>
      <w:proofErr w:type="spellEnd"/>
    </w:p>
    <w:p w14:paraId="511D723D" w14:textId="41A7CBC9"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Following the macro-environmental analysis in Task 1, this section critically analyses the strategies of pioneering and follower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in responding to the external environment in the technology industry. The ability to respond to strategic changes quickly and make marketing decisions is crucial to remaining competitive in the environment </w:t>
      </w:r>
      <w:proofErr w:type="spellStart"/>
      <w:r w:rsidRPr="00DD54B8">
        <w:rPr>
          <w:rFonts w:ascii="Arial" w:eastAsiaTheme="majorEastAsia" w:hAnsi="Arial" w:cs="Arial"/>
          <w:lang w:val="en-US"/>
        </w:rPr>
        <w:t>characterised</w:t>
      </w:r>
      <w:proofErr w:type="spellEnd"/>
      <w:r w:rsidRPr="00DD54B8">
        <w:rPr>
          <w:rFonts w:ascii="Arial" w:eastAsiaTheme="majorEastAsia" w:hAnsi="Arial" w:cs="Arial"/>
          <w:lang w:val="en-US"/>
        </w:rPr>
        <w:t xml:space="preserve"> by the fast pace of technological development and the increase in legal regulation (Grant</w:t>
      </w:r>
      <w:r w:rsidR="00556571">
        <w:rPr>
          <w:rFonts w:ascii="Arial" w:eastAsiaTheme="majorEastAsia" w:hAnsi="Arial" w:cs="Arial"/>
          <w:lang w:val="en-US"/>
        </w:rPr>
        <w:t>,</w:t>
      </w:r>
      <w:r w:rsidRPr="00DD54B8">
        <w:rPr>
          <w:rFonts w:ascii="Arial" w:eastAsiaTheme="majorEastAsia" w:hAnsi="Arial" w:cs="Arial"/>
          <w:lang w:val="en-US"/>
        </w:rPr>
        <w:t xml:space="preserve"> 2022; Kotler and Keller</w:t>
      </w:r>
      <w:r w:rsidR="00556571">
        <w:rPr>
          <w:rFonts w:ascii="Arial" w:eastAsiaTheme="majorEastAsia" w:hAnsi="Arial" w:cs="Arial"/>
          <w:lang w:val="en-US"/>
        </w:rPr>
        <w:t>,</w:t>
      </w:r>
      <w:r w:rsidRPr="00DD54B8">
        <w:rPr>
          <w:rFonts w:ascii="Arial" w:eastAsiaTheme="majorEastAsia" w:hAnsi="Arial" w:cs="Arial"/>
          <w:lang w:val="en-US"/>
        </w:rPr>
        <w:t xml:space="preserve"> 2023). The trend of pioneering firms, including Apple Inc., is that they are more likely to seek proactive innovation and differentiation to challenge the consumer expectations using first-mover benefits. Conversely, follower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such as Samsung Electronics, tend to adopt either adaptive or cost-leadership approaches that allow quick imitation, localization, and cost competitiveness (Suarez and </w:t>
      </w:r>
      <w:proofErr w:type="spellStart"/>
      <w:r w:rsidRPr="00DD54B8">
        <w:rPr>
          <w:rFonts w:ascii="Arial" w:eastAsiaTheme="majorEastAsia" w:hAnsi="Arial" w:cs="Arial"/>
          <w:lang w:val="en-US"/>
        </w:rPr>
        <w:t>Lanzolla</w:t>
      </w:r>
      <w:proofErr w:type="spellEnd"/>
      <w:r w:rsidR="00556571">
        <w:rPr>
          <w:rFonts w:ascii="Arial" w:eastAsiaTheme="majorEastAsia" w:hAnsi="Arial" w:cs="Arial"/>
          <w:lang w:val="en-US"/>
        </w:rPr>
        <w:t>,</w:t>
      </w:r>
      <w:r w:rsidRPr="00DD54B8">
        <w:rPr>
          <w:rFonts w:ascii="Arial" w:eastAsiaTheme="majorEastAsia" w:hAnsi="Arial" w:cs="Arial"/>
          <w:lang w:val="en-US"/>
        </w:rPr>
        <w:t xml:space="preserve"> 2020).</w:t>
      </w:r>
    </w:p>
    <w:p w14:paraId="71B46899" w14:textId="77777777" w:rsidR="006364F2" w:rsidRPr="00DD54B8" w:rsidRDefault="006364F2" w:rsidP="00DB3C6A">
      <w:pPr>
        <w:pStyle w:val="Heading2"/>
        <w:rPr>
          <w:rFonts w:ascii="Arial" w:hAnsi="Arial" w:cs="Arial"/>
          <w:color w:val="auto"/>
          <w:lang w:val="en-US"/>
        </w:rPr>
      </w:pPr>
      <w:bookmarkStart w:id="18" w:name="_Toc214528436"/>
      <w:r w:rsidRPr="00DD54B8">
        <w:rPr>
          <w:rFonts w:ascii="Arial" w:hAnsi="Arial" w:cs="Arial"/>
          <w:color w:val="auto"/>
          <w:lang w:val="en-US"/>
        </w:rPr>
        <w:t xml:space="preserve">3.1 Strategic Responses of </w:t>
      </w:r>
      <w:proofErr w:type="spellStart"/>
      <w:r w:rsidRPr="00DD54B8">
        <w:rPr>
          <w:rFonts w:ascii="Arial" w:hAnsi="Arial" w:cs="Arial"/>
          <w:color w:val="auto"/>
          <w:lang w:val="en-US"/>
        </w:rPr>
        <w:t>Organisations</w:t>
      </w:r>
      <w:proofErr w:type="spellEnd"/>
      <w:r w:rsidRPr="00DD54B8">
        <w:rPr>
          <w:rFonts w:ascii="Arial" w:hAnsi="Arial" w:cs="Arial"/>
          <w:color w:val="auto"/>
          <w:lang w:val="en-US"/>
        </w:rPr>
        <w:t xml:space="preserve"> Pioneer - Apple Inc.</w:t>
      </w:r>
      <w:bookmarkEnd w:id="18"/>
    </w:p>
    <w:p w14:paraId="57758426" w14:textId="5D41A340"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Apple being a first mover company engages in proactive strategic reaction, which is the product of innovation leadership and ecosystem differentiation. Ansoff Growth Matrix is evidenced by the company, which is working on product evolution and market penetration at the same time (Ansoff</w:t>
      </w:r>
      <w:r w:rsidR="00556571">
        <w:rPr>
          <w:rFonts w:ascii="Arial" w:eastAsiaTheme="majorEastAsia" w:hAnsi="Arial" w:cs="Arial"/>
          <w:lang w:val="en-US"/>
        </w:rPr>
        <w:t>,</w:t>
      </w:r>
      <w:r w:rsidRPr="00DD54B8">
        <w:rPr>
          <w:rFonts w:ascii="Arial" w:eastAsiaTheme="majorEastAsia" w:hAnsi="Arial" w:cs="Arial"/>
          <w:lang w:val="en-US"/>
        </w:rPr>
        <w:t xml:space="preserve"> 1957).</w:t>
      </w:r>
    </w:p>
    <w:p w14:paraId="7957E305" w14:textId="77777777" w:rsidR="00467A68" w:rsidRPr="00DD54B8" w:rsidRDefault="00467A68" w:rsidP="0043162A">
      <w:pPr>
        <w:spacing w:line="360" w:lineRule="auto"/>
        <w:jc w:val="both"/>
        <w:rPr>
          <w:rFonts w:ascii="Arial" w:eastAsiaTheme="majorEastAsia" w:hAnsi="Arial" w:cs="Arial"/>
          <w:b/>
          <w:bCs/>
          <w:lang w:val="en-US"/>
        </w:rPr>
      </w:pPr>
    </w:p>
    <w:p w14:paraId="3BAD27E2" w14:textId="77777777" w:rsidR="00467A68" w:rsidRPr="00DD54B8" w:rsidRDefault="00467A68" w:rsidP="0043162A">
      <w:pPr>
        <w:spacing w:line="360" w:lineRule="auto"/>
        <w:jc w:val="both"/>
        <w:rPr>
          <w:rFonts w:ascii="Arial" w:eastAsiaTheme="majorEastAsia" w:hAnsi="Arial" w:cs="Arial"/>
          <w:b/>
          <w:bCs/>
          <w:lang w:val="en-US"/>
        </w:rPr>
      </w:pPr>
    </w:p>
    <w:p w14:paraId="7CDFE6AF" w14:textId="77777777" w:rsidR="00467A68" w:rsidRPr="00DD54B8" w:rsidRDefault="00467A68" w:rsidP="0043162A">
      <w:pPr>
        <w:spacing w:line="360" w:lineRule="auto"/>
        <w:jc w:val="both"/>
        <w:rPr>
          <w:rFonts w:ascii="Arial" w:eastAsiaTheme="majorEastAsia" w:hAnsi="Arial" w:cs="Arial"/>
          <w:b/>
          <w:bCs/>
          <w:lang w:val="en-US"/>
        </w:rPr>
      </w:pPr>
    </w:p>
    <w:p w14:paraId="34A1C2C2" w14:textId="77777777" w:rsidR="00467A68" w:rsidRPr="00DD54B8" w:rsidRDefault="00467A68" w:rsidP="0043162A">
      <w:pPr>
        <w:spacing w:line="360" w:lineRule="auto"/>
        <w:jc w:val="both"/>
        <w:rPr>
          <w:rFonts w:ascii="Arial" w:eastAsiaTheme="majorEastAsia" w:hAnsi="Arial" w:cs="Arial"/>
          <w:b/>
          <w:bCs/>
          <w:lang w:val="en-US"/>
        </w:rPr>
      </w:pPr>
    </w:p>
    <w:p w14:paraId="6F0E8C19" w14:textId="05837DBD" w:rsidR="0043162A" w:rsidRPr="00DD54B8" w:rsidRDefault="00DB3C6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lastRenderedPageBreak/>
        <w:t xml:space="preserve">Table 2: </w:t>
      </w:r>
      <w:r w:rsidR="0043162A" w:rsidRPr="00DD54B8">
        <w:rPr>
          <w:rFonts w:ascii="Arial" w:eastAsiaTheme="majorEastAsia" w:hAnsi="Arial" w:cs="Arial"/>
          <w:b/>
          <w:bCs/>
          <w:lang w:val="en-US"/>
        </w:rPr>
        <w:t>Application of Ansoff’s Growth Matrix</w:t>
      </w:r>
    </w:p>
    <w:tbl>
      <w:tblPr>
        <w:tblStyle w:val="TableGrid"/>
        <w:tblW w:w="0" w:type="auto"/>
        <w:tblLook w:val="04A0" w:firstRow="1" w:lastRow="0" w:firstColumn="1" w:lastColumn="0" w:noHBand="0" w:noVBand="1"/>
      </w:tblPr>
      <w:tblGrid>
        <w:gridCol w:w="2099"/>
        <w:gridCol w:w="4126"/>
        <w:gridCol w:w="2791"/>
      </w:tblGrid>
      <w:tr w:rsidR="00DD54B8" w:rsidRPr="00DD54B8" w14:paraId="66B89D8C" w14:textId="77777777" w:rsidTr="00556F3E">
        <w:tc>
          <w:tcPr>
            <w:tcW w:w="0" w:type="auto"/>
            <w:hideMark/>
          </w:tcPr>
          <w:p w14:paraId="1C218675" w14:textId="77777777" w:rsidR="0043162A" w:rsidRPr="00DD54B8" w:rsidRDefault="0043162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t>Ansoff Strategy</w:t>
            </w:r>
          </w:p>
        </w:tc>
        <w:tc>
          <w:tcPr>
            <w:tcW w:w="0" w:type="auto"/>
            <w:hideMark/>
          </w:tcPr>
          <w:p w14:paraId="4D2FF538" w14:textId="77777777" w:rsidR="0043162A" w:rsidRPr="00DD54B8" w:rsidRDefault="0043162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t>Apple’s Implementation</w:t>
            </w:r>
          </w:p>
        </w:tc>
        <w:tc>
          <w:tcPr>
            <w:tcW w:w="0" w:type="auto"/>
            <w:hideMark/>
          </w:tcPr>
          <w:p w14:paraId="43DF4075" w14:textId="77777777" w:rsidR="0043162A" w:rsidRPr="00DD54B8" w:rsidRDefault="0043162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t>Strategic Outcome</w:t>
            </w:r>
          </w:p>
        </w:tc>
      </w:tr>
      <w:tr w:rsidR="00DD54B8" w:rsidRPr="00DD54B8" w14:paraId="552C68ED" w14:textId="77777777" w:rsidTr="00556F3E">
        <w:tc>
          <w:tcPr>
            <w:tcW w:w="0" w:type="auto"/>
            <w:hideMark/>
          </w:tcPr>
          <w:p w14:paraId="5380E3EB"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Market Penetration</w:t>
            </w:r>
          </w:p>
        </w:tc>
        <w:tc>
          <w:tcPr>
            <w:tcW w:w="0" w:type="auto"/>
            <w:hideMark/>
          </w:tcPr>
          <w:p w14:paraId="12B482F8"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Expanding ecosystem lock-in through integrated services (iCloud, Apple TV+, Apple Pay).</w:t>
            </w:r>
          </w:p>
        </w:tc>
        <w:tc>
          <w:tcPr>
            <w:tcW w:w="0" w:type="auto"/>
            <w:hideMark/>
          </w:tcPr>
          <w:p w14:paraId="32111A58"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Increases customer lifetime value and loyalty.</w:t>
            </w:r>
          </w:p>
        </w:tc>
      </w:tr>
      <w:tr w:rsidR="00DD54B8" w:rsidRPr="00DD54B8" w14:paraId="5281AAB5" w14:textId="77777777" w:rsidTr="00556F3E">
        <w:tc>
          <w:tcPr>
            <w:tcW w:w="0" w:type="auto"/>
            <w:hideMark/>
          </w:tcPr>
          <w:p w14:paraId="23C22677"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Product Development</w:t>
            </w:r>
          </w:p>
        </w:tc>
        <w:tc>
          <w:tcPr>
            <w:tcW w:w="0" w:type="auto"/>
            <w:hideMark/>
          </w:tcPr>
          <w:p w14:paraId="6A4A58F4"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Launching new AI-driven devices (Apple Vision Pro, Apple Watch Series 10).</w:t>
            </w:r>
          </w:p>
        </w:tc>
        <w:tc>
          <w:tcPr>
            <w:tcW w:w="0" w:type="auto"/>
            <w:hideMark/>
          </w:tcPr>
          <w:p w14:paraId="41436B8C"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Sustains innovation reputation and revenue growth.</w:t>
            </w:r>
          </w:p>
        </w:tc>
      </w:tr>
      <w:tr w:rsidR="00DD54B8" w:rsidRPr="00DD54B8" w14:paraId="2800148F" w14:textId="77777777" w:rsidTr="00556F3E">
        <w:tc>
          <w:tcPr>
            <w:tcW w:w="0" w:type="auto"/>
            <w:hideMark/>
          </w:tcPr>
          <w:p w14:paraId="537EBB38"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Market Development</w:t>
            </w:r>
          </w:p>
        </w:tc>
        <w:tc>
          <w:tcPr>
            <w:tcW w:w="0" w:type="auto"/>
            <w:hideMark/>
          </w:tcPr>
          <w:p w14:paraId="3FE1288A"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Targeting emerging economies with lower-cost devices (iPhone SE).</w:t>
            </w:r>
          </w:p>
        </w:tc>
        <w:tc>
          <w:tcPr>
            <w:tcW w:w="0" w:type="auto"/>
            <w:hideMark/>
          </w:tcPr>
          <w:p w14:paraId="3BDCFDC4"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Expands geographic footprint under varying legal regimes.</w:t>
            </w:r>
          </w:p>
        </w:tc>
      </w:tr>
      <w:tr w:rsidR="00DD54B8" w:rsidRPr="00DD54B8" w14:paraId="7BEB1841" w14:textId="77777777" w:rsidTr="00556F3E">
        <w:tc>
          <w:tcPr>
            <w:tcW w:w="0" w:type="auto"/>
            <w:hideMark/>
          </w:tcPr>
          <w:p w14:paraId="262168F3"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Diversification</w:t>
            </w:r>
          </w:p>
        </w:tc>
        <w:tc>
          <w:tcPr>
            <w:tcW w:w="0" w:type="auto"/>
            <w:hideMark/>
          </w:tcPr>
          <w:p w14:paraId="6AC3F230"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Investing in health-tech and electric-vehicle research.</w:t>
            </w:r>
          </w:p>
        </w:tc>
        <w:tc>
          <w:tcPr>
            <w:tcW w:w="0" w:type="auto"/>
            <w:hideMark/>
          </w:tcPr>
          <w:p w14:paraId="7A2F1950"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Builds resilience against market saturation.</w:t>
            </w:r>
          </w:p>
        </w:tc>
      </w:tr>
    </w:tbl>
    <w:p w14:paraId="050E821C"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i/>
          <w:iCs/>
          <w:lang w:val="en-US"/>
        </w:rPr>
        <w:t>Source: Developed by the author using Ansoff (1957); Apple Annual Report (2024).</w:t>
      </w:r>
    </w:p>
    <w:p w14:paraId="30963C6F" w14:textId="3A20C829" w:rsidR="008A48D8" w:rsidRPr="00DD54B8" w:rsidRDefault="008A48D8" w:rsidP="00DB3C6A">
      <w:pPr>
        <w:spacing w:before="240" w:after="240" w:line="360" w:lineRule="auto"/>
        <w:jc w:val="both"/>
        <w:rPr>
          <w:rFonts w:ascii="Arial" w:eastAsiaTheme="majorEastAsia" w:hAnsi="Arial" w:cs="Arial"/>
        </w:rPr>
      </w:pPr>
      <w:r w:rsidRPr="00DD54B8">
        <w:rPr>
          <w:rFonts w:ascii="Arial" w:eastAsiaTheme="majorEastAsia" w:hAnsi="Arial" w:cs="Arial"/>
        </w:rPr>
        <w:t>The differentiation approach proposed by Porter (1985) fits the strategy used by Apple, as the company focuses on the uniqueness of its products, quality of design, and easy interoperability. Vertical integration defines the technological reaction of the company to AI and data-driven ecosystems: the company is developing proprietary chips (M-series) and software to safeguard the information of users and to optimise performance (Apple</w:t>
      </w:r>
      <w:r w:rsidR="00556571">
        <w:rPr>
          <w:rFonts w:ascii="Arial" w:eastAsiaTheme="majorEastAsia" w:hAnsi="Arial" w:cs="Arial"/>
        </w:rPr>
        <w:t>,</w:t>
      </w:r>
      <w:r w:rsidRPr="00DD54B8">
        <w:rPr>
          <w:rFonts w:ascii="Arial" w:eastAsiaTheme="majorEastAsia" w:hAnsi="Arial" w:cs="Arial"/>
        </w:rPr>
        <w:t xml:space="preserve"> 2024).</w:t>
      </w:r>
    </w:p>
    <w:p w14:paraId="0E992BD8" w14:textId="16AB94AE" w:rsidR="008A48D8" w:rsidRPr="00DD54B8" w:rsidRDefault="008A48D8" w:rsidP="00DB3C6A">
      <w:pPr>
        <w:spacing w:after="240" w:line="360" w:lineRule="auto"/>
        <w:jc w:val="both"/>
        <w:rPr>
          <w:rFonts w:ascii="Arial" w:eastAsiaTheme="majorEastAsia" w:hAnsi="Arial" w:cs="Arial"/>
        </w:rPr>
      </w:pPr>
      <w:r w:rsidRPr="00DD54B8">
        <w:rPr>
          <w:rFonts w:ascii="Arial" w:eastAsiaTheme="majorEastAsia" w:hAnsi="Arial" w:cs="Arial"/>
        </w:rPr>
        <w:t>Legally, Apple absorbs the issue of compliance into its brand - positioning privacy and sustainability as value propositions. For example, its "Privacy. That's iPhone." legal compliance of campaigns is legal consumer empowerment (European Commission 2024). However, Apple also resorts to defensive legal tactics, including changing the policies of the App Store based on the Digital Markets Act and the antitrust decisions of the U.S. courts (OECD</w:t>
      </w:r>
      <w:r w:rsidR="00556571">
        <w:rPr>
          <w:rFonts w:ascii="Arial" w:eastAsiaTheme="majorEastAsia" w:hAnsi="Arial" w:cs="Arial"/>
        </w:rPr>
        <w:t>,</w:t>
      </w:r>
      <w:r w:rsidRPr="00DD54B8">
        <w:rPr>
          <w:rFonts w:ascii="Arial" w:eastAsiaTheme="majorEastAsia" w:hAnsi="Arial" w:cs="Arial"/>
        </w:rPr>
        <w:t xml:space="preserve"> 2023).</w:t>
      </w:r>
    </w:p>
    <w:p w14:paraId="2AD9FC6E" w14:textId="03E6DC69" w:rsidR="00A01FAB" w:rsidRPr="00DD54B8" w:rsidRDefault="008A48D8" w:rsidP="00A01FAB">
      <w:pPr>
        <w:spacing w:after="240" w:line="360" w:lineRule="auto"/>
        <w:jc w:val="both"/>
        <w:rPr>
          <w:rFonts w:ascii="Arial" w:eastAsiaTheme="majorEastAsia" w:hAnsi="Arial" w:cs="Arial"/>
        </w:rPr>
      </w:pPr>
      <w:r w:rsidRPr="00DD54B8">
        <w:rPr>
          <w:rFonts w:ascii="Arial" w:eastAsiaTheme="majorEastAsia" w:hAnsi="Arial" w:cs="Arial"/>
        </w:rPr>
        <w:t>Most importantly, this two-step strategy demonstrates the dynamic capability of Apple (Teece 2018): it predicts a shift in regulation, modifies its technology structure, and sells compliance as brand equity. Nonetheless, the high reliance on differentiation subjects it to increased costs of innovation and slow adaptability in price-sensitive markets (Grant</w:t>
      </w:r>
      <w:r w:rsidR="00556571">
        <w:rPr>
          <w:rFonts w:ascii="Arial" w:eastAsiaTheme="majorEastAsia" w:hAnsi="Arial" w:cs="Arial"/>
        </w:rPr>
        <w:t>,</w:t>
      </w:r>
      <w:r w:rsidRPr="00DD54B8">
        <w:rPr>
          <w:rFonts w:ascii="Arial" w:eastAsiaTheme="majorEastAsia" w:hAnsi="Arial" w:cs="Arial"/>
        </w:rPr>
        <w:t xml:space="preserve"> 2022).</w:t>
      </w:r>
    </w:p>
    <w:p w14:paraId="07B5DFC8" w14:textId="77777777" w:rsidR="00A01FAB" w:rsidRPr="00DD54B8" w:rsidRDefault="00A01FAB" w:rsidP="006559B2">
      <w:pPr>
        <w:spacing w:after="240" w:line="360" w:lineRule="auto"/>
        <w:jc w:val="center"/>
        <w:rPr>
          <w:rFonts w:ascii="Arial" w:eastAsiaTheme="majorEastAsia" w:hAnsi="Arial" w:cs="Arial"/>
        </w:rPr>
      </w:pPr>
      <w:r w:rsidRPr="00DD54B8">
        <w:rPr>
          <w:rFonts w:ascii="Arial" w:eastAsiaTheme="majorEastAsia" w:hAnsi="Arial" w:cs="Arial"/>
          <w:noProof/>
          <w:lang w:val="en-US"/>
        </w:rPr>
        <w:lastRenderedPageBreak/>
        <w:drawing>
          <wp:inline distT="0" distB="0" distL="0" distR="0" wp14:anchorId="3ED46B1A" wp14:editId="0E6564D1">
            <wp:extent cx="2896813" cy="2926080"/>
            <wp:effectExtent l="0" t="0" r="0" b="7620"/>
            <wp:docPr id="1" name="Picture 1" descr="https://www.smartinsights.com/wp-content/uploads/2013/10/Ansoff-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www.smartinsights.com/wp-content/uploads/2013/10/Ansoff-matri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205" t="2452" r="7912" b="10287"/>
                    <a:stretch/>
                  </pic:blipFill>
                  <pic:spPr bwMode="auto">
                    <a:xfrm>
                      <a:off x="0" y="0"/>
                      <a:ext cx="2896813"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4E8C10CF" w14:textId="7129806E" w:rsidR="003160ED" w:rsidRPr="00DD54B8" w:rsidRDefault="003160ED" w:rsidP="003160ED">
      <w:pPr>
        <w:pStyle w:val="Caption"/>
        <w:jc w:val="center"/>
        <w:rPr>
          <w:rFonts w:ascii="Arial" w:eastAsiaTheme="majorEastAsia" w:hAnsi="Arial" w:cs="Arial"/>
          <w:b/>
          <w:bCs/>
          <w:color w:val="auto"/>
          <w:sz w:val="24"/>
          <w:szCs w:val="24"/>
        </w:rPr>
      </w:pPr>
      <w:bookmarkStart w:id="19" w:name="_Toc214491901"/>
      <w:r w:rsidRPr="00DD54B8">
        <w:rPr>
          <w:rFonts w:ascii="Arial" w:hAnsi="Arial" w:cs="Arial"/>
          <w:color w:val="auto"/>
          <w:sz w:val="24"/>
          <w:szCs w:val="24"/>
        </w:rPr>
        <w:t xml:space="preserve">Figure </w:t>
      </w:r>
      <w:r w:rsidRPr="00DD54B8">
        <w:rPr>
          <w:rFonts w:ascii="Arial" w:hAnsi="Arial" w:cs="Arial"/>
          <w:color w:val="auto"/>
          <w:sz w:val="24"/>
          <w:szCs w:val="24"/>
        </w:rPr>
        <w:fldChar w:fldCharType="begin"/>
      </w:r>
      <w:r w:rsidRPr="00DD54B8">
        <w:rPr>
          <w:rFonts w:ascii="Arial" w:hAnsi="Arial" w:cs="Arial"/>
          <w:color w:val="auto"/>
          <w:sz w:val="24"/>
          <w:szCs w:val="24"/>
        </w:rPr>
        <w:instrText xml:space="preserve"> SEQ Figure \* ARABIC </w:instrText>
      </w:r>
      <w:r w:rsidRPr="00DD54B8">
        <w:rPr>
          <w:rFonts w:ascii="Arial" w:hAnsi="Arial" w:cs="Arial"/>
          <w:color w:val="auto"/>
          <w:sz w:val="24"/>
          <w:szCs w:val="24"/>
        </w:rPr>
        <w:fldChar w:fldCharType="separate"/>
      </w:r>
      <w:r w:rsidRPr="00DD54B8">
        <w:rPr>
          <w:rFonts w:ascii="Arial" w:hAnsi="Arial" w:cs="Arial"/>
          <w:noProof/>
          <w:color w:val="auto"/>
          <w:sz w:val="24"/>
          <w:szCs w:val="24"/>
        </w:rPr>
        <w:t>2</w:t>
      </w:r>
      <w:r w:rsidRPr="00DD54B8">
        <w:rPr>
          <w:rFonts w:ascii="Arial" w:hAnsi="Arial" w:cs="Arial"/>
          <w:color w:val="auto"/>
          <w:sz w:val="24"/>
          <w:szCs w:val="24"/>
        </w:rPr>
        <w:fldChar w:fldCharType="end"/>
      </w:r>
      <w:r w:rsidRPr="00DD54B8">
        <w:rPr>
          <w:rFonts w:ascii="Arial" w:hAnsi="Arial" w:cs="Arial"/>
          <w:color w:val="auto"/>
          <w:sz w:val="24"/>
          <w:szCs w:val="24"/>
        </w:rPr>
        <w:t xml:space="preserve">: </w:t>
      </w:r>
      <w:r w:rsidRPr="00DD54B8">
        <w:rPr>
          <w:rFonts w:ascii="Arial" w:hAnsi="Arial" w:cs="Arial"/>
          <w:i w:val="0"/>
          <w:iCs w:val="0"/>
          <w:color w:val="auto"/>
          <w:sz w:val="24"/>
          <w:szCs w:val="24"/>
        </w:rPr>
        <w:t>Matrix of Ansoff used to the battleground of Global Tech Industry</w:t>
      </w:r>
      <w:bookmarkEnd w:id="19"/>
    </w:p>
    <w:p w14:paraId="42406016" w14:textId="21966A5C" w:rsidR="00A01FAB" w:rsidRPr="00DD54B8" w:rsidRDefault="003160ED" w:rsidP="003160ED">
      <w:pPr>
        <w:spacing w:after="240" w:line="360" w:lineRule="auto"/>
        <w:jc w:val="center"/>
        <w:rPr>
          <w:rFonts w:ascii="Arial" w:eastAsiaTheme="majorEastAsia" w:hAnsi="Arial" w:cs="Arial"/>
          <w:i/>
          <w:iCs/>
          <w:sz w:val="20"/>
          <w:szCs w:val="20"/>
        </w:rPr>
      </w:pPr>
      <w:r w:rsidRPr="00DD54B8">
        <w:rPr>
          <w:rFonts w:ascii="Arial" w:eastAsiaTheme="majorEastAsia" w:hAnsi="Arial" w:cs="Arial"/>
          <w:i/>
          <w:iCs/>
          <w:sz w:val="20"/>
          <w:szCs w:val="20"/>
        </w:rPr>
        <w:t>(</w:t>
      </w:r>
      <w:r w:rsidR="00A01FAB" w:rsidRPr="00DD54B8">
        <w:rPr>
          <w:rFonts w:ascii="Arial" w:eastAsiaTheme="majorEastAsia" w:hAnsi="Arial" w:cs="Arial"/>
          <w:i/>
          <w:iCs/>
          <w:sz w:val="20"/>
          <w:szCs w:val="20"/>
        </w:rPr>
        <w:t xml:space="preserve">Source: </w:t>
      </w:r>
      <w:hyperlink r:id="rId13" w:history="1">
        <w:proofErr w:type="spellStart"/>
        <w:r w:rsidR="00A01FAB" w:rsidRPr="00DD54B8">
          <w:rPr>
            <w:rStyle w:val="Hyperlink"/>
            <w:rFonts w:ascii="Arial" w:eastAsiaTheme="majorEastAsia" w:hAnsi="Arial" w:cs="Arial"/>
            <w:i/>
            <w:iCs/>
            <w:color w:val="auto"/>
            <w:sz w:val="20"/>
            <w:szCs w:val="20"/>
          </w:rPr>
          <w:t>Smartinsights</w:t>
        </w:r>
        <w:proofErr w:type="spellEnd"/>
      </w:hyperlink>
      <w:r w:rsidRPr="00DD54B8">
        <w:rPr>
          <w:rFonts w:ascii="Arial" w:eastAsiaTheme="majorEastAsia" w:hAnsi="Arial" w:cs="Arial"/>
          <w:i/>
          <w:iCs/>
          <w:sz w:val="20"/>
          <w:szCs w:val="20"/>
        </w:rPr>
        <w:t>)</w:t>
      </w:r>
    </w:p>
    <w:p w14:paraId="28A3588F" w14:textId="5BD14277" w:rsidR="00556F3E" w:rsidRPr="00DD54B8" w:rsidRDefault="00467A68" w:rsidP="00467A68">
      <w:pPr>
        <w:pStyle w:val="Heading2"/>
        <w:rPr>
          <w:rFonts w:ascii="Arial" w:hAnsi="Arial" w:cs="Arial"/>
          <w:color w:val="auto"/>
        </w:rPr>
      </w:pPr>
      <w:bookmarkStart w:id="20" w:name="_Toc214528437"/>
      <w:r w:rsidRPr="00DD54B8">
        <w:rPr>
          <w:rFonts w:ascii="Arial" w:hAnsi="Arial" w:cs="Arial"/>
          <w:color w:val="auto"/>
        </w:rPr>
        <w:t xml:space="preserve">3.2 </w:t>
      </w:r>
      <w:r w:rsidR="00556F3E" w:rsidRPr="00DD54B8">
        <w:rPr>
          <w:rFonts w:ascii="Arial" w:hAnsi="Arial" w:cs="Arial"/>
          <w:color w:val="auto"/>
        </w:rPr>
        <w:t>Strategic responses of Follower Organisations - Samsung Electronics</w:t>
      </w:r>
      <w:bookmarkEnd w:id="20"/>
    </w:p>
    <w:p w14:paraId="335E7135" w14:textId="4AA25241"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 xml:space="preserve">Samsung is a follower organisation and the strategic responses are based on adaptive imitation, cost leadership and speedy technological diffusion. The firm is agile, taking in innovations launched by innovators and redirecting them to various markets more quickly and at scale (Suarez &amp; </w:t>
      </w:r>
      <w:proofErr w:type="spellStart"/>
      <w:r w:rsidRPr="00DD54B8">
        <w:rPr>
          <w:rFonts w:ascii="Arial" w:eastAsiaTheme="majorEastAsia" w:hAnsi="Arial" w:cs="Arial"/>
        </w:rPr>
        <w:t>Lanzolla</w:t>
      </w:r>
      <w:proofErr w:type="spellEnd"/>
      <w:r w:rsidR="00556571">
        <w:rPr>
          <w:rFonts w:ascii="Arial" w:eastAsiaTheme="majorEastAsia" w:hAnsi="Arial" w:cs="Arial"/>
        </w:rPr>
        <w:t>,</w:t>
      </w:r>
      <w:r w:rsidRPr="00DD54B8">
        <w:rPr>
          <w:rFonts w:ascii="Arial" w:eastAsiaTheme="majorEastAsia" w:hAnsi="Arial" w:cs="Arial"/>
        </w:rPr>
        <w:t xml:space="preserve"> 2020).</w:t>
      </w:r>
    </w:p>
    <w:p w14:paraId="31C6DA70" w14:textId="26FD5FC8" w:rsidR="006559B2" w:rsidRPr="00DD54B8" w:rsidRDefault="006559B2" w:rsidP="006559B2">
      <w:pPr>
        <w:spacing w:after="240"/>
        <w:jc w:val="center"/>
        <w:rPr>
          <w:rFonts w:ascii="Arial" w:hAnsi="Arial" w:cs="Arial"/>
          <w:b/>
          <w:bCs/>
        </w:rPr>
      </w:pPr>
      <w:r w:rsidRPr="00DD54B8">
        <w:rPr>
          <w:rFonts w:ascii="Arial" w:hAnsi="Arial" w:cs="Arial"/>
          <w:b/>
          <w:bCs/>
          <w:noProof/>
          <w:lang w:val="en-US"/>
        </w:rPr>
        <w:drawing>
          <wp:inline distT="0" distB="0" distL="0" distR="0" wp14:anchorId="2A9FD80F" wp14:editId="124ADEA9">
            <wp:extent cx="2926080" cy="29260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6080" cy="2926080"/>
                    </a:xfrm>
                    <a:prstGeom prst="rect">
                      <a:avLst/>
                    </a:prstGeom>
                    <a:noFill/>
                  </pic:spPr>
                </pic:pic>
              </a:graphicData>
            </a:graphic>
          </wp:inline>
        </w:drawing>
      </w:r>
    </w:p>
    <w:p w14:paraId="5B1D88D6" w14:textId="4D5BE8CB" w:rsidR="006559B2" w:rsidRPr="00DD54B8" w:rsidRDefault="003160ED" w:rsidP="003160ED">
      <w:pPr>
        <w:pStyle w:val="Caption"/>
        <w:jc w:val="center"/>
        <w:rPr>
          <w:rFonts w:ascii="Arial" w:hAnsi="Arial" w:cs="Arial"/>
          <w:b/>
          <w:bCs/>
          <w:color w:val="auto"/>
          <w:sz w:val="20"/>
          <w:szCs w:val="20"/>
        </w:rPr>
      </w:pPr>
      <w:bookmarkStart w:id="21" w:name="_Toc214491902"/>
      <w:r w:rsidRPr="00DD54B8">
        <w:rPr>
          <w:rFonts w:ascii="Arial" w:hAnsi="Arial" w:cs="Arial"/>
          <w:color w:val="auto"/>
          <w:sz w:val="24"/>
          <w:szCs w:val="24"/>
        </w:rPr>
        <w:t xml:space="preserve">Figure </w:t>
      </w:r>
      <w:r w:rsidRPr="00DD54B8">
        <w:rPr>
          <w:rFonts w:ascii="Arial" w:hAnsi="Arial" w:cs="Arial"/>
          <w:color w:val="auto"/>
          <w:sz w:val="24"/>
          <w:szCs w:val="24"/>
        </w:rPr>
        <w:fldChar w:fldCharType="begin"/>
      </w:r>
      <w:r w:rsidRPr="00DD54B8">
        <w:rPr>
          <w:rFonts w:ascii="Arial" w:hAnsi="Arial" w:cs="Arial"/>
          <w:color w:val="auto"/>
          <w:sz w:val="24"/>
          <w:szCs w:val="24"/>
        </w:rPr>
        <w:instrText xml:space="preserve"> SEQ Figure \* ARABIC </w:instrText>
      </w:r>
      <w:r w:rsidRPr="00DD54B8">
        <w:rPr>
          <w:rFonts w:ascii="Arial" w:hAnsi="Arial" w:cs="Arial"/>
          <w:color w:val="auto"/>
          <w:sz w:val="24"/>
          <w:szCs w:val="24"/>
        </w:rPr>
        <w:fldChar w:fldCharType="separate"/>
      </w:r>
      <w:r w:rsidRPr="00DD54B8">
        <w:rPr>
          <w:rFonts w:ascii="Arial" w:hAnsi="Arial" w:cs="Arial"/>
          <w:noProof/>
          <w:color w:val="auto"/>
          <w:sz w:val="24"/>
          <w:szCs w:val="24"/>
        </w:rPr>
        <w:t>3</w:t>
      </w:r>
      <w:r w:rsidRPr="00DD54B8">
        <w:rPr>
          <w:rFonts w:ascii="Arial" w:hAnsi="Arial" w:cs="Arial"/>
          <w:color w:val="auto"/>
          <w:sz w:val="24"/>
          <w:szCs w:val="24"/>
        </w:rPr>
        <w:fldChar w:fldCharType="end"/>
      </w:r>
      <w:r w:rsidRPr="00DD54B8">
        <w:rPr>
          <w:rFonts w:ascii="Arial" w:hAnsi="Arial" w:cs="Arial"/>
          <w:color w:val="auto"/>
          <w:sz w:val="24"/>
          <w:szCs w:val="24"/>
          <w:lang w:val="en-US"/>
        </w:rPr>
        <w:t xml:space="preserve">: </w:t>
      </w:r>
      <w:r w:rsidRPr="00DD54B8">
        <w:rPr>
          <w:rFonts w:ascii="Arial" w:hAnsi="Arial" w:cs="Arial"/>
          <w:i w:val="0"/>
          <w:iCs w:val="0"/>
          <w:color w:val="auto"/>
          <w:sz w:val="24"/>
          <w:szCs w:val="24"/>
        </w:rPr>
        <w:t>Porter's Generic Strategies</w:t>
      </w:r>
      <w:r w:rsidR="00D8607B" w:rsidRPr="00DD54B8">
        <w:rPr>
          <w:rFonts w:ascii="Arial" w:hAnsi="Arial" w:cs="Arial"/>
          <w:i w:val="0"/>
          <w:iCs w:val="0"/>
          <w:color w:val="auto"/>
          <w:sz w:val="24"/>
          <w:szCs w:val="24"/>
        </w:rPr>
        <w:t xml:space="preserve"> </w:t>
      </w:r>
      <w:r w:rsidR="00D8607B" w:rsidRPr="00DD54B8">
        <w:rPr>
          <w:rFonts w:ascii="Arial" w:hAnsi="Arial" w:cs="Arial"/>
          <w:color w:val="auto"/>
          <w:sz w:val="20"/>
          <w:szCs w:val="20"/>
        </w:rPr>
        <w:t xml:space="preserve">(Source: </w:t>
      </w:r>
      <w:hyperlink r:id="rId15" w:history="1">
        <w:proofErr w:type="spellStart"/>
        <w:r w:rsidR="00D8607B" w:rsidRPr="00DD54B8">
          <w:rPr>
            <w:rStyle w:val="Hyperlink"/>
            <w:rFonts w:ascii="Arial" w:hAnsi="Arial" w:cs="Arial"/>
            <w:color w:val="auto"/>
            <w:sz w:val="20"/>
            <w:szCs w:val="20"/>
          </w:rPr>
          <w:t>Digitalleadership</w:t>
        </w:r>
        <w:proofErr w:type="spellEnd"/>
      </w:hyperlink>
      <w:r w:rsidR="00D8607B" w:rsidRPr="00DD54B8">
        <w:rPr>
          <w:rFonts w:ascii="Arial" w:hAnsi="Arial" w:cs="Arial"/>
          <w:color w:val="auto"/>
          <w:sz w:val="20"/>
          <w:szCs w:val="20"/>
        </w:rPr>
        <w:t>)</w:t>
      </w:r>
      <w:bookmarkEnd w:id="21"/>
    </w:p>
    <w:p w14:paraId="4929BA0C" w14:textId="7DDA10E3" w:rsidR="00556F3E" w:rsidRPr="00DD54B8" w:rsidRDefault="006559B2" w:rsidP="006559B2">
      <w:pPr>
        <w:spacing w:after="240"/>
        <w:rPr>
          <w:rFonts w:ascii="Arial" w:hAnsi="Arial" w:cs="Arial"/>
          <w:b/>
          <w:bCs/>
        </w:rPr>
      </w:pPr>
      <w:r w:rsidRPr="00DD54B8">
        <w:rPr>
          <w:rFonts w:ascii="Arial" w:hAnsi="Arial" w:cs="Arial"/>
          <w:b/>
          <w:bCs/>
        </w:rPr>
        <w:lastRenderedPageBreak/>
        <w:t xml:space="preserve">Table 3: </w:t>
      </w:r>
      <w:r w:rsidR="00556F3E" w:rsidRPr="00DD54B8">
        <w:rPr>
          <w:rFonts w:ascii="Arial" w:hAnsi="Arial" w:cs="Arial"/>
          <w:b/>
          <w:bCs/>
        </w:rPr>
        <w:t>Porter's Generic Strategies</w:t>
      </w:r>
    </w:p>
    <w:tbl>
      <w:tblPr>
        <w:tblStyle w:val="TableGrid"/>
        <w:tblW w:w="0" w:type="auto"/>
        <w:tblLook w:val="04A0" w:firstRow="1" w:lastRow="0" w:firstColumn="1" w:lastColumn="0" w:noHBand="0" w:noVBand="1"/>
      </w:tblPr>
      <w:tblGrid>
        <w:gridCol w:w="2088"/>
        <w:gridCol w:w="3965"/>
        <w:gridCol w:w="2963"/>
      </w:tblGrid>
      <w:tr w:rsidR="00DD54B8" w:rsidRPr="00DD54B8" w14:paraId="0FCAA7E2" w14:textId="77777777" w:rsidTr="00556F3E">
        <w:tc>
          <w:tcPr>
            <w:tcW w:w="0" w:type="auto"/>
            <w:hideMark/>
          </w:tcPr>
          <w:p w14:paraId="15FA3507" w14:textId="77777777" w:rsidR="00556F3E" w:rsidRPr="00DD54B8" w:rsidRDefault="00556F3E" w:rsidP="00556F3E">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Strategy</w:t>
            </w:r>
          </w:p>
        </w:tc>
        <w:tc>
          <w:tcPr>
            <w:tcW w:w="0" w:type="auto"/>
            <w:hideMark/>
          </w:tcPr>
          <w:p w14:paraId="3AD10464" w14:textId="77777777" w:rsidR="00556F3E" w:rsidRPr="00DD54B8" w:rsidRDefault="00556F3E" w:rsidP="00556F3E">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Samsung’s Approach</w:t>
            </w:r>
          </w:p>
        </w:tc>
        <w:tc>
          <w:tcPr>
            <w:tcW w:w="0" w:type="auto"/>
            <w:hideMark/>
          </w:tcPr>
          <w:p w14:paraId="7FA248AA" w14:textId="77777777" w:rsidR="00556F3E" w:rsidRPr="00DD54B8" w:rsidRDefault="00556F3E" w:rsidP="00556F3E">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Impact</w:t>
            </w:r>
          </w:p>
        </w:tc>
      </w:tr>
      <w:tr w:rsidR="00DD54B8" w:rsidRPr="00DD54B8" w14:paraId="67ED58D5" w14:textId="77777777" w:rsidTr="00556F3E">
        <w:tc>
          <w:tcPr>
            <w:tcW w:w="0" w:type="auto"/>
            <w:hideMark/>
          </w:tcPr>
          <w:p w14:paraId="6C9741F8"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b/>
                <w:bCs/>
                <w:lang w:val="en-US"/>
              </w:rPr>
              <w:t>Cost Leadership</w:t>
            </w:r>
          </w:p>
        </w:tc>
        <w:tc>
          <w:tcPr>
            <w:tcW w:w="0" w:type="auto"/>
            <w:hideMark/>
          </w:tcPr>
          <w:p w14:paraId="01CAC221"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Economies of scale through global manufacturing and supply-chain </w:t>
            </w:r>
            <w:proofErr w:type="spellStart"/>
            <w:r w:rsidRPr="00DD54B8">
              <w:rPr>
                <w:rFonts w:ascii="Arial" w:eastAsiaTheme="majorEastAsia" w:hAnsi="Arial" w:cs="Arial"/>
                <w:lang w:val="en-US"/>
              </w:rPr>
              <w:t>optimisation</w:t>
            </w:r>
            <w:proofErr w:type="spellEnd"/>
            <w:r w:rsidRPr="00DD54B8">
              <w:rPr>
                <w:rFonts w:ascii="Arial" w:eastAsiaTheme="majorEastAsia" w:hAnsi="Arial" w:cs="Arial"/>
                <w:lang w:val="en-US"/>
              </w:rPr>
              <w:t>.</w:t>
            </w:r>
          </w:p>
        </w:tc>
        <w:tc>
          <w:tcPr>
            <w:tcW w:w="0" w:type="auto"/>
            <w:hideMark/>
          </w:tcPr>
          <w:p w14:paraId="5A86295A"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Enables competitive pricing and broad market access.</w:t>
            </w:r>
          </w:p>
        </w:tc>
      </w:tr>
      <w:tr w:rsidR="00DD54B8" w:rsidRPr="00DD54B8" w14:paraId="0DC32813" w14:textId="77777777" w:rsidTr="00556F3E">
        <w:tc>
          <w:tcPr>
            <w:tcW w:w="0" w:type="auto"/>
            <w:hideMark/>
          </w:tcPr>
          <w:p w14:paraId="1775CCE1"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b/>
                <w:bCs/>
                <w:lang w:val="en-US"/>
              </w:rPr>
              <w:t>Differentiation Focus</w:t>
            </w:r>
          </w:p>
        </w:tc>
        <w:tc>
          <w:tcPr>
            <w:tcW w:w="0" w:type="auto"/>
            <w:hideMark/>
          </w:tcPr>
          <w:p w14:paraId="1D41A3FD"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Incremental innovation (e.g. foldable screens, 200 MP camera sensors).</w:t>
            </w:r>
          </w:p>
        </w:tc>
        <w:tc>
          <w:tcPr>
            <w:tcW w:w="0" w:type="auto"/>
            <w:hideMark/>
          </w:tcPr>
          <w:p w14:paraId="7A3CE8FD"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Attracts tech-savvy users while maintaining affordability.</w:t>
            </w:r>
          </w:p>
        </w:tc>
      </w:tr>
      <w:tr w:rsidR="00DD54B8" w:rsidRPr="00DD54B8" w14:paraId="7B157834" w14:textId="77777777" w:rsidTr="00556F3E">
        <w:tc>
          <w:tcPr>
            <w:tcW w:w="0" w:type="auto"/>
            <w:hideMark/>
          </w:tcPr>
          <w:p w14:paraId="12E5259D"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b/>
                <w:bCs/>
                <w:lang w:val="en-US"/>
              </w:rPr>
              <w:t>Hybrid Strategy</w:t>
            </w:r>
          </w:p>
        </w:tc>
        <w:tc>
          <w:tcPr>
            <w:tcW w:w="0" w:type="auto"/>
            <w:hideMark/>
          </w:tcPr>
          <w:p w14:paraId="7BE0C129"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Combines low-cost production with selective innovation.</w:t>
            </w:r>
          </w:p>
        </w:tc>
        <w:tc>
          <w:tcPr>
            <w:tcW w:w="0" w:type="auto"/>
            <w:hideMark/>
          </w:tcPr>
          <w:p w14:paraId="785F4CE2"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Balances risk and profit across regions.</w:t>
            </w:r>
          </w:p>
        </w:tc>
      </w:tr>
    </w:tbl>
    <w:p w14:paraId="14807137" w14:textId="310096AD" w:rsidR="00556F3E" w:rsidRPr="00DD54B8" w:rsidRDefault="00556F3E" w:rsidP="00556F3E">
      <w:pPr>
        <w:spacing w:after="240" w:line="360" w:lineRule="auto"/>
        <w:jc w:val="both"/>
        <w:rPr>
          <w:rFonts w:ascii="Arial" w:eastAsiaTheme="majorEastAsia" w:hAnsi="Arial" w:cs="Arial"/>
          <w:i/>
          <w:iCs/>
        </w:rPr>
      </w:pPr>
      <w:r w:rsidRPr="00DD54B8">
        <w:rPr>
          <w:rFonts w:ascii="Arial" w:eastAsiaTheme="majorEastAsia" w:hAnsi="Arial" w:cs="Arial"/>
          <w:i/>
          <w:iCs/>
        </w:rPr>
        <w:t>Source: Porter (1985); Samsung Annual Report (2024).</w:t>
      </w:r>
    </w:p>
    <w:p w14:paraId="4797CDC1" w14:textId="6B322B61"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 xml:space="preserve">Technologically, Samsung uses open innovation, i.e. partnerships with Google, Qualcomm, and local </w:t>
      </w:r>
      <w:proofErr w:type="spellStart"/>
      <w:r w:rsidRPr="00DD54B8">
        <w:rPr>
          <w:rFonts w:ascii="Arial" w:eastAsiaTheme="majorEastAsia" w:hAnsi="Arial" w:cs="Arial"/>
        </w:rPr>
        <w:t>startups</w:t>
      </w:r>
      <w:proofErr w:type="spellEnd"/>
      <w:r w:rsidRPr="00DD54B8">
        <w:rPr>
          <w:rFonts w:ascii="Arial" w:eastAsiaTheme="majorEastAsia" w:hAnsi="Arial" w:cs="Arial"/>
        </w:rPr>
        <w:t xml:space="preserve"> to speed up the adoption of AI and ecosystems of wearable devices (IDC</w:t>
      </w:r>
      <w:r w:rsidR="00556571">
        <w:rPr>
          <w:rFonts w:ascii="Arial" w:eastAsiaTheme="majorEastAsia" w:hAnsi="Arial" w:cs="Arial"/>
        </w:rPr>
        <w:t>,</w:t>
      </w:r>
      <w:r w:rsidRPr="00DD54B8">
        <w:rPr>
          <w:rFonts w:ascii="Arial" w:eastAsiaTheme="majorEastAsia" w:hAnsi="Arial" w:cs="Arial"/>
        </w:rPr>
        <w:t xml:space="preserve"> 2025). This strategy emphasises fast-followers and has the advantage of the education effects of pioneers in the market (Suarez and </w:t>
      </w:r>
      <w:proofErr w:type="spellStart"/>
      <w:r w:rsidRPr="00DD54B8">
        <w:rPr>
          <w:rFonts w:ascii="Arial" w:eastAsiaTheme="majorEastAsia" w:hAnsi="Arial" w:cs="Arial"/>
        </w:rPr>
        <w:t>Lanzolla</w:t>
      </w:r>
      <w:proofErr w:type="spellEnd"/>
      <w:r w:rsidR="00556571">
        <w:rPr>
          <w:rFonts w:ascii="Arial" w:eastAsiaTheme="majorEastAsia" w:hAnsi="Arial" w:cs="Arial"/>
        </w:rPr>
        <w:t>,</w:t>
      </w:r>
      <w:r w:rsidRPr="00DD54B8">
        <w:rPr>
          <w:rFonts w:ascii="Arial" w:eastAsiaTheme="majorEastAsia" w:hAnsi="Arial" w:cs="Arial"/>
        </w:rPr>
        <w:t xml:space="preserve"> 2020).</w:t>
      </w:r>
    </w:p>
    <w:p w14:paraId="69AEB698" w14:textId="5094EB75"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Under the legal environment, the production base of Samsung, which is geographically diversified (South Korea, Vietnam, India, and Poland), assists in overcoming regional compliance risks. However, its semiconductor business is still problematic in patent lawsuits and trade restrictions in international markets (Reuters</w:t>
      </w:r>
      <w:r w:rsidR="00556571">
        <w:rPr>
          <w:rFonts w:ascii="Arial" w:eastAsiaTheme="majorEastAsia" w:hAnsi="Arial" w:cs="Arial"/>
        </w:rPr>
        <w:t>,</w:t>
      </w:r>
      <w:r w:rsidRPr="00DD54B8">
        <w:rPr>
          <w:rFonts w:ascii="Arial" w:eastAsiaTheme="majorEastAsia" w:hAnsi="Arial" w:cs="Arial"/>
        </w:rPr>
        <w:t xml:space="preserve"> 2024). The strategic reaction of Samsung includes improving IP portfolios, promoting harmonised AI and privacy, and enhancing environmental reporting (PwC</w:t>
      </w:r>
      <w:r w:rsidR="00556571">
        <w:rPr>
          <w:rFonts w:ascii="Arial" w:eastAsiaTheme="majorEastAsia" w:hAnsi="Arial" w:cs="Arial"/>
        </w:rPr>
        <w:t>,</w:t>
      </w:r>
      <w:r w:rsidRPr="00DD54B8">
        <w:rPr>
          <w:rFonts w:ascii="Arial" w:eastAsiaTheme="majorEastAsia" w:hAnsi="Arial" w:cs="Arial"/>
        </w:rPr>
        <w:t xml:space="preserve"> 2023).</w:t>
      </w:r>
    </w:p>
    <w:p w14:paraId="6E9FC978" w14:textId="7C19BFD7"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In comparison to Apple, Samsung is more advantageous in terms of its strategic flexibility - it can quickly alternate suppliers, re-price its products, and change marketing storeys in different regions. Nevertheless, this responsiveness can negatively affect brand consistency and differentiation over time (Kotler and Keller</w:t>
      </w:r>
      <w:r w:rsidR="00556571">
        <w:rPr>
          <w:rFonts w:ascii="Arial" w:eastAsiaTheme="majorEastAsia" w:hAnsi="Arial" w:cs="Arial"/>
        </w:rPr>
        <w:t>,</w:t>
      </w:r>
      <w:r w:rsidRPr="00DD54B8">
        <w:rPr>
          <w:rFonts w:ascii="Arial" w:eastAsiaTheme="majorEastAsia" w:hAnsi="Arial" w:cs="Arial"/>
        </w:rPr>
        <w:t xml:space="preserve"> 2023).</w:t>
      </w:r>
    </w:p>
    <w:p w14:paraId="4BD2DD2E" w14:textId="35D8500C" w:rsidR="008A48D8" w:rsidRPr="00DD54B8" w:rsidRDefault="008A48D8" w:rsidP="00556F3E">
      <w:pPr>
        <w:spacing w:after="240" w:line="360" w:lineRule="auto"/>
        <w:jc w:val="both"/>
        <w:rPr>
          <w:rFonts w:ascii="Arial" w:eastAsiaTheme="majorEastAsia" w:hAnsi="Arial" w:cs="Arial"/>
        </w:rPr>
      </w:pPr>
    </w:p>
    <w:p w14:paraId="737C07C6" w14:textId="3B59DECC" w:rsidR="008A48D8" w:rsidRPr="00DD54B8" w:rsidRDefault="00191D7E" w:rsidP="00191D7E">
      <w:pPr>
        <w:pStyle w:val="Heading1"/>
        <w:rPr>
          <w:rFonts w:ascii="Arial" w:hAnsi="Arial" w:cs="Arial"/>
          <w:color w:val="auto"/>
        </w:rPr>
      </w:pPr>
      <w:bookmarkStart w:id="22" w:name="_Toc214528438"/>
      <w:r w:rsidRPr="00DD54B8">
        <w:rPr>
          <w:rFonts w:ascii="Arial" w:hAnsi="Arial" w:cs="Arial"/>
          <w:color w:val="auto"/>
        </w:rPr>
        <w:lastRenderedPageBreak/>
        <w:t xml:space="preserve">4. </w:t>
      </w:r>
      <w:r w:rsidR="008A48D8" w:rsidRPr="00DD54B8">
        <w:rPr>
          <w:rFonts w:ascii="Arial" w:hAnsi="Arial" w:cs="Arial"/>
          <w:color w:val="auto"/>
        </w:rPr>
        <w:t>Conclusion</w:t>
      </w:r>
      <w:bookmarkEnd w:id="22"/>
      <w:r w:rsidR="008A48D8" w:rsidRPr="00DD54B8">
        <w:rPr>
          <w:rFonts w:ascii="Arial" w:hAnsi="Arial" w:cs="Arial"/>
          <w:color w:val="auto"/>
        </w:rPr>
        <w:t xml:space="preserve"> </w:t>
      </w:r>
    </w:p>
    <w:p w14:paraId="78431D81" w14:textId="77777777" w:rsidR="008A48D8" w:rsidRPr="00DD54B8" w:rsidRDefault="008A48D8" w:rsidP="00DB3C6A">
      <w:pPr>
        <w:spacing w:after="240" w:line="360" w:lineRule="auto"/>
        <w:jc w:val="both"/>
        <w:rPr>
          <w:rFonts w:ascii="Arial" w:eastAsiaTheme="majorEastAsia" w:hAnsi="Arial" w:cs="Arial"/>
        </w:rPr>
      </w:pPr>
      <w:r w:rsidRPr="00DD54B8">
        <w:rPr>
          <w:rFonts w:ascii="Arial" w:eastAsiaTheme="majorEastAsia" w:hAnsi="Arial" w:cs="Arial"/>
        </w:rPr>
        <w:t>The present report critically analysed the influence of macro-environmental forces of strategic marketing response in the global technology sector with reference to technological and legal forces. Based on the examples of Apple Inc. as a pioneering organisation and Samsung Electronics as a follower, the analysis has shown that the external changes pose an opportunity and threat that demand different strategic orientations. In the case of Apple, intense technology development and changes in regulatory requirements promote constant innovation, ecosystem integration and brand differentiation by privacy and design perfection. Conversely, the strength of Samsung is its flexibility, economies of scale and its operationalisation of the fast-follower strategies in a variety of legal jurisdictions.</w:t>
      </w:r>
    </w:p>
    <w:p w14:paraId="5FB6AEC7" w14:textId="56E4D9CF" w:rsidR="00DE5D5B" w:rsidRPr="00DD54B8" w:rsidRDefault="00DE5D5B" w:rsidP="00DB3C6A">
      <w:pPr>
        <w:spacing w:after="240" w:line="360" w:lineRule="auto"/>
        <w:jc w:val="both"/>
        <w:rPr>
          <w:rFonts w:ascii="Arial" w:eastAsiaTheme="majorEastAsia" w:hAnsi="Arial" w:cs="Arial"/>
        </w:rPr>
      </w:pPr>
    </w:p>
    <w:p w14:paraId="117A5B21" w14:textId="77777777" w:rsidR="00191D7E" w:rsidRPr="00DD54B8" w:rsidRDefault="00191D7E">
      <w:pPr>
        <w:rPr>
          <w:rFonts w:ascii="Arial" w:eastAsiaTheme="majorEastAsia" w:hAnsi="Arial" w:cs="Arial"/>
          <w:sz w:val="40"/>
          <w:szCs w:val="40"/>
        </w:rPr>
      </w:pPr>
      <w:r w:rsidRPr="00DD54B8">
        <w:rPr>
          <w:rFonts w:ascii="Arial" w:hAnsi="Arial" w:cs="Arial"/>
        </w:rPr>
        <w:br w:type="page"/>
      </w:r>
    </w:p>
    <w:p w14:paraId="7E5BE2F4" w14:textId="2484B0AB" w:rsidR="00DE5D5B" w:rsidRPr="00DD54B8" w:rsidRDefault="00DE5D5B" w:rsidP="00191D7E">
      <w:pPr>
        <w:pStyle w:val="Heading1"/>
        <w:rPr>
          <w:rFonts w:ascii="Arial" w:hAnsi="Arial" w:cs="Arial"/>
          <w:color w:val="auto"/>
        </w:rPr>
      </w:pPr>
      <w:bookmarkStart w:id="23" w:name="_Toc214528439"/>
      <w:r w:rsidRPr="00DD54B8">
        <w:rPr>
          <w:rFonts w:ascii="Arial" w:hAnsi="Arial" w:cs="Arial"/>
          <w:color w:val="auto"/>
        </w:rPr>
        <w:lastRenderedPageBreak/>
        <w:t>5. References</w:t>
      </w:r>
      <w:bookmarkEnd w:id="23"/>
      <w:r w:rsidRPr="00DD54B8">
        <w:rPr>
          <w:rFonts w:ascii="Arial" w:hAnsi="Arial" w:cs="Arial"/>
          <w:color w:val="auto"/>
        </w:rPr>
        <w:t xml:space="preserve"> </w:t>
      </w:r>
    </w:p>
    <w:p w14:paraId="037B55CA" w14:textId="77777777" w:rsidR="00191D7E" w:rsidRPr="00DD54B8" w:rsidRDefault="00191D7E" w:rsidP="00191D7E">
      <w:pPr>
        <w:spacing w:line="360" w:lineRule="auto"/>
        <w:ind w:left="720" w:hanging="720"/>
        <w:rPr>
          <w:rFonts w:ascii="Arial" w:hAnsi="Arial" w:cs="Arial"/>
        </w:rPr>
      </w:pPr>
    </w:p>
    <w:p w14:paraId="6933F856" w14:textId="53FC9669" w:rsidR="003E76DA" w:rsidRPr="005C3D45" w:rsidRDefault="003E76DA" w:rsidP="003E76DA">
      <w:pPr>
        <w:spacing w:after="200" w:line="360" w:lineRule="auto"/>
        <w:jc w:val="both"/>
        <w:rPr>
          <w:rFonts w:ascii="Arial" w:hAnsi="Arial" w:cs="Arial"/>
        </w:rPr>
      </w:pPr>
      <w:r w:rsidRPr="005C3D45">
        <w:rPr>
          <w:rFonts w:ascii="Arial" w:hAnsi="Arial" w:cs="Arial"/>
        </w:rPr>
        <w:t xml:space="preserve">Ansoff, H.I. (1957) ‘Strategies for diversification’, </w:t>
      </w:r>
      <w:r w:rsidRPr="005C3D45">
        <w:rPr>
          <w:rFonts w:ascii="Arial" w:hAnsi="Arial" w:cs="Arial"/>
          <w:i/>
          <w:iCs/>
        </w:rPr>
        <w:t>Harvard Business Review</w:t>
      </w:r>
      <w:r w:rsidRPr="005C3D45">
        <w:rPr>
          <w:rFonts w:ascii="Arial" w:hAnsi="Arial" w:cs="Arial"/>
        </w:rPr>
        <w:t>, 35(5), pp. 113–124. Available at: https://hbr.org/1957/09/strategies-for-diversification.</w:t>
      </w:r>
    </w:p>
    <w:p w14:paraId="09CAF381" w14:textId="1C232C0A" w:rsidR="003E76DA" w:rsidRPr="005C3D45" w:rsidRDefault="003E76DA" w:rsidP="003E76DA">
      <w:pPr>
        <w:spacing w:after="200" w:line="360" w:lineRule="auto"/>
        <w:jc w:val="both"/>
        <w:rPr>
          <w:rFonts w:ascii="Arial" w:hAnsi="Arial" w:cs="Arial"/>
        </w:rPr>
      </w:pPr>
      <w:r w:rsidRPr="005C3D45">
        <w:rPr>
          <w:rFonts w:ascii="Arial" w:hAnsi="Arial" w:cs="Arial"/>
        </w:rPr>
        <w:t xml:space="preserve">Apple Inc. (2024) </w:t>
      </w:r>
      <w:r w:rsidRPr="005C3D45">
        <w:rPr>
          <w:rFonts w:ascii="Arial" w:hAnsi="Arial" w:cs="Arial"/>
          <w:i/>
          <w:iCs/>
        </w:rPr>
        <w:t>Annual Report 2024.</w:t>
      </w:r>
      <w:r w:rsidRPr="005C3D45">
        <w:rPr>
          <w:rFonts w:ascii="Arial" w:hAnsi="Arial" w:cs="Arial"/>
        </w:rPr>
        <w:t xml:space="preserve"> Cupertino, CA: Apple. Available at: https://investor.apple.com/investor-relations/financial-information/.</w:t>
      </w:r>
    </w:p>
    <w:p w14:paraId="49EC63CB" w14:textId="6E6F10A2" w:rsidR="003E76DA" w:rsidRPr="005C3D45" w:rsidRDefault="003E76DA" w:rsidP="003E76DA">
      <w:pPr>
        <w:spacing w:after="200" w:line="360" w:lineRule="auto"/>
        <w:jc w:val="both"/>
        <w:rPr>
          <w:rFonts w:ascii="Arial" w:hAnsi="Arial" w:cs="Arial"/>
        </w:rPr>
      </w:pPr>
      <w:r w:rsidRPr="005C3D45">
        <w:rPr>
          <w:rFonts w:ascii="Arial" w:hAnsi="Arial" w:cs="Arial"/>
        </w:rPr>
        <w:t xml:space="preserve">European Commission (2024) </w:t>
      </w:r>
      <w:r w:rsidRPr="005C3D45">
        <w:rPr>
          <w:rFonts w:ascii="Arial" w:hAnsi="Arial" w:cs="Arial"/>
          <w:i/>
          <w:iCs/>
        </w:rPr>
        <w:t>The Digital Markets Act and Artificial Intelligence Regulation.</w:t>
      </w:r>
      <w:r w:rsidRPr="005C3D45">
        <w:rPr>
          <w:rFonts w:ascii="Arial" w:hAnsi="Arial" w:cs="Arial"/>
        </w:rPr>
        <w:t xml:space="preserve"> Brussels: EU Publications Office. Available at: https://digital-strategy.ec.europa.eu/en/policies/digital-markets-act.</w:t>
      </w:r>
    </w:p>
    <w:p w14:paraId="0CBD4AFA" w14:textId="20BDE5F3" w:rsidR="003E76DA" w:rsidRPr="005C3D45" w:rsidRDefault="003E76DA" w:rsidP="003E76DA">
      <w:pPr>
        <w:spacing w:after="200" w:line="360" w:lineRule="auto"/>
        <w:jc w:val="both"/>
        <w:rPr>
          <w:rFonts w:ascii="Arial" w:hAnsi="Arial" w:cs="Arial"/>
        </w:rPr>
      </w:pPr>
      <w:r w:rsidRPr="005C3D45">
        <w:rPr>
          <w:rFonts w:ascii="Arial" w:hAnsi="Arial" w:cs="Arial"/>
        </w:rPr>
        <w:t xml:space="preserve">Grant, R.M. (2022) </w:t>
      </w:r>
      <w:r w:rsidRPr="005C3D45">
        <w:rPr>
          <w:rFonts w:ascii="Arial" w:hAnsi="Arial" w:cs="Arial"/>
          <w:i/>
          <w:iCs/>
        </w:rPr>
        <w:t>Contemporary Strategy Analysis.</w:t>
      </w:r>
      <w:r w:rsidRPr="005C3D45">
        <w:rPr>
          <w:rFonts w:ascii="Arial" w:hAnsi="Arial" w:cs="Arial"/>
        </w:rPr>
        <w:t xml:space="preserve"> 11th </w:t>
      </w:r>
      <w:proofErr w:type="spellStart"/>
      <w:r w:rsidRPr="005C3D45">
        <w:rPr>
          <w:rFonts w:ascii="Arial" w:hAnsi="Arial" w:cs="Arial"/>
        </w:rPr>
        <w:t>edn</w:t>
      </w:r>
      <w:proofErr w:type="spellEnd"/>
      <w:r w:rsidRPr="005C3D45">
        <w:rPr>
          <w:rFonts w:ascii="Arial" w:hAnsi="Arial" w:cs="Arial"/>
        </w:rPr>
        <w:t>. Wiley. Available at: https://www.wiley.com/en-us/Contemporary+Strategy+Analysis%2C+11th+Edition-p-9781119812933</w:t>
      </w:r>
      <w:r w:rsidR="006F0B97">
        <w:rPr>
          <w:rFonts w:ascii="Arial" w:hAnsi="Arial" w:cs="Arial"/>
        </w:rPr>
        <w:t>.</w:t>
      </w:r>
    </w:p>
    <w:p w14:paraId="54F1FF55" w14:textId="41F2E90A" w:rsidR="003E76DA" w:rsidRPr="005C3D45" w:rsidRDefault="003E76DA" w:rsidP="003E76DA">
      <w:pPr>
        <w:spacing w:after="200" w:line="360" w:lineRule="auto"/>
        <w:jc w:val="both"/>
        <w:rPr>
          <w:rFonts w:ascii="Arial" w:hAnsi="Arial" w:cs="Arial"/>
        </w:rPr>
      </w:pPr>
      <w:r w:rsidRPr="005C3D45">
        <w:rPr>
          <w:rFonts w:ascii="Arial" w:hAnsi="Arial" w:cs="Arial"/>
        </w:rPr>
        <w:t xml:space="preserve">IDC (2025) </w:t>
      </w:r>
      <w:r w:rsidRPr="005C3D45">
        <w:rPr>
          <w:rFonts w:ascii="Arial" w:hAnsi="Arial" w:cs="Arial"/>
          <w:i/>
          <w:iCs/>
        </w:rPr>
        <w:t>Global Smartphone Market Outlook 2025.</w:t>
      </w:r>
      <w:r w:rsidRPr="005C3D45">
        <w:rPr>
          <w:rFonts w:ascii="Arial" w:hAnsi="Arial" w:cs="Arial"/>
        </w:rPr>
        <w:t xml:space="preserve"> International Data Corporation. Available at: </w:t>
      </w:r>
      <w:r w:rsidRPr="006F0B97">
        <w:rPr>
          <w:rFonts w:ascii="Arial" w:hAnsi="Arial" w:cs="Arial"/>
        </w:rPr>
        <w:t>https://www.idc.com/</w:t>
      </w:r>
      <w:r w:rsidRPr="005C3D45">
        <w:rPr>
          <w:rFonts w:ascii="Arial" w:hAnsi="Arial" w:cs="Arial"/>
        </w:rPr>
        <w:t xml:space="preserve"> </w:t>
      </w:r>
    </w:p>
    <w:p w14:paraId="62DD47A7" w14:textId="1F825422" w:rsidR="003E76DA" w:rsidRPr="005C3D45" w:rsidRDefault="003E76DA" w:rsidP="003E76DA">
      <w:pPr>
        <w:spacing w:after="200" w:line="360" w:lineRule="auto"/>
        <w:jc w:val="both"/>
        <w:rPr>
          <w:rFonts w:ascii="Arial" w:hAnsi="Arial" w:cs="Arial"/>
        </w:rPr>
      </w:pPr>
      <w:r w:rsidRPr="005C3D45">
        <w:rPr>
          <w:rFonts w:ascii="Arial" w:hAnsi="Arial" w:cs="Arial"/>
        </w:rPr>
        <w:t xml:space="preserve">Johnson, G., Scholes, K. and Whittington, R. (2020) </w:t>
      </w:r>
      <w:r w:rsidRPr="005C3D45">
        <w:rPr>
          <w:rFonts w:ascii="Arial" w:hAnsi="Arial" w:cs="Arial"/>
          <w:i/>
          <w:iCs/>
        </w:rPr>
        <w:t>Exploring Strategy.</w:t>
      </w:r>
      <w:r w:rsidRPr="005C3D45">
        <w:rPr>
          <w:rFonts w:ascii="Arial" w:hAnsi="Arial" w:cs="Arial"/>
        </w:rPr>
        <w:t xml:space="preserve"> 12th </w:t>
      </w:r>
      <w:proofErr w:type="spellStart"/>
      <w:r w:rsidRPr="005C3D45">
        <w:rPr>
          <w:rFonts w:ascii="Arial" w:hAnsi="Arial" w:cs="Arial"/>
        </w:rPr>
        <w:t>edn</w:t>
      </w:r>
      <w:proofErr w:type="spellEnd"/>
      <w:r w:rsidRPr="005C3D45">
        <w:rPr>
          <w:rFonts w:ascii="Arial" w:hAnsi="Arial" w:cs="Arial"/>
        </w:rPr>
        <w:t>. Pearson. Available at: https://www.pearson.com/en-gb/subject-catalog/p/exploring-strategy-text-and-cases/P200000004404/9781292282503</w:t>
      </w:r>
      <w:r w:rsidR="006F0B97">
        <w:rPr>
          <w:rFonts w:ascii="Arial" w:hAnsi="Arial" w:cs="Arial"/>
        </w:rPr>
        <w:t>.</w:t>
      </w:r>
    </w:p>
    <w:p w14:paraId="5E12C176" w14:textId="2F7A0040" w:rsidR="003E76DA" w:rsidRPr="005C3D45" w:rsidRDefault="003E76DA" w:rsidP="003E76DA">
      <w:pPr>
        <w:spacing w:after="200" w:line="360" w:lineRule="auto"/>
        <w:jc w:val="both"/>
        <w:rPr>
          <w:rFonts w:ascii="Arial" w:hAnsi="Arial" w:cs="Arial"/>
        </w:rPr>
      </w:pPr>
      <w:r w:rsidRPr="005C3D45">
        <w:rPr>
          <w:rFonts w:ascii="Arial" w:hAnsi="Arial" w:cs="Arial"/>
        </w:rPr>
        <w:t xml:space="preserve">Kotler, P. and Keller, K.L. (2023) </w:t>
      </w:r>
      <w:r w:rsidRPr="005C3D45">
        <w:rPr>
          <w:rFonts w:ascii="Arial" w:hAnsi="Arial" w:cs="Arial"/>
          <w:i/>
          <w:iCs/>
        </w:rPr>
        <w:t>Marketing Management.</w:t>
      </w:r>
      <w:r w:rsidRPr="005C3D45">
        <w:rPr>
          <w:rFonts w:ascii="Arial" w:hAnsi="Arial" w:cs="Arial"/>
        </w:rPr>
        <w:t xml:space="preserve"> Global </w:t>
      </w:r>
      <w:proofErr w:type="spellStart"/>
      <w:r w:rsidRPr="005C3D45">
        <w:rPr>
          <w:rFonts w:ascii="Arial" w:hAnsi="Arial" w:cs="Arial"/>
        </w:rPr>
        <w:t>edn</w:t>
      </w:r>
      <w:proofErr w:type="spellEnd"/>
      <w:r w:rsidRPr="005C3D45">
        <w:rPr>
          <w:rFonts w:ascii="Arial" w:hAnsi="Arial" w:cs="Arial"/>
        </w:rPr>
        <w:t>. Pearson. Available at: https://www.pearson.com/en-gb/subject-catalog/p/marketing-management-global-edition/P200000004480/9781292404813</w:t>
      </w:r>
      <w:r w:rsidR="006F0B97">
        <w:rPr>
          <w:rFonts w:ascii="Arial" w:hAnsi="Arial" w:cs="Arial"/>
        </w:rPr>
        <w:t>.</w:t>
      </w:r>
    </w:p>
    <w:p w14:paraId="1094A602" w14:textId="077A50F5" w:rsidR="003E76DA" w:rsidRPr="005C3D45" w:rsidRDefault="003E76DA" w:rsidP="003E76DA">
      <w:pPr>
        <w:spacing w:after="200" w:line="360" w:lineRule="auto"/>
        <w:jc w:val="both"/>
        <w:rPr>
          <w:rFonts w:ascii="Arial" w:hAnsi="Arial" w:cs="Arial"/>
        </w:rPr>
      </w:pPr>
      <w:r w:rsidRPr="005C3D45">
        <w:rPr>
          <w:rFonts w:ascii="Arial" w:hAnsi="Arial" w:cs="Arial"/>
        </w:rPr>
        <w:t xml:space="preserve">Lieberman, M.B. and Montgomery, D.B. (1988) ‘First-mover advantages’, </w:t>
      </w:r>
      <w:r w:rsidRPr="005C3D45">
        <w:rPr>
          <w:rFonts w:ascii="Arial" w:hAnsi="Arial" w:cs="Arial"/>
          <w:i/>
          <w:iCs/>
        </w:rPr>
        <w:t>Strategic Management Journal,</w:t>
      </w:r>
      <w:r w:rsidRPr="005C3D45">
        <w:rPr>
          <w:rFonts w:ascii="Arial" w:hAnsi="Arial" w:cs="Arial"/>
        </w:rPr>
        <w:t xml:space="preserve"> 9(S1), pp. 41–58. Available at: </w:t>
      </w:r>
      <w:r w:rsidRPr="006F0B97">
        <w:rPr>
          <w:rFonts w:ascii="Arial" w:hAnsi="Arial" w:cs="Arial"/>
        </w:rPr>
        <w:t>https://doi.org/10.1002/smj.4250090706</w:t>
      </w:r>
      <w:r w:rsidR="006F0B97">
        <w:rPr>
          <w:rFonts w:ascii="Arial" w:hAnsi="Arial" w:cs="Arial"/>
        </w:rPr>
        <w:t>.</w:t>
      </w:r>
    </w:p>
    <w:p w14:paraId="31B161E9" w14:textId="42AFF261" w:rsidR="003E76DA" w:rsidRPr="005C3D45" w:rsidRDefault="003E76DA" w:rsidP="003E76DA">
      <w:pPr>
        <w:spacing w:after="200" w:line="360" w:lineRule="auto"/>
        <w:jc w:val="both"/>
        <w:rPr>
          <w:rFonts w:ascii="Arial" w:hAnsi="Arial" w:cs="Arial"/>
        </w:rPr>
      </w:pPr>
      <w:proofErr w:type="spellStart"/>
      <w:r w:rsidRPr="005C3D45">
        <w:rPr>
          <w:rFonts w:ascii="Arial" w:hAnsi="Arial" w:cs="Arial"/>
        </w:rPr>
        <w:t>Narver</w:t>
      </w:r>
      <w:proofErr w:type="spellEnd"/>
      <w:r w:rsidRPr="005C3D45">
        <w:rPr>
          <w:rFonts w:ascii="Arial" w:hAnsi="Arial" w:cs="Arial"/>
        </w:rPr>
        <w:t xml:space="preserve">, J.C. and Slater, S.F. (2020) ‘Market orientation and innovation in dynamic environments’, </w:t>
      </w:r>
      <w:r w:rsidRPr="005C3D45">
        <w:rPr>
          <w:rFonts w:ascii="Arial" w:hAnsi="Arial" w:cs="Arial"/>
          <w:i/>
          <w:iCs/>
        </w:rPr>
        <w:t>Journal of Marketing Theory and Practice,</w:t>
      </w:r>
      <w:r w:rsidRPr="005C3D45">
        <w:rPr>
          <w:rFonts w:ascii="Arial" w:hAnsi="Arial" w:cs="Arial"/>
        </w:rPr>
        <w:t xml:space="preserve"> 28(4), pp. 377–392. Available at: https://doi.org/10.1080/10696679.2020.1763552 </w:t>
      </w:r>
    </w:p>
    <w:p w14:paraId="7D05F08C" w14:textId="72F25E4F" w:rsidR="003E76DA" w:rsidRPr="005C3D45" w:rsidRDefault="003E76DA" w:rsidP="003E76DA">
      <w:pPr>
        <w:spacing w:after="200" w:line="360" w:lineRule="auto"/>
        <w:jc w:val="both"/>
        <w:rPr>
          <w:rFonts w:ascii="Arial" w:hAnsi="Arial" w:cs="Arial"/>
        </w:rPr>
      </w:pPr>
      <w:r w:rsidRPr="005C3D45">
        <w:rPr>
          <w:rFonts w:ascii="Arial" w:hAnsi="Arial" w:cs="Arial"/>
        </w:rPr>
        <w:t xml:space="preserve">OECD (2023) </w:t>
      </w:r>
      <w:r w:rsidRPr="005C3D45">
        <w:rPr>
          <w:rFonts w:ascii="Arial" w:hAnsi="Arial" w:cs="Arial"/>
          <w:i/>
          <w:iCs/>
        </w:rPr>
        <w:t>Digital Economy Outlook 2023.</w:t>
      </w:r>
      <w:r w:rsidRPr="005C3D45">
        <w:rPr>
          <w:rFonts w:ascii="Arial" w:hAnsi="Arial" w:cs="Arial"/>
        </w:rPr>
        <w:t xml:space="preserve"> Paris: OECD Publishing. Available at: https://doi.org/10.1787/5b2fceea-en </w:t>
      </w:r>
    </w:p>
    <w:p w14:paraId="67EA20F2" w14:textId="4BE49A7A" w:rsidR="003E76DA" w:rsidRPr="005C3D45" w:rsidRDefault="003E76DA" w:rsidP="003E76DA">
      <w:pPr>
        <w:spacing w:after="200" w:line="360" w:lineRule="auto"/>
        <w:jc w:val="both"/>
        <w:rPr>
          <w:rFonts w:ascii="Arial" w:hAnsi="Arial" w:cs="Arial"/>
        </w:rPr>
      </w:pPr>
      <w:r w:rsidRPr="005C3D45">
        <w:rPr>
          <w:rFonts w:ascii="Arial" w:hAnsi="Arial" w:cs="Arial"/>
        </w:rPr>
        <w:lastRenderedPageBreak/>
        <w:t xml:space="preserve">Porter, M.E. (1985) </w:t>
      </w:r>
      <w:r w:rsidRPr="005C3D45">
        <w:rPr>
          <w:rFonts w:ascii="Arial" w:hAnsi="Arial" w:cs="Arial"/>
          <w:i/>
          <w:iCs/>
        </w:rPr>
        <w:t>Competitive Advantage: Creating and Sustaining Superior Performance.</w:t>
      </w:r>
      <w:r w:rsidRPr="005C3D45">
        <w:rPr>
          <w:rFonts w:ascii="Arial" w:hAnsi="Arial" w:cs="Arial"/>
        </w:rPr>
        <w:t xml:space="preserve"> New York: Free Press. Available at: </w:t>
      </w:r>
      <w:r w:rsidRPr="006F0B97">
        <w:rPr>
          <w:rFonts w:ascii="Arial" w:hAnsi="Arial" w:cs="Arial"/>
        </w:rPr>
        <w:t>https://www.hbs.edu/faculty/Pages/item.aspx?num=193</w:t>
      </w:r>
      <w:r w:rsidR="006F0B97">
        <w:rPr>
          <w:rFonts w:ascii="Arial" w:hAnsi="Arial" w:cs="Arial"/>
        </w:rPr>
        <w:t>.</w:t>
      </w:r>
    </w:p>
    <w:p w14:paraId="1BFEC7F2" w14:textId="10177CC6" w:rsidR="003E76DA" w:rsidRPr="005C3D45" w:rsidRDefault="003E76DA" w:rsidP="003E76DA">
      <w:pPr>
        <w:spacing w:after="200" w:line="360" w:lineRule="auto"/>
        <w:jc w:val="both"/>
        <w:rPr>
          <w:rFonts w:ascii="Arial" w:hAnsi="Arial" w:cs="Arial"/>
        </w:rPr>
      </w:pPr>
      <w:r w:rsidRPr="005C3D45">
        <w:rPr>
          <w:rFonts w:ascii="Arial" w:hAnsi="Arial" w:cs="Arial"/>
        </w:rPr>
        <w:t xml:space="preserve">Porter, M.E. and </w:t>
      </w:r>
      <w:proofErr w:type="spellStart"/>
      <w:r w:rsidRPr="005C3D45">
        <w:rPr>
          <w:rFonts w:ascii="Arial" w:hAnsi="Arial" w:cs="Arial"/>
        </w:rPr>
        <w:t>Heppelmann</w:t>
      </w:r>
      <w:proofErr w:type="spellEnd"/>
      <w:r w:rsidRPr="005C3D45">
        <w:rPr>
          <w:rFonts w:ascii="Arial" w:hAnsi="Arial" w:cs="Arial"/>
        </w:rPr>
        <w:t xml:space="preserve">, J.E. (2021) ‘How smart, connected products are transforming competition’, </w:t>
      </w:r>
      <w:r w:rsidRPr="005C3D45">
        <w:rPr>
          <w:rFonts w:ascii="Arial" w:hAnsi="Arial" w:cs="Arial"/>
          <w:i/>
          <w:iCs/>
        </w:rPr>
        <w:t>Harvard Business Review,</w:t>
      </w:r>
      <w:r w:rsidRPr="005C3D45">
        <w:rPr>
          <w:rFonts w:ascii="Arial" w:hAnsi="Arial" w:cs="Arial"/>
        </w:rPr>
        <w:t xml:space="preserve"> 99(3), pp. 66–88. Available at: https://hbr.org/2014/11/how-smart-connected-products-are-transforming-competition</w:t>
      </w:r>
      <w:r w:rsidR="006F0B97">
        <w:rPr>
          <w:rFonts w:ascii="Arial" w:hAnsi="Arial" w:cs="Arial"/>
        </w:rPr>
        <w:t>.</w:t>
      </w:r>
    </w:p>
    <w:p w14:paraId="18495533" w14:textId="5FA787B3" w:rsidR="003E76DA" w:rsidRPr="005C3D45" w:rsidRDefault="003E76DA" w:rsidP="003E76DA">
      <w:pPr>
        <w:spacing w:after="200" w:line="360" w:lineRule="auto"/>
        <w:jc w:val="both"/>
        <w:rPr>
          <w:rFonts w:ascii="Arial" w:hAnsi="Arial" w:cs="Arial"/>
        </w:rPr>
      </w:pPr>
      <w:r w:rsidRPr="005C3D45">
        <w:rPr>
          <w:rFonts w:ascii="Arial" w:hAnsi="Arial" w:cs="Arial"/>
        </w:rPr>
        <w:t xml:space="preserve">PwC (2023) </w:t>
      </w:r>
      <w:r w:rsidRPr="005C3D45">
        <w:rPr>
          <w:rFonts w:ascii="Arial" w:hAnsi="Arial" w:cs="Arial"/>
          <w:i/>
          <w:iCs/>
        </w:rPr>
        <w:t>Global Risk Outlook 2023: Regulation and Technology.</w:t>
      </w:r>
      <w:r w:rsidRPr="005C3D45">
        <w:rPr>
          <w:rFonts w:ascii="Arial" w:hAnsi="Arial" w:cs="Arial"/>
        </w:rPr>
        <w:t xml:space="preserve"> London: PwC. Available at: https://www.pwc.com/gx/en/issues/global-risk-survey.html</w:t>
      </w:r>
      <w:r w:rsidR="006F0B97">
        <w:rPr>
          <w:rFonts w:ascii="Arial" w:hAnsi="Arial" w:cs="Arial"/>
        </w:rPr>
        <w:t>.</w:t>
      </w:r>
    </w:p>
    <w:p w14:paraId="5056478A" w14:textId="60533A4C" w:rsidR="003E76DA" w:rsidRPr="005C3D45" w:rsidRDefault="003E76DA" w:rsidP="003E76DA">
      <w:pPr>
        <w:spacing w:after="200" w:line="360" w:lineRule="auto"/>
        <w:jc w:val="both"/>
        <w:rPr>
          <w:rFonts w:ascii="Arial" w:hAnsi="Arial" w:cs="Arial"/>
        </w:rPr>
      </w:pPr>
      <w:r w:rsidRPr="005C3D45">
        <w:rPr>
          <w:rFonts w:ascii="Arial" w:hAnsi="Arial" w:cs="Arial"/>
        </w:rPr>
        <w:t xml:space="preserve">Reuters (2024) ‘Samsung faces patent and trade scrutiny amid chip-supply tensions’, </w:t>
      </w:r>
      <w:r w:rsidRPr="005C3D45">
        <w:rPr>
          <w:rFonts w:ascii="Arial" w:hAnsi="Arial" w:cs="Arial"/>
          <w:i/>
          <w:iCs/>
        </w:rPr>
        <w:t>Reuters Technology,</w:t>
      </w:r>
      <w:r w:rsidRPr="005C3D45">
        <w:rPr>
          <w:rFonts w:ascii="Arial" w:hAnsi="Arial" w:cs="Arial"/>
        </w:rPr>
        <w:t xml:space="preserve"> 12 March. Available at: https://www.reuters.com/technology/</w:t>
      </w:r>
    </w:p>
    <w:p w14:paraId="190353F3" w14:textId="784CA168" w:rsidR="003E76DA" w:rsidRPr="005C3D45" w:rsidRDefault="003E76DA" w:rsidP="003E76DA">
      <w:pPr>
        <w:spacing w:after="200" w:line="360" w:lineRule="auto"/>
        <w:jc w:val="both"/>
        <w:rPr>
          <w:rFonts w:ascii="Arial" w:hAnsi="Arial" w:cs="Arial"/>
        </w:rPr>
      </w:pPr>
      <w:r w:rsidRPr="005C3D45">
        <w:rPr>
          <w:rFonts w:ascii="Arial" w:hAnsi="Arial" w:cs="Arial"/>
        </w:rPr>
        <w:t xml:space="preserve">Statista (2025) </w:t>
      </w:r>
      <w:r w:rsidRPr="005C3D45">
        <w:rPr>
          <w:rFonts w:ascii="Arial" w:hAnsi="Arial" w:cs="Arial"/>
          <w:i/>
          <w:iCs/>
        </w:rPr>
        <w:t>Artificial Intelligence (AI) Market Revenue Forecast Worldwide (2020–2027).</w:t>
      </w:r>
      <w:r w:rsidRPr="005C3D45">
        <w:rPr>
          <w:rFonts w:ascii="Arial" w:hAnsi="Arial" w:cs="Arial"/>
        </w:rPr>
        <w:t xml:space="preserve"> Available at: https://www.statista.com/statistics/1365158/global-artificial-intelligence-ai-market-size/</w:t>
      </w:r>
      <w:r w:rsidR="006F0B97">
        <w:rPr>
          <w:rFonts w:ascii="Arial" w:hAnsi="Arial" w:cs="Arial"/>
        </w:rPr>
        <w:t>.</w:t>
      </w:r>
    </w:p>
    <w:p w14:paraId="2FB84A73" w14:textId="77BF2C82" w:rsidR="003E76DA" w:rsidRPr="005C3D45" w:rsidRDefault="003E76DA" w:rsidP="003E76DA">
      <w:pPr>
        <w:spacing w:after="200" w:line="360" w:lineRule="auto"/>
        <w:jc w:val="both"/>
        <w:rPr>
          <w:rFonts w:ascii="Arial" w:hAnsi="Arial" w:cs="Arial"/>
        </w:rPr>
      </w:pPr>
      <w:r w:rsidRPr="005C3D45">
        <w:rPr>
          <w:rFonts w:ascii="Arial" w:hAnsi="Arial" w:cs="Arial"/>
        </w:rPr>
        <w:t xml:space="preserve">Suarez, F.F. and </w:t>
      </w:r>
      <w:proofErr w:type="spellStart"/>
      <w:r w:rsidRPr="005C3D45">
        <w:rPr>
          <w:rFonts w:ascii="Arial" w:hAnsi="Arial" w:cs="Arial"/>
        </w:rPr>
        <w:t>Lanzolla</w:t>
      </w:r>
      <w:proofErr w:type="spellEnd"/>
      <w:r w:rsidRPr="005C3D45">
        <w:rPr>
          <w:rFonts w:ascii="Arial" w:hAnsi="Arial" w:cs="Arial"/>
        </w:rPr>
        <w:t xml:space="preserve">, G. (2020) ‘The half-truth of first-mover advantage’, </w:t>
      </w:r>
      <w:r w:rsidRPr="005C3D45">
        <w:rPr>
          <w:rFonts w:ascii="Arial" w:hAnsi="Arial" w:cs="Arial"/>
          <w:i/>
          <w:iCs/>
        </w:rPr>
        <w:t>MIT Sloan Management Review,</w:t>
      </w:r>
      <w:r w:rsidRPr="005C3D45">
        <w:rPr>
          <w:rFonts w:ascii="Arial" w:hAnsi="Arial" w:cs="Arial"/>
        </w:rPr>
        <w:t xml:space="preserve"> 61(4), pp. 12–19. Available at: https://sloanreview.mit.edu/article/the-half-truth-of-first-mover-advantage/</w:t>
      </w:r>
      <w:r w:rsidR="006F0B97">
        <w:rPr>
          <w:rFonts w:ascii="Arial" w:hAnsi="Arial" w:cs="Arial"/>
        </w:rPr>
        <w:t>.</w:t>
      </w:r>
    </w:p>
    <w:p w14:paraId="4C0CE7F5" w14:textId="6ED426C4" w:rsidR="003E76DA" w:rsidRPr="005C3D45" w:rsidRDefault="003E76DA" w:rsidP="003E76DA">
      <w:pPr>
        <w:spacing w:line="360" w:lineRule="auto"/>
        <w:jc w:val="both"/>
        <w:rPr>
          <w:rFonts w:ascii="Arial" w:hAnsi="Arial" w:cs="Arial"/>
        </w:rPr>
      </w:pPr>
      <w:r w:rsidRPr="005C3D45">
        <w:rPr>
          <w:rFonts w:ascii="Arial" w:hAnsi="Arial" w:cs="Arial"/>
        </w:rPr>
        <w:t xml:space="preserve">Teece, D.J. (2018) Dynamic Capabilities and Strategic Management. 2nd </w:t>
      </w:r>
      <w:proofErr w:type="spellStart"/>
      <w:r w:rsidRPr="005C3D45">
        <w:rPr>
          <w:rFonts w:ascii="Arial" w:hAnsi="Arial" w:cs="Arial"/>
        </w:rPr>
        <w:t>edn</w:t>
      </w:r>
      <w:proofErr w:type="spellEnd"/>
      <w:r w:rsidRPr="005C3D45">
        <w:rPr>
          <w:rFonts w:ascii="Arial" w:hAnsi="Arial" w:cs="Arial"/>
        </w:rPr>
        <w:t>. Oxford University Press. Available at: https://global.oup.com/academic/product/dynamic-capabilities-and-strategic-management-9780198832360</w:t>
      </w:r>
      <w:r w:rsidR="006F0B97">
        <w:rPr>
          <w:rFonts w:ascii="Arial" w:hAnsi="Arial" w:cs="Arial"/>
        </w:rPr>
        <w:t>.</w:t>
      </w:r>
    </w:p>
    <w:p w14:paraId="262B751A" w14:textId="5DAFBE15" w:rsidR="003E76DA" w:rsidRPr="005C3D45" w:rsidRDefault="003E76DA" w:rsidP="003E76DA">
      <w:pPr>
        <w:spacing w:after="200" w:line="360" w:lineRule="auto"/>
        <w:jc w:val="both"/>
        <w:rPr>
          <w:rFonts w:ascii="Arial" w:hAnsi="Arial" w:cs="Arial"/>
        </w:rPr>
      </w:pPr>
      <w:r w:rsidRPr="005C3D45">
        <w:rPr>
          <w:rFonts w:ascii="Arial" w:hAnsi="Arial" w:cs="Arial"/>
        </w:rPr>
        <w:t xml:space="preserve">West, D.C., Ford, J. and Ibrahim, E. (2015) </w:t>
      </w:r>
      <w:r w:rsidRPr="005C3D45">
        <w:rPr>
          <w:rFonts w:ascii="Arial" w:hAnsi="Arial" w:cs="Arial"/>
          <w:i/>
          <w:iCs/>
        </w:rPr>
        <w:t>Strategic Marketing: Creating Competitive Advantage.</w:t>
      </w:r>
      <w:r w:rsidRPr="005C3D45">
        <w:rPr>
          <w:rFonts w:ascii="Arial" w:hAnsi="Arial" w:cs="Arial"/>
        </w:rPr>
        <w:t xml:space="preserve"> 3rd </w:t>
      </w:r>
      <w:proofErr w:type="spellStart"/>
      <w:r w:rsidRPr="005C3D45">
        <w:rPr>
          <w:rFonts w:ascii="Arial" w:hAnsi="Arial" w:cs="Arial"/>
        </w:rPr>
        <w:t>edn</w:t>
      </w:r>
      <w:proofErr w:type="spellEnd"/>
      <w:r w:rsidRPr="005C3D45">
        <w:rPr>
          <w:rFonts w:ascii="Arial" w:hAnsi="Arial" w:cs="Arial"/>
        </w:rPr>
        <w:t>. Oxford University Press. Available at: https://global.oup.com/academic/product/strategic-marketing-9780199684098</w:t>
      </w:r>
      <w:r w:rsidR="006F0B97">
        <w:rPr>
          <w:rFonts w:ascii="Arial" w:hAnsi="Arial" w:cs="Arial"/>
        </w:rPr>
        <w:t>.</w:t>
      </w:r>
    </w:p>
    <w:p w14:paraId="6C382AC7" w14:textId="34D66A03" w:rsidR="003E76DA" w:rsidRPr="005C3D45" w:rsidRDefault="003E76DA" w:rsidP="003E76DA">
      <w:pPr>
        <w:spacing w:after="200" w:line="360" w:lineRule="auto"/>
        <w:jc w:val="both"/>
        <w:rPr>
          <w:rFonts w:ascii="Arial" w:hAnsi="Arial" w:cs="Arial"/>
        </w:rPr>
      </w:pPr>
      <w:r w:rsidRPr="005C3D45">
        <w:rPr>
          <w:rFonts w:ascii="Arial" w:hAnsi="Arial" w:cs="Arial"/>
        </w:rPr>
        <w:t xml:space="preserve">World Economic Forum (2024) </w:t>
      </w:r>
      <w:r w:rsidRPr="005C3D45">
        <w:rPr>
          <w:rFonts w:ascii="Arial" w:hAnsi="Arial" w:cs="Arial"/>
          <w:i/>
          <w:iCs/>
        </w:rPr>
        <w:t>Technology Futures 2024: AI and the Global Economy.</w:t>
      </w:r>
      <w:r w:rsidRPr="005C3D45">
        <w:rPr>
          <w:rFonts w:ascii="Arial" w:hAnsi="Arial" w:cs="Arial"/>
        </w:rPr>
        <w:t xml:space="preserve"> Geneva: WEF. Available at: https://www.weforum.org/reports/technology-futures-2024-ai-and-the-global-economy.</w:t>
      </w:r>
    </w:p>
    <w:p w14:paraId="41CE074F" w14:textId="08046359" w:rsidR="003E76DA" w:rsidRPr="005C3D45" w:rsidRDefault="003E76DA" w:rsidP="003E76DA">
      <w:pPr>
        <w:spacing w:after="200" w:line="360" w:lineRule="auto"/>
        <w:jc w:val="both"/>
        <w:rPr>
          <w:rFonts w:ascii="Arial" w:hAnsi="Arial" w:cs="Arial"/>
        </w:rPr>
      </w:pPr>
      <w:proofErr w:type="spellStart"/>
      <w:r w:rsidRPr="005C3D45">
        <w:rPr>
          <w:rFonts w:ascii="Arial" w:hAnsi="Arial" w:cs="Arial"/>
        </w:rPr>
        <w:t>Yüksel</w:t>
      </w:r>
      <w:proofErr w:type="spellEnd"/>
      <w:r w:rsidRPr="005C3D45">
        <w:rPr>
          <w:rFonts w:ascii="Arial" w:hAnsi="Arial" w:cs="Arial"/>
        </w:rPr>
        <w:t xml:space="preserve">, I. (2012) ‘Developing a multi-criteria decision-making model for PESTEL analysis’, </w:t>
      </w:r>
      <w:r w:rsidRPr="005C3D45">
        <w:rPr>
          <w:rFonts w:ascii="Arial" w:hAnsi="Arial" w:cs="Arial"/>
          <w:i/>
          <w:iCs/>
        </w:rPr>
        <w:t>International Journal of Business and Management Studies,</w:t>
      </w:r>
      <w:r w:rsidRPr="005C3D45">
        <w:rPr>
          <w:rFonts w:ascii="Arial" w:hAnsi="Arial" w:cs="Arial"/>
        </w:rPr>
        <w:t xml:space="preserve"> 4(2), pp. 63–78. Available at: https://dergipark.org.tr/en/pub/ijbms/issue/26049/274562</w:t>
      </w:r>
      <w:r w:rsidR="006F0B97">
        <w:rPr>
          <w:rFonts w:ascii="Arial" w:hAnsi="Arial" w:cs="Arial"/>
        </w:rPr>
        <w:t>.</w:t>
      </w:r>
    </w:p>
    <w:p w14:paraId="7944851F" w14:textId="77777777" w:rsidR="00DD54B8" w:rsidRPr="00DD54B8" w:rsidRDefault="00DD54B8" w:rsidP="006F0B97">
      <w:pPr>
        <w:spacing w:after="240" w:line="360" w:lineRule="auto"/>
        <w:jc w:val="both"/>
        <w:rPr>
          <w:rFonts w:ascii="Arial" w:hAnsi="Arial" w:cs="Arial"/>
          <w:lang w:val="en-US"/>
        </w:rPr>
      </w:pPr>
    </w:p>
    <w:sectPr w:rsidR="00DD54B8" w:rsidRPr="00DD54B8" w:rsidSect="00DD54B8">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EEB83" w14:textId="77777777" w:rsidR="003F1181" w:rsidRDefault="003F1181" w:rsidP="00DD54B8">
      <w:r>
        <w:separator/>
      </w:r>
    </w:p>
  </w:endnote>
  <w:endnote w:type="continuationSeparator" w:id="0">
    <w:p w14:paraId="3E9A7644" w14:textId="77777777" w:rsidR="003F1181" w:rsidRDefault="003F1181" w:rsidP="00DD5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0E893" w14:textId="6AC83034" w:rsidR="00DD54B8" w:rsidRDefault="00DD54B8">
    <w:pPr>
      <w:pStyle w:val="Footer"/>
      <w:jc w:val="center"/>
    </w:pPr>
  </w:p>
  <w:p w14:paraId="2D28B02D" w14:textId="77777777" w:rsidR="00DD54B8" w:rsidRDefault="00DD54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986291"/>
      <w:docPartObj>
        <w:docPartGallery w:val="Page Numbers (Bottom of Page)"/>
        <w:docPartUnique/>
      </w:docPartObj>
    </w:sdtPr>
    <w:sdtEndPr>
      <w:rPr>
        <w:noProof/>
      </w:rPr>
    </w:sdtEndPr>
    <w:sdtContent>
      <w:p w14:paraId="0841140E" w14:textId="77777777" w:rsidR="00DD54B8" w:rsidRDefault="00DD54B8">
        <w:pPr>
          <w:pStyle w:val="Footer"/>
          <w:jc w:val="center"/>
        </w:pPr>
        <w:r>
          <w:fldChar w:fldCharType="begin"/>
        </w:r>
        <w:r>
          <w:instrText xml:space="preserve"> PAGE   \* MERGEFORMAT </w:instrText>
        </w:r>
        <w:r>
          <w:fldChar w:fldCharType="separate"/>
        </w:r>
        <w:r w:rsidR="000B116E">
          <w:rPr>
            <w:noProof/>
          </w:rPr>
          <w:t>5</w:t>
        </w:r>
        <w:r>
          <w:rPr>
            <w:noProof/>
          </w:rPr>
          <w:fldChar w:fldCharType="end"/>
        </w:r>
      </w:p>
    </w:sdtContent>
  </w:sdt>
  <w:p w14:paraId="43AB16C8" w14:textId="77777777" w:rsidR="00DD54B8" w:rsidRDefault="00DD5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AE466" w14:textId="77777777" w:rsidR="003F1181" w:rsidRDefault="003F1181" w:rsidP="00DD54B8">
      <w:r>
        <w:separator/>
      </w:r>
    </w:p>
  </w:footnote>
  <w:footnote w:type="continuationSeparator" w:id="0">
    <w:p w14:paraId="3BCBF1CE" w14:textId="77777777" w:rsidR="003F1181" w:rsidRDefault="003F1181" w:rsidP="00DD5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8072C1"/>
    <w:multiLevelType w:val="multilevel"/>
    <w:tmpl w:val="6DEE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3"/>
  </w:num>
  <w:num w:numId="4">
    <w:abstractNumId w:val="24"/>
  </w:num>
  <w:num w:numId="5">
    <w:abstractNumId w:val="25"/>
  </w:num>
  <w:num w:numId="6">
    <w:abstractNumId w:val="13"/>
  </w:num>
  <w:num w:numId="7">
    <w:abstractNumId w:val="0"/>
  </w:num>
  <w:num w:numId="8">
    <w:abstractNumId w:val="18"/>
  </w:num>
  <w:num w:numId="9">
    <w:abstractNumId w:val="27"/>
  </w:num>
  <w:num w:numId="10">
    <w:abstractNumId w:val="26"/>
  </w:num>
  <w:num w:numId="11">
    <w:abstractNumId w:val="3"/>
  </w:num>
  <w:num w:numId="12">
    <w:abstractNumId w:val="20"/>
  </w:num>
  <w:num w:numId="13">
    <w:abstractNumId w:val="19"/>
  </w:num>
  <w:num w:numId="14">
    <w:abstractNumId w:val="1"/>
  </w:num>
  <w:num w:numId="15">
    <w:abstractNumId w:val="28"/>
  </w:num>
  <w:num w:numId="16">
    <w:abstractNumId w:val="15"/>
  </w:num>
  <w:num w:numId="17">
    <w:abstractNumId w:val="12"/>
  </w:num>
  <w:num w:numId="18">
    <w:abstractNumId w:val="21"/>
  </w:num>
  <w:num w:numId="19">
    <w:abstractNumId w:val="5"/>
  </w:num>
  <w:num w:numId="20">
    <w:abstractNumId w:val="22"/>
  </w:num>
  <w:num w:numId="21">
    <w:abstractNumId w:val="10"/>
  </w:num>
  <w:num w:numId="22">
    <w:abstractNumId w:val="9"/>
  </w:num>
  <w:num w:numId="23">
    <w:abstractNumId w:val="6"/>
  </w:num>
  <w:num w:numId="24">
    <w:abstractNumId w:val="8"/>
  </w:num>
  <w:num w:numId="25">
    <w:abstractNumId w:val="2"/>
  </w:num>
  <w:num w:numId="26">
    <w:abstractNumId w:val="16"/>
  </w:num>
  <w:num w:numId="27">
    <w:abstractNumId w:val="4"/>
  </w:num>
  <w:num w:numId="28">
    <w:abstractNumId w:val="17"/>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06"/>
    <w:rsid w:val="000B116E"/>
    <w:rsid w:val="000B1FE0"/>
    <w:rsid w:val="000D7839"/>
    <w:rsid w:val="001003E8"/>
    <w:rsid w:val="00136289"/>
    <w:rsid w:val="00191D7E"/>
    <w:rsid w:val="00226797"/>
    <w:rsid w:val="002F240D"/>
    <w:rsid w:val="003160ED"/>
    <w:rsid w:val="00325A3E"/>
    <w:rsid w:val="003E76DA"/>
    <w:rsid w:val="003F1181"/>
    <w:rsid w:val="00417591"/>
    <w:rsid w:val="0043162A"/>
    <w:rsid w:val="00440AEC"/>
    <w:rsid w:val="00467A68"/>
    <w:rsid w:val="004C3C36"/>
    <w:rsid w:val="004F2663"/>
    <w:rsid w:val="00556571"/>
    <w:rsid w:val="00556F3E"/>
    <w:rsid w:val="005A570C"/>
    <w:rsid w:val="00617CF1"/>
    <w:rsid w:val="006364F2"/>
    <w:rsid w:val="00646406"/>
    <w:rsid w:val="006559B2"/>
    <w:rsid w:val="00675F02"/>
    <w:rsid w:val="006F0B97"/>
    <w:rsid w:val="0073681E"/>
    <w:rsid w:val="007A4E97"/>
    <w:rsid w:val="008746F0"/>
    <w:rsid w:val="008A48D8"/>
    <w:rsid w:val="008D5EC2"/>
    <w:rsid w:val="008E3103"/>
    <w:rsid w:val="00926E33"/>
    <w:rsid w:val="009E58AF"/>
    <w:rsid w:val="00A01FAB"/>
    <w:rsid w:val="00AE0DEC"/>
    <w:rsid w:val="00B873D4"/>
    <w:rsid w:val="00C57D61"/>
    <w:rsid w:val="00CB01F0"/>
    <w:rsid w:val="00D717BB"/>
    <w:rsid w:val="00D8079C"/>
    <w:rsid w:val="00D8607B"/>
    <w:rsid w:val="00DB3C6A"/>
    <w:rsid w:val="00DD54B8"/>
    <w:rsid w:val="00DE5D5B"/>
    <w:rsid w:val="00EC6978"/>
    <w:rsid w:val="00F15DE9"/>
    <w:rsid w:val="00FA72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table" w:styleId="TableGrid">
    <w:name w:val="Table Grid"/>
    <w:basedOn w:val="TableNormal"/>
    <w:uiPriority w:val="39"/>
    <w:rsid w:val="00636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160ED"/>
    <w:pPr>
      <w:spacing w:after="200"/>
    </w:pPr>
    <w:rPr>
      <w:i/>
      <w:iCs/>
      <w:color w:val="0E2841" w:themeColor="text2"/>
      <w:sz w:val="18"/>
      <w:szCs w:val="18"/>
    </w:rPr>
  </w:style>
  <w:style w:type="character" w:styleId="FollowedHyperlink">
    <w:name w:val="FollowedHyperlink"/>
    <w:basedOn w:val="DefaultParagraphFont"/>
    <w:uiPriority w:val="99"/>
    <w:semiHidden/>
    <w:unhideWhenUsed/>
    <w:rsid w:val="003160ED"/>
    <w:rPr>
      <w:color w:val="96607D" w:themeColor="followedHyperlink"/>
      <w:u w:val="single"/>
    </w:rPr>
  </w:style>
  <w:style w:type="paragraph" w:styleId="TableofFigures">
    <w:name w:val="table of figures"/>
    <w:basedOn w:val="Normal"/>
    <w:next w:val="Normal"/>
    <w:uiPriority w:val="99"/>
    <w:unhideWhenUsed/>
    <w:rsid w:val="00467A68"/>
    <w:rPr>
      <w:rFonts w:cs="Times New Roman"/>
      <w:i/>
      <w:iCs/>
      <w:sz w:val="20"/>
    </w:rPr>
  </w:style>
  <w:style w:type="paragraph" w:styleId="Header">
    <w:name w:val="header"/>
    <w:basedOn w:val="Normal"/>
    <w:link w:val="HeaderChar"/>
    <w:uiPriority w:val="99"/>
    <w:unhideWhenUsed/>
    <w:rsid w:val="00DD54B8"/>
    <w:pPr>
      <w:tabs>
        <w:tab w:val="center" w:pos="4680"/>
        <w:tab w:val="right" w:pos="9360"/>
      </w:tabs>
    </w:pPr>
  </w:style>
  <w:style w:type="character" w:customStyle="1" w:styleId="HeaderChar">
    <w:name w:val="Header Char"/>
    <w:basedOn w:val="DefaultParagraphFont"/>
    <w:link w:val="Header"/>
    <w:uiPriority w:val="99"/>
    <w:rsid w:val="00DD54B8"/>
  </w:style>
  <w:style w:type="paragraph" w:styleId="Footer">
    <w:name w:val="footer"/>
    <w:basedOn w:val="Normal"/>
    <w:link w:val="FooterChar"/>
    <w:uiPriority w:val="99"/>
    <w:unhideWhenUsed/>
    <w:rsid w:val="00DD54B8"/>
    <w:pPr>
      <w:tabs>
        <w:tab w:val="center" w:pos="4680"/>
        <w:tab w:val="right" w:pos="9360"/>
      </w:tabs>
    </w:pPr>
  </w:style>
  <w:style w:type="character" w:customStyle="1" w:styleId="FooterChar">
    <w:name w:val="Footer Char"/>
    <w:basedOn w:val="DefaultParagraphFont"/>
    <w:link w:val="Footer"/>
    <w:uiPriority w:val="99"/>
    <w:rsid w:val="00DD5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372972483">
      <w:bodyDiv w:val="1"/>
      <w:marLeft w:val="0"/>
      <w:marRight w:val="0"/>
      <w:marTop w:val="0"/>
      <w:marBottom w:val="0"/>
      <w:divBdr>
        <w:top w:val="none" w:sz="0" w:space="0" w:color="auto"/>
        <w:left w:val="none" w:sz="0" w:space="0" w:color="auto"/>
        <w:bottom w:val="none" w:sz="0" w:space="0" w:color="auto"/>
        <w:right w:val="none" w:sz="0" w:space="0" w:color="auto"/>
      </w:divBdr>
      <w:divsChild>
        <w:div w:id="352851943">
          <w:marLeft w:val="0"/>
          <w:marRight w:val="0"/>
          <w:marTop w:val="0"/>
          <w:marBottom w:val="0"/>
          <w:divBdr>
            <w:top w:val="none" w:sz="0" w:space="0" w:color="auto"/>
            <w:left w:val="none" w:sz="0" w:space="0" w:color="auto"/>
            <w:bottom w:val="none" w:sz="0" w:space="0" w:color="auto"/>
            <w:right w:val="none" w:sz="0" w:space="0" w:color="auto"/>
          </w:divBdr>
          <w:divsChild>
            <w:div w:id="20666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5778">
      <w:bodyDiv w:val="1"/>
      <w:marLeft w:val="0"/>
      <w:marRight w:val="0"/>
      <w:marTop w:val="0"/>
      <w:marBottom w:val="0"/>
      <w:divBdr>
        <w:top w:val="none" w:sz="0" w:space="0" w:color="auto"/>
        <w:left w:val="none" w:sz="0" w:space="0" w:color="auto"/>
        <w:bottom w:val="none" w:sz="0" w:space="0" w:color="auto"/>
        <w:right w:val="none" w:sz="0" w:space="0" w:color="auto"/>
      </w:divBdr>
    </w:div>
    <w:div w:id="572862307">
      <w:bodyDiv w:val="1"/>
      <w:marLeft w:val="0"/>
      <w:marRight w:val="0"/>
      <w:marTop w:val="0"/>
      <w:marBottom w:val="0"/>
      <w:divBdr>
        <w:top w:val="none" w:sz="0" w:space="0" w:color="auto"/>
        <w:left w:val="none" w:sz="0" w:space="0" w:color="auto"/>
        <w:bottom w:val="none" w:sz="0" w:space="0" w:color="auto"/>
        <w:right w:val="none" w:sz="0" w:space="0" w:color="auto"/>
      </w:divBdr>
      <w:divsChild>
        <w:div w:id="1527325996">
          <w:marLeft w:val="0"/>
          <w:marRight w:val="0"/>
          <w:marTop w:val="0"/>
          <w:marBottom w:val="0"/>
          <w:divBdr>
            <w:top w:val="none" w:sz="0" w:space="0" w:color="auto"/>
            <w:left w:val="none" w:sz="0" w:space="0" w:color="auto"/>
            <w:bottom w:val="none" w:sz="0" w:space="0" w:color="auto"/>
            <w:right w:val="none" w:sz="0" w:space="0" w:color="auto"/>
          </w:divBdr>
          <w:divsChild>
            <w:div w:id="9761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400601">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141536751">
      <w:bodyDiv w:val="1"/>
      <w:marLeft w:val="0"/>
      <w:marRight w:val="0"/>
      <w:marTop w:val="0"/>
      <w:marBottom w:val="0"/>
      <w:divBdr>
        <w:top w:val="none" w:sz="0" w:space="0" w:color="auto"/>
        <w:left w:val="none" w:sz="0" w:space="0" w:color="auto"/>
        <w:bottom w:val="none" w:sz="0" w:space="0" w:color="auto"/>
        <w:right w:val="none" w:sz="0" w:space="0" w:color="auto"/>
      </w:divBdr>
    </w:div>
    <w:div w:id="1209759614">
      <w:bodyDiv w:val="1"/>
      <w:marLeft w:val="0"/>
      <w:marRight w:val="0"/>
      <w:marTop w:val="0"/>
      <w:marBottom w:val="0"/>
      <w:divBdr>
        <w:top w:val="none" w:sz="0" w:space="0" w:color="auto"/>
        <w:left w:val="none" w:sz="0" w:space="0" w:color="auto"/>
        <w:bottom w:val="none" w:sz="0" w:space="0" w:color="auto"/>
        <w:right w:val="none" w:sz="0" w:space="0" w:color="auto"/>
      </w:divBdr>
      <w:divsChild>
        <w:div w:id="225188300">
          <w:marLeft w:val="0"/>
          <w:marRight w:val="0"/>
          <w:marTop w:val="0"/>
          <w:marBottom w:val="0"/>
          <w:divBdr>
            <w:top w:val="none" w:sz="0" w:space="0" w:color="auto"/>
            <w:left w:val="none" w:sz="0" w:space="0" w:color="auto"/>
            <w:bottom w:val="none" w:sz="0" w:space="0" w:color="auto"/>
            <w:right w:val="none" w:sz="0" w:space="0" w:color="auto"/>
          </w:divBdr>
          <w:divsChild>
            <w:div w:id="115298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60693">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03746255">
      <w:bodyDiv w:val="1"/>
      <w:marLeft w:val="0"/>
      <w:marRight w:val="0"/>
      <w:marTop w:val="0"/>
      <w:marBottom w:val="0"/>
      <w:divBdr>
        <w:top w:val="none" w:sz="0" w:space="0" w:color="auto"/>
        <w:left w:val="none" w:sz="0" w:space="0" w:color="auto"/>
        <w:bottom w:val="none" w:sz="0" w:space="0" w:color="auto"/>
        <w:right w:val="none" w:sz="0" w:space="0" w:color="auto"/>
      </w:divBdr>
    </w:div>
    <w:div w:id="1723748557">
      <w:bodyDiv w:val="1"/>
      <w:marLeft w:val="0"/>
      <w:marRight w:val="0"/>
      <w:marTop w:val="0"/>
      <w:marBottom w:val="0"/>
      <w:divBdr>
        <w:top w:val="none" w:sz="0" w:space="0" w:color="auto"/>
        <w:left w:val="none" w:sz="0" w:space="0" w:color="auto"/>
        <w:bottom w:val="none" w:sz="0" w:space="0" w:color="auto"/>
        <w:right w:val="none" w:sz="0" w:space="0" w:color="auto"/>
      </w:divBdr>
      <w:divsChild>
        <w:div w:id="843938550">
          <w:marLeft w:val="0"/>
          <w:marRight w:val="0"/>
          <w:marTop w:val="0"/>
          <w:marBottom w:val="0"/>
          <w:divBdr>
            <w:top w:val="none" w:sz="0" w:space="0" w:color="auto"/>
            <w:left w:val="none" w:sz="0" w:space="0" w:color="auto"/>
            <w:bottom w:val="none" w:sz="0" w:space="0" w:color="auto"/>
            <w:right w:val="none" w:sz="0" w:space="0" w:color="auto"/>
          </w:divBdr>
          <w:divsChild>
            <w:div w:id="31989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 w:id="1884946602">
      <w:bodyDiv w:val="1"/>
      <w:marLeft w:val="0"/>
      <w:marRight w:val="0"/>
      <w:marTop w:val="0"/>
      <w:marBottom w:val="0"/>
      <w:divBdr>
        <w:top w:val="none" w:sz="0" w:space="0" w:color="auto"/>
        <w:left w:val="none" w:sz="0" w:space="0" w:color="auto"/>
        <w:bottom w:val="none" w:sz="0" w:space="0" w:color="auto"/>
        <w:right w:val="none" w:sz="0" w:space="0" w:color="auto"/>
      </w:divBdr>
    </w:div>
    <w:div w:id="1989936849">
      <w:bodyDiv w:val="1"/>
      <w:marLeft w:val="0"/>
      <w:marRight w:val="0"/>
      <w:marTop w:val="0"/>
      <w:marBottom w:val="0"/>
      <w:divBdr>
        <w:top w:val="none" w:sz="0" w:space="0" w:color="auto"/>
        <w:left w:val="none" w:sz="0" w:space="0" w:color="auto"/>
        <w:bottom w:val="none" w:sz="0" w:space="0" w:color="auto"/>
        <w:right w:val="none" w:sz="0" w:space="0" w:color="auto"/>
      </w:divBdr>
    </w:div>
    <w:div w:id="202906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martinsights.com/marketing-planning/create-a-marketing-plan/ansoff-mod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kisconnect.eu/en/iss-tools-and-methods/tool-details?id=34&amp;name=Pestel+Analysis" TargetMode="External"/><Relationship Id="rId5" Type="http://schemas.openxmlformats.org/officeDocument/2006/relationships/webSettings" Target="webSettings.xml"/><Relationship Id="rId15" Type="http://schemas.openxmlformats.org/officeDocument/2006/relationships/hyperlink" Target="https://digitalleadership.com/blog/porters-generic-strategies/"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B3220-FD2D-4338-80F7-A57CB426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3799</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Forhad Hossen Rony (2433472)</cp:lastModifiedBy>
  <cp:revision>21</cp:revision>
  <dcterms:created xsi:type="dcterms:W3CDTF">2025-11-19T16:56:00Z</dcterms:created>
  <dcterms:modified xsi:type="dcterms:W3CDTF">2025-11-21T02:19:00Z</dcterms:modified>
</cp:coreProperties>
</file>