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26E69" w14:textId="77777777" w:rsidR="003179CD" w:rsidRDefault="00C3013C" w:rsidP="00C3013C">
      <w:pPr>
        <w:spacing w:line="480" w:lineRule="auto"/>
        <w:jc w:val="left"/>
      </w:pPr>
      <w:r>
        <w:t>David Bonagura</w:t>
      </w:r>
    </w:p>
    <w:p w14:paraId="620279B3" w14:textId="31F85A20" w:rsidR="00C3013C" w:rsidRDefault="006221F3" w:rsidP="00C3013C">
      <w:pPr>
        <w:spacing w:line="480" w:lineRule="auto"/>
        <w:jc w:val="left"/>
      </w:pPr>
      <w:r>
        <w:t>HPLA</w:t>
      </w:r>
      <w:r w:rsidR="00C3013C">
        <w:t xml:space="preserve"> 7</w:t>
      </w:r>
      <w:r>
        <w:t>010</w:t>
      </w:r>
      <w:r w:rsidR="00C3013C">
        <w:t xml:space="preserve">: </w:t>
      </w:r>
      <w:r>
        <w:t>Petronius</w:t>
      </w:r>
      <w:r w:rsidR="00C3013C">
        <w:t xml:space="preserve">’s </w:t>
      </w:r>
      <w:r>
        <w:rPr>
          <w:i/>
        </w:rPr>
        <w:t>Satyricon</w:t>
      </w:r>
    </w:p>
    <w:p w14:paraId="63B06EEB" w14:textId="57320E4C" w:rsidR="00C3013C" w:rsidRDefault="00C3013C" w:rsidP="00C3013C">
      <w:pPr>
        <w:spacing w:line="480" w:lineRule="auto"/>
        <w:jc w:val="left"/>
      </w:pPr>
      <w:r>
        <w:t xml:space="preserve">Commentary </w:t>
      </w:r>
      <w:r w:rsidR="00457837">
        <w:t>on</w:t>
      </w:r>
      <w:r w:rsidR="006221F3">
        <w:t xml:space="preserve"> </w:t>
      </w:r>
      <w:r w:rsidR="006221F3">
        <w:rPr>
          <w:i/>
          <w:iCs/>
        </w:rPr>
        <w:t xml:space="preserve">Satyricon </w:t>
      </w:r>
      <w:r w:rsidR="006221F3">
        <w:t>27-28</w:t>
      </w:r>
    </w:p>
    <w:p w14:paraId="086592EB" w14:textId="4A373042" w:rsidR="00C3013C" w:rsidRDefault="006221F3" w:rsidP="00C3013C">
      <w:pPr>
        <w:spacing w:line="480" w:lineRule="auto"/>
        <w:jc w:val="left"/>
      </w:pPr>
      <w:r>
        <w:t>December 13</w:t>
      </w:r>
      <w:r w:rsidR="00C3013C">
        <w:t>, 201</w:t>
      </w:r>
      <w:r>
        <w:t>9</w:t>
      </w:r>
    </w:p>
    <w:p w14:paraId="5A40648D" w14:textId="05105FD5" w:rsidR="00C3013C" w:rsidRDefault="00FC29DD" w:rsidP="00FC29DD">
      <w:pPr>
        <w:spacing w:line="480" w:lineRule="auto"/>
        <w:jc w:val="left"/>
      </w:pPr>
      <w:r>
        <w:t>Word Count</w:t>
      </w:r>
      <w:r w:rsidR="00B60D12">
        <w:t xml:space="preserve"> (text only)</w:t>
      </w:r>
      <w:bookmarkStart w:id="0" w:name="_GoBack"/>
      <w:bookmarkEnd w:id="0"/>
      <w:r>
        <w:t>:</w:t>
      </w:r>
      <w:r w:rsidR="00B60D12">
        <w:t xml:space="preserve"> 2858</w:t>
      </w:r>
    </w:p>
    <w:p w14:paraId="065D5216" w14:textId="6A2130BC" w:rsidR="00FC29DD" w:rsidRDefault="00FC29DD" w:rsidP="00FC29DD">
      <w:pPr>
        <w:spacing w:line="480" w:lineRule="auto"/>
      </w:pPr>
      <w:r>
        <w:t xml:space="preserve">Admiring Extravagance: A Commenrary on </w:t>
      </w:r>
      <w:r>
        <w:rPr>
          <w:i/>
          <w:iCs/>
        </w:rPr>
        <w:t>Satyricon</w:t>
      </w:r>
      <w:r>
        <w:t xml:space="preserve"> 27-28</w:t>
      </w:r>
    </w:p>
    <w:p w14:paraId="16578A12" w14:textId="77777777" w:rsidR="00FC29DD" w:rsidRPr="00FC29DD" w:rsidRDefault="00FC29DD" w:rsidP="00FC29DD">
      <w:pPr>
        <w:spacing w:line="480" w:lineRule="auto"/>
      </w:pPr>
    </w:p>
    <w:p w14:paraId="673D4886" w14:textId="4F0BD370" w:rsidR="008467E6" w:rsidRDefault="008467E6" w:rsidP="00F83E14">
      <w:pPr>
        <w:spacing w:line="480" w:lineRule="auto"/>
        <w:jc w:val="left"/>
      </w:pPr>
      <w:r>
        <w:tab/>
        <w:t xml:space="preserve">The section of the </w:t>
      </w:r>
      <w:r>
        <w:rPr>
          <w:i/>
          <w:iCs/>
        </w:rPr>
        <w:t>Satyricon</w:t>
      </w:r>
      <w:r>
        <w:t xml:space="preserve"> known as the </w:t>
      </w:r>
      <w:r>
        <w:rPr>
          <w:i/>
          <w:iCs/>
        </w:rPr>
        <w:t>Cena Trimalchionis</w:t>
      </w:r>
      <w:r>
        <w:t xml:space="preserve"> is, according to G. Sch</w:t>
      </w:r>
      <w:r w:rsidR="00180189">
        <w:t>me</w:t>
      </w:r>
      <w:r>
        <w:t>ling, a “detachable episode” from the extant whole of the work.</w:t>
      </w:r>
      <w:r>
        <w:rPr>
          <w:rStyle w:val="FootnoteReference"/>
        </w:rPr>
        <w:footnoteReference w:id="1"/>
      </w:r>
      <w:r>
        <w:t xml:space="preserve"> </w:t>
      </w:r>
      <w:r w:rsidR="00020028">
        <w:t>The previous episode has been lost, so it is unclear exactly how the protagonists, Encolpius and Ascyltos, came to this point,</w:t>
      </w:r>
      <w:r w:rsidR="00020028">
        <w:rPr>
          <w:rStyle w:val="FootnoteReference"/>
        </w:rPr>
        <w:footnoteReference w:id="2"/>
      </w:r>
      <w:r w:rsidR="00020028">
        <w:t xml:space="preserve"> when they receive</w:t>
      </w:r>
      <w:r w:rsidR="00430D86">
        <w:t>, via the slave of Agamemnon the rhetor,</w:t>
      </w:r>
      <w:r w:rsidR="00020028">
        <w:t xml:space="preserve"> a</w:t>
      </w:r>
      <w:r w:rsidR="00604DF6">
        <w:t xml:space="preserve">n </w:t>
      </w:r>
      <w:r w:rsidR="00020028">
        <w:t>invitation</w:t>
      </w:r>
      <w:r w:rsidR="00604DF6">
        <w:t xml:space="preserve"> to dinner</w:t>
      </w:r>
      <w:r w:rsidR="00430D86">
        <w:t xml:space="preserve"> </w:t>
      </w:r>
      <w:r w:rsidR="00020028">
        <w:t>at the home</w:t>
      </w:r>
      <w:r w:rsidR="00604DF6">
        <w:t xml:space="preserve"> of “</w:t>
      </w:r>
      <w:r w:rsidR="00604DF6" w:rsidRPr="00604DF6">
        <w:rPr>
          <w:i/>
          <w:iCs/>
        </w:rPr>
        <w:t>Trimalchio, lautissimus homo</w:t>
      </w:r>
      <w:r w:rsidR="00604DF6">
        <w:t>.” The two, immediately forgetful of their t</w:t>
      </w:r>
      <w:r w:rsidR="00430D86">
        <w:t>r</w:t>
      </w:r>
      <w:r w:rsidR="00604DF6">
        <w:t xml:space="preserve">oubles, order </w:t>
      </w:r>
      <w:r w:rsidR="00430D86">
        <w:t xml:space="preserve">the slave </w:t>
      </w:r>
      <w:r w:rsidR="00604DF6">
        <w:t xml:space="preserve">Giton to accompany them to the baths where </w:t>
      </w:r>
      <w:r w:rsidR="00965557">
        <w:t>he will watch their clothes as they bathe. Sch</w:t>
      </w:r>
      <w:r w:rsidR="00180189">
        <w:t>mel</w:t>
      </w:r>
      <w:r w:rsidR="00965557">
        <w:t xml:space="preserve">ing notes that a “bath was common preparation for a </w:t>
      </w:r>
      <w:r w:rsidR="00965557">
        <w:rPr>
          <w:i/>
          <w:iCs/>
        </w:rPr>
        <w:t>cena,</w:t>
      </w:r>
      <w:r w:rsidR="00965557">
        <w:t xml:space="preserve">” as the events about to unfold follow those given by Pliny in </w:t>
      </w:r>
      <w:r w:rsidR="00965557">
        <w:rPr>
          <w:i/>
          <w:iCs/>
        </w:rPr>
        <w:t>Epistula</w:t>
      </w:r>
      <w:r w:rsidR="00965557">
        <w:t xml:space="preserve"> 3.1.8.</w:t>
      </w:r>
      <w:r w:rsidR="00965557">
        <w:rPr>
          <w:rStyle w:val="FootnoteReference"/>
        </w:rPr>
        <w:footnoteReference w:id="3"/>
      </w:r>
    </w:p>
    <w:p w14:paraId="1DA07A6A" w14:textId="09474ABC" w:rsidR="00A302FF" w:rsidRDefault="00A302FF" w:rsidP="00F83E14">
      <w:pPr>
        <w:spacing w:line="480" w:lineRule="auto"/>
        <w:jc w:val="left"/>
      </w:pPr>
      <w:r>
        <w:tab/>
      </w:r>
      <w:r>
        <w:rPr>
          <w:i/>
          <w:iCs/>
        </w:rPr>
        <w:t>Nos</w:t>
      </w:r>
      <w:r>
        <w:t>, the first word of Chapter 28, begs the question about the work’s narration. “</w:t>
      </w:r>
      <w:r>
        <w:rPr>
          <w:i/>
          <w:iCs/>
        </w:rPr>
        <w:t>Nos</w:t>
      </w:r>
      <w:r>
        <w:t xml:space="preserve">” are the aforementioned protagonists, with Encolpius serving as narrator. </w:t>
      </w:r>
      <w:r w:rsidR="00180189">
        <w:t xml:space="preserve">G. </w:t>
      </w:r>
      <w:r>
        <w:t>Lawall identifies the pair as “impoverished, vagrant young scholars…with Greek names.”</w:t>
      </w:r>
      <w:r>
        <w:rPr>
          <w:rStyle w:val="FootnoteReference"/>
        </w:rPr>
        <w:footnoteReference w:id="4"/>
      </w:r>
      <w:r>
        <w:t xml:space="preserve"> The specific role of Encolpius has been examined in detail by </w:t>
      </w:r>
      <w:r w:rsidR="00180189">
        <w:t xml:space="preserve">R. </w:t>
      </w:r>
      <w:r>
        <w:t>Beck, who argues that within the text there is a discernible difference between</w:t>
      </w:r>
      <w:r w:rsidR="0070336A">
        <w:t xml:space="preserve">, on the one hand, </w:t>
      </w:r>
      <w:r>
        <w:t xml:space="preserve">Encolpius the protagonist </w:t>
      </w:r>
      <w:r w:rsidR="00686830">
        <w:t>at the moment of the story’s happening, and</w:t>
      </w:r>
      <w:r w:rsidR="0070336A">
        <w:t>, on the other hand,</w:t>
      </w:r>
      <w:r w:rsidR="00686830">
        <w:t xml:space="preserve"> Encolpius the narrator whose current recollections are some </w:t>
      </w:r>
      <w:r w:rsidR="00686830">
        <w:lastRenderedPageBreak/>
        <w:t>years removed from the events themselves.</w:t>
      </w:r>
      <w:r w:rsidR="00686830">
        <w:rPr>
          <w:rStyle w:val="FootnoteReference"/>
        </w:rPr>
        <w:footnoteReference w:id="5"/>
      </w:r>
      <w:r w:rsidR="00686830">
        <w:t xml:space="preserve"> </w:t>
      </w:r>
      <w:r w:rsidR="00430D86">
        <w:t>N. Slater concurs with this distinction drawn by Beck</w:t>
      </w:r>
      <w:r w:rsidR="0090355E">
        <w:t>, without using the same nomenclature</w:t>
      </w:r>
      <w:r w:rsidR="00430D86">
        <w:t>.</w:t>
      </w:r>
      <w:r w:rsidR="00430D86">
        <w:rPr>
          <w:rStyle w:val="FootnoteReference"/>
        </w:rPr>
        <w:footnoteReference w:id="6"/>
      </w:r>
      <w:r w:rsidR="00430D86">
        <w:t xml:space="preserve"> </w:t>
      </w:r>
      <w:r w:rsidR="00592849">
        <w:t xml:space="preserve">It is to the former </w:t>
      </w:r>
      <w:r w:rsidR="0070336A">
        <w:t xml:space="preserve">identity </w:t>
      </w:r>
      <w:r w:rsidR="00592849">
        <w:t>that “the explicit comments and implicit criticism in the narrative primarily as immediate reactions” belong; the latter may endorse these judgments, but they do not originate from him.</w:t>
      </w:r>
      <w:r w:rsidR="00592849">
        <w:rPr>
          <w:rStyle w:val="FootnoteReference"/>
        </w:rPr>
        <w:footnoteReference w:id="7"/>
      </w:r>
      <w:r w:rsidR="00592849">
        <w:t xml:space="preserve"> A test case for Beck’s theory comes with Encolpius’s first editorial comment</w:t>
      </w:r>
      <w:r w:rsidR="000B6EE3">
        <w:t>, which concerns</w:t>
      </w:r>
      <w:r w:rsidR="00592849">
        <w:t xml:space="preserve"> the attractiveness of </w:t>
      </w:r>
      <w:r w:rsidR="000B6EE3">
        <w:t xml:space="preserve">Trimalchio’s </w:t>
      </w:r>
      <w:r w:rsidR="00592849">
        <w:t>long-haired slaves</w:t>
      </w:r>
      <w:r w:rsidR="000B6EE3">
        <w:t>, whom he deems “</w:t>
      </w:r>
      <w:r w:rsidR="000B6EE3">
        <w:rPr>
          <w:i/>
          <w:iCs/>
        </w:rPr>
        <w:t>erat operae pretium</w:t>
      </w:r>
      <w:r w:rsidR="000B6EE3">
        <w:t>.” This judgment fits with</w:t>
      </w:r>
      <w:r w:rsidR="0090355E">
        <w:t>in the protagonist’s running narration of the scene at the baths</w:t>
      </w:r>
      <w:r w:rsidR="000B6EE3">
        <w:t>, and provides no indication of Encolpius’s “older self” projecting this idea back into the event</w:t>
      </w:r>
      <w:r w:rsidR="00AB32A8">
        <w:t xml:space="preserve">. </w:t>
      </w:r>
      <w:r w:rsidR="00A02D62">
        <w:t xml:space="preserve">In these early chapters of the work, Beck is right: Encolpius the </w:t>
      </w:r>
      <w:r w:rsidR="002262F5">
        <w:t xml:space="preserve">narrator is seeing these events through the eyes of his former </w:t>
      </w:r>
      <w:r w:rsidR="00A02D62">
        <w:t xml:space="preserve">protagonist </w:t>
      </w:r>
      <w:r w:rsidR="002262F5">
        <w:t>self as he recounts</w:t>
      </w:r>
      <w:r w:rsidR="00A02D62">
        <w:t xml:space="preserve"> this surprising twist of events.</w:t>
      </w:r>
    </w:p>
    <w:p w14:paraId="3EEB505B" w14:textId="40CDA586" w:rsidR="000024F7" w:rsidRDefault="000024F7" w:rsidP="00F83E14">
      <w:pPr>
        <w:spacing w:line="480" w:lineRule="auto"/>
        <w:jc w:val="left"/>
      </w:pPr>
      <w:r>
        <w:tab/>
        <w:t>Th</w:t>
      </w:r>
      <w:r w:rsidR="00F30F56">
        <w:t>e dual status of Encolpius as both protagonist and narrator prompts a further question as to the perspective of the author Petronius himself. N. Horsfall argues that Petronius’ perspective is twice removed from the work given the dual role of his narrator.</w:t>
      </w:r>
      <w:r w:rsidR="00F30F56">
        <w:rPr>
          <w:rStyle w:val="FootnoteReference"/>
        </w:rPr>
        <w:footnoteReference w:id="8"/>
      </w:r>
      <w:r w:rsidR="00F30F56">
        <w:t xml:space="preserve"> Petronius’s is a work of satire in which he </w:t>
      </w:r>
      <w:r w:rsidR="004F4792">
        <w:t>mocks and caricatures, yet faithfully represents the social environment in which the satire is set.</w:t>
      </w:r>
      <w:r w:rsidR="004F4792">
        <w:rPr>
          <w:rStyle w:val="FootnoteReference"/>
        </w:rPr>
        <w:footnoteReference w:id="9"/>
      </w:r>
      <w:r w:rsidR="004F4792">
        <w:t xml:space="preserve"> </w:t>
      </w:r>
      <w:r w:rsidR="00AB32A8">
        <w:t xml:space="preserve">Beyond this, however, there is little that can be said about Petronius’s specific motivations or thoughts on particular situations. This </w:t>
      </w:r>
      <w:r w:rsidR="0070336A">
        <w:t>corresponds with</w:t>
      </w:r>
      <w:r w:rsidR="00AB32A8">
        <w:t xml:space="preserve"> Beck’s assessment</w:t>
      </w:r>
      <w:r w:rsidR="0070336A">
        <w:t xml:space="preserve"> of the twofold narrative perspective</w:t>
      </w:r>
      <w:r w:rsidR="00AB32A8">
        <w:t>. Beck, however, a</w:t>
      </w:r>
      <w:r w:rsidR="0070336A">
        <w:t xml:space="preserve">sserts that </w:t>
      </w:r>
      <w:r w:rsidR="00AB32A8">
        <w:t>Petronius’s own perspective on events break</w:t>
      </w:r>
      <w:r w:rsidR="0070336A">
        <w:t>s</w:t>
      </w:r>
      <w:r w:rsidR="00AB32A8">
        <w:t xml:space="preserve"> through via Encolpius’ own bad behavior as the episode unfolds to illustrate “the scandal of the age, namely the gross enrichment of certain freedmen.”</w:t>
      </w:r>
      <w:r w:rsidR="00AB32A8">
        <w:rPr>
          <w:rStyle w:val="FootnoteReference"/>
        </w:rPr>
        <w:footnoteReference w:id="10"/>
      </w:r>
      <w:r w:rsidR="00AB32A8">
        <w:t xml:space="preserve"> But here he is tracing general motivations rather than specific ideas from certain episodes within the text. </w:t>
      </w:r>
      <w:r w:rsidR="006430ED">
        <w:lastRenderedPageBreak/>
        <w:t>Horsfall and Beck are correct: given Petronius’s double removal from the text, it is impossible to ascertain his specific thoughts on matters within the text, even as his general goal in satirizing the excesses of the lifestyles of wealthy freedman is clear on every page.</w:t>
      </w:r>
    </w:p>
    <w:p w14:paraId="6DFD4DD3" w14:textId="4317D36C" w:rsidR="00180189" w:rsidRDefault="002262F5" w:rsidP="00F83E14">
      <w:pPr>
        <w:spacing w:line="480" w:lineRule="auto"/>
        <w:jc w:val="left"/>
      </w:pPr>
      <w:r>
        <w:tab/>
        <w:t>Now at the baths, the trio of Encolpius, Ascyltos, and Giton begin to wander the area while still dressed, a fact indicates their late arrival in comparison to the other bathers.</w:t>
      </w:r>
      <w:r>
        <w:rPr>
          <w:rStyle w:val="FootnoteReference"/>
        </w:rPr>
        <w:footnoteReference w:id="11"/>
      </w:r>
      <w:r>
        <w:t xml:space="preserve"> </w:t>
      </w:r>
      <w:r>
        <w:rPr>
          <w:i/>
          <w:iCs/>
        </w:rPr>
        <w:t>Cum subito</w:t>
      </w:r>
      <w:r>
        <w:t xml:space="preserve"> indicates a new entry into the action, as it does later in Chapter 34.</w:t>
      </w:r>
      <w:r>
        <w:rPr>
          <w:rStyle w:val="FootnoteReference"/>
        </w:rPr>
        <w:footnoteReference w:id="12"/>
      </w:r>
      <w:r w:rsidR="003241C9">
        <w:t xml:space="preserve"> In this case, Encolpius describes this interruption in the first person plural</w:t>
      </w:r>
      <w:r w:rsidR="0070336A">
        <w:t>:</w:t>
      </w:r>
      <w:r w:rsidR="003241C9">
        <w:t xml:space="preserve"> “</w:t>
      </w:r>
      <w:r w:rsidR="003241C9">
        <w:rPr>
          <w:i/>
          <w:iCs/>
        </w:rPr>
        <w:t>videmus</w:t>
      </w:r>
      <w:r w:rsidR="003241C9">
        <w:t>” a bald old man, dressed in a red tunic, playing ball with long-haired boys. This sight of this man</w:t>
      </w:r>
      <w:r w:rsidR="0090355E">
        <w:t xml:space="preserve"> alone—“</w:t>
      </w:r>
      <w:r w:rsidR="0090355E">
        <w:rPr>
          <w:i/>
          <w:iCs/>
        </w:rPr>
        <w:t>ipse pater familias</w:t>
      </w:r>
      <w:r w:rsidR="0090355E">
        <w:t>,”</w:t>
      </w:r>
      <w:r w:rsidR="003241C9">
        <w:t xml:space="preserve"> still </w:t>
      </w:r>
      <w:r w:rsidR="0090355E">
        <w:t>un</w:t>
      </w:r>
      <w:r w:rsidR="003241C9">
        <w:t xml:space="preserve">identified to </w:t>
      </w:r>
      <w:r w:rsidR="0090355E">
        <w:t xml:space="preserve">the narrator at </w:t>
      </w:r>
      <w:r w:rsidR="003241C9">
        <w:t>this point, was a “</w:t>
      </w:r>
      <w:r w:rsidR="003241C9">
        <w:rPr>
          <w:i/>
          <w:iCs/>
        </w:rPr>
        <w:t>spectaculum</w:t>
      </w:r>
      <w:r w:rsidR="003241C9">
        <w:t xml:space="preserve">,” a word that foreshadows the entire dining experience from this initial moment to its bizarre conclusion; it was certainly peculiar enough to distract Encolpius from the aforementioned attractive slaves. </w:t>
      </w:r>
      <w:r w:rsidR="006810AA">
        <w:t xml:space="preserve">The old man was exercising </w:t>
      </w:r>
      <w:r w:rsidR="006810AA">
        <w:rPr>
          <w:i/>
          <w:iCs/>
        </w:rPr>
        <w:t>soleatus</w:t>
      </w:r>
      <w:r w:rsidR="005172FC">
        <w:t>, an oddity explained by both Schmeling and Lawall: sandals were normally worn in the home but not in public.</w:t>
      </w:r>
      <w:r w:rsidR="005172FC">
        <w:rPr>
          <w:rStyle w:val="FootnoteReference"/>
        </w:rPr>
        <w:footnoteReference w:id="13"/>
      </w:r>
      <w:r w:rsidR="005172FC">
        <w:t xml:space="preserve"> There was also an oddity to the exercising that exceeded that of the sandals in curiosity: rather than pick up the green ball that </w:t>
      </w:r>
      <w:r w:rsidR="0070336A">
        <w:t>t</w:t>
      </w:r>
      <w:r w:rsidR="005172FC">
        <w:t>he</w:t>
      </w:r>
      <w:r w:rsidR="0070336A">
        <w:t>y</w:t>
      </w:r>
      <w:r w:rsidR="005172FC">
        <w:t xml:space="preserve"> w</w:t>
      </w:r>
      <w:r w:rsidR="0070336A">
        <w:t>were</w:t>
      </w:r>
      <w:r w:rsidR="005172FC">
        <w:t xml:space="preserve"> playing with after it hit the ground, a slave was holding a back full of balls and was supplying the players with new ones</w:t>
      </w:r>
      <w:r w:rsidR="00FB2EC7">
        <w:t xml:space="preserve">; </w:t>
      </w:r>
      <w:r w:rsidR="005172FC">
        <w:t>W. Sedgwick notes that “</w:t>
      </w:r>
      <w:r w:rsidR="005172FC">
        <w:rPr>
          <w:i/>
          <w:iCs/>
        </w:rPr>
        <w:t>sufficiebat</w:t>
      </w:r>
      <w:r w:rsidR="005172FC">
        <w:t xml:space="preserve">” </w:t>
      </w:r>
      <w:r w:rsidR="00FB2EC7">
        <w:t>in its root means to</w:t>
      </w:r>
      <w:r w:rsidR="005172FC">
        <w:t xml:space="preserve"> “supply to fill up a gap.”</w:t>
      </w:r>
      <w:r w:rsidR="005172FC">
        <w:rPr>
          <w:rStyle w:val="FootnoteReference"/>
        </w:rPr>
        <w:footnoteReference w:id="14"/>
      </w:r>
      <w:r w:rsidR="00FB2EC7">
        <w:t xml:space="preserve"> </w:t>
      </w:r>
      <w:r w:rsidR="005D5A19">
        <w:t>By not reusing any dropped ball, Trimalchio was showcasing his wealth.</w:t>
      </w:r>
      <w:r w:rsidR="005D5A19">
        <w:rPr>
          <w:rStyle w:val="FootnoteReference"/>
        </w:rPr>
        <w:footnoteReference w:id="15"/>
      </w:r>
    </w:p>
    <w:p w14:paraId="2404E724" w14:textId="66ECB8EC" w:rsidR="00FB2EC7" w:rsidRDefault="00FB2EC7" w:rsidP="00F83E14">
      <w:pPr>
        <w:spacing w:line="480" w:lineRule="auto"/>
        <w:jc w:val="left"/>
      </w:pPr>
      <w:r>
        <w:tab/>
      </w:r>
      <w:r w:rsidR="0090355E">
        <w:t>In this first encounter t</w:t>
      </w:r>
      <w:r>
        <w:t>his man is described physically only as “</w:t>
      </w:r>
      <w:r>
        <w:rPr>
          <w:i/>
          <w:iCs/>
        </w:rPr>
        <w:t>calvus</w:t>
      </w:r>
      <w:r>
        <w:t xml:space="preserve">.” This is a deliberate contrast with the long-haired slaves with whom he is playing. Such slaves, remark </w:t>
      </w:r>
      <w:r>
        <w:lastRenderedPageBreak/>
        <w:t>both Lawall and Schmeling, were valued by their masters for their sexual appeal.</w:t>
      </w:r>
      <w:r>
        <w:rPr>
          <w:rStyle w:val="FootnoteReference"/>
        </w:rPr>
        <w:footnoteReference w:id="16"/>
      </w:r>
      <w:r>
        <w:t xml:space="preserve"> It is learned in Chapter 75 that Trimalchio himself was once such a slave; now his baldness contrasts with their long-hair as the first indication that Trimalchio is now a less than attractive figure, a fact that will be confirmed in the lines ahead.</w:t>
      </w:r>
    </w:p>
    <w:p w14:paraId="0C45EC60" w14:textId="035DA41B" w:rsidR="000A27D7" w:rsidRPr="002C0DCA" w:rsidRDefault="00856588" w:rsidP="00F83E14">
      <w:pPr>
        <w:spacing w:line="480" w:lineRule="auto"/>
        <w:jc w:val="left"/>
      </w:pPr>
      <w:r>
        <w:tab/>
      </w:r>
      <w:r w:rsidR="0070336A">
        <w:t>Also i</w:t>
      </w:r>
      <w:r>
        <w:t>n this first encounter Encolpius also noted</w:t>
      </w:r>
      <w:r w:rsidR="000A27D7">
        <w:t xml:space="preserve"> other</w:t>
      </w:r>
      <w:r>
        <w:t xml:space="preserve"> “</w:t>
      </w:r>
      <w:r>
        <w:rPr>
          <w:i/>
          <w:iCs/>
        </w:rPr>
        <w:t>res novas</w:t>
      </w:r>
      <w:r>
        <w:t xml:space="preserve">.” </w:t>
      </w:r>
      <w:r w:rsidR="000A27D7">
        <w:t>This time it is the presence of two eunuchs</w:t>
      </w:r>
      <w:r w:rsidR="0070336A">
        <w:t xml:space="preserve"> (“</w:t>
      </w:r>
      <w:r w:rsidR="0070336A">
        <w:rPr>
          <w:i/>
          <w:iCs/>
        </w:rPr>
        <w:t>duo spandones</w:t>
      </w:r>
      <w:r w:rsidR="0070336A">
        <w:t>”)</w:t>
      </w:r>
      <w:r w:rsidR="000A27D7">
        <w:t>, one holding a silver chamber pot and the other counting the missed balls that were not being replaced. Owning eunuchs was a sign of w</w:t>
      </w:r>
      <w:r w:rsidR="002C0DCA">
        <w:t>ealth</w:t>
      </w:r>
      <w:r w:rsidR="002C0DCA">
        <w:rPr>
          <w:rStyle w:val="FootnoteReference"/>
        </w:rPr>
        <w:footnoteReference w:id="17"/>
      </w:r>
      <w:r w:rsidR="002C0DCA">
        <w:t xml:space="preserve"> that complements the extravagant decision, mentioned above, not to pick up the balls from the ground. Both Schmeling and Lawall point out that “</w:t>
      </w:r>
      <w:r w:rsidR="002C0DCA">
        <w:rPr>
          <w:i/>
          <w:iCs/>
        </w:rPr>
        <w:t>spado</w:t>
      </w:r>
      <w:r w:rsidR="002C0DCA">
        <w:t xml:space="preserve">” is a Greek loan word first used by Horace, and that Maecenas, who is recalled </w:t>
      </w:r>
      <w:r w:rsidR="000E049F">
        <w:t xml:space="preserve">by Seneca </w:t>
      </w:r>
      <w:r w:rsidR="002C0DCA">
        <w:t>as walking with two eunuchs, may be the model for Trimalchio’s depiction here.</w:t>
      </w:r>
      <w:r w:rsidR="002C0DCA">
        <w:rPr>
          <w:rStyle w:val="FootnoteReference"/>
        </w:rPr>
        <w:footnoteReference w:id="18"/>
      </w:r>
      <w:r w:rsidR="002C0DCA">
        <w:t xml:space="preserve"> Neither writer points out th</w:t>
      </w:r>
      <w:r w:rsidR="000B7AE2">
        <w:t>at it would be a great</w:t>
      </w:r>
      <w:r w:rsidR="002C0DCA">
        <w:t xml:space="preserve"> irony </w:t>
      </w:r>
      <w:r w:rsidR="000B7AE2">
        <w:t xml:space="preserve">for </w:t>
      </w:r>
      <w:r w:rsidR="002C0DCA">
        <w:t xml:space="preserve">Maecenas, dean of culture that he was, </w:t>
      </w:r>
      <w:r w:rsidR="000B7AE2">
        <w:t>to serve as</w:t>
      </w:r>
      <w:r w:rsidR="002C0DCA">
        <w:t xml:space="preserve"> the model for Trimalchio, who it will be shown is the least cultured of men.</w:t>
      </w:r>
      <w:r w:rsidR="000B7AE2">
        <w:t xml:space="preserve"> Moreover, we learn in Chapter 71 that Trimalchio was once the slave of a man named Maecenas, who is not, Sedgwick asserts, the same man as the aforementioned culture minister under Augustus.</w:t>
      </w:r>
      <w:r w:rsidR="000B7AE2">
        <w:rPr>
          <w:rStyle w:val="FootnoteReference"/>
        </w:rPr>
        <w:footnoteReference w:id="19"/>
      </w:r>
      <w:r w:rsidR="000E049F">
        <w:t xml:space="preserve"> Nevertheless, the coincidence of naming strengthens the hypothesis that Petronius is alluding to Seneca’s description of the famous Maecenas here.</w:t>
      </w:r>
    </w:p>
    <w:p w14:paraId="227F36C3" w14:textId="4EBD3A95" w:rsidR="00856588" w:rsidRDefault="002C0DCA" w:rsidP="002C0DCA">
      <w:pPr>
        <w:spacing w:line="480" w:lineRule="auto"/>
        <w:ind w:firstLine="720"/>
        <w:jc w:val="left"/>
      </w:pPr>
      <w:r>
        <w:t>The use of “</w:t>
      </w:r>
      <w:r>
        <w:rPr>
          <w:i/>
          <w:iCs/>
        </w:rPr>
        <w:t>res novas</w:t>
      </w:r>
      <w:r>
        <w:t>,” which</w:t>
      </w:r>
      <w:r>
        <w:rPr>
          <w:i/>
          <w:iCs/>
        </w:rPr>
        <w:t xml:space="preserve"> </w:t>
      </w:r>
      <w:r w:rsidR="00F83E14">
        <w:t xml:space="preserve">Schmeling equates </w:t>
      </w:r>
      <w:r>
        <w:t xml:space="preserve">to </w:t>
      </w:r>
      <w:r w:rsidR="00F83E14">
        <w:t>the use of “</w:t>
      </w:r>
      <w:r w:rsidR="00F83E14">
        <w:rPr>
          <w:i/>
          <w:iCs/>
        </w:rPr>
        <w:t>lautitias</w:t>
      </w:r>
      <w:r w:rsidR="00F83E14">
        <w:t xml:space="preserve">,” </w:t>
      </w:r>
      <w:r>
        <w:t>introduces</w:t>
      </w:r>
      <w:r w:rsidR="00F83E14">
        <w:t xml:space="preserve"> “one of the major themes of the </w:t>
      </w:r>
      <w:r w:rsidR="00F83E14">
        <w:rPr>
          <w:i/>
          <w:iCs/>
        </w:rPr>
        <w:t>Cena</w:t>
      </w:r>
      <w:r w:rsidR="00F83E14">
        <w:t>.”</w:t>
      </w:r>
      <w:r w:rsidR="00F83E14">
        <w:rPr>
          <w:rStyle w:val="FootnoteReference"/>
        </w:rPr>
        <w:footnoteReference w:id="20"/>
      </w:r>
      <w:r w:rsidR="00F83E14">
        <w:t xml:space="preserve"> It is worth pausing to explore this theme in some detail. As mentioned above, in the context of the </w:t>
      </w:r>
      <w:r w:rsidR="00F83E14">
        <w:rPr>
          <w:i/>
          <w:iCs/>
        </w:rPr>
        <w:t>Cena</w:t>
      </w:r>
      <w:r w:rsidR="00F83E14">
        <w:t xml:space="preserve"> we first see “</w:t>
      </w:r>
      <w:r w:rsidR="00F83E14">
        <w:rPr>
          <w:i/>
          <w:iCs/>
        </w:rPr>
        <w:t>lautitia</w:t>
      </w:r>
      <w:r w:rsidR="00F83E14">
        <w:t xml:space="preserve">” as a superlative adjective </w:t>
      </w:r>
      <w:r w:rsidR="00F83E14">
        <w:lastRenderedPageBreak/>
        <w:t xml:space="preserve">to describe Trimalchio. It is used again in the period after </w:t>
      </w:r>
      <w:r>
        <w:t>the description of the two eunuchs</w:t>
      </w:r>
      <w:r w:rsidR="00F83E14">
        <w:t xml:space="preserve"> in a similar manner: “</w:t>
      </w:r>
      <w:r w:rsidR="00F83E14">
        <w:rPr>
          <w:i/>
          <w:iCs/>
        </w:rPr>
        <w:t>Cum has ergo miraremur lautitias</w:t>
      </w:r>
      <w:r w:rsidR="00F83E14">
        <w:t xml:space="preserve">.” </w:t>
      </w:r>
      <w:r w:rsidR="000A27D7">
        <w:t>Schmeling comments that forms of “</w:t>
      </w:r>
      <w:r w:rsidR="000A27D7">
        <w:rPr>
          <w:i/>
          <w:iCs/>
        </w:rPr>
        <w:t>lautitia</w:t>
      </w:r>
      <w:r w:rsidR="000A27D7">
        <w:t>” “recur constantly in the description of the dinner, the host, and his possessions, generally with ironic overtones.”</w:t>
      </w:r>
      <w:r w:rsidR="000A27D7">
        <w:rPr>
          <w:rStyle w:val="FootnoteReference"/>
        </w:rPr>
        <w:footnoteReference w:id="21"/>
      </w:r>
      <w:r w:rsidR="000A27D7">
        <w:t xml:space="preserve"> Beck agrees: </w:t>
      </w:r>
      <w:r w:rsidR="00344015">
        <w:t>“At the outset ‘wonder’ (</w:t>
      </w:r>
      <w:r w:rsidR="00344015">
        <w:rPr>
          <w:i/>
          <w:iCs/>
        </w:rPr>
        <w:t>admiratio</w:t>
      </w:r>
      <w:r w:rsidR="00344015">
        <w:t>)</w:t>
      </w:r>
      <w:r w:rsidR="00460F06">
        <w:t xml:space="preserve"> is the predominant reaction of Encolpius and his companions, and it is the novelty and lavishness of things—in a word, the </w:t>
      </w:r>
      <w:r w:rsidR="00460F06">
        <w:rPr>
          <w:i/>
          <w:iCs/>
        </w:rPr>
        <w:t>lautitiae</w:t>
      </w:r>
      <w:r w:rsidR="00460F06">
        <w:t>—that most impinges on them.”</w:t>
      </w:r>
      <w:r w:rsidR="00460F06">
        <w:rPr>
          <w:rStyle w:val="FootnoteReference"/>
        </w:rPr>
        <w:footnoteReference w:id="22"/>
      </w:r>
      <w:r w:rsidR="00460F06">
        <w:t xml:space="preserve"> Whereas Schmeling sees ironic overtones in these descriptions, which is certainly the case as the episode progresses, Beck notes a progression from admiration to “boredom, disgust, and condemnation” until Encolpius at last reaches his boiling point in the final chapter: “</w:t>
      </w:r>
      <w:r w:rsidR="00460F06">
        <w:rPr>
          <w:i/>
          <w:iCs/>
        </w:rPr>
        <w:t>ibat res ad summan nauseam</w:t>
      </w:r>
      <w:r w:rsidR="00460F06">
        <w:t>.”</w:t>
      </w:r>
      <w:r w:rsidR="00460F06">
        <w:rPr>
          <w:rStyle w:val="FootnoteReference"/>
        </w:rPr>
        <w:footnoteReference w:id="23"/>
      </w:r>
      <w:r w:rsidR="00460F06">
        <w:t xml:space="preserve"> In these initial chapters, however, Encolpius’s admiration of Trimalchio’s actions contrasts with </w:t>
      </w:r>
      <w:r w:rsidR="000B7AE2">
        <w:t xml:space="preserve">an aversion to his </w:t>
      </w:r>
      <w:r w:rsidR="00460F06">
        <w:t xml:space="preserve">physical </w:t>
      </w:r>
      <w:r w:rsidR="000B7AE2">
        <w:t>appearance</w:t>
      </w:r>
      <w:r w:rsidR="00460F06">
        <w:t xml:space="preserve">, </w:t>
      </w:r>
      <w:r w:rsidR="000B7AE2">
        <w:t xml:space="preserve">a description of which is </w:t>
      </w:r>
      <w:r w:rsidR="00460F06">
        <w:t xml:space="preserve">still </w:t>
      </w:r>
      <w:r w:rsidR="00722962">
        <w:t>unknown</w:t>
      </w:r>
      <w:r w:rsidR="00460F06">
        <w:t xml:space="preserve"> at the point of the eunuchs’ appearance</w:t>
      </w:r>
      <w:r w:rsidR="000B7AE2">
        <w:t xml:space="preserve">. It is the former interest that carries the moment for Encolpius, whose growing revulsion to Trimalchio later in the </w:t>
      </w:r>
      <w:r w:rsidR="000B7AE2">
        <w:rPr>
          <w:i/>
          <w:iCs/>
        </w:rPr>
        <w:t>Cena</w:t>
      </w:r>
      <w:r w:rsidR="000B7AE2">
        <w:t xml:space="preserve"> stems from the host’s antics, not his appearance.</w:t>
      </w:r>
    </w:p>
    <w:p w14:paraId="66F655A8" w14:textId="3C7ADD17" w:rsidR="00A02D62" w:rsidRDefault="000B7AE2" w:rsidP="00293409">
      <w:pPr>
        <w:spacing w:line="480" w:lineRule="auto"/>
        <w:ind w:firstLine="720"/>
        <w:jc w:val="left"/>
      </w:pPr>
      <w:r>
        <w:t>It is while Encolpius and Ascyltos are admiring the “</w:t>
      </w:r>
      <w:r>
        <w:rPr>
          <w:i/>
          <w:iCs/>
        </w:rPr>
        <w:t>lautitias</w:t>
      </w:r>
      <w:r>
        <w:t xml:space="preserve">” that Menelaus informs them that the bald old man is in fact Trimalchio, their host, and that the dinner has </w:t>
      </w:r>
      <w:r w:rsidR="0070336A">
        <w:t>already</w:t>
      </w:r>
      <w:r>
        <w:t xml:space="preserve"> begun with these activities at the bath house. At this point it is important to examine the figure of Trimalchio. </w:t>
      </w:r>
      <w:r w:rsidR="000E049F">
        <w:t xml:space="preserve">What it known of Trimalchio’s life comes directly from the man himself as he narrates his life’s story later in the </w:t>
      </w:r>
      <w:r w:rsidR="000E049F">
        <w:rPr>
          <w:i/>
          <w:iCs/>
        </w:rPr>
        <w:t>Cena</w:t>
      </w:r>
      <w:r w:rsidR="000E049F">
        <w:t xml:space="preserve">. </w:t>
      </w:r>
      <w:r w:rsidR="00030473">
        <w:t>His full name is C. Pompeius Trimalchio Maecenatianus, a freedman of Maecenas who</w:t>
      </w:r>
      <w:r w:rsidR="00306CFA">
        <w:t xml:space="preserve"> named</w:t>
      </w:r>
      <w:r w:rsidR="00030473">
        <w:t xml:space="preserve"> Trimalchio</w:t>
      </w:r>
      <w:r w:rsidR="00306CFA">
        <w:t xml:space="preserve"> one of his heirs</w:t>
      </w:r>
      <w:r w:rsidR="00030473">
        <w:t xml:space="preserve">. Sedgwick hypothesizes that his name is derived from the </w:t>
      </w:r>
      <w:r w:rsidR="00293409">
        <w:t xml:space="preserve">intensive prefix </w:t>
      </w:r>
      <w:r w:rsidR="00293409">
        <w:rPr>
          <w:i/>
          <w:iCs/>
        </w:rPr>
        <w:t>tri-</w:t>
      </w:r>
      <w:r w:rsidR="00293409">
        <w:t xml:space="preserve"> and the Semitic word for “prince,”</w:t>
      </w:r>
      <w:r w:rsidR="00293409">
        <w:rPr>
          <w:rStyle w:val="FootnoteReference"/>
        </w:rPr>
        <w:footnoteReference w:id="24"/>
      </w:r>
      <w:r w:rsidR="00293409">
        <w:t xml:space="preserve"> a word tha</w:t>
      </w:r>
      <w:r w:rsidR="00306CFA">
        <w:t xml:space="preserve">t </w:t>
      </w:r>
      <w:r w:rsidR="00293409">
        <w:t xml:space="preserve">fits the life that Trimalchio was living in terms of wealth and influence. </w:t>
      </w:r>
      <w:r w:rsidR="00832BFA">
        <w:lastRenderedPageBreak/>
        <w:t xml:space="preserve">Once a </w:t>
      </w:r>
      <w:r w:rsidR="00306CFA">
        <w:t xml:space="preserve">beloved pet of his master and mistress, Trimalchio became fabulously wealthy as a merchant. </w:t>
      </w:r>
    </w:p>
    <w:p w14:paraId="1C6D26C5" w14:textId="1315D138" w:rsidR="00306CFA" w:rsidRDefault="00306CFA" w:rsidP="00293409">
      <w:pPr>
        <w:spacing w:line="480" w:lineRule="auto"/>
        <w:ind w:firstLine="720"/>
        <w:jc w:val="left"/>
      </w:pPr>
      <w:r>
        <w:t>J. Andreau outlines the two leading opinions concerning the character of Trimalchio in recent commentary.</w:t>
      </w:r>
      <w:r>
        <w:rPr>
          <w:rStyle w:val="FootnoteReference"/>
        </w:rPr>
        <w:footnoteReference w:id="25"/>
      </w:r>
      <w:r>
        <w:t xml:space="preserve"> </w:t>
      </w:r>
      <w:r w:rsidR="00554ADF">
        <w:t xml:space="preserve">On the one hand, </w:t>
      </w:r>
      <w:r w:rsidR="00D439F2">
        <w:t xml:space="preserve">M. Rostovtzeff holds that Trimalchio’s social status as a freedman did not have much bearing on his life, which was essentially indistinct from other </w:t>
      </w:r>
      <w:r w:rsidR="00D439F2">
        <w:rPr>
          <w:i/>
          <w:iCs/>
        </w:rPr>
        <w:t>equites</w:t>
      </w:r>
      <w:r w:rsidR="00D439F2">
        <w:t xml:space="preserve"> in living as “urban bourgeois</w:t>
      </w:r>
      <w:r w:rsidR="00554ADF">
        <w:t>i</w:t>
      </w:r>
      <w:r w:rsidR="00D439F2">
        <w:t xml:space="preserve">e.” </w:t>
      </w:r>
      <w:r w:rsidR="00554ADF">
        <w:t xml:space="preserve">On the other hand, P. Veyne argues that freedmen were very much limited by their social status and lived as an “aborted class” with no hope of being integrated among the </w:t>
      </w:r>
      <w:r w:rsidR="00554ADF">
        <w:rPr>
          <w:i/>
          <w:iCs/>
        </w:rPr>
        <w:t>equites</w:t>
      </w:r>
      <w:r w:rsidR="00554ADF">
        <w:t xml:space="preserve"> or accepted as gentlemen. Andreau sides with the latter opinion “because it is more attentive to the different episodes in the life of Trimalchio and the connections which his life maintained with the legal and social background of the freedman’s condition.”</w:t>
      </w:r>
      <w:r w:rsidR="00554ADF">
        <w:rPr>
          <w:rStyle w:val="FootnoteReference"/>
        </w:rPr>
        <w:footnoteReference w:id="26"/>
      </w:r>
      <w:r w:rsidR="00554ADF">
        <w:t xml:space="preserve"> Certainly, based on the brief characterization of Trimalchio in these initial chapters of the episode, Veyne and Andreau are correct: </w:t>
      </w:r>
      <w:r w:rsidR="00381B43">
        <w:t xml:space="preserve">far from behaving as a gentleman, Trimalchio is about to engage in one grotesque behavior after another, in the company not of other gentlemen, but other freedman. The first such behavior is to empty his bladder in an expensive silver chamber pot before his guests, and then dry his fingers </w:t>
      </w:r>
      <w:r w:rsidR="0070336A">
        <w:t xml:space="preserve">ostentatiously </w:t>
      </w:r>
      <w:r w:rsidR="00381B43">
        <w:t xml:space="preserve">in the long-hair of his slaves. It is hard to imagine any of the golden and silver age </w:t>
      </w:r>
      <w:r w:rsidR="00381B43">
        <w:rPr>
          <w:i/>
          <w:iCs/>
        </w:rPr>
        <w:t>equites</w:t>
      </w:r>
      <w:r w:rsidR="00381B43">
        <w:t xml:space="preserve"> </w:t>
      </w:r>
      <w:r w:rsidR="000024F7">
        <w:t xml:space="preserve">represented in </w:t>
      </w:r>
      <w:r w:rsidR="0070336A">
        <w:t xml:space="preserve">extant </w:t>
      </w:r>
      <w:r w:rsidR="000024F7">
        <w:t xml:space="preserve">literature </w:t>
      </w:r>
      <w:r w:rsidR="0070336A">
        <w:t xml:space="preserve">behaving </w:t>
      </w:r>
      <w:r w:rsidR="000024F7">
        <w:t xml:space="preserve">in the same manner, unless the author wanted to make an example of a man’s corrupt character; if this were the case, the man would be presented </w:t>
      </w:r>
      <w:r w:rsidR="0070336A">
        <w:t xml:space="preserve">as </w:t>
      </w:r>
      <w:r w:rsidR="000024F7">
        <w:t xml:space="preserve">living in a similar manner to Trimalchio. </w:t>
      </w:r>
    </w:p>
    <w:p w14:paraId="470802F2" w14:textId="616B9452" w:rsidR="0099341E" w:rsidRDefault="0099341E" w:rsidP="00293409">
      <w:pPr>
        <w:spacing w:line="480" w:lineRule="auto"/>
        <w:ind w:firstLine="720"/>
        <w:jc w:val="left"/>
      </w:pPr>
      <w:r>
        <w:t>Encolpius transitions from this scene in the exercise room with a summative statement: “</w:t>
      </w:r>
      <w:r>
        <w:rPr>
          <w:i/>
        </w:rPr>
        <w:t>Longum erat singula excipere</w:t>
      </w:r>
      <w:r>
        <w:t xml:space="preserve">.” </w:t>
      </w:r>
      <w:r w:rsidR="00DB02E7">
        <w:t>Sedgwick comments that “</w:t>
      </w:r>
      <w:r w:rsidR="00DB02E7">
        <w:rPr>
          <w:i/>
        </w:rPr>
        <w:t>longum erat</w:t>
      </w:r>
      <w:r w:rsidR="00DB02E7">
        <w:t xml:space="preserve">” should be understood as “it </w:t>
      </w:r>
      <w:r w:rsidR="00DB02E7">
        <w:rPr>
          <w:i/>
        </w:rPr>
        <w:t>would have</w:t>
      </w:r>
      <w:r w:rsidR="00DB02E7">
        <w:t xml:space="preserve"> taken too long” to mention everything, meaning that Encolpius did not attempt </w:t>
      </w:r>
      <w:r w:rsidR="00DB02E7">
        <w:lastRenderedPageBreak/>
        <w:t>to recall every detail.</w:t>
      </w:r>
      <w:r w:rsidR="00DB02E7">
        <w:rPr>
          <w:rStyle w:val="FootnoteReference"/>
        </w:rPr>
        <w:footnoteReference w:id="27"/>
      </w:r>
      <w:r w:rsidR="00DB02E7">
        <w:t xml:space="preserve"> </w:t>
      </w:r>
      <w:r>
        <w:t>Schmeling calls this change of subject “somewhat abrupt,”</w:t>
      </w:r>
      <w:r>
        <w:rPr>
          <w:rStyle w:val="FootnoteReference"/>
        </w:rPr>
        <w:footnoteReference w:id="28"/>
      </w:r>
      <w:r>
        <w:t xml:space="preserve"> which it is. </w:t>
      </w:r>
      <w:r w:rsidR="006B25CD">
        <w:t>Yet</w:t>
      </w:r>
      <w:r>
        <w:t xml:space="preserve"> the brevity of this remark, combined with the change to the pa</w:t>
      </w:r>
      <w:r w:rsidR="00C67096">
        <w:t xml:space="preserve">ssive, serves as a call to reflection </w:t>
      </w:r>
      <w:r w:rsidR="006B25CD">
        <w:t>upon</w:t>
      </w:r>
      <w:r>
        <w:t xml:space="preserve"> all that has transpired to this point in the baths</w:t>
      </w:r>
      <w:r w:rsidR="00C67096">
        <w:t xml:space="preserve">; the use of </w:t>
      </w:r>
      <w:r w:rsidR="00C67096">
        <w:rPr>
          <w:i/>
        </w:rPr>
        <w:t>singula</w:t>
      </w:r>
      <w:r w:rsidR="00C67096">
        <w:t xml:space="preserve">, rather than </w:t>
      </w:r>
      <w:r w:rsidR="00C67096">
        <w:rPr>
          <w:i/>
        </w:rPr>
        <w:t>omnia</w:t>
      </w:r>
      <w:r w:rsidR="00C67096">
        <w:t xml:space="preserve">, underscores the uniqueness of each action of Trimalchio and his slaves </w:t>
      </w:r>
      <w:r w:rsidR="003770BF">
        <w:t>and away from a general, detached view of</w:t>
      </w:r>
      <w:r w:rsidR="00C67096">
        <w:t xml:space="preserve"> the scene as a whole</w:t>
      </w:r>
      <w:r>
        <w:t>.</w:t>
      </w:r>
      <w:r w:rsidR="00C67096">
        <w:t xml:space="preserve"> This sentence also </w:t>
      </w:r>
      <w:r w:rsidR="003770BF">
        <w:t>recalls Beck’s theory about the dual voices of narration, but this time “</w:t>
      </w:r>
      <w:r w:rsidR="003770BF">
        <w:rPr>
          <w:i/>
        </w:rPr>
        <w:t>longum erat</w:t>
      </w:r>
      <w:r w:rsidR="003770BF">
        <w:t xml:space="preserve">” </w:t>
      </w:r>
      <w:r w:rsidR="006B25CD">
        <w:t>points to</w:t>
      </w:r>
      <w:r w:rsidR="003770BF">
        <w:t xml:space="preserve"> the voice of Encolpius the narrator</w:t>
      </w:r>
      <w:r w:rsidR="00C67096">
        <w:t xml:space="preserve"> </w:t>
      </w:r>
      <w:r w:rsidR="003770BF">
        <w:t>reflecting back on these events</w:t>
      </w:r>
      <w:r w:rsidR="006B25CD">
        <w:t>: his perspective here is suddenly removed from the immediate action of the events</w:t>
      </w:r>
      <w:r w:rsidR="003770BF">
        <w:t>. “</w:t>
      </w:r>
      <w:r w:rsidR="003770BF">
        <w:rPr>
          <w:i/>
        </w:rPr>
        <w:t>Itaque</w:t>
      </w:r>
      <w:r w:rsidR="003770BF">
        <w:t xml:space="preserve">” then completes the transition from the exercise area as Encolpius and his companions enter into the baths proper, first to the hot room, where they lingered for just a moment, and then to the cold room. </w:t>
      </w:r>
      <w:r w:rsidR="008845A7">
        <w:t>Schmeling notes that skipping over the customary stop in the warm room is another sign of Trimalchio’s propensity for the unusual.</w:t>
      </w:r>
      <w:r w:rsidR="008845A7">
        <w:rPr>
          <w:rStyle w:val="FootnoteReference"/>
        </w:rPr>
        <w:footnoteReference w:id="29"/>
      </w:r>
      <w:r w:rsidR="008845A7">
        <w:t xml:space="preserve"> Encolpius then sees another sign of Trimalchio’s wealth and extravagance: after </w:t>
      </w:r>
      <w:r w:rsidR="006B25CD">
        <w:t>the freedman</w:t>
      </w:r>
      <w:r w:rsidR="008845A7">
        <w:t xml:space="preserve"> was moistened with oil, he was rubbed down “</w:t>
      </w:r>
      <w:r w:rsidR="008845A7">
        <w:rPr>
          <w:i/>
        </w:rPr>
        <w:t>non linteis, sed pallis ex lana mollissima factis</w:t>
      </w:r>
      <w:r w:rsidR="008845A7">
        <w:t xml:space="preserve">.” As with the unlimited supply of balls for the game and the silver chamber pot, again Trimalchio goes beyond normal expectation, this time, with </w:t>
      </w:r>
      <w:r w:rsidR="00FD32F7">
        <w:t>what Lawall labels as “large rectangles of soften woolen cloth” rather than ordinary towels.</w:t>
      </w:r>
      <w:r w:rsidR="00FD32F7">
        <w:rPr>
          <w:rStyle w:val="FootnoteReference"/>
        </w:rPr>
        <w:footnoteReference w:id="30"/>
      </w:r>
      <w:r w:rsidR="00FD32F7">
        <w:t xml:space="preserve"> More</w:t>
      </w:r>
      <w:r w:rsidR="00633B3B">
        <w:t xml:space="preserve"> extravagance is found in the identity of the men</w:t>
      </w:r>
      <w:r w:rsidR="00FD32F7">
        <w:t xml:space="preserve"> performing the rub down: </w:t>
      </w:r>
      <w:r w:rsidR="006B25CD">
        <w:t xml:space="preserve">they are </w:t>
      </w:r>
      <w:r w:rsidR="00FD32F7">
        <w:t xml:space="preserve">not ordinary slaves, but </w:t>
      </w:r>
      <w:r w:rsidR="00FD32F7">
        <w:rPr>
          <w:i/>
        </w:rPr>
        <w:t>iatralipt</w:t>
      </w:r>
      <w:r w:rsidR="00633B3B">
        <w:rPr>
          <w:i/>
        </w:rPr>
        <w:t>ae</w:t>
      </w:r>
      <w:r w:rsidR="00FD32F7">
        <w:t>, whom Schmeling labels as “physiotherapists rather than masseurs</w:t>
      </w:r>
      <w:r w:rsidR="00FF0FB9">
        <w:t>.”</w:t>
      </w:r>
      <w:r w:rsidR="00FF0FB9">
        <w:rPr>
          <w:rStyle w:val="FootnoteReference"/>
        </w:rPr>
        <w:footnoteReference w:id="31"/>
      </w:r>
    </w:p>
    <w:p w14:paraId="277ACB88" w14:textId="50BECF8E" w:rsidR="00633B3B" w:rsidRDefault="00633B3B" w:rsidP="00293409">
      <w:pPr>
        <w:spacing w:line="480" w:lineRule="auto"/>
        <w:ind w:firstLine="720"/>
        <w:jc w:val="left"/>
      </w:pPr>
      <w:r>
        <w:t xml:space="preserve">Following Trimalchio’s rather public use of the silver chamber pot in the exercise area, a new pattern is about to be established that will continue for the remainder of the </w:t>
      </w:r>
      <w:r>
        <w:rPr>
          <w:i/>
        </w:rPr>
        <w:t>cena</w:t>
      </w:r>
      <w:r>
        <w:t xml:space="preserve">: </w:t>
      </w:r>
      <w:r>
        <w:lastRenderedPageBreak/>
        <w:t xml:space="preserve">extravagance boiling over into rude, bawdy behavior. </w:t>
      </w:r>
      <w:r w:rsidR="00D53E91">
        <w:t xml:space="preserve">Here, the three </w:t>
      </w:r>
      <w:r w:rsidR="00D53E91">
        <w:rPr>
          <w:i/>
        </w:rPr>
        <w:t>iatraliptae</w:t>
      </w:r>
      <w:r w:rsidR="00D53E91">
        <w:t xml:space="preserve"> are drinking and spilling Falernian wine</w:t>
      </w:r>
      <w:r>
        <w:t xml:space="preserve"> </w:t>
      </w:r>
      <w:r w:rsidR="00D53E91">
        <w:t>“</w:t>
      </w:r>
      <w:r w:rsidR="00D53E91">
        <w:rPr>
          <w:i/>
        </w:rPr>
        <w:t>in conspectu eius</w:t>
      </w:r>
      <w:r w:rsidR="00D53E91">
        <w:t xml:space="preserve">” while quarreling. </w:t>
      </w:r>
      <w:r w:rsidR="00FE33D9">
        <w:t xml:space="preserve">Schmeling cites Seneca </w:t>
      </w:r>
      <w:r w:rsidR="00FE33D9">
        <w:rPr>
          <w:i/>
        </w:rPr>
        <w:t>Epistulae</w:t>
      </w:r>
      <w:r w:rsidR="00FE33D9">
        <w:t xml:space="preserve"> 122.6, Pliny </w:t>
      </w:r>
      <w:r w:rsidR="00FE33D9">
        <w:rPr>
          <w:i/>
        </w:rPr>
        <w:t>Natural Histories</w:t>
      </w:r>
      <w:r w:rsidR="00FE33D9">
        <w:t xml:space="preserve">14.139-140, and Quintilian </w:t>
      </w:r>
      <w:r w:rsidR="00FE33D9">
        <w:rPr>
          <w:i/>
        </w:rPr>
        <w:t>Institutiones</w:t>
      </w:r>
      <w:r w:rsidR="00FE33D9">
        <w:t xml:space="preserve"> 1.6.44 as examples that </w:t>
      </w:r>
      <w:r w:rsidR="006B25CD">
        <w:t>the Romans frowned on such</w:t>
      </w:r>
      <w:r w:rsidR="00FE33D9">
        <w:t xml:space="preserve"> drunken behavior at the baths.</w:t>
      </w:r>
      <w:r w:rsidR="00FE33D9">
        <w:rPr>
          <w:rStyle w:val="FootnoteReference"/>
        </w:rPr>
        <w:footnoteReference w:id="32"/>
      </w:r>
      <w:r w:rsidR="002E0DDF">
        <w:t xml:space="preserve"> The fact that they did this in Trimalchio’s presence shows not only </w:t>
      </w:r>
      <w:r w:rsidR="006B25CD">
        <w:t>that he shuns</w:t>
      </w:r>
      <w:r w:rsidR="002E0DDF">
        <w:t xml:space="preserve"> proper decorum, which is a theme </w:t>
      </w:r>
      <w:r w:rsidR="006B25CD">
        <w:t xml:space="preserve">that will be continued </w:t>
      </w:r>
      <w:r w:rsidR="002E0DDF">
        <w:t xml:space="preserve">throughout the episode, but also his endorsement of it, as he </w:t>
      </w:r>
      <w:r w:rsidR="006B25CD">
        <w:t>w</w:t>
      </w:r>
      <w:r w:rsidR="002E0DDF">
        <w:t xml:space="preserve">as </w:t>
      </w:r>
      <w:r w:rsidR="00404422">
        <w:t>telling the men to toast to him. That they are toasting with Falernian</w:t>
      </w:r>
      <w:r w:rsidR="001A56E7">
        <w:t xml:space="preserve"> wine</w:t>
      </w:r>
      <w:r w:rsidR="00404422">
        <w:t xml:space="preserve">, which was typically only drunk at the baths by </w:t>
      </w:r>
      <w:r w:rsidR="00404422">
        <w:rPr>
          <w:i/>
        </w:rPr>
        <w:t>equites</w:t>
      </w:r>
      <w:r w:rsidR="00404422">
        <w:t>, is still another act of ostentation.</w:t>
      </w:r>
      <w:r w:rsidR="00404422">
        <w:rPr>
          <w:rStyle w:val="FootnoteReference"/>
        </w:rPr>
        <w:footnoteReference w:id="33"/>
      </w:r>
    </w:p>
    <w:p w14:paraId="0424E70C" w14:textId="623C2F9E" w:rsidR="006B25CD" w:rsidRDefault="002D01D9" w:rsidP="00293409">
      <w:pPr>
        <w:spacing w:line="480" w:lineRule="auto"/>
        <w:ind w:firstLine="720"/>
        <w:jc w:val="left"/>
      </w:pPr>
      <w:r>
        <w:t>But ostentation and extravagance are quickly replaced by more outlandish displays: Trimalchio departs from the baths wrapped in scarlet woolen cloth. Scarlet, comments Schmeling, on a man is a sign of effeminacy,</w:t>
      </w:r>
      <w:r>
        <w:rPr>
          <w:rStyle w:val="FootnoteReference"/>
        </w:rPr>
        <w:footnoteReference w:id="34"/>
      </w:r>
      <w:r>
        <w:t xml:space="preserve"> </w:t>
      </w:r>
      <w:r w:rsidR="0011463A">
        <w:t xml:space="preserve">and </w:t>
      </w:r>
      <w:r w:rsidR="001A56E7">
        <w:t>this point marks a</w:t>
      </w:r>
      <w:r w:rsidR="0011463A">
        <w:t xml:space="preserve"> shift </w:t>
      </w:r>
      <w:r w:rsidR="001A56E7">
        <w:t>in</w:t>
      </w:r>
      <w:r w:rsidR="0011463A">
        <w:t xml:space="preserve"> focus from </w:t>
      </w:r>
      <w:r w:rsidR="001A56E7">
        <w:t>Trimalchio’s</w:t>
      </w:r>
      <w:r w:rsidR="0011463A">
        <w:t xml:space="preserve"> bizarre actions to his </w:t>
      </w:r>
      <w:r w:rsidR="001A56E7">
        <w:t xml:space="preserve">even </w:t>
      </w:r>
      <w:r w:rsidR="0011463A">
        <w:t>more peculiar personality. He was then placed on a litter carried by four footmen decorated with medal discs, as Nero had done for hi</w:t>
      </w:r>
      <w:r w:rsidR="001A56E7">
        <w:t>s footmen</w:t>
      </w:r>
      <w:r w:rsidR="0011463A">
        <w:t>.</w:t>
      </w:r>
      <w:r w:rsidR="0011463A">
        <w:rPr>
          <w:rStyle w:val="FootnoteReference"/>
        </w:rPr>
        <w:footnoteReference w:id="35"/>
      </w:r>
      <w:r w:rsidR="0011463A">
        <w:t xml:space="preserve"> The real oddity comes when Encolpius notes that on the </w:t>
      </w:r>
      <w:r w:rsidR="0011463A">
        <w:rPr>
          <w:i/>
          <w:iCs/>
        </w:rPr>
        <w:t>chiramaxium</w:t>
      </w:r>
      <w:r w:rsidR="0011463A">
        <w:t xml:space="preserve">, or wagon, was Trimalchio’s </w:t>
      </w:r>
      <w:r w:rsidR="0011463A">
        <w:rPr>
          <w:i/>
          <w:iCs/>
        </w:rPr>
        <w:t>delici</w:t>
      </w:r>
      <w:r w:rsidR="002E53B8">
        <w:rPr>
          <w:i/>
          <w:iCs/>
        </w:rPr>
        <w:t>ae</w:t>
      </w:r>
      <w:r w:rsidR="002E53B8">
        <w:t>, who is described as “</w:t>
      </w:r>
      <w:r w:rsidR="002E53B8">
        <w:rPr>
          <w:i/>
          <w:iCs/>
        </w:rPr>
        <w:t>puer vetulus, lippus, domino Trimalchione deformior</w:t>
      </w:r>
      <w:r w:rsidR="002E53B8">
        <w:t xml:space="preserve">.” The boy’s face and eyes make him a strange choice for a sexual pet, but more noteworthy is how he is compared to Trimalchio as “more deformed.” To this point, baldness has been the only physical characteristic of the freedman mentioned. Now, by the literary device of preterition, the first such device employed in the episode, Encolpius indirectly announces Trimalchio’s physical unattractiveness. </w:t>
      </w:r>
      <w:r w:rsidR="00722962">
        <w:t xml:space="preserve">His appearance prompts the broader narrative question of why Petronius would </w:t>
      </w:r>
      <w:r w:rsidR="001A56E7">
        <w:t>create</w:t>
      </w:r>
      <w:r w:rsidR="00722962">
        <w:t xml:space="preserve"> such a </w:t>
      </w:r>
      <w:r w:rsidR="001A56E7">
        <w:t>revolt</w:t>
      </w:r>
      <w:r w:rsidR="00722962">
        <w:t>ing character</w:t>
      </w:r>
      <w:r w:rsidR="001A56E7">
        <w:t xml:space="preserve"> in the first place</w:t>
      </w:r>
      <w:r w:rsidR="00722962">
        <w:t xml:space="preserve">. Recalling the goals of Petronius mentioned </w:t>
      </w:r>
      <w:r w:rsidR="00722962">
        <w:lastRenderedPageBreak/>
        <w:t xml:space="preserve">earlier, it follows that, in satirizing the freedmen of his day, he chooses to make his main character </w:t>
      </w:r>
      <w:r w:rsidR="001A56E7">
        <w:t>repulsive</w:t>
      </w:r>
      <w:r w:rsidR="00722962">
        <w:t xml:space="preserve"> in every possible way, from his physical features down to every aspect of his behavior, as a comment on how despicable</w:t>
      </w:r>
      <w:r w:rsidR="001A56E7">
        <w:t xml:space="preserve"> the rich</w:t>
      </w:r>
      <w:r w:rsidR="00722962">
        <w:t xml:space="preserve"> freedmen seemed to him. As Trimalchio is carried away in his litter, he has a </w:t>
      </w:r>
      <w:r w:rsidR="00722962">
        <w:rPr>
          <w:i/>
          <w:iCs/>
        </w:rPr>
        <w:t>symphoniacus</w:t>
      </w:r>
      <w:r w:rsidR="00722962">
        <w:t xml:space="preserve"> sing for him on the entire journey home.</w:t>
      </w:r>
    </w:p>
    <w:p w14:paraId="2A3F7567" w14:textId="06B7B144" w:rsidR="00722962" w:rsidRDefault="00890253" w:rsidP="00293409">
      <w:pPr>
        <w:spacing w:line="480" w:lineRule="auto"/>
        <w:ind w:firstLine="720"/>
        <w:jc w:val="left"/>
      </w:pPr>
      <w:r>
        <w:t xml:space="preserve">The theme of </w:t>
      </w:r>
      <w:r>
        <w:rPr>
          <w:i/>
          <w:iCs/>
        </w:rPr>
        <w:t>admiratio</w:t>
      </w:r>
      <w:r>
        <w:t xml:space="preserve"> appears again at this point, in a reflective comment from the voice of Encolpius the protagonist: “</w:t>
      </w:r>
      <w:r>
        <w:rPr>
          <w:i/>
          <w:iCs/>
        </w:rPr>
        <w:t>Sequimur nos admiratione iam saturi</w:t>
      </w:r>
      <w:r>
        <w:t xml:space="preserve">.” The excesses of Trimalchio continue to generate a genuine wonder and admiration from Encolpius and companions. At this point there is no hint of the ironic overtones that, as mentioned earlier, Schmeling suggests are part of the group’s </w:t>
      </w:r>
      <w:r>
        <w:rPr>
          <w:i/>
          <w:iCs/>
        </w:rPr>
        <w:t>admiratio</w:t>
      </w:r>
      <w:r>
        <w:t>; they are</w:t>
      </w:r>
      <w:r w:rsidR="001A56E7">
        <w:t xml:space="preserve"> truly</w:t>
      </w:r>
      <w:r>
        <w:t xml:space="preserve"> enthralled by the man and the whole affair. </w:t>
      </w:r>
      <w:r w:rsidR="00773912">
        <w:t>As they arrive at the door, they see a curious sign: “</w:t>
      </w:r>
      <w:r w:rsidR="00773912" w:rsidRPr="00773912">
        <w:rPr>
          <w:i/>
          <w:iCs/>
        </w:rPr>
        <w:t>Quisquis servus sine dominico iussu foras exierit, accipiet plagas centum</w:t>
      </w:r>
      <w:r w:rsidR="00773912">
        <w:t>.”</w:t>
      </w:r>
      <w:r w:rsidR="002212C6">
        <w:t xml:space="preserve"> Schmeling, quoting Wallace-Hadrill (1994), suggests that the signs in Trimalchio’s house are deliberately intended to add to the persona he has created </w:t>
      </w:r>
      <w:r w:rsidR="001A56E7">
        <w:t>for</w:t>
      </w:r>
      <w:r w:rsidR="002212C6">
        <w:t xml:space="preserve"> himself. In this case, the first hint of what Schmeling calls “Trimalchio’s inconsistent policy toward his slaves, which veers from apparent cruelty to overindulgence</w:t>
      </w:r>
      <w:r w:rsidR="001A56E7">
        <w:t>,</w:t>
      </w:r>
      <w:r w:rsidR="002212C6">
        <w:t>”</w:t>
      </w:r>
      <w:r w:rsidR="002212C6">
        <w:rPr>
          <w:rStyle w:val="FootnoteReference"/>
        </w:rPr>
        <w:footnoteReference w:id="36"/>
      </w:r>
      <w:r w:rsidR="002212C6">
        <w:t xml:space="preserve"> is revealed. </w:t>
      </w:r>
      <w:r w:rsidR="00826F83">
        <w:t xml:space="preserve">In the doorway stands an </w:t>
      </w:r>
      <w:r w:rsidR="00826F83" w:rsidRPr="005C3DAB">
        <w:rPr>
          <w:i/>
          <w:iCs/>
        </w:rPr>
        <w:t>ostiarius</w:t>
      </w:r>
      <w:r w:rsidR="00826F83">
        <w:t xml:space="preserve">, who, like Trimalchio in the baths earlier, is described </w:t>
      </w:r>
      <w:r w:rsidR="001A56E7">
        <w:t xml:space="preserve">initially </w:t>
      </w:r>
      <w:r w:rsidR="00826F83">
        <w:t xml:space="preserve">not by his physical appearance, but by the bright colors he is wearing: in this case, the slave is wearing a green garment and a cherry-colored belt. It is difficult to </w:t>
      </w:r>
      <w:r w:rsidR="0086261A">
        <w:t>surmise</w:t>
      </w:r>
      <w:r w:rsidR="00826F83">
        <w:t xml:space="preserve"> why strong colors consistently are the first things that attract Encolpius’s attention. </w:t>
      </w:r>
      <w:r w:rsidR="005C3DAB">
        <w:t xml:space="preserve">He then notices what the </w:t>
      </w:r>
      <w:r w:rsidR="005C3DAB" w:rsidRPr="005C3DAB">
        <w:rPr>
          <w:i/>
          <w:iCs/>
        </w:rPr>
        <w:t>ostiarius</w:t>
      </w:r>
      <w:r w:rsidR="005C3DAB">
        <w:t xml:space="preserve"> is doing: washing peas in a silver dish, still another ostentatious display. The </w:t>
      </w:r>
      <w:r w:rsidR="0086261A">
        <w:t>show</w:t>
      </w:r>
      <w:r w:rsidR="005C3DAB">
        <w:t xml:space="preserve"> continues when the bird cage is spotted: it is the first item made of gold for the guests to see. In it is a talking magpie that greets the guests as they enter. Lawall </w:t>
      </w:r>
      <w:r w:rsidR="005C3DAB">
        <w:lastRenderedPageBreak/>
        <w:t xml:space="preserve">notes that both Pliny </w:t>
      </w:r>
      <w:r w:rsidR="005C3DAB">
        <w:rPr>
          <w:i/>
          <w:iCs/>
        </w:rPr>
        <w:t>Natural History</w:t>
      </w:r>
      <w:r w:rsidR="005C3DAB">
        <w:t xml:space="preserve"> 10.117-124 and Martial</w:t>
      </w:r>
      <w:r w:rsidR="005C3DAB">
        <w:rPr>
          <w:i/>
          <w:iCs/>
        </w:rPr>
        <w:t xml:space="preserve"> Epigrammata</w:t>
      </w:r>
      <w:r w:rsidR="005C3DAB">
        <w:t xml:space="preserve"> 7.87.6 mention talking magpies, so this is not an oddity unique to Trimalchio. </w:t>
      </w:r>
    </w:p>
    <w:p w14:paraId="782BC479" w14:textId="5756BE7A" w:rsidR="005C3DAB" w:rsidRPr="005C3DAB" w:rsidRDefault="005C3DAB" w:rsidP="00293409">
      <w:pPr>
        <w:spacing w:line="480" w:lineRule="auto"/>
        <w:ind w:firstLine="720"/>
        <w:jc w:val="left"/>
      </w:pPr>
      <w:r>
        <w:t xml:space="preserve">A transition to the next action is begun with </w:t>
      </w:r>
      <w:r>
        <w:rPr>
          <w:i/>
          <w:iCs/>
        </w:rPr>
        <w:t>Ceterum</w:t>
      </w:r>
      <w:r>
        <w:t xml:space="preserve"> to begin Chapter 29, where again the theme of </w:t>
      </w:r>
      <w:r>
        <w:rPr>
          <w:i/>
          <w:iCs/>
        </w:rPr>
        <w:t xml:space="preserve">admiratio </w:t>
      </w:r>
      <w:r>
        <w:t xml:space="preserve">is present with the verb </w:t>
      </w:r>
      <w:r>
        <w:rPr>
          <w:i/>
          <w:iCs/>
        </w:rPr>
        <w:t>stupeo</w:t>
      </w:r>
      <w:r>
        <w:t>, this time with the</w:t>
      </w:r>
      <w:r w:rsidR="0086261A">
        <w:t xml:space="preserve"> collective</w:t>
      </w:r>
      <w:r>
        <w:t xml:space="preserve"> object </w:t>
      </w:r>
      <w:r>
        <w:rPr>
          <w:i/>
          <w:iCs/>
        </w:rPr>
        <w:t>omnia</w:t>
      </w:r>
      <w:r>
        <w:t xml:space="preserve">, giving a general picture of events rather than the singular one </w:t>
      </w:r>
      <w:r w:rsidR="006F06E9">
        <w:t xml:space="preserve">that Encolpius emphasized while in the baths. The shift in action does not alter the </w:t>
      </w:r>
      <w:r w:rsidR="0086261A">
        <w:t>pattern</w:t>
      </w:r>
      <w:r w:rsidR="006F06E9">
        <w:t xml:space="preserve"> of bizarre extravagance and more bizarre behavior that has been firmly established in these early chapters. </w:t>
      </w:r>
    </w:p>
    <w:p w14:paraId="5831FA88" w14:textId="685EA6D9" w:rsidR="008467E6" w:rsidRDefault="008467E6" w:rsidP="00F83E14">
      <w:pPr>
        <w:spacing w:line="480" w:lineRule="auto"/>
        <w:jc w:val="left"/>
      </w:pPr>
    </w:p>
    <w:p w14:paraId="1233B9DD" w14:textId="656DFD65" w:rsidR="0086261A" w:rsidRDefault="0086261A" w:rsidP="00F83E14">
      <w:pPr>
        <w:spacing w:line="480" w:lineRule="auto"/>
        <w:jc w:val="left"/>
      </w:pPr>
    </w:p>
    <w:p w14:paraId="479EE8AD" w14:textId="36511EA6" w:rsidR="0086261A" w:rsidRDefault="0086261A" w:rsidP="00F83E14">
      <w:pPr>
        <w:spacing w:line="480" w:lineRule="auto"/>
        <w:jc w:val="left"/>
      </w:pPr>
    </w:p>
    <w:p w14:paraId="61118C10" w14:textId="79371FC5" w:rsidR="0086261A" w:rsidRDefault="0086261A" w:rsidP="00F83E14">
      <w:pPr>
        <w:spacing w:line="480" w:lineRule="auto"/>
        <w:jc w:val="left"/>
      </w:pPr>
    </w:p>
    <w:p w14:paraId="52CAC03A" w14:textId="473D4E0E" w:rsidR="0086261A" w:rsidRDefault="0086261A" w:rsidP="00F83E14">
      <w:pPr>
        <w:spacing w:line="480" w:lineRule="auto"/>
        <w:jc w:val="left"/>
      </w:pPr>
    </w:p>
    <w:p w14:paraId="15E858E3" w14:textId="0DA6C23A" w:rsidR="0086261A" w:rsidRDefault="0086261A" w:rsidP="00F83E14">
      <w:pPr>
        <w:spacing w:line="480" w:lineRule="auto"/>
        <w:jc w:val="left"/>
      </w:pPr>
    </w:p>
    <w:p w14:paraId="3227984A" w14:textId="340A2C78" w:rsidR="0086261A" w:rsidRDefault="0086261A" w:rsidP="00F83E14">
      <w:pPr>
        <w:spacing w:line="480" w:lineRule="auto"/>
        <w:jc w:val="left"/>
      </w:pPr>
    </w:p>
    <w:p w14:paraId="0558CC6B" w14:textId="3AA6C9A9" w:rsidR="0086261A" w:rsidRDefault="0086261A" w:rsidP="00F83E14">
      <w:pPr>
        <w:spacing w:line="480" w:lineRule="auto"/>
        <w:jc w:val="left"/>
      </w:pPr>
    </w:p>
    <w:p w14:paraId="2B93395A" w14:textId="4A0C0D2F" w:rsidR="0086261A" w:rsidRDefault="0086261A" w:rsidP="00F83E14">
      <w:pPr>
        <w:spacing w:line="480" w:lineRule="auto"/>
        <w:jc w:val="left"/>
      </w:pPr>
    </w:p>
    <w:p w14:paraId="4B629599" w14:textId="2011DA09" w:rsidR="0086261A" w:rsidRDefault="0086261A" w:rsidP="00F83E14">
      <w:pPr>
        <w:spacing w:line="480" w:lineRule="auto"/>
        <w:jc w:val="left"/>
      </w:pPr>
    </w:p>
    <w:p w14:paraId="67E661BC" w14:textId="0C405AAB" w:rsidR="0086261A" w:rsidRDefault="0086261A" w:rsidP="00F83E14">
      <w:pPr>
        <w:spacing w:line="480" w:lineRule="auto"/>
        <w:jc w:val="left"/>
      </w:pPr>
    </w:p>
    <w:p w14:paraId="1BE2FEC8" w14:textId="6E54FC05" w:rsidR="0086261A" w:rsidRDefault="0086261A" w:rsidP="00F83E14">
      <w:pPr>
        <w:spacing w:line="480" w:lineRule="auto"/>
        <w:jc w:val="left"/>
      </w:pPr>
    </w:p>
    <w:p w14:paraId="4D5542F4" w14:textId="5AF65D49" w:rsidR="0086261A" w:rsidRDefault="0086261A" w:rsidP="00F83E14">
      <w:pPr>
        <w:spacing w:line="480" w:lineRule="auto"/>
        <w:jc w:val="left"/>
      </w:pPr>
    </w:p>
    <w:p w14:paraId="3865A0C6" w14:textId="2DD58AF2" w:rsidR="0086261A" w:rsidRDefault="0086261A" w:rsidP="00F83E14">
      <w:pPr>
        <w:spacing w:line="480" w:lineRule="auto"/>
        <w:jc w:val="left"/>
      </w:pPr>
    </w:p>
    <w:p w14:paraId="74403689" w14:textId="5E7910B1" w:rsidR="0086261A" w:rsidRDefault="0086261A" w:rsidP="00F83E14">
      <w:pPr>
        <w:spacing w:line="480" w:lineRule="auto"/>
        <w:jc w:val="left"/>
      </w:pPr>
    </w:p>
    <w:p w14:paraId="658237EE" w14:textId="77777777" w:rsidR="0086261A" w:rsidRPr="008467E6" w:rsidRDefault="0086261A" w:rsidP="00F83E14">
      <w:pPr>
        <w:spacing w:line="480" w:lineRule="auto"/>
        <w:jc w:val="left"/>
      </w:pPr>
    </w:p>
    <w:p w14:paraId="54584D58" w14:textId="4586CEB5" w:rsidR="00180189" w:rsidRDefault="00180189" w:rsidP="0086261A">
      <w:pPr>
        <w:spacing w:line="480" w:lineRule="auto"/>
      </w:pPr>
      <w:r>
        <w:lastRenderedPageBreak/>
        <w:t>Bibliography</w:t>
      </w:r>
    </w:p>
    <w:p w14:paraId="5FB4D031" w14:textId="57A4BDA0" w:rsidR="00746459" w:rsidRDefault="00746459" w:rsidP="00F83E14">
      <w:pPr>
        <w:spacing w:line="480" w:lineRule="auto"/>
        <w:jc w:val="left"/>
      </w:pPr>
      <w:r>
        <w:rPr>
          <w:u w:val="single"/>
        </w:rPr>
        <w:t>Primary Sources</w:t>
      </w:r>
    </w:p>
    <w:p w14:paraId="7CD5652B" w14:textId="71F743E0" w:rsidR="00746459" w:rsidRDefault="00746459" w:rsidP="00F83E14">
      <w:pPr>
        <w:jc w:val="left"/>
      </w:pPr>
      <w:r>
        <w:t xml:space="preserve">Petronius. </w:t>
      </w:r>
      <w:r>
        <w:rPr>
          <w:i/>
          <w:iCs/>
        </w:rPr>
        <w:t>Satyric</w:t>
      </w:r>
      <w:r w:rsidR="00B60D12">
        <w:rPr>
          <w:i/>
          <w:iCs/>
        </w:rPr>
        <w:t>on</w:t>
      </w:r>
      <w:r>
        <w:t xml:space="preserve">, in Sedgwick, W. 1964. </w:t>
      </w:r>
      <w:r>
        <w:rPr>
          <w:i/>
          <w:iCs/>
        </w:rPr>
        <w:t>The Cena Trimalchionis of Petronius</w:t>
      </w:r>
      <w:r>
        <w:t xml:space="preserve">. Oxford: </w:t>
      </w:r>
    </w:p>
    <w:p w14:paraId="660B989C" w14:textId="35D62D1B" w:rsidR="00746459" w:rsidRDefault="00746459" w:rsidP="00F83E14">
      <w:pPr>
        <w:ind w:firstLine="720"/>
        <w:jc w:val="left"/>
      </w:pPr>
      <w:r>
        <w:t>The Clarendon Press.</w:t>
      </w:r>
    </w:p>
    <w:p w14:paraId="748D3607" w14:textId="77777777" w:rsidR="0086261A" w:rsidRDefault="0086261A" w:rsidP="00F83E14">
      <w:pPr>
        <w:ind w:firstLine="720"/>
        <w:jc w:val="left"/>
      </w:pPr>
    </w:p>
    <w:p w14:paraId="1F424D79" w14:textId="77777777" w:rsidR="00746459" w:rsidRPr="00746459" w:rsidRDefault="00746459" w:rsidP="00746459">
      <w:pPr>
        <w:jc w:val="left"/>
      </w:pPr>
    </w:p>
    <w:p w14:paraId="6C6E543B" w14:textId="19059D30" w:rsidR="00764F85" w:rsidRPr="00764F85" w:rsidRDefault="00746459" w:rsidP="00764F85">
      <w:pPr>
        <w:spacing w:line="480" w:lineRule="auto"/>
        <w:jc w:val="left"/>
        <w:rPr>
          <w:u w:val="single"/>
        </w:rPr>
      </w:pPr>
      <w:r>
        <w:rPr>
          <w:u w:val="single"/>
        </w:rPr>
        <w:t>Secondary Sources</w:t>
      </w:r>
    </w:p>
    <w:p w14:paraId="3567F3FF" w14:textId="77777777" w:rsidR="00764F85" w:rsidRDefault="00764F85" w:rsidP="00764F85">
      <w:pPr>
        <w:jc w:val="both"/>
        <w:rPr>
          <w:i/>
          <w:iCs/>
        </w:rPr>
      </w:pPr>
      <w:r>
        <w:t xml:space="preserve">Andreau, J. 2009. “Freedmen in the </w:t>
      </w:r>
      <w:r>
        <w:rPr>
          <w:i/>
          <w:iCs/>
        </w:rPr>
        <w:t>Satyrica</w:t>
      </w:r>
      <w:r>
        <w:t xml:space="preserve">,” in Prag, J. and Repath, I. (ed.), </w:t>
      </w:r>
      <w:r>
        <w:rPr>
          <w:i/>
          <w:iCs/>
        </w:rPr>
        <w:t xml:space="preserve">Petronius: </w:t>
      </w:r>
    </w:p>
    <w:p w14:paraId="6FEAAD42" w14:textId="6B155902" w:rsidR="00764F85" w:rsidRDefault="00764F85" w:rsidP="00293409">
      <w:pPr>
        <w:ind w:firstLine="720"/>
        <w:jc w:val="both"/>
      </w:pPr>
      <w:r>
        <w:rPr>
          <w:i/>
          <w:iCs/>
        </w:rPr>
        <w:t>A Handbook</w:t>
      </w:r>
      <w:r>
        <w:t>. London: Blackwell Publishing, Ltd.</w:t>
      </w:r>
    </w:p>
    <w:p w14:paraId="2D0487B5" w14:textId="77777777" w:rsidR="00293409" w:rsidRPr="00764F85" w:rsidRDefault="00293409" w:rsidP="00293409">
      <w:pPr>
        <w:ind w:firstLine="720"/>
        <w:jc w:val="both"/>
      </w:pPr>
    </w:p>
    <w:p w14:paraId="1FA4C65C" w14:textId="7215BE29" w:rsidR="00180189" w:rsidRDefault="00180189" w:rsidP="00180189">
      <w:pPr>
        <w:spacing w:line="480" w:lineRule="auto"/>
        <w:jc w:val="both"/>
      </w:pPr>
      <w:r>
        <w:t xml:space="preserve">Beck, R. 1975. “Encolpius at the </w:t>
      </w:r>
      <w:r>
        <w:rPr>
          <w:i/>
          <w:iCs/>
        </w:rPr>
        <w:t>Cena</w:t>
      </w:r>
      <w:r>
        <w:t xml:space="preserve">.” </w:t>
      </w:r>
      <w:r>
        <w:rPr>
          <w:i/>
          <w:iCs/>
        </w:rPr>
        <w:t>Phoenix</w:t>
      </w:r>
      <w:r>
        <w:t xml:space="preserve"> 29</w:t>
      </w:r>
      <w:r w:rsidR="00746459">
        <w:t>.</w:t>
      </w:r>
      <w:r>
        <w:t>3, 271-283.</w:t>
      </w:r>
    </w:p>
    <w:p w14:paraId="4C3011F9" w14:textId="77777777" w:rsidR="00F30F56" w:rsidRDefault="00F30F56" w:rsidP="00F30F56">
      <w:pPr>
        <w:jc w:val="left"/>
      </w:pPr>
      <w:r>
        <w:t>Horsfall, N. 1989. “’The Uses of Literacy’ and the ‘</w:t>
      </w:r>
      <w:r>
        <w:rPr>
          <w:i/>
          <w:iCs/>
        </w:rPr>
        <w:t>Cena Trimalchionis</w:t>
      </w:r>
      <w:r>
        <w:t xml:space="preserve">’:I.” </w:t>
      </w:r>
      <w:r>
        <w:rPr>
          <w:i/>
          <w:iCs/>
        </w:rPr>
        <w:t>Greece and Rome</w:t>
      </w:r>
      <w:r>
        <w:t xml:space="preserve"> </w:t>
      </w:r>
    </w:p>
    <w:p w14:paraId="472D2F84" w14:textId="6BC3A8D0" w:rsidR="00F30F56" w:rsidRDefault="00F30F56" w:rsidP="00F30F56">
      <w:pPr>
        <w:ind w:firstLine="720"/>
        <w:jc w:val="left"/>
      </w:pPr>
      <w:r>
        <w:t>36.1: 74-89.</w:t>
      </w:r>
    </w:p>
    <w:p w14:paraId="0D540800" w14:textId="77777777" w:rsidR="00F30F56" w:rsidRPr="00F30F56" w:rsidRDefault="00F30F56" w:rsidP="00F30F56">
      <w:pPr>
        <w:jc w:val="left"/>
      </w:pPr>
    </w:p>
    <w:p w14:paraId="445D03DF" w14:textId="77777777" w:rsidR="00746459" w:rsidRDefault="00746459" w:rsidP="00746459">
      <w:pPr>
        <w:jc w:val="both"/>
      </w:pPr>
      <w:r>
        <w:t xml:space="preserve">Lawall, G. 2011. </w:t>
      </w:r>
      <w:r>
        <w:rPr>
          <w:i/>
          <w:iCs/>
        </w:rPr>
        <w:t>Petronius: Selections from the Satyricon</w:t>
      </w:r>
      <w:r>
        <w:t>. Mundelein, Illinois: Bolchazy-</w:t>
      </w:r>
    </w:p>
    <w:p w14:paraId="4F713076" w14:textId="5EFCC4D0" w:rsidR="00746459" w:rsidRDefault="00746459" w:rsidP="00F30F56">
      <w:pPr>
        <w:ind w:firstLine="720"/>
        <w:jc w:val="left"/>
      </w:pPr>
      <w:r>
        <w:t>Carducci Publishers, Inc.</w:t>
      </w:r>
    </w:p>
    <w:p w14:paraId="22174744" w14:textId="77777777" w:rsidR="00F30F56" w:rsidRDefault="00F30F56" w:rsidP="00F30F56">
      <w:pPr>
        <w:ind w:firstLine="720"/>
        <w:jc w:val="left"/>
      </w:pPr>
    </w:p>
    <w:p w14:paraId="65CEA12C" w14:textId="11A0F181" w:rsidR="00746459" w:rsidRDefault="00746459" w:rsidP="00746459">
      <w:pPr>
        <w:jc w:val="left"/>
      </w:pPr>
      <w:r>
        <w:t xml:space="preserve">Sedgwick, W. 1964. </w:t>
      </w:r>
      <w:r>
        <w:rPr>
          <w:i/>
          <w:iCs/>
        </w:rPr>
        <w:t>The Cena Trimalchionis of Petronius</w:t>
      </w:r>
      <w:r>
        <w:t>. Oxford: The Clarendon Press.</w:t>
      </w:r>
    </w:p>
    <w:p w14:paraId="665DA2D3" w14:textId="77777777" w:rsidR="00746459" w:rsidRDefault="00746459" w:rsidP="00746459">
      <w:pPr>
        <w:jc w:val="left"/>
      </w:pPr>
    </w:p>
    <w:p w14:paraId="0148AA26" w14:textId="77777777" w:rsidR="00746459" w:rsidRDefault="00430D86" w:rsidP="00746459">
      <w:pPr>
        <w:jc w:val="both"/>
      </w:pPr>
      <w:r>
        <w:t xml:space="preserve">Slater, N. 2009. “Reading the </w:t>
      </w:r>
      <w:r>
        <w:rPr>
          <w:i/>
          <w:iCs/>
        </w:rPr>
        <w:t>Satyrica</w:t>
      </w:r>
      <w:r>
        <w:t xml:space="preserve">,” in </w:t>
      </w:r>
      <w:r w:rsidR="00746459">
        <w:t xml:space="preserve">Prag, J. and Repath, I. (ed.), </w:t>
      </w:r>
      <w:r w:rsidR="00746459">
        <w:rPr>
          <w:i/>
          <w:iCs/>
        </w:rPr>
        <w:t>Petronius: A Handbook</w:t>
      </w:r>
      <w:r w:rsidR="00746459">
        <w:t xml:space="preserve">. </w:t>
      </w:r>
    </w:p>
    <w:p w14:paraId="112396D4" w14:textId="6F0A82CB" w:rsidR="00430D86" w:rsidRPr="00746459" w:rsidRDefault="00746459" w:rsidP="00746459">
      <w:pPr>
        <w:ind w:firstLine="720"/>
        <w:jc w:val="both"/>
      </w:pPr>
      <w:r>
        <w:t>London: Blackwell Publishing, Ltd.</w:t>
      </w:r>
    </w:p>
    <w:p w14:paraId="667C15CF" w14:textId="2DC86DA2" w:rsidR="00F802CA" w:rsidRDefault="00F802CA" w:rsidP="00F802CA">
      <w:pPr>
        <w:jc w:val="both"/>
        <w:rPr>
          <w:rFonts w:cs="Times New Roman"/>
        </w:rPr>
      </w:pPr>
    </w:p>
    <w:p w14:paraId="2DBAD4E3" w14:textId="77777777" w:rsidR="002212C6" w:rsidRDefault="002212C6" w:rsidP="00F802CA">
      <w:pPr>
        <w:jc w:val="both"/>
        <w:rPr>
          <w:rFonts w:cs="Times New Roman"/>
        </w:rPr>
      </w:pPr>
      <w:r>
        <w:rPr>
          <w:rFonts w:cs="Times New Roman"/>
        </w:rPr>
        <w:t xml:space="preserve">Wallace-Hadrill, A. 1994. </w:t>
      </w:r>
      <w:r>
        <w:rPr>
          <w:rFonts w:cs="Times New Roman"/>
          <w:i/>
          <w:iCs/>
        </w:rPr>
        <w:t>Houses and Society in Pompeii and Herculaneum</w:t>
      </w:r>
      <w:r>
        <w:rPr>
          <w:rFonts w:cs="Times New Roman"/>
        </w:rPr>
        <w:t xml:space="preserve">. Princeton, New </w:t>
      </w:r>
    </w:p>
    <w:p w14:paraId="7D229BDE" w14:textId="74459D92" w:rsidR="002212C6" w:rsidRPr="002212C6" w:rsidRDefault="002212C6" w:rsidP="002212C6">
      <w:pPr>
        <w:ind w:firstLine="720"/>
        <w:jc w:val="both"/>
        <w:rPr>
          <w:rFonts w:cs="Times New Roman"/>
        </w:rPr>
      </w:pPr>
      <w:r>
        <w:rPr>
          <w:rFonts w:cs="Times New Roman"/>
        </w:rPr>
        <w:t>Jersey: Princeton University Press.</w:t>
      </w:r>
    </w:p>
    <w:sectPr w:rsidR="002212C6" w:rsidRPr="002212C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874A8" w14:textId="77777777" w:rsidR="000525CE" w:rsidRDefault="000525CE" w:rsidP="000525CE">
      <w:r>
        <w:separator/>
      </w:r>
    </w:p>
  </w:endnote>
  <w:endnote w:type="continuationSeparator" w:id="0">
    <w:p w14:paraId="5A0E5601" w14:textId="77777777" w:rsidR="000525CE" w:rsidRDefault="000525CE" w:rsidP="0005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16CFF" w14:textId="77777777" w:rsidR="000525CE" w:rsidRDefault="000525CE" w:rsidP="000525CE">
      <w:r>
        <w:separator/>
      </w:r>
    </w:p>
  </w:footnote>
  <w:footnote w:type="continuationSeparator" w:id="0">
    <w:p w14:paraId="06F2607C" w14:textId="77777777" w:rsidR="000525CE" w:rsidRDefault="000525CE" w:rsidP="000525CE">
      <w:r>
        <w:continuationSeparator/>
      </w:r>
    </w:p>
  </w:footnote>
  <w:footnote w:id="1">
    <w:p w14:paraId="63EBA694" w14:textId="660AD30E" w:rsidR="008467E6" w:rsidRDefault="008467E6" w:rsidP="008467E6">
      <w:pPr>
        <w:pStyle w:val="FootnoteText"/>
        <w:jc w:val="left"/>
      </w:pPr>
      <w:r>
        <w:rPr>
          <w:rStyle w:val="FootnoteReference"/>
        </w:rPr>
        <w:footnoteRef/>
      </w:r>
      <w:r>
        <w:t xml:space="preserve"> Schm</w:t>
      </w:r>
      <w:r w:rsidR="00965557">
        <w:t>e</w:t>
      </w:r>
      <w:r>
        <w:t xml:space="preserve">ling 2011: </w:t>
      </w:r>
      <w:r w:rsidR="00430D86">
        <w:t>81.</w:t>
      </w:r>
    </w:p>
  </w:footnote>
  <w:footnote w:id="2">
    <w:p w14:paraId="5A34A760" w14:textId="17601F76" w:rsidR="00020028" w:rsidRDefault="00020028" w:rsidP="00020028">
      <w:pPr>
        <w:pStyle w:val="FootnoteText"/>
        <w:jc w:val="left"/>
      </w:pPr>
      <w:r>
        <w:rPr>
          <w:rStyle w:val="FootnoteReference"/>
        </w:rPr>
        <w:footnoteRef/>
      </w:r>
      <w:r>
        <w:t xml:space="preserve"> Lawall 2011: 19</w:t>
      </w:r>
      <w:r w:rsidR="0070336A">
        <w:t>.</w:t>
      </w:r>
    </w:p>
  </w:footnote>
  <w:footnote w:id="3">
    <w:p w14:paraId="29940AD0" w14:textId="64BC31B6" w:rsidR="00965557" w:rsidRDefault="00965557" w:rsidP="00965557">
      <w:pPr>
        <w:pStyle w:val="FootnoteText"/>
        <w:jc w:val="both"/>
      </w:pPr>
      <w:r>
        <w:rPr>
          <w:rStyle w:val="FootnoteReference"/>
        </w:rPr>
        <w:footnoteRef/>
      </w:r>
      <w:r>
        <w:t xml:space="preserve"> Schmeling 2011: </w:t>
      </w:r>
      <w:r w:rsidR="00430D86">
        <w:t>85.</w:t>
      </w:r>
    </w:p>
  </w:footnote>
  <w:footnote w:id="4">
    <w:p w14:paraId="5C786401" w14:textId="58A0B7BC" w:rsidR="00A302FF" w:rsidRDefault="00A302FF" w:rsidP="00A302FF">
      <w:pPr>
        <w:pStyle w:val="FootnoteText"/>
        <w:jc w:val="left"/>
      </w:pPr>
      <w:r>
        <w:rPr>
          <w:rStyle w:val="FootnoteReference"/>
        </w:rPr>
        <w:footnoteRef/>
      </w:r>
      <w:r>
        <w:t xml:space="preserve"> Lawall 2011: ii.</w:t>
      </w:r>
    </w:p>
  </w:footnote>
  <w:footnote w:id="5">
    <w:p w14:paraId="0250A2F1" w14:textId="7626365B" w:rsidR="00686830" w:rsidRDefault="00686830" w:rsidP="00686830">
      <w:pPr>
        <w:pStyle w:val="FootnoteText"/>
        <w:jc w:val="left"/>
      </w:pPr>
      <w:r>
        <w:rPr>
          <w:rStyle w:val="FootnoteReference"/>
        </w:rPr>
        <w:footnoteRef/>
      </w:r>
      <w:r>
        <w:t xml:space="preserve"> Beck 1975: 271.</w:t>
      </w:r>
    </w:p>
  </w:footnote>
  <w:footnote w:id="6">
    <w:p w14:paraId="43C9B691" w14:textId="55ED9FBB" w:rsidR="00430D86" w:rsidRDefault="00430D86" w:rsidP="00430D86">
      <w:pPr>
        <w:pStyle w:val="FootnoteText"/>
        <w:jc w:val="left"/>
      </w:pPr>
      <w:r>
        <w:rPr>
          <w:rStyle w:val="FootnoteReference"/>
        </w:rPr>
        <w:footnoteRef/>
      </w:r>
      <w:r>
        <w:t xml:space="preserve"> Slater 2009: 23-24.</w:t>
      </w:r>
    </w:p>
  </w:footnote>
  <w:footnote w:id="7">
    <w:p w14:paraId="00BA5F4B" w14:textId="0F582B83" w:rsidR="00592849" w:rsidRDefault="00592849" w:rsidP="00592849">
      <w:pPr>
        <w:pStyle w:val="FootnoteText"/>
        <w:jc w:val="left"/>
      </w:pPr>
      <w:r>
        <w:rPr>
          <w:rStyle w:val="FootnoteReference"/>
        </w:rPr>
        <w:footnoteRef/>
      </w:r>
      <w:r>
        <w:t xml:space="preserve"> Ibid., 272. </w:t>
      </w:r>
    </w:p>
  </w:footnote>
  <w:footnote w:id="8">
    <w:p w14:paraId="661D99B8" w14:textId="0A2B9179" w:rsidR="00F30F56" w:rsidRDefault="00F30F56" w:rsidP="00F30F56">
      <w:pPr>
        <w:pStyle w:val="FootnoteText"/>
        <w:jc w:val="left"/>
      </w:pPr>
      <w:r>
        <w:rPr>
          <w:rStyle w:val="FootnoteReference"/>
        </w:rPr>
        <w:footnoteRef/>
      </w:r>
      <w:r>
        <w:t xml:space="preserve"> Horsfall 1989: 74-75.</w:t>
      </w:r>
    </w:p>
  </w:footnote>
  <w:footnote w:id="9">
    <w:p w14:paraId="2C67CC08" w14:textId="1F6F5B3A" w:rsidR="004F4792" w:rsidRDefault="004F4792" w:rsidP="004F4792">
      <w:pPr>
        <w:pStyle w:val="FootnoteText"/>
        <w:jc w:val="left"/>
      </w:pPr>
      <w:r>
        <w:rPr>
          <w:rStyle w:val="FootnoteReference"/>
        </w:rPr>
        <w:footnoteRef/>
      </w:r>
      <w:r>
        <w:t xml:space="preserve"> Ibid., 76.</w:t>
      </w:r>
    </w:p>
  </w:footnote>
  <w:footnote w:id="10">
    <w:p w14:paraId="6733A5E8" w14:textId="77777777" w:rsidR="00AB32A8" w:rsidRDefault="00AB32A8" w:rsidP="00AB32A8">
      <w:pPr>
        <w:pStyle w:val="FootnoteText"/>
        <w:jc w:val="left"/>
      </w:pPr>
      <w:r>
        <w:rPr>
          <w:rStyle w:val="FootnoteReference"/>
        </w:rPr>
        <w:footnoteRef/>
      </w:r>
      <w:r>
        <w:t xml:space="preserve"> Ibid., 280.</w:t>
      </w:r>
    </w:p>
  </w:footnote>
  <w:footnote w:id="11">
    <w:p w14:paraId="68C53244" w14:textId="3E1A2980" w:rsidR="002262F5" w:rsidRDefault="002262F5" w:rsidP="002262F5">
      <w:pPr>
        <w:pStyle w:val="FootnoteText"/>
        <w:jc w:val="left"/>
      </w:pPr>
      <w:r>
        <w:rPr>
          <w:rStyle w:val="FootnoteReference"/>
        </w:rPr>
        <w:footnoteRef/>
      </w:r>
      <w:r>
        <w:t xml:space="preserve"> Schmeling 2011: </w:t>
      </w:r>
      <w:r w:rsidR="00F30F56">
        <w:t>86.</w:t>
      </w:r>
    </w:p>
  </w:footnote>
  <w:footnote w:id="12">
    <w:p w14:paraId="1A857DF3" w14:textId="049317CD" w:rsidR="002262F5" w:rsidRPr="002262F5" w:rsidRDefault="002262F5" w:rsidP="002262F5">
      <w:pPr>
        <w:pStyle w:val="FootnoteText"/>
        <w:jc w:val="left"/>
        <w:rPr>
          <w:rFonts w:cs="Times New Roman"/>
        </w:rPr>
      </w:pPr>
      <w:r>
        <w:rPr>
          <w:rStyle w:val="FootnoteReference"/>
        </w:rPr>
        <w:footnoteRef/>
      </w:r>
      <w:r>
        <w:t xml:space="preserve"> </w:t>
      </w:r>
      <w:r>
        <w:rPr>
          <w:i/>
          <w:iCs/>
        </w:rPr>
        <w:t>Satyricon</w:t>
      </w:r>
      <w:r>
        <w:t xml:space="preserve"> 34.1: “</w:t>
      </w:r>
      <w:r w:rsidRPr="003241C9">
        <w:rPr>
          <w:rFonts w:cs="Times New Roman"/>
          <w:i/>
          <w:iCs/>
          <w:shd w:val="clear" w:color="auto" w:fill="FFFFFF"/>
        </w:rPr>
        <w:t>Iam Trimalchio eadem omnia lusu intermisso poposcerat</w:t>
      </w:r>
      <w:r w:rsidR="003241C9" w:rsidRPr="003241C9">
        <w:rPr>
          <w:rFonts w:cs="Times New Roman"/>
          <w:i/>
          <w:iCs/>
          <w:shd w:val="clear" w:color="auto" w:fill="FFFFFF"/>
        </w:rPr>
        <w:t>…</w:t>
      </w:r>
      <w:r w:rsidRPr="003241C9">
        <w:rPr>
          <w:rFonts w:cs="Times New Roman"/>
          <w:i/>
          <w:iCs/>
          <w:shd w:val="clear" w:color="auto" w:fill="FFFFFF"/>
        </w:rPr>
        <w:t>cum subito signum symphonia datur</w:t>
      </w:r>
      <w:r w:rsidR="003241C9" w:rsidRPr="003241C9">
        <w:rPr>
          <w:rFonts w:cs="Times New Roman"/>
          <w:i/>
          <w:iCs/>
          <w:shd w:val="clear" w:color="auto" w:fill="FFFFFF"/>
        </w:rPr>
        <w:t>.</w:t>
      </w:r>
      <w:r w:rsidR="003241C9">
        <w:rPr>
          <w:rFonts w:cs="Times New Roman"/>
          <w:shd w:val="clear" w:color="auto" w:fill="FFFFFF"/>
        </w:rPr>
        <w:t>”</w:t>
      </w:r>
      <w:r w:rsidR="0090355E">
        <w:rPr>
          <w:rFonts w:cs="Times New Roman"/>
          <w:shd w:val="clear" w:color="auto" w:fill="FFFFFF"/>
        </w:rPr>
        <w:t xml:space="preserve"> Both </w:t>
      </w:r>
    </w:p>
  </w:footnote>
  <w:footnote w:id="13">
    <w:p w14:paraId="60B82485" w14:textId="635DE393" w:rsidR="005172FC" w:rsidRDefault="005172FC" w:rsidP="005172FC">
      <w:pPr>
        <w:pStyle w:val="FootnoteText"/>
        <w:jc w:val="left"/>
      </w:pPr>
      <w:r>
        <w:rPr>
          <w:rStyle w:val="FootnoteReference"/>
        </w:rPr>
        <w:footnoteRef/>
      </w:r>
      <w:r>
        <w:t xml:space="preserve"> Lawall 2011: 23 and Schmeling 2011: </w:t>
      </w:r>
    </w:p>
  </w:footnote>
  <w:footnote w:id="14">
    <w:p w14:paraId="2FE93C1D" w14:textId="74F6372F" w:rsidR="005172FC" w:rsidRDefault="005172FC" w:rsidP="005172FC">
      <w:pPr>
        <w:pStyle w:val="FootnoteText"/>
        <w:jc w:val="left"/>
      </w:pPr>
      <w:r>
        <w:rPr>
          <w:rStyle w:val="FootnoteReference"/>
        </w:rPr>
        <w:footnoteRef/>
      </w:r>
      <w:r>
        <w:t xml:space="preserve"> Sedg</w:t>
      </w:r>
      <w:r w:rsidR="00FB2EC7">
        <w:t>wick 1964: 88.</w:t>
      </w:r>
    </w:p>
  </w:footnote>
  <w:footnote w:id="15">
    <w:p w14:paraId="67720C9C" w14:textId="67B60797" w:rsidR="005D5A19" w:rsidRDefault="005D5A19" w:rsidP="005D5A19">
      <w:pPr>
        <w:pStyle w:val="FootnoteText"/>
        <w:jc w:val="left"/>
      </w:pPr>
      <w:r>
        <w:rPr>
          <w:rStyle w:val="FootnoteReference"/>
        </w:rPr>
        <w:footnoteRef/>
      </w:r>
      <w:r>
        <w:t xml:space="preserve"> Schmeling 2011: </w:t>
      </w:r>
      <w:r w:rsidR="00F83E14">
        <w:t>88.</w:t>
      </w:r>
    </w:p>
  </w:footnote>
  <w:footnote w:id="16">
    <w:p w14:paraId="37EEE0BA" w14:textId="766177CF" w:rsidR="00FB2EC7" w:rsidRDefault="00FB2EC7" w:rsidP="00FB2EC7">
      <w:pPr>
        <w:pStyle w:val="FootnoteText"/>
        <w:jc w:val="left"/>
      </w:pPr>
      <w:r>
        <w:rPr>
          <w:rStyle w:val="FootnoteReference"/>
        </w:rPr>
        <w:footnoteRef/>
      </w:r>
      <w:r>
        <w:t xml:space="preserve"> Lawall 2011: 23 and Schmeling 2011:</w:t>
      </w:r>
      <w:r w:rsidR="002C0DCA">
        <w:t xml:space="preserve"> 87.</w:t>
      </w:r>
    </w:p>
  </w:footnote>
  <w:footnote w:id="17">
    <w:p w14:paraId="39BA8C51" w14:textId="7BB827E2" w:rsidR="002C0DCA" w:rsidRDefault="002C0DCA" w:rsidP="002C0DCA">
      <w:pPr>
        <w:pStyle w:val="FootnoteText"/>
        <w:jc w:val="left"/>
      </w:pPr>
      <w:r>
        <w:rPr>
          <w:rStyle w:val="FootnoteReference"/>
        </w:rPr>
        <w:footnoteRef/>
      </w:r>
      <w:r>
        <w:t xml:space="preserve"> Schmeling 2011: 88.</w:t>
      </w:r>
    </w:p>
  </w:footnote>
  <w:footnote w:id="18">
    <w:p w14:paraId="39DF374C" w14:textId="7638F5DD" w:rsidR="002C0DCA" w:rsidRDefault="002C0DCA" w:rsidP="002C0DCA">
      <w:pPr>
        <w:pStyle w:val="FootnoteText"/>
        <w:jc w:val="left"/>
      </w:pPr>
      <w:r>
        <w:rPr>
          <w:rStyle w:val="FootnoteReference"/>
        </w:rPr>
        <w:footnoteRef/>
      </w:r>
      <w:r>
        <w:t xml:space="preserve"> Lawall 2011: 25 and Schmeling 2011: 88.</w:t>
      </w:r>
    </w:p>
  </w:footnote>
  <w:footnote w:id="19">
    <w:p w14:paraId="37273D08" w14:textId="224ADE37" w:rsidR="000B7AE2" w:rsidRDefault="000B7AE2" w:rsidP="000B7AE2">
      <w:pPr>
        <w:pStyle w:val="FootnoteText"/>
        <w:jc w:val="left"/>
      </w:pPr>
      <w:r>
        <w:rPr>
          <w:rStyle w:val="FootnoteReference"/>
        </w:rPr>
        <w:footnoteRef/>
      </w:r>
      <w:r>
        <w:t xml:space="preserve"> Sedgwick </w:t>
      </w:r>
      <w:r w:rsidR="000E049F">
        <w:t>1964: 87.</w:t>
      </w:r>
    </w:p>
  </w:footnote>
  <w:footnote w:id="20">
    <w:p w14:paraId="443A0A48" w14:textId="20EB7D80" w:rsidR="00F83E14" w:rsidRDefault="00F83E14" w:rsidP="00F83E14">
      <w:pPr>
        <w:pStyle w:val="FootnoteText"/>
        <w:jc w:val="left"/>
      </w:pPr>
      <w:r>
        <w:rPr>
          <w:rStyle w:val="FootnoteReference"/>
        </w:rPr>
        <w:footnoteRef/>
      </w:r>
      <w:r>
        <w:t xml:space="preserve"> Schmeling 2011: 88.</w:t>
      </w:r>
    </w:p>
  </w:footnote>
  <w:footnote w:id="21">
    <w:p w14:paraId="08A1AAC5" w14:textId="1DA8F32D" w:rsidR="000A27D7" w:rsidRDefault="000A27D7" w:rsidP="000A27D7">
      <w:pPr>
        <w:pStyle w:val="FootnoteText"/>
        <w:jc w:val="left"/>
      </w:pPr>
      <w:r>
        <w:rPr>
          <w:rStyle w:val="FootnoteReference"/>
        </w:rPr>
        <w:footnoteRef/>
      </w:r>
      <w:r>
        <w:t xml:space="preserve"> Ibid., 84.</w:t>
      </w:r>
    </w:p>
  </w:footnote>
  <w:footnote w:id="22">
    <w:p w14:paraId="61B07126" w14:textId="280949E0" w:rsidR="00460F06" w:rsidRDefault="00460F06" w:rsidP="00460F06">
      <w:pPr>
        <w:pStyle w:val="FootnoteText"/>
        <w:jc w:val="left"/>
      </w:pPr>
      <w:r>
        <w:rPr>
          <w:rStyle w:val="FootnoteReference"/>
        </w:rPr>
        <w:footnoteRef/>
      </w:r>
      <w:r>
        <w:t xml:space="preserve"> Beck 1975: 275.</w:t>
      </w:r>
    </w:p>
  </w:footnote>
  <w:footnote w:id="23">
    <w:p w14:paraId="1188B81A" w14:textId="6BB41B7E" w:rsidR="00460F06" w:rsidRDefault="00460F06" w:rsidP="00460F06">
      <w:pPr>
        <w:pStyle w:val="FootnoteText"/>
        <w:jc w:val="left"/>
      </w:pPr>
      <w:r>
        <w:rPr>
          <w:rStyle w:val="FootnoteReference"/>
        </w:rPr>
        <w:footnoteRef/>
      </w:r>
      <w:r>
        <w:t xml:space="preserve"> Ibid.</w:t>
      </w:r>
    </w:p>
  </w:footnote>
  <w:footnote w:id="24">
    <w:p w14:paraId="517B47E8" w14:textId="2489FF7B" w:rsidR="00293409" w:rsidRDefault="00293409" w:rsidP="00293409">
      <w:pPr>
        <w:pStyle w:val="FootnoteText"/>
        <w:jc w:val="left"/>
      </w:pPr>
      <w:r>
        <w:rPr>
          <w:rStyle w:val="FootnoteReference"/>
        </w:rPr>
        <w:footnoteRef/>
      </w:r>
      <w:r>
        <w:t xml:space="preserve"> Sedgwick 1964: 87.</w:t>
      </w:r>
    </w:p>
  </w:footnote>
  <w:footnote w:id="25">
    <w:p w14:paraId="39E4F0CF" w14:textId="687CD5FB" w:rsidR="00306CFA" w:rsidRDefault="00306CFA" w:rsidP="00306CFA">
      <w:pPr>
        <w:pStyle w:val="FootnoteText"/>
        <w:jc w:val="left"/>
      </w:pPr>
      <w:r>
        <w:rPr>
          <w:rStyle w:val="FootnoteReference"/>
        </w:rPr>
        <w:footnoteRef/>
      </w:r>
      <w:r>
        <w:t xml:space="preserve"> Andreau 2009: 115-116.</w:t>
      </w:r>
    </w:p>
  </w:footnote>
  <w:footnote w:id="26">
    <w:p w14:paraId="24FBF74B" w14:textId="4A552590" w:rsidR="00554ADF" w:rsidRDefault="00554ADF" w:rsidP="00554ADF">
      <w:pPr>
        <w:pStyle w:val="FootnoteText"/>
        <w:jc w:val="left"/>
      </w:pPr>
      <w:r>
        <w:rPr>
          <w:rStyle w:val="FootnoteReference"/>
        </w:rPr>
        <w:footnoteRef/>
      </w:r>
      <w:r>
        <w:t xml:space="preserve"> Ibid., 116. </w:t>
      </w:r>
    </w:p>
  </w:footnote>
  <w:footnote w:id="27">
    <w:p w14:paraId="033FB950" w14:textId="162AF737" w:rsidR="00DB02E7" w:rsidRDefault="00DB02E7" w:rsidP="00DB02E7">
      <w:pPr>
        <w:pStyle w:val="FootnoteText"/>
        <w:jc w:val="left"/>
      </w:pPr>
      <w:r>
        <w:rPr>
          <w:rStyle w:val="FootnoteReference"/>
        </w:rPr>
        <w:footnoteRef/>
      </w:r>
      <w:r>
        <w:t xml:space="preserve"> Sed</w:t>
      </w:r>
    </w:p>
  </w:footnote>
  <w:footnote w:id="28">
    <w:p w14:paraId="68E54C6E" w14:textId="03A722B1" w:rsidR="0099341E" w:rsidRDefault="0099341E" w:rsidP="0099341E">
      <w:pPr>
        <w:pStyle w:val="FootnoteText"/>
        <w:jc w:val="left"/>
      </w:pPr>
      <w:r>
        <w:rPr>
          <w:rStyle w:val="FootnoteReference"/>
        </w:rPr>
        <w:footnoteRef/>
      </w:r>
      <w:r>
        <w:t xml:space="preserve"> Schmeling 2011: 90.</w:t>
      </w:r>
    </w:p>
  </w:footnote>
  <w:footnote w:id="29">
    <w:p w14:paraId="22D6F26A" w14:textId="42341AF2" w:rsidR="008845A7" w:rsidRDefault="008845A7" w:rsidP="008845A7">
      <w:pPr>
        <w:pStyle w:val="FootnoteText"/>
        <w:jc w:val="left"/>
      </w:pPr>
      <w:r>
        <w:rPr>
          <w:rStyle w:val="FootnoteReference"/>
        </w:rPr>
        <w:footnoteRef/>
      </w:r>
      <w:r>
        <w:t xml:space="preserve"> Ibid., 91.</w:t>
      </w:r>
    </w:p>
  </w:footnote>
  <w:footnote w:id="30">
    <w:p w14:paraId="7766BD8B" w14:textId="44AAA04A" w:rsidR="00FD32F7" w:rsidRDefault="00FD32F7" w:rsidP="00FD32F7">
      <w:pPr>
        <w:pStyle w:val="FootnoteText"/>
        <w:jc w:val="left"/>
      </w:pPr>
      <w:r>
        <w:rPr>
          <w:rStyle w:val="FootnoteReference"/>
        </w:rPr>
        <w:footnoteRef/>
      </w:r>
      <w:r>
        <w:t xml:space="preserve"> Lawall 2011: 29. </w:t>
      </w:r>
    </w:p>
  </w:footnote>
  <w:footnote w:id="31">
    <w:p w14:paraId="04BD7CF9" w14:textId="4DC29881" w:rsidR="00FF0FB9" w:rsidRDefault="00FF0FB9" w:rsidP="00FF0FB9">
      <w:pPr>
        <w:pStyle w:val="FootnoteText"/>
        <w:jc w:val="left"/>
      </w:pPr>
      <w:r>
        <w:rPr>
          <w:rStyle w:val="FootnoteReference"/>
        </w:rPr>
        <w:footnoteRef/>
      </w:r>
      <w:r>
        <w:t xml:space="preserve"> Schmeling 2011: 91. </w:t>
      </w:r>
    </w:p>
  </w:footnote>
  <w:footnote w:id="32">
    <w:p w14:paraId="0F5373DF" w14:textId="36349452" w:rsidR="00FE33D9" w:rsidRDefault="00FE33D9" w:rsidP="00FE33D9">
      <w:pPr>
        <w:pStyle w:val="FootnoteText"/>
        <w:jc w:val="left"/>
      </w:pPr>
      <w:r>
        <w:rPr>
          <w:rStyle w:val="FootnoteReference"/>
        </w:rPr>
        <w:footnoteRef/>
      </w:r>
      <w:r>
        <w:t xml:space="preserve"> Ibid., 91.</w:t>
      </w:r>
    </w:p>
  </w:footnote>
  <w:footnote w:id="33">
    <w:p w14:paraId="1631F2A1" w14:textId="6445FE94" w:rsidR="00404422" w:rsidRDefault="00404422" w:rsidP="00404422">
      <w:pPr>
        <w:pStyle w:val="FootnoteText"/>
        <w:jc w:val="left"/>
      </w:pPr>
      <w:r>
        <w:rPr>
          <w:rStyle w:val="FootnoteReference"/>
        </w:rPr>
        <w:footnoteRef/>
      </w:r>
      <w:r>
        <w:t xml:space="preserve"> Ibid.</w:t>
      </w:r>
    </w:p>
  </w:footnote>
  <w:footnote w:id="34">
    <w:p w14:paraId="5308AF11" w14:textId="17958A65" w:rsidR="002D01D9" w:rsidRDefault="002D01D9" w:rsidP="002D01D9">
      <w:pPr>
        <w:pStyle w:val="FootnoteText"/>
        <w:jc w:val="left"/>
      </w:pPr>
      <w:r>
        <w:rPr>
          <w:rStyle w:val="FootnoteReference"/>
        </w:rPr>
        <w:footnoteRef/>
      </w:r>
      <w:r>
        <w:t xml:space="preserve"> Ibid., 92.</w:t>
      </w:r>
    </w:p>
  </w:footnote>
  <w:footnote w:id="35">
    <w:p w14:paraId="037D5405" w14:textId="0378514D" w:rsidR="0011463A" w:rsidRDefault="0011463A" w:rsidP="0011463A">
      <w:pPr>
        <w:pStyle w:val="FootnoteText"/>
        <w:jc w:val="left"/>
      </w:pPr>
      <w:r>
        <w:rPr>
          <w:rStyle w:val="FootnoteReference"/>
        </w:rPr>
        <w:footnoteRef/>
      </w:r>
      <w:r>
        <w:t xml:space="preserve"> Lawall 2011: 31.</w:t>
      </w:r>
    </w:p>
  </w:footnote>
  <w:footnote w:id="36">
    <w:p w14:paraId="67B2E432" w14:textId="3E17382D" w:rsidR="002212C6" w:rsidRDefault="002212C6" w:rsidP="002212C6">
      <w:pPr>
        <w:pStyle w:val="FootnoteText"/>
        <w:jc w:val="left"/>
      </w:pPr>
      <w:r>
        <w:rPr>
          <w:rStyle w:val="FootnoteReference"/>
        </w:rPr>
        <w:footnoteRef/>
      </w:r>
      <w:r>
        <w:t xml:space="preserve"> Schmeling 2011: 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B6339" w14:textId="48B8E060" w:rsidR="00457837" w:rsidRPr="00457837" w:rsidRDefault="00457837" w:rsidP="00457837">
    <w:pPr>
      <w:pStyle w:val="Header"/>
      <w:jc w:val="right"/>
    </w:pPr>
    <w:r>
      <w:t xml:space="preserve">Commentary on the </w:t>
    </w:r>
    <w:r w:rsidR="006221F3">
      <w:rPr>
        <w:i/>
      </w:rPr>
      <w:t>Satyricon</w:t>
    </w:r>
    <w:r>
      <w:t xml:space="preserve"> </w:t>
    </w:r>
    <w:r>
      <w:fldChar w:fldCharType="begin"/>
    </w:r>
    <w:r>
      <w:instrText xml:space="preserve"> PAGE   \* MERGEFORMAT </w:instrText>
    </w:r>
    <w:r>
      <w:fldChar w:fldCharType="separate"/>
    </w:r>
    <w:r w:rsidR="00404422">
      <w:rPr>
        <w:noProof/>
      </w:rPr>
      <w:t>8</w:t>
    </w:r>
    <w:r>
      <w:rPr>
        <w:noProof/>
      </w:rPr>
      <w:fldChar w:fldCharType="end"/>
    </w:r>
  </w:p>
  <w:p w14:paraId="7A32EC16" w14:textId="77777777" w:rsidR="00457837" w:rsidRDefault="004578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13C"/>
    <w:rsid w:val="000024F7"/>
    <w:rsid w:val="00020028"/>
    <w:rsid w:val="00030473"/>
    <w:rsid w:val="000422C9"/>
    <w:rsid w:val="00047ACF"/>
    <w:rsid w:val="000525CE"/>
    <w:rsid w:val="000A27D7"/>
    <w:rsid w:val="000A3CC3"/>
    <w:rsid w:val="000B62EC"/>
    <w:rsid w:val="000B6EE3"/>
    <w:rsid w:val="000B7AE2"/>
    <w:rsid w:val="000C0B80"/>
    <w:rsid w:val="000E049F"/>
    <w:rsid w:val="001005B5"/>
    <w:rsid w:val="0010168B"/>
    <w:rsid w:val="0011463A"/>
    <w:rsid w:val="00180189"/>
    <w:rsid w:val="00196A3E"/>
    <w:rsid w:val="001A56E7"/>
    <w:rsid w:val="001B0902"/>
    <w:rsid w:val="002212C6"/>
    <w:rsid w:val="002262F5"/>
    <w:rsid w:val="00232601"/>
    <w:rsid w:val="00234C96"/>
    <w:rsid w:val="002743F9"/>
    <w:rsid w:val="00277B09"/>
    <w:rsid w:val="00282AB9"/>
    <w:rsid w:val="00293409"/>
    <w:rsid w:val="002A29DC"/>
    <w:rsid w:val="002B284D"/>
    <w:rsid w:val="002C0DCA"/>
    <w:rsid w:val="002C12CC"/>
    <w:rsid w:val="002C4799"/>
    <w:rsid w:val="002D01D9"/>
    <w:rsid w:val="002D7759"/>
    <w:rsid w:val="002E0DDF"/>
    <w:rsid w:val="002E53B8"/>
    <w:rsid w:val="002F4308"/>
    <w:rsid w:val="00306CFA"/>
    <w:rsid w:val="00307957"/>
    <w:rsid w:val="003241C9"/>
    <w:rsid w:val="00344015"/>
    <w:rsid w:val="0034652F"/>
    <w:rsid w:val="0037230D"/>
    <w:rsid w:val="003770BF"/>
    <w:rsid w:val="00381B43"/>
    <w:rsid w:val="003B27C7"/>
    <w:rsid w:val="003E342D"/>
    <w:rsid w:val="00404422"/>
    <w:rsid w:val="004072D6"/>
    <w:rsid w:val="00430D86"/>
    <w:rsid w:val="00442FC2"/>
    <w:rsid w:val="00456AF7"/>
    <w:rsid w:val="00457837"/>
    <w:rsid w:val="00460F06"/>
    <w:rsid w:val="00482F4E"/>
    <w:rsid w:val="004D6318"/>
    <w:rsid w:val="004D7998"/>
    <w:rsid w:val="004F4792"/>
    <w:rsid w:val="00513B4F"/>
    <w:rsid w:val="005172FC"/>
    <w:rsid w:val="00532034"/>
    <w:rsid w:val="00543BF8"/>
    <w:rsid w:val="00554ADF"/>
    <w:rsid w:val="00592849"/>
    <w:rsid w:val="005A14B8"/>
    <w:rsid w:val="005C3DAB"/>
    <w:rsid w:val="005C3F2D"/>
    <w:rsid w:val="005D3A2B"/>
    <w:rsid w:val="005D5A19"/>
    <w:rsid w:val="005F5A80"/>
    <w:rsid w:val="00604DF6"/>
    <w:rsid w:val="006221F3"/>
    <w:rsid w:val="00622350"/>
    <w:rsid w:val="0062610C"/>
    <w:rsid w:val="00633B3B"/>
    <w:rsid w:val="006430ED"/>
    <w:rsid w:val="00644DC2"/>
    <w:rsid w:val="00645527"/>
    <w:rsid w:val="006810AA"/>
    <w:rsid w:val="00686830"/>
    <w:rsid w:val="006B25CD"/>
    <w:rsid w:val="006C248B"/>
    <w:rsid w:val="006F06E9"/>
    <w:rsid w:val="0070336A"/>
    <w:rsid w:val="00722962"/>
    <w:rsid w:val="00746459"/>
    <w:rsid w:val="007548CE"/>
    <w:rsid w:val="00764F85"/>
    <w:rsid w:val="00773912"/>
    <w:rsid w:val="007B56F5"/>
    <w:rsid w:val="007C3870"/>
    <w:rsid w:val="00800262"/>
    <w:rsid w:val="00813A05"/>
    <w:rsid w:val="00813F83"/>
    <w:rsid w:val="00815FD7"/>
    <w:rsid w:val="00826F83"/>
    <w:rsid w:val="0082779A"/>
    <w:rsid w:val="00832BFA"/>
    <w:rsid w:val="008449F0"/>
    <w:rsid w:val="008467E6"/>
    <w:rsid w:val="00856588"/>
    <w:rsid w:val="0086261A"/>
    <w:rsid w:val="008845A7"/>
    <w:rsid w:val="00890253"/>
    <w:rsid w:val="00891707"/>
    <w:rsid w:val="00892D01"/>
    <w:rsid w:val="0090355E"/>
    <w:rsid w:val="009554BB"/>
    <w:rsid w:val="00965557"/>
    <w:rsid w:val="00977B6D"/>
    <w:rsid w:val="0099032A"/>
    <w:rsid w:val="0099341E"/>
    <w:rsid w:val="009F7FD3"/>
    <w:rsid w:val="00A02D62"/>
    <w:rsid w:val="00A1774A"/>
    <w:rsid w:val="00A302FF"/>
    <w:rsid w:val="00A47F47"/>
    <w:rsid w:val="00A6474F"/>
    <w:rsid w:val="00A80690"/>
    <w:rsid w:val="00AB32A8"/>
    <w:rsid w:val="00AB34E6"/>
    <w:rsid w:val="00AB5488"/>
    <w:rsid w:val="00AD7018"/>
    <w:rsid w:val="00AD778A"/>
    <w:rsid w:val="00B47EE6"/>
    <w:rsid w:val="00B60D12"/>
    <w:rsid w:val="00BC242B"/>
    <w:rsid w:val="00BC7E07"/>
    <w:rsid w:val="00BF634A"/>
    <w:rsid w:val="00C033EB"/>
    <w:rsid w:val="00C3013C"/>
    <w:rsid w:val="00C67096"/>
    <w:rsid w:val="00C80506"/>
    <w:rsid w:val="00C87F7D"/>
    <w:rsid w:val="00C925D8"/>
    <w:rsid w:val="00CD0BD5"/>
    <w:rsid w:val="00CE4894"/>
    <w:rsid w:val="00D439F2"/>
    <w:rsid w:val="00D53E91"/>
    <w:rsid w:val="00D66B24"/>
    <w:rsid w:val="00D711BA"/>
    <w:rsid w:val="00D9333D"/>
    <w:rsid w:val="00DB02E7"/>
    <w:rsid w:val="00DB0927"/>
    <w:rsid w:val="00DB3EA5"/>
    <w:rsid w:val="00E07BD4"/>
    <w:rsid w:val="00E531F3"/>
    <w:rsid w:val="00E54FF2"/>
    <w:rsid w:val="00E72B03"/>
    <w:rsid w:val="00EA4133"/>
    <w:rsid w:val="00F05D92"/>
    <w:rsid w:val="00F30F56"/>
    <w:rsid w:val="00F67DE3"/>
    <w:rsid w:val="00F72A96"/>
    <w:rsid w:val="00F802CA"/>
    <w:rsid w:val="00F83E14"/>
    <w:rsid w:val="00FB1915"/>
    <w:rsid w:val="00FB2EC7"/>
    <w:rsid w:val="00FC29DD"/>
    <w:rsid w:val="00FC4755"/>
    <w:rsid w:val="00FD32F7"/>
    <w:rsid w:val="00FE33D9"/>
    <w:rsid w:val="00FF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4E52"/>
  <w15:chartTrackingRefBased/>
  <w15:docId w15:val="{2D1248E3-01D4-4952-8E26-8843C93F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525CE"/>
    <w:rPr>
      <w:sz w:val="20"/>
      <w:szCs w:val="20"/>
    </w:rPr>
  </w:style>
  <w:style w:type="character" w:customStyle="1" w:styleId="FootnoteTextChar">
    <w:name w:val="Footnote Text Char"/>
    <w:basedOn w:val="DefaultParagraphFont"/>
    <w:link w:val="FootnoteText"/>
    <w:uiPriority w:val="99"/>
    <w:semiHidden/>
    <w:rsid w:val="000525CE"/>
    <w:rPr>
      <w:sz w:val="20"/>
      <w:szCs w:val="20"/>
    </w:rPr>
  </w:style>
  <w:style w:type="character" w:styleId="FootnoteReference">
    <w:name w:val="footnote reference"/>
    <w:basedOn w:val="DefaultParagraphFont"/>
    <w:uiPriority w:val="99"/>
    <w:semiHidden/>
    <w:unhideWhenUsed/>
    <w:rsid w:val="000525CE"/>
    <w:rPr>
      <w:vertAlign w:val="superscript"/>
    </w:rPr>
  </w:style>
  <w:style w:type="paragraph" w:styleId="Header">
    <w:name w:val="header"/>
    <w:basedOn w:val="Normal"/>
    <w:link w:val="HeaderChar"/>
    <w:uiPriority w:val="99"/>
    <w:unhideWhenUsed/>
    <w:rsid w:val="00457837"/>
    <w:pPr>
      <w:tabs>
        <w:tab w:val="center" w:pos="4680"/>
        <w:tab w:val="right" w:pos="9360"/>
      </w:tabs>
    </w:pPr>
  </w:style>
  <w:style w:type="character" w:customStyle="1" w:styleId="HeaderChar">
    <w:name w:val="Header Char"/>
    <w:basedOn w:val="DefaultParagraphFont"/>
    <w:link w:val="Header"/>
    <w:uiPriority w:val="99"/>
    <w:rsid w:val="00457837"/>
  </w:style>
  <w:style w:type="paragraph" w:styleId="Footer">
    <w:name w:val="footer"/>
    <w:basedOn w:val="Normal"/>
    <w:link w:val="FooterChar"/>
    <w:uiPriority w:val="99"/>
    <w:unhideWhenUsed/>
    <w:rsid w:val="00457837"/>
    <w:pPr>
      <w:tabs>
        <w:tab w:val="center" w:pos="4680"/>
        <w:tab w:val="right" w:pos="9360"/>
      </w:tabs>
    </w:pPr>
  </w:style>
  <w:style w:type="character" w:customStyle="1" w:styleId="FooterChar">
    <w:name w:val="Footer Char"/>
    <w:basedOn w:val="DefaultParagraphFont"/>
    <w:link w:val="Footer"/>
    <w:uiPriority w:val="99"/>
    <w:rsid w:val="00457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5EB91471-3434-43E6-A39C-8686F13F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11</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20</cp:revision>
  <dcterms:created xsi:type="dcterms:W3CDTF">2019-12-07T21:06:00Z</dcterms:created>
  <dcterms:modified xsi:type="dcterms:W3CDTF">2019-12-13T04:08:00Z</dcterms:modified>
</cp:coreProperties>
</file>