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1169" w:rsidRPr="00331169" w:rsidRDefault="00331169" w:rsidP="00331169">
      <w:pPr>
        <w:spacing w:line="480" w:lineRule="auto"/>
        <w:rPr>
          <w:rFonts w:ascii="Verdana" w:hAnsi="Verdana"/>
          <w:b/>
          <w:sz w:val="24"/>
          <w:szCs w:val="24"/>
        </w:rPr>
      </w:pPr>
      <w:r w:rsidRPr="00331169">
        <w:rPr>
          <w:rFonts w:ascii="Verdana" w:hAnsi="Verdana"/>
          <w:b/>
          <w:sz w:val="24"/>
          <w:szCs w:val="24"/>
        </w:rPr>
        <w:t>ECDA-7002 Assignment 2 (Seminar Presentation, 30 minutes)</w:t>
      </w:r>
    </w:p>
    <w:p w:rsidR="00331169" w:rsidRPr="00331169" w:rsidRDefault="00331169" w:rsidP="00331169">
      <w:pPr>
        <w:spacing w:line="480" w:lineRule="auto"/>
        <w:rPr>
          <w:rFonts w:ascii="Verdana" w:hAnsi="Verdana"/>
          <w:b/>
          <w:sz w:val="24"/>
          <w:szCs w:val="24"/>
        </w:rPr>
      </w:pPr>
      <w:r w:rsidRPr="00331169">
        <w:rPr>
          <w:rFonts w:ascii="Verdana" w:hAnsi="Verdana"/>
          <w:b/>
          <w:sz w:val="24"/>
          <w:szCs w:val="24"/>
        </w:rPr>
        <w:t>By referring to various theoretical frameworks, analyse the key factors in the revitalization or language shift of a specific minority language within a bilingual or multilingual context.</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p>
    <w:p w:rsidR="002A35D9" w:rsidRPr="00331169" w:rsidRDefault="002A35D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331169">
        <w:rPr>
          <w:rFonts w:ascii="Verdana" w:eastAsiaTheme="minorEastAsia" w:hAnsi="Verdana" w:cstheme="minorBidi"/>
          <w:b/>
          <w:color w:val="000000" w:themeColor="text1"/>
          <w:kern w:val="24"/>
        </w:rPr>
        <w:t>Slide 2.</w:t>
      </w:r>
    </w:p>
    <w:p w:rsidR="002A35D9" w:rsidRPr="00331169" w:rsidRDefault="002A35D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This presentation aims to analyse the main factors in the language shift of the Manx language in a bilingual context, r</w:t>
      </w:r>
      <w:r w:rsidR="00331169">
        <w:rPr>
          <w:rFonts w:ascii="Verdana" w:eastAsiaTheme="minorEastAsia" w:hAnsi="Verdana" w:cstheme="minorBidi"/>
          <w:color w:val="000000" w:themeColor="text1"/>
          <w:kern w:val="24"/>
        </w:rPr>
        <w:t xml:space="preserve">eferring to various theoretical </w:t>
      </w:r>
      <w:r w:rsidRPr="00331169">
        <w:rPr>
          <w:rFonts w:ascii="Verdana" w:eastAsiaTheme="minorEastAsia" w:hAnsi="Verdana" w:cstheme="minorBidi"/>
          <w:color w:val="000000" w:themeColor="text1"/>
          <w:kern w:val="24"/>
        </w:rPr>
        <w:t xml:space="preserve">frameworks.  </w:t>
      </w:r>
    </w:p>
    <w:p w:rsidR="002A35D9" w:rsidRPr="00331169" w:rsidRDefault="002A35D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Various theoretical frameworks have been developed that analyse the factors which affect language vitality.  These frameworks serve to inform the development of language strategies to maintain endangered language</w:t>
      </w:r>
      <w:r w:rsidRPr="00331169">
        <w:rPr>
          <w:rFonts w:ascii="Verdana" w:eastAsiaTheme="minorEastAsia" w:hAnsi="Verdana" w:cstheme="minorBidi"/>
          <w:color w:val="000000" w:themeColor="text1"/>
          <w:kern w:val="24"/>
        </w:rPr>
        <w:t xml:space="preserve">s, reverse language decline or </w:t>
      </w:r>
      <w:r w:rsidRPr="00331169">
        <w:rPr>
          <w:rFonts w:ascii="Verdana" w:eastAsiaTheme="minorEastAsia" w:hAnsi="Verdana" w:cstheme="minorBidi"/>
          <w:color w:val="000000" w:themeColor="text1"/>
          <w:kern w:val="24"/>
        </w:rPr>
        <w:t>revive an extinct language (Pine &amp; Turin 2017). A review of the factors outlined in these various frameworks, which are often multi-dimensional and cannot be fully considered in isolation, reveal the complexities surrounding the concept of language vitality.</w:t>
      </w:r>
    </w:p>
    <w:p w:rsidR="002A35D9" w:rsidRPr="00331169" w:rsidRDefault="002A35D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Therefore to abridge these complexities, the theoretical framework of Giles, Bourhis and Taylor (1977) will serve as a broad foundation in this presentation for analysing the key contributory factors for language shift on Mann from Manx to English.  Reference will also be made to the following theoretical frameworks:</w:t>
      </w:r>
    </w:p>
    <w:p w:rsidR="002A35D9" w:rsidRPr="00331169" w:rsidRDefault="002A35D9" w:rsidP="00331169">
      <w:pPr>
        <w:pStyle w:val="ListParagraph"/>
        <w:numPr>
          <w:ilvl w:val="0"/>
          <w:numId w:val="1"/>
        </w:numPr>
        <w:spacing w:line="480" w:lineRule="auto"/>
        <w:rPr>
          <w:rFonts w:ascii="Verdana" w:hAnsi="Verdana"/>
        </w:rPr>
      </w:pPr>
      <w:r w:rsidRPr="00331169">
        <w:rPr>
          <w:rFonts w:ascii="Verdana" w:eastAsiaTheme="minorEastAsia" w:hAnsi="Verdana" w:cstheme="minorBidi"/>
          <w:color w:val="000000" w:themeColor="text1"/>
          <w:kern w:val="24"/>
        </w:rPr>
        <w:t xml:space="preserve">UNESCO (2009); </w:t>
      </w:r>
    </w:p>
    <w:p w:rsidR="002A35D9" w:rsidRPr="00331169" w:rsidRDefault="002A35D9" w:rsidP="00331169">
      <w:pPr>
        <w:pStyle w:val="ListParagraph"/>
        <w:numPr>
          <w:ilvl w:val="0"/>
          <w:numId w:val="1"/>
        </w:numPr>
        <w:spacing w:line="480" w:lineRule="auto"/>
        <w:rPr>
          <w:rFonts w:ascii="Verdana" w:hAnsi="Verdana"/>
        </w:rPr>
      </w:pPr>
      <w:r w:rsidRPr="00331169">
        <w:rPr>
          <w:rFonts w:ascii="Verdana" w:eastAsiaTheme="minorEastAsia" w:hAnsi="Verdana" w:cstheme="minorBidi"/>
          <w:color w:val="000000" w:themeColor="text1"/>
          <w:kern w:val="24"/>
        </w:rPr>
        <w:lastRenderedPageBreak/>
        <w:t>Conklin &amp; Lourie (1983); and</w:t>
      </w:r>
    </w:p>
    <w:p w:rsidR="002A35D9" w:rsidRPr="00331169" w:rsidRDefault="002A35D9" w:rsidP="00331169">
      <w:pPr>
        <w:pStyle w:val="ListParagraph"/>
        <w:numPr>
          <w:ilvl w:val="0"/>
          <w:numId w:val="1"/>
        </w:numPr>
        <w:spacing w:line="480" w:lineRule="auto"/>
        <w:rPr>
          <w:rFonts w:ascii="Verdana" w:hAnsi="Verdana"/>
        </w:rPr>
      </w:pPr>
      <w:r w:rsidRPr="00331169">
        <w:rPr>
          <w:rFonts w:ascii="Verdana" w:eastAsiaTheme="minorEastAsia" w:hAnsi="Verdana" w:cstheme="minorBidi"/>
          <w:color w:val="000000" w:themeColor="text1"/>
          <w:kern w:val="24"/>
        </w:rPr>
        <w:t>Fishman GIDS (Graded Intergenerational Disruption Scale for Threatened Languages) (1991).</w:t>
      </w:r>
    </w:p>
    <w:p w:rsidR="002A35D9" w:rsidRPr="00331169" w:rsidRDefault="002A35D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The main factors highlighted by Giles et al are: </w:t>
      </w:r>
      <w:r w:rsidRPr="00331169">
        <w:rPr>
          <w:rFonts w:ascii="Verdana" w:eastAsiaTheme="minorEastAsia" w:hAnsi="Verdana" w:cstheme="minorBidi"/>
          <w:i/>
          <w:iCs/>
          <w:color w:val="000000" w:themeColor="text1"/>
          <w:kern w:val="24"/>
        </w:rPr>
        <w:t xml:space="preserve">status factors, demographic factors, institutional support factors. </w:t>
      </w:r>
    </w:p>
    <w:p w:rsidR="002A35D9" w:rsidRPr="00331169" w:rsidRDefault="002A35D9" w:rsidP="00331169">
      <w:pPr>
        <w:pStyle w:val="NormalWeb"/>
        <w:spacing w:before="0" w:beforeAutospacing="0" w:after="0" w:afterAutospacing="0" w:line="480" w:lineRule="auto"/>
        <w:rPr>
          <w:rFonts w:ascii="Verdana" w:eastAsiaTheme="minorEastAsia" w:hAnsi="Verdana" w:cstheme="minorBidi"/>
          <w:color w:val="000000" w:themeColor="text1"/>
          <w:kern w:val="24"/>
        </w:rPr>
      </w:pPr>
      <w:r w:rsidRPr="00331169">
        <w:rPr>
          <w:rFonts w:ascii="Verdana" w:eastAsiaTheme="minorEastAsia" w:hAnsi="Verdana" w:cstheme="minorBidi"/>
          <w:color w:val="000000" w:themeColor="text1"/>
          <w:kern w:val="24"/>
        </w:rPr>
        <w:t xml:space="preserve">Status factors can sub-divide into: </w:t>
      </w:r>
      <w:r w:rsidRPr="00331169">
        <w:rPr>
          <w:rFonts w:ascii="Verdana" w:eastAsiaTheme="minorEastAsia" w:hAnsi="Verdana" w:cstheme="minorBidi"/>
          <w:i/>
          <w:iCs/>
          <w:color w:val="000000" w:themeColor="text1"/>
          <w:kern w:val="24"/>
        </w:rPr>
        <w:t>economic status; social status and symbolic status</w:t>
      </w:r>
      <w:r w:rsidRPr="00331169">
        <w:rPr>
          <w:rFonts w:ascii="Verdana" w:eastAsiaTheme="minorEastAsia" w:hAnsi="Verdana" w:cstheme="minorBidi"/>
          <w:color w:val="000000" w:themeColor="text1"/>
          <w:kern w:val="24"/>
        </w:rPr>
        <w:t>.  Demographic factors consist of: the number of speakers, the geographical distribution of a minority group and the effects of exogamy.  Whilst institutional support factors include: mass media, religion, administrative services and education systems.</w:t>
      </w:r>
    </w:p>
    <w:p w:rsidR="002A35D9" w:rsidRPr="00331169" w:rsidRDefault="002A35D9" w:rsidP="00331169">
      <w:pPr>
        <w:pStyle w:val="NormalWeb"/>
        <w:spacing w:before="0" w:beforeAutospacing="0" w:after="0" w:afterAutospacing="0" w:line="480" w:lineRule="auto"/>
        <w:rPr>
          <w:rFonts w:ascii="Verdana" w:eastAsiaTheme="minorEastAsia" w:hAnsi="Verdana" w:cstheme="minorBidi"/>
          <w:color w:val="000000" w:themeColor="text1"/>
          <w:kern w:val="24"/>
        </w:rPr>
      </w:pPr>
    </w:p>
    <w:p w:rsidR="002A35D9" w:rsidRPr="00331169" w:rsidRDefault="002A35D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331169">
        <w:rPr>
          <w:rFonts w:ascii="Verdana" w:eastAsiaTheme="minorEastAsia" w:hAnsi="Verdana" w:cstheme="minorBidi"/>
          <w:b/>
          <w:color w:val="000000" w:themeColor="text1"/>
          <w:kern w:val="24"/>
        </w:rPr>
        <w:t>Slide 3</w:t>
      </w:r>
      <w:r w:rsidR="00331169">
        <w:rPr>
          <w:rFonts w:ascii="Verdana" w:eastAsiaTheme="minorEastAsia" w:hAnsi="Verdana" w:cstheme="minorBidi"/>
          <w:b/>
          <w:color w:val="000000" w:themeColor="text1"/>
          <w:kern w:val="24"/>
        </w:rPr>
        <w:t>.</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This presentation aims to provide a brief overview of the history of the Manx language, evaluate the contributory factors to the language shift of Manx to English within a bilingual context, and consider how thes</w:t>
      </w:r>
      <w:r w:rsidRPr="00331169">
        <w:rPr>
          <w:rFonts w:ascii="Verdana" w:eastAsiaTheme="minorEastAsia" w:hAnsi="Verdana"/>
          <w:color w:val="000000" w:themeColor="text1"/>
          <w:kern w:val="24"/>
          <w:sz w:val="24"/>
          <w:szCs w:val="24"/>
          <w:lang w:eastAsia="en-GB"/>
        </w:rPr>
        <w:t>e</w:t>
      </w:r>
      <w:r w:rsidRPr="002A35D9">
        <w:rPr>
          <w:rFonts w:ascii="Verdana" w:eastAsiaTheme="minorEastAsia" w:hAnsi="Verdana"/>
          <w:color w:val="000000" w:themeColor="text1"/>
          <w:kern w:val="24"/>
          <w:sz w:val="24"/>
          <w:szCs w:val="24"/>
          <w:lang w:eastAsia="en-GB"/>
        </w:rPr>
        <w:t xml:space="preserve"> factors attributed to the decline in the Manx language.</w:t>
      </w:r>
    </w:p>
    <w:p w:rsidR="00E569EA" w:rsidRPr="00331169" w:rsidRDefault="00E569EA" w:rsidP="00331169">
      <w:pPr>
        <w:spacing w:line="480" w:lineRule="auto"/>
        <w:rPr>
          <w:rFonts w:ascii="Verdana" w:hAnsi="Verdana"/>
          <w:sz w:val="24"/>
          <w:szCs w:val="24"/>
        </w:rPr>
      </w:pPr>
    </w:p>
    <w:p w:rsidR="002A35D9" w:rsidRPr="00331169" w:rsidRDefault="002A35D9" w:rsidP="00331169">
      <w:pPr>
        <w:spacing w:after="0" w:line="480" w:lineRule="auto"/>
        <w:rPr>
          <w:rFonts w:ascii="Verdana" w:hAnsi="Verdana"/>
          <w:b/>
          <w:sz w:val="24"/>
          <w:szCs w:val="24"/>
        </w:rPr>
      </w:pPr>
      <w:r w:rsidRPr="00331169">
        <w:rPr>
          <w:rFonts w:ascii="Verdana" w:hAnsi="Verdana"/>
          <w:b/>
          <w:sz w:val="24"/>
          <w:szCs w:val="24"/>
        </w:rPr>
        <w:t>Slide 4</w:t>
      </w:r>
    </w:p>
    <w:p w:rsidR="002A35D9" w:rsidRPr="00331169" w:rsidRDefault="002A35D9" w:rsidP="00331169">
      <w:pPr>
        <w:spacing w:line="480" w:lineRule="auto"/>
        <w:rPr>
          <w:rFonts w:ascii="Verdana" w:eastAsiaTheme="minorEastAsia" w:hAnsi="Verdana"/>
          <w:color w:val="000000" w:themeColor="text1"/>
          <w:kern w:val="24"/>
          <w:sz w:val="24"/>
          <w:szCs w:val="24"/>
          <w:lang w:eastAsia="en-GB"/>
        </w:rPr>
      </w:pPr>
      <w:r w:rsidRPr="002A35D9">
        <w:rPr>
          <w:rFonts w:ascii="Verdana" w:eastAsiaTheme="minorEastAsia" w:hAnsi="Verdana"/>
          <w:color w:val="000000" w:themeColor="text1"/>
          <w:kern w:val="24"/>
          <w:sz w:val="24"/>
          <w:szCs w:val="24"/>
          <w:lang w:eastAsia="en-GB"/>
        </w:rPr>
        <w:t xml:space="preserve">Languages decline and die for many reasons - these reasons are often complex and interrelated.  The fortunes of languages can rise and fall in correlation to “the importance enjoyed by the people who speak that language” (Almurashi, 2017).  To speakers of widely spoken languages, the concept of language death may seem difficult to grasp.  However, in the age of globalisation and modern technology, where ‘high’ languages </w:t>
      </w:r>
      <w:r w:rsidRPr="002A35D9">
        <w:rPr>
          <w:rFonts w:ascii="Verdana" w:eastAsiaTheme="minorEastAsia" w:hAnsi="Verdana"/>
          <w:color w:val="000000" w:themeColor="text1"/>
          <w:kern w:val="24"/>
          <w:sz w:val="24"/>
          <w:szCs w:val="24"/>
          <w:lang w:eastAsia="en-GB"/>
        </w:rPr>
        <w:lastRenderedPageBreak/>
        <w:t>such as English dominate the fields of communication and commerce, significant language loss is anticipated within the next century.  Indeed, UNESCO (United Nations Educational, Scientific and Cultural Organisation) (2003) caution that out of the 6000 languages spoken globally, at least 2571 are considered endangered.</w:t>
      </w:r>
    </w:p>
    <w:p w:rsidR="002A35D9" w:rsidRPr="00331169" w:rsidRDefault="002A35D9" w:rsidP="00331169">
      <w:pPr>
        <w:spacing w:after="0" w:line="480" w:lineRule="auto"/>
        <w:rPr>
          <w:rFonts w:ascii="Verdana" w:eastAsiaTheme="minorEastAsia" w:hAnsi="Verdana"/>
          <w:b/>
          <w:kern w:val="24"/>
          <w:sz w:val="24"/>
          <w:szCs w:val="24"/>
          <w:lang w:eastAsia="en-GB"/>
        </w:rPr>
      </w:pPr>
      <w:r w:rsidRPr="00331169">
        <w:rPr>
          <w:rFonts w:ascii="Verdana" w:eastAsiaTheme="minorEastAsia" w:hAnsi="Verdana"/>
          <w:b/>
          <w:kern w:val="24"/>
          <w:sz w:val="24"/>
          <w:szCs w:val="24"/>
          <w:lang w:eastAsia="en-GB"/>
        </w:rPr>
        <w:t>Slide 5</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It is generally accepted that the death of a language coincides with the death of its’ last native speaker.  This was the case for the Celtic language of Manx, which ‘died’ as a first language on the Isle of Man in 1974 alongside its last recognised native speaker, Ned Maddrell.  Manx was later officially declared ‘extinct’ by UNESCO in 2009.</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r w:rsidRPr="002A35D9">
        <w:rPr>
          <w:rFonts w:ascii="Verdana" w:eastAsiaTheme="minorEastAsia" w:hAnsi="Verdana"/>
          <w:color w:val="000000" w:themeColor="text1"/>
          <w:kern w:val="24"/>
          <w:sz w:val="24"/>
          <w:szCs w:val="24"/>
          <w:lang w:eastAsia="en-GB"/>
        </w:rPr>
        <w:t>Nevertheless, Manx has continued to be spoken as a second language by a minority throughout the twentieth century.  Moreover, the review of current literature suggests that the decline of Manx has been reversed, and that Manx is no longer extinct, but a living language with a small but increasing number of speakers.</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p>
    <w:p w:rsidR="002A35D9" w:rsidRPr="00331169" w:rsidRDefault="002A35D9" w:rsidP="00331169">
      <w:pPr>
        <w:spacing w:after="0" w:line="480" w:lineRule="auto"/>
        <w:rPr>
          <w:rFonts w:ascii="Verdana" w:eastAsiaTheme="minorEastAsia" w:hAnsi="Verdana"/>
          <w:b/>
          <w:color w:val="000000" w:themeColor="text1"/>
          <w:kern w:val="24"/>
          <w:sz w:val="24"/>
          <w:szCs w:val="24"/>
          <w:lang w:eastAsia="en-GB"/>
        </w:rPr>
      </w:pPr>
      <w:r w:rsidRPr="00331169">
        <w:rPr>
          <w:rFonts w:ascii="Verdana" w:eastAsiaTheme="minorEastAsia" w:hAnsi="Verdana"/>
          <w:b/>
          <w:color w:val="000000" w:themeColor="text1"/>
          <w:kern w:val="24"/>
          <w:sz w:val="24"/>
          <w:szCs w:val="24"/>
          <w:lang w:eastAsia="en-GB"/>
        </w:rPr>
        <w:t>Slide 6</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The Isle of Man (Mann) is a self-governing British Crown dependency situated in the Irish Sea between England and Ireland (Stowell, 2005). </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Manx Gaelic (Gaelg/Gailck) is derived from Old Irish and is a member of the Goidelic branch of the Insular Celtic languages.</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331169" w:rsidRDefault="002A35D9" w:rsidP="00331169">
      <w:pPr>
        <w:spacing w:after="0" w:line="480" w:lineRule="auto"/>
        <w:rPr>
          <w:rFonts w:ascii="Verdana" w:eastAsiaTheme="minorEastAsia" w:hAnsi="Verdana"/>
          <w:b/>
          <w:color w:val="000000" w:themeColor="text1"/>
          <w:kern w:val="24"/>
          <w:sz w:val="24"/>
          <w:szCs w:val="24"/>
          <w:lang w:eastAsia="en-GB"/>
        </w:rPr>
      </w:pPr>
      <w:r w:rsidRPr="00331169">
        <w:rPr>
          <w:rFonts w:ascii="Verdana" w:eastAsiaTheme="minorEastAsia" w:hAnsi="Verdana"/>
          <w:b/>
          <w:color w:val="000000" w:themeColor="text1"/>
          <w:kern w:val="24"/>
          <w:sz w:val="24"/>
          <w:szCs w:val="24"/>
          <w:lang w:eastAsia="en-GB"/>
        </w:rPr>
        <w:t>Slide 7</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lastRenderedPageBreak/>
        <w:t>Manx is thought to have arrived on Mann during the fourth and fifth centuries AD with the arrival of Irish missionaries, displacing the pre-existing Brythonic language (Ager 2009).</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800AD saw the arrival of Viking raiders on the Island and the Norsemen eventually seized control and transformed the island’s political and legal institutions.</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The Norse legacy is still evident in the Island’s Government, the Tynwald, which is still based on the Viking parliamentary assembly and remains one of the oldest parliamentary democracies in the world (Ager 2009).  However, their rapid assimilation into the existing community meant that their language left little impact.  Exogamy was commonplace, and many of the Norse raiders were bilingual in Norse and Gaelic, having previously lived in other Gaelic-speaking regions such as Scotland. Though runic writing and the Norse language were introduced on Mann, with the exception of some place names (e.g. Jurby, Colby and Langness) and a few words related to seamanship, very few words of Norse origin were borrowed into Gaelic (Price, 1992).  Indeed, archaeological evidence attests that local culture prevailed: the materials found in the Vikings’ furnished graves were predominately of insular manufacture, suggesting that Vikings had assimilated into Manx culture, establishing a new Island community (Steinforth 2015).</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Manx emerged as a distinct language from Irish and Scottish Gaelic when Magnus, the last King of Mann, died in 1265 and control of the Island was relinquished to Scotland.</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lastRenderedPageBreak/>
        <w:t xml:space="preserve">Mann was passed between Scottish and English rule for the two centuries that followed, until in 1405 the island was gifted to Sir John Stanley, Lord Lieutenant of Ireland, by Henry IV (Broderick, 1999).  At which point Mann became part of the English-language administration and became isolated from the rest of the Gaelic-speaking world.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331169" w:rsidRDefault="002A35D9" w:rsidP="00331169">
      <w:pPr>
        <w:spacing w:after="0" w:line="480" w:lineRule="auto"/>
        <w:rPr>
          <w:rFonts w:ascii="Verdana" w:eastAsia="Times New Roman" w:hAnsi="Verdana" w:cs="Times New Roman"/>
          <w:b/>
          <w:sz w:val="24"/>
          <w:szCs w:val="24"/>
          <w:lang w:eastAsia="en-GB"/>
        </w:rPr>
      </w:pPr>
      <w:r w:rsidRPr="00331169">
        <w:rPr>
          <w:rFonts w:ascii="Verdana" w:eastAsia="Times New Roman" w:hAnsi="Verdana" w:cs="Times New Roman"/>
          <w:b/>
          <w:sz w:val="24"/>
          <w:szCs w:val="24"/>
          <w:lang w:eastAsia="en-GB"/>
        </w:rPr>
        <w:t>Slide 8</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This isolation from the outside world continued until the mid-eighteenth century. Given its small population and resources, external trade and contact was limited, thus Manx was the dominant language and English was unnecessary to people outside the small towns, where it was spoken alongside Manx without displacing it.  The last native speaker Ned Maddell bore testament to this in a newspaper article about the decline of Manx, “unless you had the Manx you were a deaf and dumb man and no good to anybody” (Miller, 1993).</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However, during the 19</w:t>
      </w:r>
      <w:r w:rsidRPr="002A35D9">
        <w:rPr>
          <w:rFonts w:ascii="Verdana" w:eastAsiaTheme="minorEastAsia" w:hAnsi="Verdana"/>
          <w:color w:val="000000" w:themeColor="text1"/>
          <w:kern w:val="24"/>
          <w:position w:val="7"/>
          <w:sz w:val="24"/>
          <w:szCs w:val="24"/>
          <w:vertAlign w:val="superscript"/>
          <w:lang w:eastAsia="en-GB"/>
        </w:rPr>
        <w:t>th</w:t>
      </w:r>
      <w:r w:rsidRPr="002A35D9">
        <w:rPr>
          <w:rFonts w:ascii="Verdana" w:eastAsiaTheme="minorEastAsia" w:hAnsi="Verdana"/>
          <w:color w:val="000000" w:themeColor="text1"/>
          <w:kern w:val="24"/>
          <w:sz w:val="24"/>
          <w:szCs w:val="24"/>
          <w:lang w:eastAsia="en-GB"/>
        </w:rPr>
        <w:t xml:space="preserve"> century there was a noted shift from Manx to English.  According to Census data, by 1901 only 9.1% of the population claimed to speak Manx – with a further decline over the following two decades to a mere 1.1%.</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Due to a range of interrelated socio-economic and political factors that shaped the demographics and language usage of the Manx community, English became the lingua franca in administrative services and institutions (e.g. education, the church, and the court of law).  Moreover, English became the main language of the towns, and a knowledge of </w:t>
      </w:r>
      <w:r w:rsidRPr="002A35D9">
        <w:rPr>
          <w:rFonts w:ascii="Verdana" w:eastAsiaTheme="minorEastAsia" w:hAnsi="Verdana"/>
          <w:color w:val="000000" w:themeColor="text1"/>
          <w:kern w:val="24"/>
          <w:sz w:val="24"/>
          <w:szCs w:val="24"/>
          <w:lang w:eastAsia="en-GB"/>
        </w:rPr>
        <w:lastRenderedPageBreak/>
        <w:t>English was necessary to communicate when venturing outside the Island as well as with visitors to the Island.  Thus the use of Manx became limited to remote villages and fishing communities, until only a small number of individual older generation speakers remained. Intergenerational language transmission is an essential component of language vitality, and when this gradually reduces, usually over three generations, there is a significant risk of language death. This process is often referred to as the “three generation shift” (Gracia &amp; Diaz 1992).</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w:t>
      </w: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10</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Manx was once spoken by almost the entire population of Mann until the introduction of the 1765 Revestment Act, by which the Duke of Atholl sold the island to the British Crown. Economic recession and large scale emigration followed, driving down the number of Manx speakers on the island (Ager 2009).</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Growing international trade during the early 18th century in goods such as wine, tea, and tobacco offered lucrative opportunities for Manxmen. Duties on the Island were set independently from Britain and were comparatively low.  As a consequence Mann began to attract increasing numbers of merchants, legally bringing their goods into the Island and paying duties into the treasuries of the Lord of Man.  This increased trade resulted in the rapid growth of the towns and with it a greater reliance on the use of the English language to facilitate trade negations (Broderick, </w:t>
      </w:r>
      <w:r w:rsidRPr="002A35D9">
        <w:rPr>
          <w:rFonts w:ascii="Verdana" w:eastAsiaTheme="minorEastAsia" w:hAnsi="Verdana"/>
          <w:color w:val="000000" w:themeColor="text1"/>
          <w:kern w:val="24"/>
          <w:sz w:val="24"/>
          <w:szCs w:val="24"/>
          <w:lang w:eastAsia="en-GB"/>
        </w:rPr>
        <w:lastRenderedPageBreak/>
        <w:t>1999).  With the growth of the economy, so grew the perception that there was certain advantages in speaking English over Manx, largely due the economic benefits associated with the English language:</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“They adopt the majority language as their regular vehicle of communication, often mainly because they expect that speaking that language gives better chances for upward social mobility and social success.” (Appel and Muysken, (1987:32)  </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Though considered legitimate trade by the Manx people, these activities were eventually ruled as ‘smuggling’ by the British Government.  The Revestment Act - known to the Manks as ‘Yn Chialg Vooar/ The Great Deception’ - was the British Government’s attempt to kerb this ‘smuggling’.  This came at a great cost to Manxmen, resulting in a significant loss of earnings, increased poverty and further establishing English as the language of commodity on the Island (with the revestment of the feudal rights of the Lords of Man into the British Crown).  The economic necessity of using the English language, coinciding with the decline in the opportunities for using the mother tongue, typically leads to a loss of proficiency in the latter.  When this loss of language proficiency is extended over several generations, to consequence is language shift.  This shift to the second language usually, but not always, involves the gradual disappearance of the first (Buda 1992).</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11</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r w:rsidRPr="002A35D9">
        <w:rPr>
          <w:rFonts w:ascii="Verdana" w:eastAsiaTheme="minorEastAsia" w:hAnsi="Verdana"/>
          <w:color w:val="000000" w:themeColor="text1"/>
          <w:kern w:val="24"/>
          <w:sz w:val="24"/>
          <w:szCs w:val="24"/>
          <w:lang w:eastAsia="en-GB"/>
        </w:rPr>
        <w:lastRenderedPageBreak/>
        <w:t xml:space="preserve">Hyltenstam and Stroud (1996) propose that economic factors such as industrialisation, urbanisation, labour market and communications can </w:t>
      </w:r>
      <w:proofErr w:type="gramStart"/>
      <w:r w:rsidRPr="002A35D9">
        <w:rPr>
          <w:rFonts w:ascii="Verdana" w:eastAsiaTheme="minorEastAsia" w:hAnsi="Verdana"/>
          <w:color w:val="000000" w:themeColor="text1"/>
          <w:kern w:val="24"/>
          <w:sz w:val="24"/>
          <w:szCs w:val="24"/>
          <w:lang w:eastAsia="en-GB"/>
        </w:rPr>
        <w:t>significantly</w:t>
      </w:r>
      <w:proofErr w:type="gramEnd"/>
      <w:r w:rsidRPr="002A35D9">
        <w:rPr>
          <w:rFonts w:ascii="Verdana" w:eastAsiaTheme="minorEastAsia" w:hAnsi="Verdana"/>
          <w:color w:val="000000" w:themeColor="text1"/>
          <w:kern w:val="24"/>
          <w:sz w:val="24"/>
          <w:szCs w:val="24"/>
          <w:lang w:eastAsia="en-GB"/>
        </w:rPr>
        <w:t xml:space="preserve"> impact language vitality.  This was evident in the case of Manx.  With increased international trade, English increasingly became the language of the Island’s towns.  Urbanisation further spread the English language from the towns to country with the introduction of more efficient road systems built between 1750 and 1800 (Ager, 2009). However, it is the birth of mass tourism, </w:t>
      </w:r>
      <w:r w:rsidRPr="002A35D9">
        <w:rPr>
          <w:rFonts w:ascii="Verdana" w:eastAsiaTheme="minorEastAsia" w:hAnsi="Verdana"/>
          <w:color w:val="1D1B1E"/>
          <w:kern w:val="24"/>
          <w:sz w:val="24"/>
          <w:szCs w:val="24"/>
          <w:lang w:val="en-US" w:eastAsia="en-GB"/>
        </w:rPr>
        <w:t>which followed the introduction of a regular ferry service between England and the Isle of Man in 1833</w:t>
      </w:r>
      <w:proofErr w:type="gramStart"/>
      <w:r w:rsidRPr="002A35D9">
        <w:rPr>
          <w:rFonts w:ascii="Verdana" w:eastAsiaTheme="minorEastAsia" w:hAnsi="Verdana"/>
          <w:color w:val="1D1B1E"/>
          <w:kern w:val="24"/>
          <w:sz w:val="24"/>
          <w:szCs w:val="24"/>
          <w:lang w:val="en-US" w:eastAsia="en-GB"/>
        </w:rPr>
        <w:t xml:space="preserve">, </w:t>
      </w:r>
      <w:r w:rsidRPr="00331169">
        <w:rPr>
          <w:rFonts w:ascii="Verdana" w:eastAsiaTheme="minorEastAsia" w:hAnsi="Verdana"/>
          <w:color w:val="1D1B1E"/>
          <w:kern w:val="24"/>
          <w:sz w:val="24"/>
          <w:szCs w:val="24"/>
          <w:lang w:val="en-US" w:eastAsia="en-GB"/>
        </w:rPr>
        <w:t xml:space="preserve"> </w:t>
      </w:r>
      <w:r w:rsidRPr="002A35D9">
        <w:rPr>
          <w:rFonts w:ascii="Verdana" w:eastAsiaTheme="minorEastAsia" w:hAnsi="Verdana"/>
          <w:color w:val="000000" w:themeColor="text1"/>
          <w:kern w:val="24"/>
          <w:sz w:val="24"/>
          <w:szCs w:val="24"/>
          <w:lang w:eastAsia="en-GB"/>
        </w:rPr>
        <w:t>that</w:t>
      </w:r>
      <w:proofErr w:type="gramEnd"/>
      <w:r w:rsidRPr="002A35D9">
        <w:rPr>
          <w:rFonts w:ascii="Verdana" w:eastAsiaTheme="minorEastAsia" w:hAnsi="Verdana"/>
          <w:color w:val="000000" w:themeColor="text1"/>
          <w:kern w:val="24"/>
          <w:sz w:val="24"/>
          <w:szCs w:val="24"/>
          <w:lang w:eastAsia="en-GB"/>
        </w:rPr>
        <w:t xml:space="preserve"> Stowell (2005) cites as the biggest contributor to the decline of the Manx language.</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p>
    <w:p w:rsidR="002A35D9" w:rsidRPr="002E26FD" w:rsidRDefault="002A35D9" w:rsidP="00331169">
      <w:pPr>
        <w:spacing w:after="0" w:line="480" w:lineRule="auto"/>
        <w:rPr>
          <w:rFonts w:ascii="Verdana" w:eastAsiaTheme="minorEastAsia" w:hAnsi="Verdana"/>
          <w:b/>
          <w:color w:val="000000" w:themeColor="text1"/>
          <w:kern w:val="24"/>
          <w:sz w:val="24"/>
          <w:szCs w:val="24"/>
          <w:lang w:eastAsia="en-GB"/>
        </w:rPr>
      </w:pPr>
      <w:r w:rsidRPr="002E26FD">
        <w:rPr>
          <w:rFonts w:ascii="Verdana" w:eastAsiaTheme="minorEastAsia" w:hAnsi="Verdana"/>
          <w:b/>
          <w:color w:val="000000" w:themeColor="text1"/>
          <w:kern w:val="24"/>
          <w:sz w:val="24"/>
          <w:szCs w:val="24"/>
          <w:lang w:eastAsia="en-GB"/>
        </w:rPr>
        <w:t>Slide 12</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r w:rsidRPr="002A35D9">
        <w:rPr>
          <w:rFonts w:ascii="Verdana" w:eastAsiaTheme="minorEastAsia" w:hAnsi="Verdana"/>
          <w:color w:val="000000" w:themeColor="text1"/>
          <w:kern w:val="24"/>
          <w:sz w:val="24"/>
          <w:szCs w:val="24"/>
          <w:lang w:eastAsia="en-GB"/>
        </w:rPr>
        <w:t xml:space="preserve">Mann became one of the first widely popular tourist destinations of industrial England for the affluent, and then the working classes. The number of English-speaking visitors to the island propelled from around 20,000 (equivalent to half the population of the island) in the 1830s, to more than 250,000 in the 1890s.  Whilst the introduction of steam and electric rail between 1873 and 1898 aided travel across the island (Ager, 2009).  With this annual influx came an increased demand for English speakers to work in the tourist industry and English became profitable to the Island’s locals (Broderick, 1999). </w:t>
      </w:r>
    </w:p>
    <w:p w:rsidR="002A35D9" w:rsidRPr="00331169" w:rsidRDefault="002A35D9" w:rsidP="00331169">
      <w:pPr>
        <w:spacing w:after="0" w:line="480" w:lineRule="auto"/>
        <w:rPr>
          <w:rFonts w:ascii="Verdana" w:eastAsiaTheme="minorEastAsia" w:hAnsi="Verdana"/>
          <w:color w:val="000000" w:themeColor="text1"/>
          <w:kern w:val="24"/>
          <w:sz w:val="24"/>
          <w:szCs w:val="24"/>
          <w:lang w:eastAsia="en-GB"/>
        </w:rPr>
      </w:pPr>
    </w:p>
    <w:p w:rsidR="002A35D9" w:rsidRPr="002E26FD" w:rsidRDefault="002A35D9" w:rsidP="00331169">
      <w:pPr>
        <w:spacing w:after="0" w:line="480" w:lineRule="auto"/>
        <w:rPr>
          <w:rFonts w:ascii="Verdana" w:eastAsiaTheme="minorEastAsia" w:hAnsi="Verdana"/>
          <w:b/>
          <w:color w:val="000000" w:themeColor="text1"/>
          <w:kern w:val="24"/>
          <w:sz w:val="24"/>
          <w:szCs w:val="24"/>
          <w:lang w:eastAsia="en-GB"/>
        </w:rPr>
      </w:pPr>
      <w:r w:rsidRPr="002E26FD">
        <w:rPr>
          <w:rFonts w:ascii="Verdana" w:eastAsiaTheme="minorEastAsia" w:hAnsi="Verdana"/>
          <w:b/>
          <w:color w:val="000000" w:themeColor="text1"/>
          <w:kern w:val="24"/>
          <w:sz w:val="24"/>
          <w:szCs w:val="24"/>
          <w:lang w:eastAsia="en-GB"/>
        </w:rPr>
        <w:t>Slide 13</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lastRenderedPageBreak/>
        <w:t>A Manx proverb from the nineteenth century captures the impact tourism had on the Manx language, “</w:t>
      </w:r>
      <w:r w:rsidRPr="002A35D9">
        <w:rPr>
          <w:rFonts w:ascii="Verdana" w:eastAsiaTheme="minorEastAsia" w:hAnsi="Verdana"/>
          <w:i/>
          <w:iCs/>
          <w:color w:val="000000" w:themeColor="text1"/>
          <w:kern w:val="24"/>
          <w:sz w:val="24"/>
          <w:szCs w:val="24"/>
          <w:lang w:eastAsia="en-GB"/>
        </w:rPr>
        <w:t xml:space="preserve">Tra haink ny skibbyltee boghtey stiagh hie yn Ghaelg magh.” </w:t>
      </w:r>
      <w:r w:rsidRPr="002A35D9">
        <w:rPr>
          <w:rFonts w:ascii="Verdana" w:eastAsiaTheme="minorEastAsia" w:hAnsi="Verdana"/>
          <w:color w:val="000000" w:themeColor="text1"/>
          <w:kern w:val="24"/>
          <w:sz w:val="24"/>
          <w:szCs w:val="24"/>
          <w:lang w:eastAsia="en-GB"/>
        </w:rPr>
        <w:t>[When the tourists came in, the Manx language went out.] (Gawne, 2004).</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14</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Closely linked to economic status is social status, that is, a language’s perceived ‘prestige’.  Baker (2011) suggests that the social status of a minority language may be negatively impacted when it is associated with unemployment, poverty and social deprivation.  Brenzinger (2006) confirms that where a minority speech community have a relatively low social economic status, there is a strong tendency to shift towards the majority language. In the case of Manx, the language (over time) became associated with poverty and ignorance, even by Manx speakers themselves.  Consequently, intergenerational transmission of Manx declined, with parents deciding to avoid such stigma for their children by speaking to them only in English (Thomson, 2000).</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15</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Immigration from England and Scotland into the Island during the late 18</w:t>
      </w:r>
      <w:r w:rsidRPr="002A35D9">
        <w:rPr>
          <w:rFonts w:ascii="Verdana" w:eastAsiaTheme="minorEastAsia" w:hAnsi="Verdana"/>
          <w:color w:val="000000" w:themeColor="text1"/>
          <w:kern w:val="24"/>
          <w:position w:val="7"/>
          <w:sz w:val="24"/>
          <w:szCs w:val="24"/>
          <w:vertAlign w:val="superscript"/>
          <w:lang w:eastAsia="en-GB"/>
        </w:rPr>
        <w:t>th</w:t>
      </w:r>
      <w:r w:rsidRPr="002A35D9">
        <w:rPr>
          <w:rFonts w:ascii="Verdana" w:eastAsiaTheme="minorEastAsia" w:hAnsi="Verdana"/>
          <w:color w:val="000000" w:themeColor="text1"/>
          <w:kern w:val="24"/>
          <w:sz w:val="24"/>
          <w:szCs w:val="24"/>
          <w:lang w:eastAsia="en-GB"/>
        </w:rPr>
        <w:t xml:space="preserve"> and early 19</w:t>
      </w:r>
      <w:r w:rsidRPr="002A35D9">
        <w:rPr>
          <w:rFonts w:ascii="Verdana" w:eastAsiaTheme="minorEastAsia" w:hAnsi="Verdana"/>
          <w:color w:val="000000" w:themeColor="text1"/>
          <w:kern w:val="24"/>
          <w:position w:val="7"/>
          <w:sz w:val="24"/>
          <w:szCs w:val="24"/>
          <w:vertAlign w:val="superscript"/>
          <w:lang w:eastAsia="en-GB"/>
        </w:rPr>
        <w:t>th</w:t>
      </w:r>
      <w:r w:rsidRPr="002A35D9">
        <w:rPr>
          <w:rFonts w:ascii="Verdana" w:eastAsiaTheme="minorEastAsia" w:hAnsi="Verdana"/>
          <w:color w:val="000000" w:themeColor="text1"/>
          <w:kern w:val="24"/>
          <w:sz w:val="24"/>
          <w:szCs w:val="24"/>
          <w:lang w:eastAsia="en-GB"/>
        </w:rPr>
        <w:t xml:space="preserve"> centuries served to further undermine the status of the Manx language.  Whilst the use of the language was impacted by the consequent increase in exogamy and immigrant assimilation into Manx culture.  Appel &amp; Muysken (1987: 35) propose that the percentage of </w:t>
      </w:r>
      <w:r w:rsidRPr="002A35D9">
        <w:rPr>
          <w:rFonts w:ascii="Verdana" w:eastAsiaTheme="minorEastAsia" w:hAnsi="Verdana"/>
          <w:color w:val="000000" w:themeColor="text1"/>
          <w:kern w:val="24"/>
          <w:sz w:val="24"/>
          <w:szCs w:val="24"/>
          <w:lang w:eastAsia="en-GB"/>
        </w:rPr>
        <w:lastRenderedPageBreak/>
        <w:t xml:space="preserve">speakers maintaining a minority language can be strongly influenced by the occurrence of exogamy.  It is generally accepted, that within exogamous marriages, the most ‘prestigious’ language generally gains dominance in the home, decreasing intergenerational transmission of a language and as a consequence, the ‘high’ language becomes the first language of the child.  </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In addition, Coakley (2001) cites the surge of emigration of Manx people to England, America and other countries such as, Canada, South Africa, Australia and New Zealand as a contributory factor to the decline in Manx.  This increase in emigration Broderick (1999) suggests, was largely driven by the economic ill fortune of the islanders following the Napoleonic Wars, depression in the fishing industry and famine.  Given Mann’s small population, one cannot underestimate the effect emigration on this scale had on the local speech community and it would have undeniably pushed the already endangered Manx language closer to the brink of death.  It is however interesting to note that it has been found that the Manx people who </w:t>
      </w:r>
      <w:proofErr w:type="gramStart"/>
      <w:r w:rsidRPr="002A35D9">
        <w:rPr>
          <w:rFonts w:ascii="Verdana" w:eastAsiaTheme="minorEastAsia" w:hAnsi="Verdana"/>
          <w:color w:val="000000" w:themeColor="text1"/>
          <w:kern w:val="24"/>
          <w:sz w:val="24"/>
          <w:szCs w:val="24"/>
          <w:lang w:eastAsia="en-GB"/>
        </w:rPr>
        <w:t>emigrated</w:t>
      </w:r>
      <w:proofErr w:type="gramEnd"/>
      <w:r w:rsidRPr="002A35D9">
        <w:rPr>
          <w:rFonts w:ascii="Verdana" w:eastAsiaTheme="minorEastAsia" w:hAnsi="Verdana"/>
          <w:color w:val="000000" w:themeColor="text1"/>
          <w:kern w:val="24"/>
          <w:sz w:val="24"/>
          <w:szCs w:val="24"/>
          <w:lang w:eastAsia="en-GB"/>
        </w:rPr>
        <w:t xml:space="preserve"> to other countries from the island maintained positive attitudes towards the mother tongue.  For example, Clarke (1872) reported that a thousand Manx people who were resident in Cleveland, Ohio (USA) had maintained Manx as their everyday language in most domains, with some even acquiring their Manx in America.  Furthermore, Manx was used as a community language in Cleveland, other parts of Ohio, and parts of Pennsylvania until the early twentieth century – perhaps longer than in the Isle of Man itself (Ager 2009).  And </w:t>
      </w:r>
      <w:r w:rsidRPr="002A35D9">
        <w:rPr>
          <w:rFonts w:ascii="Verdana" w:eastAsiaTheme="minorEastAsia" w:hAnsi="Verdana"/>
          <w:color w:val="000000" w:themeColor="text1"/>
          <w:kern w:val="24"/>
          <w:sz w:val="24"/>
          <w:szCs w:val="24"/>
          <w:lang w:eastAsia="en-GB"/>
        </w:rPr>
        <w:lastRenderedPageBreak/>
        <w:t>approximately 30,000 of the current residents of Cleveland are of Manx origin (Stowell, 2005).  The case of Manx in Cleveland is testament to the role of shared ideology and the community in minority language maintenance, where communities are not just concerned with language, but with maintaining ethnic identity.  Hinton (1999) proposes that this is often associated with speech communities isolated from the homeland.  Furthermore, the factors contributing to language vitality in both cases should be considered separately, with factors affecting the vitality of the Manx speech community on Mann considered at the societal level (e.g. economic factors, demographic factors, institutional support factors, environmental factors, and political factors), whilst the factors impacting the speech community in Cleveland should be considered at the individual level (e.g. through factors such as language behaviour, language attitudes, pattern of language use with the family) (Sofu, 2009).  As Grenoble &amp; Whalley state, despite a recognition of the “commonality to the general circumstances that bring about language endangerment,</w:t>
      </w:r>
      <w:proofErr w:type="gramStart"/>
      <w:r w:rsidRPr="002A35D9">
        <w:rPr>
          <w:rFonts w:ascii="Verdana" w:eastAsiaTheme="minorEastAsia" w:hAnsi="Verdana"/>
          <w:color w:val="000000" w:themeColor="text1"/>
          <w:kern w:val="24"/>
          <w:sz w:val="24"/>
          <w:szCs w:val="24"/>
          <w:lang w:eastAsia="en-GB"/>
        </w:rPr>
        <w:t>…[</w:t>
      </w:r>
      <w:proofErr w:type="gramEnd"/>
      <w:r w:rsidRPr="002A35D9">
        <w:rPr>
          <w:rFonts w:ascii="Verdana" w:eastAsiaTheme="minorEastAsia" w:hAnsi="Verdana"/>
          <w:color w:val="000000" w:themeColor="text1"/>
          <w:kern w:val="24"/>
          <w:sz w:val="24"/>
          <w:szCs w:val="24"/>
          <w:lang w:eastAsia="en-GB"/>
        </w:rPr>
        <w:t xml:space="preserve">it is] regionally specific, or even community specific, factors [that] dictate the ultimate effect of these circumstances” (1996:211).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16</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A well-known Manx saying from the 1880s, captures the attitude that many Manx speakers had towards their language during the nineteenth and twentieth centuries: “</w:t>
      </w:r>
      <w:r w:rsidRPr="002A35D9">
        <w:rPr>
          <w:rFonts w:ascii="Verdana" w:eastAsiaTheme="minorEastAsia" w:hAnsi="Verdana"/>
          <w:i/>
          <w:iCs/>
          <w:color w:val="000000" w:themeColor="text1"/>
          <w:kern w:val="24"/>
          <w:sz w:val="24"/>
          <w:szCs w:val="24"/>
          <w:lang w:eastAsia="en-GB"/>
        </w:rPr>
        <w:t>cha jean oo cosney ping lesh y Ghailck</w:t>
      </w:r>
      <w:r w:rsidRPr="002A35D9">
        <w:rPr>
          <w:rFonts w:ascii="Verdana" w:eastAsiaTheme="minorEastAsia" w:hAnsi="Verdana"/>
          <w:color w:val="000000" w:themeColor="text1"/>
          <w:kern w:val="24"/>
          <w:sz w:val="24"/>
          <w:szCs w:val="24"/>
          <w:lang w:eastAsia="en-GB"/>
        </w:rPr>
        <w:t>” [you will not earn a penny from Manx] (Broderick, 1999: 13).</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17</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Historically, the prestige attached to the English language by religious and political leaders of the Isle of Man, believing it to be more advantageous and modern, only served to further undermine the status of the Manx language.  For example, Stowell (2005) relates the great efforts of James, the Seventh Earl of Derby and Lord of Mann (1627 – 1643), to encourage young Manx men to pursue English university education. The perception of English as being more modern and valuable would certainly have been a contributory factor to the language shift experienced in Mann, indeed, Coluzzi (2015) emphasises the ideology of “modernity” as a major cause for language shift.  Modernisation is also highlighted by Hyltenstam and Stroud (1996) as a factor that can determine the social status of a language at speech community level.  The prestige of the English language would have certainly been persuasive to the common Manxman, given the fact that this perception was emphasised by the upper classes (e.g. religious and political leaders).  Generally, there is positive prestige associated with the language or dialect of the upper classes, and negative prestige with the language or dialect of the lower classes.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18</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In the case of Manx, the language (over time) became associated with poverty and ignorance, even by Manx speakers themselves.  Consequently, intergenerational transmission of Manx declined, with </w:t>
      </w:r>
      <w:r w:rsidRPr="002A35D9">
        <w:rPr>
          <w:rFonts w:ascii="Verdana" w:eastAsiaTheme="minorEastAsia" w:hAnsi="Verdana"/>
          <w:color w:val="000000" w:themeColor="text1"/>
          <w:kern w:val="24"/>
          <w:sz w:val="24"/>
          <w:szCs w:val="24"/>
          <w:lang w:eastAsia="en-GB"/>
        </w:rPr>
        <w:lastRenderedPageBreak/>
        <w:t>parents deciding to avoid such stigma for their children by speaking to them only in English (Thomson, 2000).</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19</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Loosely related to cultural factors, symbolic status is also cited as a key indicator of language ethnic identity, local heritage and historical groups.  UNESCO (2003: 14) propose that when the speech community member’s attitudes towards their language is positive, the language may be perceived as a symbol of group identity resulting in the speech community viewing their language as a cultural core value, vital to their community and ethnic identity.  This unfortunately was not the case on the Isle of Man in regards to the Manx language for a significant period of history.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20</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In 1821, the strength of the growing hostility towards Manx was demonstrated in an anonymous letter to the Manx Advertiser:</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“What better is the gibberish called Manx than an uncouth mouthful of course (sic) savage expressions... Abolish the Manx; I would say then, as fast as ye can, ye learned of the country. Judges, Lawyers, Clergy, crush it. Allow no one, not even one of your servants or neighbours to speak one word of Manx; and thus, by degrees, annihilate it.” (Stowell, 2005).</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21</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lastRenderedPageBreak/>
        <w:t>Similarly, Miller (1994) recounts a letter dated 1883 written by a visitor to the Isle of Man that states, “There can be no doubt that the Manx people are thoroughly ashamed of their language”.  The writer also states that those who “habitually use Manx were spoken of with contempt by the other Manx people of their own class who used English only”.</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22</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Accounts suggest that this growing hostility towards Manx was prevalent until the 1970s and would have undoubtedly contributed to the decline in the use of Manx.  Interestingly, Stowell (2009) reports that many Manx people had developed simultaneous feelings of hostility towards the Manx language alongside a paradoxical sense of pride of their Manx identity.  Stowell (2009) suggests that such paradoxical attitudes are likely a result of the psychological impact of the shift from Manx to English.  And whilst the Manx language is not widely spoken, it remains intertwined with the history and national identity of the Manx people (Broderick, 1999, p. 174).</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Language revitalisation efforts from the 1980s to the current day, suggest that this overt expression of hostility towards the Manx language has diminished.  Karran &amp; Pilgrim (2009) illustrate this shift in attitude reporting that a question put to the Tynwald in 1974 about Manx was given little consideration, with many members even openly mocking it, however, whilst a later motion for the greater use of Manx in 1985 was given full consideration.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23</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Like Giles, Bourhis and Taylor (1977), Hyltenstam &amp; Stroud (1996) also classify demographic factors as a key evaluative factor of language vitality and include: size, geographical distribution, immigration and migration, age and gender distribution and endogamy/ exogamy.Factor 2 UNESCO (2003: 8) cautions that it is difficult to ascertain a valid interpretation of absolute number of speakers, however caution that a small speech community is always at risk.  A small speech community is also susceptible to losing its own language and culture as it merges with the majority community.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24</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The language shift experienced on Mann is manifested as loss in number of speakers.  Though Ó Néill (2005) reports that until the early nineteenth century the majority of Manx people were monolingual in Manx, a stark decline in native speakers was captured in a 1911 survey which reported just 4.6% of the population routinely spoke Manx (Thomson, 2000) compared to a 1871 survey, which recorded that 29% of the population routinely spoke Manx, of which 1.5% were monoglots (Jenner, 1877).  </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Despite the declining numbers, Manx continued to be used as a community language, albeit in small numbers, into the 1920s (Ó Néill, 2005). After which there remained a small number of people who had learned the language from the older generations of their family </w:t>
      </w:r>
      <w:r w:rsidRPr="002A35D9">
        <w:rPr>
          <w:rFonts w:ascii="Verdana" w:eastAsiaTheme="minorEastAsia" w:hAnsi="Verdana"/>
          <w:color w:val="000000" w:themeColor="text1"/>
          <w:kern w:val="24"/>
          <w:sz w:val="24"/>
          <w:szCs w:val="24"/>
          <w:lang w:eastAsia="en-GB"/>
        </w:rPr>
        <w:lastRenderedPageBreak/>
        <w:t>(characterised by Stage 8 in Fishman’s GIDS) but who rarely used it and lived isolated from one another and surrounded by English speakers. Intergenerational transmission was rare and the belief that English was essential pervaded.  Gill (1859, v) laments, “It is rarely now heard in conversation except among the peasantry. It is a doomed language - an iceberg floating into southern latitudes.”</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25</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By the 1960s only two native speakers of Manx remained: Mrs. Sage Kinvig of Ronague (died in 1962) and Mr. Edward (Ned) Maddrell of Glenchass (died on 27th December 1974). Despite the death of its’ last native speaker and being declared extinct by UNESCO in 2009, Broderick (1999) reports that Manx was still used by a few second language speakers until the 1980s.  Moreover, in response to the 2009 edition of UNESCO’s Atlas of World Languages in Danger, pupils from Bunscoill Ghaelgagh School wrote letters asking the organisation, “</w:t>
      </w:r>
      <w:proofErr w:type="gramStart"/>
      <w:r w:rsidRPr="002A35D9">
        <w:rPr>
          <w:rFonts w:ascii="Verdana" w:eastAsiaTheme="minorEastAsia" w:hAnsi="Verdana"/>
          <w:color w:val="000000" w:themeColor="text1"/>
          <w:kern w:val="24"/>
          <w:sz w:val="24"/>
          <w:szCs w:val="24"/>
          <w:lang w:eastAsia="en-GB"/>
        </w:rPr>
        <w:t>if</w:t>
      </w:r>
      <w:proofErr w:type="gramEnd"/>
      <w:r w:rsidRPr="002A35D9">
        <w:rPr>
          <w:rFonts w:ascii="Verdana" w:eastAsiaTheme="minorEastAsia" w:hAnsi="Verdana"/>
          <w:color w:val="000000" w:themeColor="text1"/>
          <w:kern w:val="24"/>
          <w:sz w:val="24"/>
          <w:szCs w:val="24"/>
          <w:lang w:eastAsia="en-GB"/>
        </w:rPr>
        <w:t xml:space="preserve"> our language is extinct then what language are we writing in?” (Whitehead, 2015).</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26</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Gill (1859, v) laments, “It is rarely now heard in conversation except among the peasantry. It is a doomed language - an iceberg floating into southern latitudes.”</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27</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lastRenderedPageBreak/>
        <w:t>Censuses conducted during the 20</w:t>
      </w:r>
      <w:r w:rsidRPr="002A35D9">
        <w:rPr>
          <w:rFonts w:ascii="Verdana" w:eastAsiaTheme="minorEastAsia" w:hAnsi="Verdana"/>
          <w:color w:val="000000" w:themeColor="text1"/>
          <w:kern w:val="24"/>
          <w:position w:val="7"/>
          <w:sz w:val="24"/>
          <w:szCs w:val="24"/>
          <w:vertAlign w:val="superscript"/>
          <w:lang w:eastAsia="en-GB"/>
        </w:rPr>
        <w:t>th</w:t>
      </w:r>
      <w:r w:rsidRPr="002A35D9">
        <w:rPr>
          <w:rFonts w:ascii="Verdana" w:eastAsiaTheme="minorEastAsia" w:hAnsi="Verdana"/>
          <w:color w:val="000000" w:themeColor="text1"/>
          <w:kern w:val="24"/>
          <w:sz w:val="24"/>
          <w:szCs w:val="24"/>
          <w:lang w:eastAsia="en-GB"/>
        </w:rPr>
        <w:t xml:space="preserve"> century generally note a decline in the number of Manx speakers: (1901) 4,419, (1911) 2,382, (1921) 896, (1931) 531, (1951) 355, (1961) 165, (1971) 284.  However, it is encouraging to note that Census data from the past two decades are more optimistic.  The 2001 census notes a 1.1% rise in the number Manx speakers on the island, “due to the eﬀorts of the Department of Education’s Manx Language Unit introducing Manx Gaelic more comprehensively into the Island’s schools.” (Isle of Man Government Treasury, Economic Aﬀairs Division, 2001).   Moreover, the 2011 census reported an increase of 134 speakers from the 2001 census.  However, caution should be applied when considering census data as it fails to diﬀerentiate between those who would be considered ﬂuent from those who only have basic proficiency.</w:t>
      </w:r>
      <w:r w:rsidRPr="002A35D9">
        <w:rPr>
          <w:rFonts w:ascii="Verdana" w:eastAsiaTheme="minorEastAsia" w:hAnsi="Verdana"/>
          <w:color w:val="000000" w:themeColor="text1"/>
          <w:kern w:val="24"/>
          <w:sz w:val="24"/>
          <w:szCs w:val="24"/>
          <w:lang w:val="es-ES" w:eastAsia="en-GB"/>
        </w:rPr>
        <w:t xml:space="preserve">  Nevertheless, though estimates of the current number of Manx speakers vary, data suggests that they are hundreds strong, and growing.  I</w:t>
      </w:r>
      <w:r w:rsidRPr="002A35D9">
        <w:rPr>
          <w:rFonts w:ascii="Verdana" w:eastAsiaTheme="minorEastAsia" w:hAnsi="Verdana"/>
          <w:color w:val="000000" w:themeColor="text1"/>
          <w:kern w:val="24"/>
          <w:sz w:val="24"/>
          <w:szCs w:val="24"/>
          <w:lang w:eastAsia="en-GB"/>
        </w:rPr>
        <w:t>ncluding a small number of children being raised in monolingual Manx-speaking families.</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28</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Although a small speech community is always at risk (UNESCO, 2003:8), it is widely accepted that a high number of speakers is not sufficient to ensure the stability of an endangered language.  Rather, Giles et al (1977) suggest that the critical mass of a language minority group (the geographical distribution), social networks and contact with /isolation from the homeland, should also be considered holistically.   Fishman’s </w:t>
      </w:r>
      <w:r w:rsidRPr="002A35D9">
        <w:rPr>
          <w:rFonts w:ascii="Verdana" w:eastAsiaTheme="minorEastAsia" w:hAnsi="Verdana"/>
          <w:color w:val="000000" w:themeColor="text1"/>
          <w:kern w:val="24"/>
          <w:sz w:val="24"/>
          <w:szCs w:val="24"/>
          <w:lang w:eastAsia="en-GB"/>
        </w:rPr>
        <w:lastRenderedPageBreak/>
        <w:t xml:space="preserve">GIDS scale (1990, 1991) places social isolation of the few remaining speakers of a minority language at Stage 8, the highest number of the scale, suggesting that in such situations, a minority language is at high risk.  With the increasing age and isolation of native speakers comes individual language loss (in regards to competency) and thus societal language loss.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29</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The use of a minority language in a wide range of institutions – Institutional Support - is closely correlated to the social status of a language. Giles et al (1977) propose that institutional support factors include mass media, religion, administrative services and education systems and are key to ensuring language vitality.  Similarly, UNESCO (2003: 11) defines Response to New Domains (Factor 5) as a key determinate of language vitality.</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30</w:t>
      </w:r>
    </w:p>
    <w:p w:rsidR="002A35D9" w:rsidRPr="002A35D9" w:rsidRDefault="002A35D9" w:rsidP="00331169">
      <w:pPr>
        <w:spacing w:after="0" w:line="480" w:lineRule="auto"/>
        <w:rPr>
          <w:rFonts w:ascii="Verdana" w:eastAsia="Times New Roman" w:hAnsi="Verdana" w:cs="Times New Roman"/>
          <w:sz w:val="24"/>
          <w:szCs w:val="24"/>
          <w:lang w:eastAsia="en-GB"/>
        </w:rPr>
      </w:pPr>
      <w:r w:rsidRPr="002A35D9">
        <w:rPr>
          <w:rFonts w:ascii="Verdana" w:eastAsiaTheme="minorEastAsia" w:hAnsi="Verdana"/>
          <w:color w:val="000000" w:themeColor="text1"/>
          <w:kern w:val="24"/>
          <w:sz w:val="24"/>
          <w:szCs w:val="24"/>
          <w:lang w:eastAsia="en-GB"/>
        </w:rPr>
        <w:t xml:space="preserve">With this in mind, Stowell (2005) suggests that the influence of the English language on Manx can be traced back to 1405, when tenure of the island was granted to Sir John Stanley by Henry IV, resulting in the isolation of the island from Gaelic-speaking Ireland and Scotland, increased trade with England, and the acquirement of English-speaking administrators. </w:t>
      </w:r>
    </w:p>
    <w:p w:rsidR="002A35D9" w:rsidRPr="00331169" w:rsidRDefault="002A35D9" w:rsidP="00331169">
      <w:pPr>
        <w:spacing w:after="0" w:line="480" w:lineRule="auto"/>
        <w:rPr>
          <w:rFonts w:ascii="Verdana" w:eastAsia="Times New Roman" w:hAnsi="Verdana" w:cs="Times New Roman"/>
          <w:sz w:val="24"/>
          <w:szCs w:val="24"/>
          <w:lang w:eastAsia="en-GB"/>
        </w:rPr>
      </w:pPr>
    </w:p>
    <w:p w:rsidR="002A35D9" w:rsidRPr="002E26FD" w:rsidRDefault="002A35D9"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lastRenderedPageBreak/>
        <w:t>Slide 31</w:t>
      </w:r>
    </w:p>
    <w:p w:rsidR="002A35D9" w:rsidRPr="00331169" w:rsidRDefault="00382DA1" w:rsidP="00331169">
      <w:pPr>
        <w:spacing w:after="0" w:line="480" w:lineRule="auto"/>
        <w:rPr>
          <w:rFonts w:ascii="Verdana" w:eastAsiaTheme="minorEastAsia" w:hAnsi="Verdana"/>
          <w:color w:val="000000" w:themeColor="text1"/>
          <w:kern w:val="24"/>
          <w:sz w:val="24"/>
          <w:szCs w:val="24"/>
          <w:lang w:eastAsia="en-GB"/>
        </w:rPr>
      </w:pPr>
      <w:r w:rsidRPr="00331169">
        <w:rPr>
          <w:rFonts w:ascii="Verdana" w:eastAsiaTheme="minorEastAsia" w:hAnsi="Verdana"/>
          <w:color w:val="000000" w:themeColor="text1"/>
          <w:kern w:val="24"/>
          <w:sz w:val="24"/>
          <w:szCs w:val="24"/>
          <w:lang w:eastAsia="en-GB"/>
        </w:rPr>
        <w:t>H</w:t>
      </w:r>
      <w:r w:rsidR="002A35D9" w:rsidRPr="002A35D9">
        <w:rPr>
          <w:rFonts w:ascii="Verdana" w:eastAsiaTheme="minorEastAsia" w:hAnsi="Verdana"/>
          <w:color w:val="000000" w:themeColor="text1"/>
          <w:kern w:val="24"/>
          <w:sz w:val="24"/>
          <w:szCs w:val="24"/>
          <w:lang w:eastAsia="en-GB"/>
        </w:rPr>
        <w:t xml:space="preserve">istorically the use of Manx in a range of institutions has been limited.  In 1798 John Feltham wrote, “The enlightened Manksman, if he is fond of his native language, must lament the barrenness of its literary field, and the almost daily disuse of his mother tongue. The English language is preferred in general. In the Church and in the Courts of Law, it is indispensably necessary: in general the lower class understand English, and few are wholly ignorant of it; yet they are more ready at, and attached to, their Manks.” (Feltham, 1798).  </w:t>
      </w:r>
    </w:p>
    <w:p w:rsidR="00382DA1" w:rsidRPr="00331169" w:rsidRDefault="00382DA1" w:rsidP="00331169">
      <w:pPr>
        <w:spacing w:after="0" w:line="480" w:lineRule="auto"/>
        <w:rPr>
          <w:rFonts w:ascii="Verdana" w:eastAsiaTheme="minorEastAsia" w:hAnsi="Verdana"/>
          <w:color w:val="000000" w:themeColor="text1"/>
          <w:kern w:val="24"/>
          <w:sz w:val="24"/>
          <w:szCs w:val="24"/>
          <w:lang w:eastAsia="en-GB"/>
        </w:rPr>
      </w:pPr>
    </w:p>
    <w:p w:rsidR="00382DA1" w:rsidRPr="002E26FD" w:rsidRDefault="00382DA1" w:rsidP="00331169">
      <w:pPr>
        <w:spacing w:after="0" w:line="480" w:lineRule="auto"/>
        <w:rPr>
          <w:rFonts w:ascii="Verdana" w:eastAsiaTheme="minorEastAsia" w:hAnsi="Verdana"/>
          <w:b/>
          <w:color w:val="000000" w:themeColor="text1"/>
          <w:kern w:val="24"/>
          <w:sz w:val="24"/>
          <w:szCs w:val="24"/>
          <w:lang w:eastAsia="en-GB"/>
        </w:rPr>
      </w:pPr>
      <w:r w:rsidRPr="002E26FD">
        <w:rPr>
          <w:rFonts w:ascii="Verdana" w:eastAsiaTheme="minorEastAsia" w:hAnsi="Verdana"/>
          <w:b/>
          <w:color w:val="000000" w:themeColor="text1"/>
          <w:kern w:val="24"/>
          <w:sz w:val="24"/>
          <w:szCs w:val="24"/>
          <w:lang w:eastAsia="en-GB"/>
        </w:rPr>
        <w:t>Slide 32</w:t>
      </w:r>
    </w:p>
    <w:p w:rsidR="00382DA1" w:rsidRPr="00331169" w:rsidRDefault="00382DA1" w:rsidP="00331169">
      <w:pPr>
        <w:spacing w:after="0" w:line="480" w:lineRule="auto"/>
        <w:rPr>
          <w:rFonts w:ascii="Verdana" w:eastAsiaTheme="minorEastAsia" w:hAnsi="Verdana"/>
          <w:color w:val="000000" w:themeColor="text1"/>
          <w:kern w:val="24"/>
          <w:sz w:val="24"/>
          <w:szCs w:val="24"/>
          <w:lang w:eastAsia="en-GB"/>
        </w:rPr>
      </w:pPr>
      <w:r w:rsidRPr="00382DA1">
        <w:rPr>
          <w:rFonts w:ascii="Verdana" w:eastAsiaTheme="minorEastAsia" w:hAnsi="Verdana"/>
          <w:color w:val="000000" w:themeColor="text1"/>
          <w:kern w:val="24"/>
          <w:sz w:val="24"/>
          <w:szCs w:val="24"/>
          <w:lang w:eastAsia="en-GB"/>
        </w:rPr>
        <w:t xml:space="preserve">An English-speaking administration has existed on Mann from at least 1334 (Ager 2009).  Although, as previously discussed, an attitudinal shift has resulted in the Tynwald viewing Manx more positively, there is currently no specific governmental policy on Manx or a designated agency in government with responsibility for the language.  Gawne (2009) argues that, with no overall language planning strategy or policy for the Manx language, Manx does not have any ‘official’ status on the Island and thus its position remains precarious.  Official English-only legislation, as is the case on Mann, serves to pragmatically and symbolically elevate English to a high status position (Barker et al 2001). Despite this view, the European Charter for Regional or Minority Languages, which was ratiﬁed by the United Kingdom in 2001, offers some protection for the language.  </w:t>
      </w:r>
      <w:r w:rsidRPr="00382DA1">
        <w:rPr>
          <w:rFonts w:ascii="Verdana" w:eastAsiaTheme="minorEastAsia" w:hAnsi="Verdana"/>
          <w:color w:val="000000" w:themeColor="text1"/>
          <w:kern w:val="24"/>
          <w:sz w:val="24"/>
          <w:szCs w:val="24"/>
          <w:lang w:eastAsia="en-GB"/>
        </w:rPr>
        <w:lastRenderedPageBreak/>
        <w:t>Nevertheless, the use of Manx remains limited by institutions beyond the home and community</w:t>
      </w:r>
      <w:r w:rsidRPr="00331169">
        <w:rPr>
          <w:rFonts w:ascii="Verdana" w:eastAsiaTheme="minorEastAsia" w:hAnsi="Verdana"/>
          <w:color w:val="000000" w:themeColor="text1"/>
          <w:kern w:val="24"/>
          <w:sz w:val="24"/>
          <w:szCs w:val="24"/>
          <w:lang w:eastAsia="en-GB"/>
        </w:rPr>
        <w:t>.</w:t>
      </w:r>
    </w:p>
    <w:p w:rsidR="00382DA1" w:rsidRPr="00331169" w:rsidRDefault="00382DA1" w:rsidP="00331169">
      <w:pPr>
        <w:spacing w:after="0" w:line="480" w:lineRule="auto"/>
        <w:rPr>
          <w:rFonts w:ascii="Verdana" w:eastAsiaTheme="minorEastAsia" w:hAnsi="Verdana"/>
          <w:color w:val="000000" w:themeColor="text1"/>
          <w:kern w:val="24"/>
          <w:sz w:val="24"/>
          <w:szCs w:val="24"/>
          <w:lang w:eastAsia="en-GB"/>
        </w:rPr>
      </w:pPr>
    </w:p>
    <w:p w:rsidR="00382DA1" w:rsidRPr="002E26FD" w:rsidRDefault="00382DA1" w:rsidP="00331169">
      <w:pPr>
        <w:spacing w:after="0" w:line="480" w:lineRule="auto"/>
        <w:rPr>
          <w:rFonts w:ascii="Verdana" w:eastAsiaTheme="minorEastAsia" w:hAnsi="Verdana"/>
          <w:b/>
          <w:color w:val="000000" w:themeColor="text1"/>
          <w:kern w:val="24"/>
          <w:sz w:val="24"/>
          <w:szCs w:val="24"/>
          <w:lang w:eastAsia="en-GB"/>
        </w:rPr>
      </w:pPr>
      <w:r w:rsidRPr="002E26FD">
        <w:rPr>
          <w:rFonts w:ascii="Verdana" w:eastAsiaTheme="minorEastAsia" w:hAnsi="Verdana"/>
          <w:b/>
          <w:color w:val="000000" w:themeColor="text1"/>
          <w:kern w:val="24"/>
          <w:sz w:val="24"/>
          <w:szCs w:val="24"/>
          <w:lang w:eastAsia="en-GB"/>
        </w:rPr>
        <w:t>Slide 33</w:t>
      </w:r>
    </w:p>
    <w:p w:rsidR="00382DA1" w:rsidRPr="00382DA1" w:rsidRDefault="00382DA1" w:rsidP="00331169">
      <w:pPr>
        <w:spacing w:after="0" w:line="480" w:lineRule="auto"/>
        <w:rPr>
          <w:rFonts w:ascii="Verdana" w:eastAsia="Times New Roman" w:hAnsi="Verdana" w:cs="Times New Roman"/>
          <w:sz w:val="24"/>
          <w:szCs w:val="24"/>
          <w:lang w:eastAsia="en-GB"/>
        </w:rPr>
      </w:pPr>
      <w:r w:rsidRPr="00382DA1">
        <w:rPr>
          <w:rFonts w:ascii="Verdana" w:eastAsiaTheme="minorEastAsia" w:hAnsi="Verdana"/>
          <w:color w:val="000000" w:themeColor="text1"/>
          <w:kern w:val="24"/>
          <w:sz w:val="24"/>
          <w:szCs w:val="24"/>
          <w:lang w:eastAsia="en-GB"/>
        </w:rPr>
        <w:t xml:space="preserve">The shift from Manx to English by the Anglian Church was instrumental in </w:t>
      </w:r>
      <w:proofErr w:type="gramStart"/>
      <w:r w:rsidRPr="00382DA1">
        <w:rPr>
          <w:rFonts w:ascii="Verdana" w:eastAsiaTheme="minorEastAsia" w:hAnsi="Verdana"/>
          <w:color w:val="000000" w:themeColor="text1"/>
          <w:kern w:val="24"/>
          <w:sz w:val="24"/>
          <w:szCs w:val="24"/>
          <w:lang w:eastAsia="en-GB"/>
        </w:rPr>
        <w:t>accelerating</w:t>
      </w:r>
      <w:proofErr w:type="gramEnd"/>
      <w:r w:rsidRPr="00382DA1">
        <w:rPr>
          <w:rFonts w:ascii="Verdana" w:eastAsiaTheme="minorEastAsia" w:hAnsi="Verdana"/>
          <w:color w:val="000000" w:themeColor="text1"/>
          <w:kern w:val="24"/>
          <w:sz w:val="24"/>
          <w:szCs w:val="24"/>
          <w:lang w:eastAsia="en-GB"/>
        </w:rPr>
        <w:t xml:space="preserve"> the decline of the Manx language. The Clergy believed that the Manxman’s lack of knowledge of English was a hindrance to them fully understanding the scriptures and in the 17</w:t>
      </w:r>
      <w:r w:rsidRPr="00382DA1">
        <w:rPr>
          <w:rFonts w:ascii="Verdana" w:eastAsiaTheme="minorEastAsia" w:hAnsi="Verdana"/>
          <w:color w:val="000000" w:themeColor="text1"/>
          <w:kern w:val="24"/>
          <w:position w:val="7"/>
          <w:sz w:val="24"/>
          <w:szCs w:val="24"/>
          <w:vertAlign w:val="superscript"/>
          <w:lang w:eastAsia="en-GB"/>
        </w:rPr>
        <w:t>th</w:t>
      </w:r>
      <w:r w:rsidRPr="00382DA1">
        <w:rPr>
          <w:rFonts w:ascii="Verdana" w:eastAsiaTheme="minorEastAsia" w:hAnsi="Verdana"/>
          <w:color w:val="000000" w:themeColor="text1"/>
          <w:kern w:val="24"/>
          <w:sz w:val="24"/>
          <w:szCs w:val="24"/>
          <w:lang w:eastAsia="en-GB"/>
        </w:rPr>
        <w:t xml:space="preserve"> century Bishop Isaac Barrow set out to establish a systematic schooling system to teach the Manx people English (Broderick, 1999).  As a consequence, the idea that Manx speakers were “backward” and “morally lax” grew advancing the use of English on the Isle of Man (Broderick, 1999, p. 21). </w:t>
      </w:r>
    </w:p>
    <w:p w:rsidR="00382DA1" w:rsidRPr="00331169" w:rsidRDefault="00382DA1" w:rsidP="00331169">
      <w:pPr>
        <w:spacing w:after="0" w:line="480" w:lineRule="auto"/>
        <w:rPr>
          <w:rFonts w:ascii="Verdana" w:eastAsia="Times New Roman" w:hAnsi="Verdana" w:cs="Times New Roman"/>
          <w:sz w:val="24"/>
          <w:szCs w:val="24"/>
          <w:lang w:eastAsia="en-GB"/>
        </w:rPr>
      </w:pPr>
    </w:p>
    <w:p w:rsidR="00382DA1" w:rsidRPr="002E26FD" w:rsidRDefault="00382DA1"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34</w:t>
      </w:r>
    </w:p>
    <w:p w:rsidR="00382DA1" w:rsidRPr="00382DA1" w:rsidRDefault="00382DA1" w:rsidP="00331169">
      <w:pPr>
        <w:spacing w:after="0" w:line="480" w:lineRule="auto"/>
        <w:rPr>
          <w:rFonts w:ascii="Verdana" w:eastAsia="Times New Roman" w:hAnsi="Verdana" w:cs="Times New Roman"/>
          <w:sz w:val="24"/>
          <w:szCs w:val="24"/>
          <w:lang w:eastAsia="en-GB"/>
        </w:rPr>
      </w:pPr>
      <w:r w:rsidRPr="00382DA1">
        <w:rPr>
          <w:rFonts w:ascii="Verdana" w:eastAsiaTheme="minorEastAsia" w:hAnsi="Verdana"/>
          <w:color w:val="000000" w:themeColor="text1"/>
          <w:kern w:val="24"/>
          <w:sz w:val="24"/>
          <w:szCs w:val="24"/>
          <w:lang w:eastAsia="en-GB"/>
        </w:rPr>
        <w:t xml:space="preserve">Conklin &amp; Lourie (1983) and Giles, Bouhris &amp; Taylor (1977) both propose that the most important factor for language vitality is the status of the </w:t>
      </w:r>
      <w:proofErr w:type="gramStart"/>
      <w:r w:rsidRPr="00382DA1">
        <w:rPr>
          <w:rFonts w:ascii="Verdana" w:eastAsiaTheme="minorEastAsia" w:hAnsi="Verdana"/>
          <w:color w:val="000000" w:themeColor="text1"/>
          <w:kern w:val="24"/>
          <w:sz w:val="24"/>
          <w:szCs w:val="24"/>
          <w:lang w:eastAsia="en-GB"/>
        </w:rPr>
        <w:t>language</w:t>
      </w:r>
      <w:proofErr w:type="gramEnd"/>
      <w:r w:rsidRPr="00382DA1">
        <w:rPr>
          <w:rFonts w:ascii="Verdana" w:eastAsiaTheme="minorEastAsia" w:hAnsi="Verdana"/>
          <w:color w:val="000000" w:themeColor="text1"/>
          <w:kern w:val="24"/>
          <w:sz w:val="24"/>
          <w:szCs w:val="24"/>
          <w:lang w:eastAsia="en-GB"/>
        </w:rPr>
        <w:t xml:space="preserve">.  Although a Government cannot necessarily provide a strong economic status for a minority language, efficient language policies and legislation can increase social value of a minority language and support its legislative legitimacy.  Until the Manx language receives legislative legitimacy, its status will remain precarious.  </w:t>
      </w:r>
    </w:p>
    <w:p w:rsidR="00382DA1" w:rsidRPr="00382DA1" w:rsidRDefault="00382DA1" w:rsidP="00331169">
      <w:pPr>
        <w:spacing w:after="0" w:line="480" w:lineRule="auto"/>
        <w:rPr>
          <w:rFonts w:ascii="Verdana" w:eastAsia="Times New Roman" w:hAnsi="Verdana" w:cs="Times New Roman"/>
          <w:sz w:val="24"/>
          <w:szCs w:val="24"/>
          <w:lang w:eastAsia="en-GB"/>
        </w:rPr>
      </w:pPr>
      <w:r w:rsidRPr="00382DA1">
        <w:rPr>
          <w:rFonts w:ascii="Verdana" w:eastAsiaTheme="minorEastAsia" w:hAnsi="Verdana"/>
          <w:color w:val="000000" w:themeColor="text1"/>
          <w:kern w:val="24"/>
          <w:sz w:val="24"/>
          <w:szCs w:val="24"/>
          <w:lang w:eastAsia="en-GB"/>
        </w:rPr>
        <w:t xml:space="preserve">Nevertheless, the local authorities across Mann have made some efforts to increase the visibility of the Manx language on the Island, with many streets and road signs bilingual in Manx and English.  Although arguably it </w:t>
      </w:r>
      <w:r w:rsidRPr="00382DA1">
        <w:rPr>
          <w:rFonts w:ascii="Verdana" w:eastAsiaTheme="minorEastAsia" w:hAnsi="Verdana"/>
          <w:color w:val="000000" w:themeColor="text1"/>
          <w:kern w:val="24"/>
          <w:sz w:val="24"/>
          <w:szCs w:val="24"/>
          <w:lang w:eastAsia="en-GB"/>
        </w:rPr>
        <w:lastRenderedPageBreak/>
        <w:t xml:space="preserve">may not be quite as visible as Welsh in Wales or Irish in Ireland, whose languages have gained “official” status.  The visibility of endangered/minority languages is vital in raising awareness of and interest in a language, both on an individual and societal level.  Furthermore, it serves to differentiate Mann from other mainly English-speaking countries, thus contributing to a positive national identity (Ager 2009).  However, Cain (2009) cautions that the visibility of Manx may be considered misleading, eluding to the perception that Manx is more widely spoken than it actually is. </w:t>
      </w:r>
    </w:p>
    <w:p w:rsidR="00382DA1" w:rsidRPr="00331169" w:rsidRDefault="00382DA1" w:rsidP="00331169">
      <w:pPr>
        <w:spacing w:after="0" w:line="480" w:lineRule="auto"/>
        <w:rPr>
          <w:rFonts w:ascii="Verdana" w:eastAsia="Times New Roman" w:hAnsi="Verdana" w:cs="Times New Roman"/>
          <w:sz w:val="24"/>
          <w:szCs w:val="24"/>
          <w:lang w:eastAsia="en-GB"/>
        </w:rPr>
      </w:pPr>
    </w:p>
    <w:p w:rsidR="00382DA1" w:rsidRPr="002E26FD" w:rsidRDefault="00382DA1" w:rsidP="00331169">
      <w:pPr>
        <w:spacing w:after="0" w:line="480" w:lineRule="auto"/>
        <w:rPr>
          <w:rFonts w:ascii="Verdana" w:eastAsiaTheme="minorEastAsia" w:hAnsi="Verdana"/>
          <w:b/>
          <w:color w:val="000000" w:themeColor="text1"/>
          <w:kern w:val="24"/>
          <w:sz w:val="24"/>
          <w:szCs w:val="24"/>
          <w:lang w:eastAsia="en-GB"/>
        </w:rPr>
      </w:pPr>
      <w:r w:rsidRPr="002E26FD">
        <w:rPr>
          <w:rFonts w:ascii="Verdana" w:eastAsiaTheme="minorEastAsia" w:hAnsi="Verdana"/>
          <w:b/>
          <w:color w:val="000000" w:themeColor="text1"/>
          <w:kern w:val="24"/>
          <w:sz w:val="24"/>
          <w:szCs w:val="24"/>
          <w:lang w:eastAsia="en-GB"/>
        </w:rPr>
        <w:t>Slide 35</w:t>
      </w:r>
    </w:p>
    <w:p w:rsidR="00382DA1" w:rsidRPr="00382DA1" w:rsidRDefault="00382DA1" w:rsidP="00331169">
      <w:pPr>
        <w:spacing w:after="0" w:line="480" w:lineRule="auto"/>
        <w:rPr>
          <w:rFonts w:ascii="Verdana" w:eastAsia="Times New Roman" w:hAnsi="Verdana" w:cs="Times New Roman"/>
          <w:sz w:val="24"/>
          <w:szCs w:val="24"/>
          <w:lang w:eastAsia="en-GB"/>
        </w:rPr>
      </w:pPr>
      <w:r w:rsidRPr="00382DA1">
        <w:rPr>
          <w:rFonts w:ascii="Verdana" w:eastAsiaTheme="minorEastAsia" w:hAnsi="Verdana"/>
          <w:color w:val="000000" w:themeColor="text1"/>
          <w:kern w:val="24"/>
          <w:sz w:val="24"/>
          <w:szCs w:val="24"/>
          <w:lang w:eastAsia="en-GB"/>
        </w:rPr>
        <w:t>UNESCO confirms that education in a minority language is essential for language vitality (2003: 12).  Globally, education policies and strategies have proved to be key in both the decline and revitalisation of endangered languages.</w:t>
      </w:r>
    </w:p>
    <w:p w:rsidR="00382DA1" w:rsidRPr="00331169" w:rsidRDefault="00382DA1" w:rsidP="00331169">
      <w:pPr>
        <w:spacing w:after="0" w:line="480" w:lineRule="auto"/>
        <w:rPr>
          <w:rFonts w:ascii="Verdana" w:eastAsia="Times New Roman" w:hAnsi="Verdana" w:cs="Times New Roman"/>
          <w:sz w:val="24"/>
          <w:szCs w:val="24"/>
          <w:lang w:eastAsia="en-GB"/>
        </w:rPr>
      </w:pPr>
      <w:r w:rsidRPr="00382DA1">
        <w:rPr>
          <w:rFonts w:ascii="Verdana" w:eastAsiaTheme="minorEastAsia" w:hAnsi="Verdana"/>
          <w:color w:val="000000" w:themeColor="text1"/>
          <w:kern w:val="24"/>
          <w:sz w:val="24"/>
          <w:szCs w:val="24"/>
          <w:lang w:eastAsia="en-GB"/>
        </w:rPr>
        <w:t>As previously discussed, the view that English medium education as being superior was particularly prevalent on Mann in the seventeenth century.  The withdrawal of support from the Anglican Church for Manx-medium instruction in schools, driven by the establishment of English-medium schools across the island, had grave consequences for the Manx Language.  Indeed, by 1782, English had become the main language of instruction in all but five schools on the island (Ager 2009).</w:t>
      </w:r>
    </w:p>
    <w:p w:rsidR="00382DA1" w:rsidRPr="00331169" w:rsidRDefault="00382DA1" w:rsidP="00331169">
      <w:pPr>
        <w:spacing w:after="0" w:line="480" w:lineRule="auto"/>
        <w:rPr>
          <w:rFonts w:ascii="Verdana" w:eastAsia="Times New Roman" w:hAnsi="Verdana" w:cs="Times New Roman"/>
          <w:sz w:val="24"/>
          <w:szCs w:val="24"/>
          <w:lang w:eastAsia="en-GB"/>
        </w:rPr>
      </w:pPr>
    </w:p>
    <w:p w:rsidR="00382DA1" w:rsidRPr="002E26FD" w:rsidRDefault="00382DA1" w:rsidP="00331169">
      <w:pPr>
        <w:spacing w:after="0" w:line="480" w:lineRule="auto"/>
        <w:rPr>
          <w:rFonts w:ascii="Verdana" w:eastAsia="Times New Roman" w:hAnsi="Verdana" w:cs="Times New Roman"/>
          <w:b/>
          <w:sz w:val="24"/>
          <w:szCs w:val="24"/>
          <w:lang w:eastAsia="en-GB"/>
        </w:rPr>
      </w:pPr>
      <w:r w:rsidRPr="002E26FD">
        <w:rPr>
          <w:rFonts w:ascii="Verdana" w:eastAsia="Times New Roman" w:hAnsi="Verdana" w:cs="Times New Roman"/>
          <w:b/>
          <w:sz w:val="24"/>
          <w:szCs w:val="24"/>
          <w:lang w:eastAsia="en-GB"/>
        </w:rPr>
        <w:t>Slide 36</w:t>
      </w:r>
    </w:p>
    <w:p w:rsidR="00382DA1" w:rsidRPr="00331169" w:rsidRDefault="00382DA1"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lastRenderedPageBreak/>
        <w:t xml:space="preserve">A system of compulsory education was established on Mann by the Manx Education Act in 1872.  And education was then made available free of charge by the subsequent Education Act of 1892.  English however remained the medium of instruction in all schools, irrespective of children’s linguistic backgrounds. Broderick (1999: 22) observes that although there was nothing in the Act providing against the teaching of Manx, “in practical terms the Act facilitated the dissemination of English in Man”. </w:t>
      </w:r>
    </w:p>
    <w:p w:rsidR="00382DA1" w:rsidRPr="00331169" w:rsidRDefault="00382DA1" w:rsidP="00331169">
      <w:pPr>
        <w:pStyle w:val="NormalWeb"/>
        <w:spacing w:before="0" w:beforeAutospacing="0" w:after="0" w:afterAutospacing="0" w:line="480" w:lineRule="auto"/>
        <w:rPr>
          <w:rFonts w:ascii="Verdana" w:eastAsiaTheme="minorEastAsia" w:hAnsi="Verdana" w:cstheme="minorBidi"/>
          <w:color w:val="000000" w:themeColor="text1"/>
          <w:kern w:val="24"/>
        </w:rPr>
      </w:pPr>
      <w:r w:rsidRPr="00331169">
        <w:rPr>
          <w:rFonts w:ascii="Verdana" w:eastAsiaTheme="minorEastAsia" w:hAnsi="Verdana" w:cstheme="minorBidi"/>
          <w:color w:val="000000" w:themeColor="text1"/>
          <w:kern w:val="24"/>
        </w:rPr>
        <w:t>Although there are no recorded cases of children being punished for speaking Manx in schools, as was the experience of Welsh speaking children educated in Wales, anecdotal evidence suggests that children were discouraged from doing so.  This would have further contributed to the negative connotations attached to the Manx language and further elevating English as</w:t>
      </w:r>
      <w:r w:rsidRPr="00331169">
        <w:rPr>
          <w:rFonts w:ascii="Verdana" w:eastAsiaTheme="minorEastAsia" w:hAnsi="Verdana" w:cstheme="minorBidi"/>
          <w:color w:val="000000" w:themeColor="text1"/>
          <w:kern w:val="24"/>
        </w:rPr>
        <w:t xml:space="preserve"> the preferred language on Mann.</w:t>
      </w:r>
    </w:p>
    <w:p w:rsidR="00382DA1" w:rsidRPr="00331169" w:rsidRDefault="00382DA1" w:rsidP="00331169">
      <w:pPr>
        <w:pStyle w:val="NormalWeb"/>
        <w:spacing w:before="0" w:beforeAutospacing="0" w:after="0" w:afterAutospacing="0" w:line="480" w:lineRule="auto"/>
        <w:rPr>
          <w:rFonts w:ascii="Verdana" w:eastAsiaTheme="minorEastAsia" w:hAnsi="Verdana" w:cstheme="minorBidi"/>
          <w:color w:val="000000" w:themeColor="text1"/>
          <w:kern w:val="24"/>
        </w:rPr>
      </w:pPr>
    </w:p>
    <w:p w:rsidR="00382DA1" w:rsidRPr="00382DA1" w:rsidRDefault="00382DA1" w:rsidP="00331169">
      <w:pPr>
        <w:pStyle w:val="NormalWeb"/>
        <w:spacing w:before="0" w:beforeAutospacing="0" w:after="0" w:afterAutospacing="0" w:line="480" w:lineRule="auto"/>
        <w:rPr>
          <w:rFonts w:ascii="Verdana" w:hAnsi="Verdana"/>
        </w:rPr>
      </w:pPr>
    </w:p>
    <w:p w:rsidR="00382DA1" w:rsidRPr="00331169" w:rsidRDefault="00382DA1" w:rsidP="00331169">
      <w:pPr>
        <w:spacing w:line="480" w:lineRule="auto"/>
        <w:rPr>
          <w:rFonts w:ascii="Verdana" w:hAnsi="Verdana" w:cs="TimesNewRomanPSMT"/>
          <w:sz w:val="24"/>
          <w:szCs w:val="24"/>
        </w:rPr>
      </w:pPr>
      <w:r w:rsidRPr="00382DA1">
        <w:rPr>
          <w:rFonts w:ascii="Verdana" w:hAnsi="Verdana" w:cs="TimesNewRomanPSMT"/>
          <w:sz w:val="24"/>
          <w:szCs w:val="24"/>
        </w:rPr>
        <w:t>A system of compulsory education was established on Mann by the Manx Education Act in 1872.  And education was then made available free of charge by the subsequent Education Act of 1892.  English however remained the medium of instruction in all schools, irrespective of children’s linguistic backgrounds</w:t>
      </w:r>
      <w:r w:rsidR="00331169" w:rsidRPr="00331169">
        <w:rPr>
          <w:rFonts w:ascii="Verdana" w:hAnsi="Verdana" w:cs="TimesNewRomanPSMT"/>
          <w:sz w:val="24"/>
          <w:szCs w:val="24"/>
        </w:rPr>
        <w:t xml:space="preserve"> and </w:t>
      </w:r>
      <w:r w:rsidRPr="00331169">
        <w:rPr>
          <w:rFonts w:ascii="Verdana" w:hAnsi="Verdana" w:cs="TimesNewRomanPSMT"/>
          <w:sz w:val="24"/>
          <w:szCs w:val="24"/>
        </w:rPr>
        <w:t>English remained the language of schools on Mann.  Broderick observed that:</w:t>
      </w:r>
    </w:p>
    <w:p w:rsidR="00382DA1" w:rsidRPr="00331169" w:rsidRDefault="00382DA1" w:rsidP="00331169">
      <w:pPr>
        <w:spacing w:line="480" w:lineRule="auto"/>
        <w:ind w:left="720"/>
        <w:rPr>
          <w:rFonts w:ascii="Verdana" w:hAnsi="Verdana" w:cs="TimesNewRomanPSMT"/>
          <w:sz w:val="24"/>
          <w:szCs w:val="24"/>
        </w:rPr>
      </w:pPr>
      <w:r w:rsidRPr="00331169">
        <w:rPr>
          <w:rFonts w:ascii="Verdana" w:hAnsi="Verdana" w:cs="TimesNewRomanPSMT"/>
          <w:sz w:val="24"/>
          <w:szCs w:val="24"/>
        </w:rPr>
        <w:t xml:space="preserve">“Though the medium of tuition was to be English this was not </w:t>
      </w:r>
      <w:r w:rsidR="00331169" w:rsidRPr="00331169">
        <w:rPr>
          <w:rFonts w:ascii="Verdana" w:hAnsi="Verdana" w:cs="TimesNewRomanPSMT"/>
          <w:sz w:val="24"/>
          <w:szCs w:val="24"/>
        </w:rPr>
        <w:t>compulsorily</w:t>
      </w:r>
      <w:r w:rsidRPr="00331169">
        <w:rPr>
          <w:rFonts w:ascii="Verdana" w:hAnsi="Verdana" w:cs="TimesNewRomanPSMT"/>
          <w:sz w:val="24"/>
          <w:szCs w:val="24"/>
        </w:rPr>
        <w:t xml:space="preserve"> laid down in the Act.  The only subject made </w:t>
      </w:r>
      <w:r w:rsidRPr="00331169">
        <w:rPr>
          <w:rFonts w:ascii="Verdana" w:hAnsi="Verdana" w:cs="TimesNewRomanPSMT"/>
          <w:sz w:val="24"/>
          <w:szCs w:val="24"/>
        </w:rPr>
        <w:lastRenderedPageBreak/>
        <w:t xml:space="preserve">compulsory under the Act was religious education.  </w:t>
      </w:r>
      <w:r w:rsidR="00331169" w:rsidRPr="00331169">
        <w:rPr>
          <w:rFonts w:ascii="Verdana" w:hAnsi="Verdana" w:cs="TimesNewRomanPSMT"/>
          <w:sz w:val="24"/>
          <w:szCs w:val="24"/>
        </w:rPr>
        <w:t>However</w:t>
      </w:r>
      <w:r w:rsidRPr="00331169">
        <w:rPr>
          <w:rFonts w:ascii="Verdana" w:hAnsi="Verdana" w:cs="TimesNewRomanPSMT"/>
          <w:sz w:val="24"/>
          <w:szCs w:val="24"/>
        </w:rPr>
        <w:t xml:space="preserve">, though there was nothing in the Act providing against </w:t>
      </w:r>
      <w:r w:rsidR="00331169" w:rsidRPr="00331169">
        <w:rPr>
          <w:rFonts w:ascii="Verdana" w:hAnsi="Verdana" w:cs="TimesNewRomanPSMT"/>
          <w:sz w:val="24"/>
          <w:szCs w:val="24"/>
        </w:rPr>
        <w:t>t</w:t>
      </w:r>
      <w:r w:rsidRPr="00331169">
        <w:rPr>
          <w:rFonts w:ascii="Verdana" w:hAnsi="Verdana" w:cs="TimesNewRomanPSMT"/>
          <w:sz w:val="24"/>
          <w:szCs w:val="24"/>
        </w:rPr>
        <w:t>he</w:t>
      </w:r>
      <w:r w:rsidR="00331169" w:rsidRPr="00331169">
        <w:rPr>
          <w:rFonts w:ascii="Verdana" w:hAnsi="Verdana" w:cs="TimesNewRomanPSMT"/>
          <w:sz w:val="24"/>
          <w:szCs w:val="24"/>
        </w:rPr>
        <w:t xml:space="preserve"> </w:t>
      </w:r>
      <w:r w:rsidRPr="00331169">
        <w:rPr>
          <w:rFonts w:ascii="Verdana" w:hAnsi="Verdana" w:cs="TimesNewRomanPSMT"/>
          <w:sz w:val="24"/>
          <w:szCs w:val="24"/>
        </w:rPr>
        <w:t xml:space="preserve">teaching of Manx, in practical terms the act facilitated the dissemination of English in Mann.  However, by the time </w:t>
      </w:r>
      <w:r w:rsidR="00331169" w:rsidRPr="00331169">
        <w:rPr>
          <w:rFonts w:ascii="Verdana" w:hAnsi="Verdana" w:cs="TimesNewRomanPSMT"/>
          <w:sz w:val="24"/>
          <w:szCs w:val="24"/>
        </w:rPr>
        <w:t>th</w:t>
      </w:r>
      <w:r w:rsidRPr="00331169">
        <w:rPr>
          <w:rFonts w:ascii="Verdana" w:hAnsi="Verdana" w:cs="TimesNewRomanPSMT"/>
          <w:sz w:val="24"/>
          <w:szCs w:val="24"/>
        </w:rPr>
        <w:t>e</w:t>
      </w:r>
      <w:r w:rsidR="00331169" w:rsidRPr="00331169">
        <w:rPr>
          <w:rFonts w:ascii="Verdana" w:hAnsi="Verdana" w:cs="TimesNewRomanPSMT"/>
          <w:sz w:val="24"/>
          <w:szCs w:val="24"/>
        </w:rPr>
        <w:t xml:space="preserve"> </w:t>
      </w:r>
      <w:r w:rsidRPr="00331169">
        <w:rPr>
          <w:rFonts w:ascii="Verdana" w:hAnsi="Verdana" w:cs="TimesNewRomanPSMT"/>
          <w:sz w:val="24"/>
          <w:szCs w:val="24"/>
        </w:rPr>
        <w:t>Act came into being Manx was in an advanced state of demise, and any hostile intent towards Manx abetted by the 1872 Act was in reality ineffectual”</w:t>
      </w:r>
      <w:r w:rsidR="00331169" w:rsidRPr="00331169">
        <w:rPr>
          <w:rFonts w:ascii="Verdana" w:hAnsi="Verdana" w:cs="TimesNewRomanPSMT"/>
          <w:sz w:val="24"/>
          <w:szCs w:val="24"/>
        </w:rPr>
        <w:t xml:space="preserve"> (1999:22).</w:t>
      </w:r>
    </w:p>
    <w:p w:rsidR="00331169" w:rsidRPr="002E26FD" w:rsidRDefault="00331169" w:rsidP="00331169">
      <w:pPr>
        <w:pStyle w:val="NormalWeb"/>
        <w:spacing w:before="0" w:beforeAutospacing="0" w:after="0" w:afterAutospacing="0" w:line="480" w:lineRule="auto"/>
        <w:rPr>
          <w:rFonts w:ascii="Verdana" w:hAnsi="Verdana" w:cs="TimesNewRomanPSMT"/>
          <w:b/>
        </w:rPr>
      </w:pPr>
      <w:r w:rsidRPr="002E26FD">
        <w:rPr>
          <w:rFonts w:ascii="Verdana" w:hAnsi="Verdana" w:cs="TimesNewRomanPSMT"/>
          <w:b/>
        </w:rPr>
        <w:t>Slide 38</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r w:rsidRPr="00331169">
        <w:rPr>
          <w:rFonts w:ascii="Verdana" w:eastAsiaTheme="minorEastAsia" w:hAnsi="Verdana" w:cstheme="minorBidi"/>
          <w:color w:val="000000" w:themeColor="text1"/>
          <w:kern w:val="24"/>
        </w:rPr>
        <w:t>Historically, as discussed previously, Manx failed to expand into new domains.  The language failed to keep pace with its competitor, the English language, and its usage confined to largely rural, isolated community and the older generations.  Despite contemporary revitalisation efforts, expanding Manx into new domains remains challenging.  Although now commonly used by local businesses for written slogans and features in promotional materials produced by the Island’s Government, it is not used as a spoken language within these domains.  As Ferguson (1959) argues, languages cannot be distinguished as ‘higher status language’ should they not be used in the domains of government departments, business and commerce.  Use in such domains gives a language prestige and in turn increases its value within a diglossic speech community.  Whilst the use of Manx remains confined to less formal ‘lower status’ domains, there is limited scope to increase its prestige and status.</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p>
    <w:p w:rsidR="00331169" w:rsidRPr="002E26FD" w:rsidRDefault="0033116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2E26FD">
        <w:rPr>
          <w:rFonts w:ascii="Verdana" w:eastAsiaTheme="minorEastAsia" w:hAnsi="Verdana" w:cstheme="minorBidi"/>
          <w:b/>
          <w:color w:val="000000" w:themeColor="text1"/>
          <w:kern w:val="24"/>
        </w:rPr>
        <w:t>Slide 39</w:t>
      </w:r>
    </w:p>
    <w:p w:rsidR="00331169" w:rsidRPr="00331169" w:rsidRDefault="00331169" w:rsidP="00331169">
      <w:pPr>
        <w:spacing w:line="480" w:lineRule="auto"/>
        <w:rPr>
          <w:rFonts w:ascii="Verdana" w:eastAsiaTheme="minorEastAsia" w:hAnsi="Verdana"/>
          <w:color w:val="000000" w:themeColor="text1"/>
          <w:kern w:val="24"/>
          <w:sz w:val="24"/>
          <w:szCs w:val="24"/>
          <w:lang w:eastAsia="en-GB"/>
        </w:rPr>
      </w:pPr>
      <w:r w:rsidRPr="00331169">
        <w:rPr>
          <w:rFonts w:ascii="Verdana" w:hAnsi="Verdana"/>
          <w:sz w:val="24"/>
          <w:szCs w:val="24"/>
        </w:rPr>
        <w:lastRenderedPageBreak/>
        <w:t xml:space="preserve">Revitalisation efforts have seen the development of Manx radio </w:t>
      </w:r>
      <w:proofErr w:type="gramStart"/>
      <w:r w:rsidRPr="00331169">
        <w:rPr>
          <w:rFonts w:ascii="Verdana" w:hAnsi="Verdana"/>
          <w:sz w:val="24"/>
          <w:szCs w:val="24"/>
        </w:rPr>
        <w:t>broadcasts</w:t>
      </w:r>
      <w:proofErr w:type="gramEnd"/>
      <w:r w:rsidRPr="00331169">
        <w:rPr>
          <w:rFonts w:ascii="Verdana" w:hAnsi="Verdana"/>
          <w:sz w:val="24"/>
          <w:szCs w:val="24"/>
        </w:rPr>
        <w:t xml:space="preserve"> and magazines.  And encouragingly, there has been an increased interest in learning Manx in the workplace, for example, Manx classes were established for employees at the national Post Office (Cain, 2009) – however, it should be noted that very little Manx is spoken in this domains.</w:t>
      </w:r>
    </w:p>
    <w:p w:rsidR="00331169" w:rsidRPr="002E26FD" w:rsidRDefault="00331169" w:rsidP="00331169">
      <w:pPr>
        <w:pStyle w:val="NormalWeb"/>
        <w:spacing w:before="0" w:beforeAutospacing="0" w:after="0" w:afterAutospacing="0" w:line="480" w:lineRule="auto"/>
        <w:rPr>
          <w:rFonts w:ascii="Verdana" w:eastAsiaTheme="minorEastAsia" w:hAnsi="Verdana" w:cstheme="minorBidi"/>
          <w:b/>
          <w:spacing w:val="-6"/>
          <w:kern w:val="24"/>
          <w:lang w:val="en-US"/>
        </w:rPr>
      </w:pPr>
      <w:r w:rsidRPr="002E26FD">
        <w:rPr>
          <w:rFonts w:ascii="Verdana" w:eastAsiaTheme="minorEastAsia" w:hAnsi="Verdana" w:cstheme="minorBidi"/>
          <w:b/>
          <w:spacing w:val="-6"/>
          <w:kern w:val="24"/>
          <w:lang w:val="en-US"/>
        </w:rPr>
        <w:t>Slide 40</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spacing w:val="-6"/>
          <w:kern w:val="24"/>
          <w:lang w:val="en-US"/>
        </w:rPr>
        <w:t xml:space="preserve">UNESCO confirms that education in a minority language is essential for language vitality and that there is a direct correlation between social and economic development (2003: 12). Whilst </w:t>
      </w:r>
      <w:r w:rsidRPr="00331169">
        <w:rPr>
          <w:rFonts w:ascii="Verdana" w:eastAsiaTheme="minorEastAsia" w:hAnsi="Verdana" w:cstheme="minorBidi"/>
          <w:kern w:val="24"/>
        </w:rPr>
        <w:t>Conklin &amp; Lourie (1983), suggests that</w:t>
      </w:r>
      <w:r w:rsidRPr="00331169">
        <w:rPr>
          <w:rFonts w:ascii="Verdana" w:eastAsiaTheme="minorEastAsia" w:hAnsi="Verdana" w:cstheme="minorBidi"/>
          <w:spacing w:val="-6"/>
          <w:kern w:val="24"/>
          <w:lang w:val="en-US"/>
        </w:rPr>
        <w:t xml:space="preserve"> low level of education can restrict social and economic mobility (which are also contributory factors to language decline) and literacy is integral to language vitality, suggesting that </w:t>
      </w:r>
      <w:r w:rsidRPr="00331169">
        <w:rPr>
          <w:rFonts w:ascii="Verdana" w:eastAsiaTheme="minorEastAsia" w:hAnsi="Verdana" w:cstheme="minorBidi"/>
          <w:color w:val="000000" w:themeColor="text1"/>
          <w:kern w:val="24"/>
        </w:rPr>
        <w:t>the use of the home language literacy in the community should be promoted through the standardisation and documentation of mother tongue.</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There is no evidence of Manx being documented until after the Reformation, until which, Manx was an unwritten language for much of its history (Ager 2009).  Although Manx once dominated the domain of the community on Mann, official documentation on the island was largely through English or Latin.  As previously reported, the earliest Manx texts are religious in nature - the mother tongue mobilised by the clergy in attempts to better educate the local population about the established religion.  Translations of both the Bible and The Book of Common Prayer were published in 1610 and later again in 1765.  Indeed, the first Manx </w:t>
      </w:r>
      <w:r w:rsidRPr="00331169">
        <w:rPr>
          <w:rFonts w:ascii="Verdana" w:eastAsiaTheme="minorEastAsia" w:hAnsi="Verdana" w:cstheme="minorBidi"/>
          <w:color w:val="000000" w:themeColor="text1"/>
          <w:kern w:val="24"/>
        </w:rPr>
        <w:lastRenderedPageBreak/>
        <w:t>Bible is the source and standard for modern Manx orthography.  Surviving secular writing is much rarer. The first book published in Manx was only 1707.</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Given the small user base, the production of large amounts of written literature has been impractical, and until recently, demand has been low (Ager 2009). </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r w:rsidRPr="00331169">
        <w:rPr>
          <w:rFonts w:ascii="Verdana" w:eastAsiaTheme="minorEastAsia" w:hAnsi="Verdana" w:cstheme="minorBidi"/>
          <w:color w:val="000000" w:themeColor="text1"/>
          <w:kern w:val="24"/>
        </w:rPr>
        <w:t> </w:t>
      </w:r>
    </w:p>
    <w:p w:rsidR="00331169" w:rsidRPr="002E26FD" w:rsidRDefault="0033116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2E26FD">
        <w:rPr>
          <w:rFonts w:ascii="Verdana" w:eastAsiaTheme="minorEastAsia" w:hAnsi="Verdana" w:cstheme="minorBidi"/>
          <w:b/>
          <w:color w:val="000000" w:themeColor="text1"/>
          <w:kern w:val="24"/>
        </w:rPr>
        <w:t>Slide 41</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The use of Manx to some extent in local and regional government and the media would place Manx at stage 2 on Fishman’s GIDS.  However this cannot be seen as indicative of an entire reversal of language shift in all the other stages, particularly stage 6: the use of Manx in families and as a community language.  Particularly, as Fishman stresses the necessity of proceeding through the GIDS from the bottom up, and of securing intergenerational transmission at home (Stage 6) before proceeding to higher levels, such as use in schools, media, government, etc. </w:t>
      </w:r>
    </w:p>
    <w:p w:rsidR="00331169" w:rsidRPr="002E26FD" w:rsidRDefault="00331169" w:rsidP="00331169">
      <w:pPr>
        <w:pStyle w:val="NormalWeb"/>
        <w:spacing w:before="0" w:beforeAutospacing="0" w:after="0" w:afterAutospacing="0" w:line="480" w:lineRule="auto"/>
        <w:rPr>
          <w:rFonts w:ascii="Verdana" w:hAnsi="Verdana"/>
          <w:b/>
        </w:rPr>
      </w:pPr>
    </w:p>
    <w:p w:rsidR="00331169" w:rsidRPr="002E26FD" w:rsidRDefault="0033116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2E26FD">
        <w:rPr>
          <w:rFonts w:ascii="Verdana" w:eastAsiaTheme="minorEastAsia" w:hAnsi="Verdana" w:cstheme="minorBidi"/>
          <w:b/>
          <w:color w:val="000000" w:themeColor="text1"/>
          <w:kern w:val="24"/>
        </w:rPr>
        <w:t>Slide 42</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r w:rsidRPr="00331169">
        <w:rPr>
          <w:rFonts w:ascii="Verdana" w:eastAsiaTheme="minorEastAsia" w:hAnsi="Verdana" w:cstheme="minorBidi"/>
          <w:color w:val="000000" w:themeColor="text1"/>
          <w:kern w:val="24"/>
        </w:rPr>
        <w:t xml:space="preserve">UNESCO (2009) posit that ‘safe’ languages are spoken by people of all generations and passed on from one generation to the next.  Similarly, Stage 7 of Fishman’s (1990, 1991) GIDS model also emphasises the importance of increasing language use amongst the younger generation of speech communities.  It is therefore evident from the theoretical frameworks that consider language vitality, that intergenerational </w:t>
      </w:r>
      <w:r w:rsidRPr="00331169">
        <w:rPr>
          <w:rFonts w:ascii="Verdana" w:eastAsiaTheme="minorEastAsia" w:hAnsi="Verdana" w:cstheme="minorBidi"/>
          <w:color w:val="000000" w:themeColor="text1"/>
          <w:kern w:val="24"/>
        </w:rPr>
        <w:lastRenderedPageBreak/>
        <w:t>transmission is key in ensuring the vitality of a language.  The notable breakdown of intergenerational transmission of the Manx language would have been instrumental in its decline and an inevitability of the shift from Manx to English on the Island.</w:t>
      </w:r>
    </w:p>
    <w:p w:rsidR="00331169" w:rsidRPr="00331169" w:rsidRDefault="00331169" w:rsidP="00331169">
      <w:pPr>
        <w:pStyle w:val="NormalWeb"/>
        <w:spacing w:before="0" w:beforeAutospacing="0" w:after="0" w:afterAutospacing="0" w:line="480" w:lineRule="auto"/>
        <w:rPr>
          <w:rFonts w:ascii="Verdana" w:eastAsiaTheme="minorEastAsia" w:hAnsi="Verdana" w:cstheme="minorBidi"/>
          <w:color w:val="000000" w:themeColor="text1"/>
          <w:kern w:val="24"/>
        </w:rPr>
      </w:pPr>
    </w:p>
    <w:p w:rsidR="00331169" w:rsidRPr="002E26FD" w:rsidRDefault="00331169" w:rsidP="00331169">
      <w:pPr>
        <w:pStyle w:val="NormalWeb"/>
        <w:spacing w:before="0" w:beforeAutospacing="0" w:after="0" w:afterAutospacing="0" w:line="480" w:lineRule="auto"/>
        <w:rPr>
          <w:rFonts w:ascii="Verdana" w:eastAsiaTheme="minorEastAsia" w:hAnsi="Verdana" w:cstheme="minorBidi"/>
          <w:b/>
          <w:color w:val="000000" w:themeColor="text1"/>
          <w:kern w:val="24"/>
        </w:rPr>
      </w:pPr>
      <w:r w:rsidRPr="002E26FD">
        <w:rPr>
          <w:rFonts w:ascii="Verdana" w:eastAsiaTheme="minorEastAsia" w:hAnsi="Verdana" w:cstheme="minorBidi"/>
          <w:b/>
          <w:color w:val="000000" w:themeColor="text1"/>
          <w:kern w:val="24"/>
        </w:rPr>
        <w:t>Slide 43</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During the early nineteenth century it became the norm to raise children </w:t>
      </w:r>
      <w:proofErr w:type="gramStart"/>
      <w:r w:rsidRPr="00331169">
        <w:rPr>
          <w:rFonts w:ascii="Verdana" w:eastAsiaTheme="minorEastAsia" w:hAnsi="Verdana" w:cstheme="minorBidi"/>
          <w:color w:val="000000" w:themeColor="text1"/>
          <w:kern w:val="24"/>
        </w:rPr>
        <w:t>bilingually</w:t>
      </w:r>
      <w:proofErr w:type="gramEnd"/>
      <w:r w:rsidRPr="00331169">
        <w:rPr>
          <w:rFonts w:ascii="Verdana" w:eastAsiaTheme="minorEastAsia" w:hAnsi="Verdana" w:cstheme="minorBidi"/>
          <w:color w:val="000000" w:themeColor="text1"/>
          <w:kern w:val="24"/>
        </w:rPr>
        <w:t xml:space="preserve"> on Mann, speaking Manx and English.  However from 1850, with the rare exceptions of some remote villages and rural areas, the Island experienced a shift in the majority of children being raised in English only.  Of the Manx speakers who survived into the twentieth century, none were born after 1877 (Ager, 2009).  Pilgrim (2005) argues that while this could have been considered as the point when the language died, transmission of the language continued, although this has mainly been from adult to adult (Pilgrim, 2005).</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As Lao (2004) posits, language use at home between parent and child is the most crucial factor in maintaining the vitality of a heritage language and determines whether or not a language will be lost over generations.</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However, despite the notable breakdown of intergenerational transmission of Manx, it is encouraging to note that according to 1991 census data, 643 people were able to speak Manx. Of those speakers, 132 of which were children (19 years or under) born and raised before Manx was formally taught in schools.  This suggests the occurrence of intergenerational transmission (Broderick, 1999, pp. 182–185).  </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lastRenderedPageBreak/>
        <w:t xml:space="preserve">Nevertheless, given that the only fluent users of Manx are now likely to be older than child-bearing age and/or second language speakers, the restoration of natural intergenerational transmission through the home is unlikely; therefore a mechanism outside the home would also need to be developed for the revitalisation of Manx to be successful.  Suggesting that, without institutional support, the continuation of natural intergenerational transmission of Manx, though evidently present, is not sufficient to maintain the language. </w:t>
      </w:r>
    </w:p>
    <w:p w:rsidR="00331169" w:rsidRPr="00331169" w:rsidRDefault="00331169" w:rsidP="00331169">
      <w:pPr>
        <w:pStyle w:val="NormalWeb"/>
        <w:spacing w:before="0" w:beforeAutospacing="0" w:after="0" w:afterAutospacing="0" w:line="480" w:lineRule="auto"/>
        <w:rPr>
          <w:rFonts w:ascii="Verdana" w:hAnsi="Verdana"/>
        </w:rPr>
      </w:pPr>
    </w:p>
    <w:p w:rsidR="00331169" w:rsidRPr="002E26FD" w:rsidRDefault="00331169" w:rsidP="00331169">
      <w:pPr>
        <w:pStyle w:val="NormalWeb"/>
        <w:spacing w:before="0" w:beforeAutospacing="0" w:after="0" w:afterAutospacing="0" w:line="480" w:lineRule="auto"/>
        <w:rPr>
          <w:rFonts w:ascii="Verdana" w:hAnsi="Verdana"/>
          <w:b/>
        </w:rPr>
      </w:pPr>
      <w:r w:rsidRPr="002E26FD">
        <w:rPr>
          <w:rFonts w:ascii="Verdana" w:hAnsi="Verdana"/>
          <w:b/>
        </w:rPr>
        <w:t>Slide 44</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xml:space="preserve">During the late eighteenth century, and increasingly throughout the nineteenth century, language shift from Manx to English for the majority of the Island's speech community was an inevitability.  And bilingualism, and later monolingualism, became the norm.  This was largely due to a combination of social and economic factors, facilitated by a compulsory English language education system, and the necessity to adopt English for economic and social mobility.  Consideration of the contributory factors of: </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demographic</w:t>
      </w:r>
      <w:proofErr w:type="gramEnd"/>
      <w:r w:rsidRPr="00331169">
        <w:rPr>
          <w:rFonts w:ascii="Verdana" w:eastAsiaTheme="minorEastAsia" w:hAnsi="Verdana" w:cstheme="minorBidi"/>
          <w:color w:val="000000" w:themeColor="text1"/>
          <w:kern w:val="24"/>
        </w:rPr>
        <w:t xml:space="preserve"> change</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emigration</w:t>
      </w:r>
      <w:proofErr w:type="gramEnd"/>
      <w:r w:rsidRPr="00331169">
        <w:rPr>
          <w:rFonts w:ascii="Verdana" w:eastAsiaTheme="minorEastAsia" w:hAnsi="Verdana" w:cstheme="minorBidi"/>
          <w:color w:val="000000" w:themeColor="text1"/>
          <w:kern w:val="24"/>
        </w:rPr>
        <w:t xml:space="preserve"> of Manx speakers and the immigration of English speakers</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compulsory</w:t>
      </w:r>
      <w:proofErr w:type="gramEnd"/>
      <w:r w:rsidRPr="00331169">
        <w:rPr>
          <w:rFonts w:ascii="Verdana" w:eastAsiaTheme="minorEastAsia" w:hAnsi="Verdana" w:cstheme="minorBidi"/>
          <w:color w:val="000000" w:themeColor="text1"/>
          <w:kern w:val="24"/>
        </w:rPr>
        <w:t xml:space="preserve"> English medium education</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the</w:t>
      </w:r>
      <w:proofErr w:type="gramEnd"/>
      <w:r w:rsidRPr="00331169">
        <w:rPr>
          <w:rFonts w:ascii="Verdana" w:eastAsiaTheme="minorEastAsia" w:hAnsi="Verdana" w:cstheme="minorBidi"/>
          <w:color w:val="000000" w:themeColor="text1"/>
          <w:kern w:val="24"/>
        </w:rPr>
        <w:t xml:space="preserve"> rapid growth of the tourist industry</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improved</w:t>
      </w:r>
      <w:proofErr w:type="gramEnd"/>
      <w:r w:rsidRPr="00331169">
        <w:rPr>
          <w:rFonts w:ascii="Verdana" w:eastAsiaTheme="minorEastAsia" w:hAnsi="Verdana" w:cstheme="minorBidi"/>
          <w:color w:val="000000" w:themeColor="text1"/>
          <w:kern w:val="24"/>
        </w:rPr>
        <w:t xml:space="preserve"> communication (both internally, due to improved infrastructure, and externally with the outside world),</w:t>
      </w:r>
    </w:p>
    <w:p w:rsidR="00331169" w:rsidRPr="00331169" w:rsidRDefault="00331169" w:rsidP="00331169">
      <w:pPr>
        <w:pStyle w:val="NormalWeb"/>
        <w:spacing w:before="0" w:beforeAutospacing="0" w:after="0" w:afterAutospacing="0" w:line="480" w:lineRule="auto"/>
        <w:rPr>
          <w:rFonts w:ascii="Verdana" w:hAnsi="Verdana"/>
        </w:rPr>
      </w:pPr>
    </w:p>
    <w:p w:rsidR="00331169" w:rsidRPr="002E26FD" w:rsidRDefault="00331169" w:rsidP="00331169">
      <w:pPr>
        <w:pStyle w:val="NormalWeb"/>
        <w:spacing w:before="0" w:beforeAutospacing="0" w:after="0" w:afterAutospacing="0" w:line="480" w:lineRule="auto"/>
        <w:rPr>
          <w:rFonts w:ascii="Verdana" w:hAnsi="Verdana"/>
          <w:b/>
        </w:rPr>
      </w:pPr>
      <w:r w:rsidRPr="002E26FD">
        <w:rPr>
          <w:rFonts w:ascii="Verdana" w:hAnsi="Verdana"/>
          <w:b/>
        </w:rPr>
        <w:t>Slide 45</w:t>
      </w:r>
    </w:p>
    <w:p w:rsidR="00331169" w:rsidRPr="00331169" w:rsidRDefault="00331169" w:rsidP="00331169">
      <w:pPr>
        <w:pStyle w:val="NormalWeb"/>
        <w:spacing w:before="0" w:beforeAutospacing="0" w:after="0" w:afterAutospacing="0" w:line="480" w:lineRule="auto"/>
        <w:rPr>
          <w:rFonts w:ascii="Verdana" w:hAnsi="Verdana"/>
        </w:rPr>
      </w:pPr>
      <w:proofErr w:type="gramStart"/>
      <w:r w:rsidRPr="00331169">
        <w:rPr>
          <w:rFonts w:ascii="Verdana" w:eastAsiaTheme="minorEastAsia" w:hAnsi="Verdana" w:cstheme="minorBidi"/>
          <w:color w:val="000000" w:themeColor="text1"/>
          <w:kern w:val="24"/>
        </w:rPr>
        <w:t>determines</w:t>
      </w:r>
      <w:proofErr w:type="gramEnd"/>
      <w:r w:rsidRPr="00331169">
        <w:rPr>
          <w:rFonts w:ascii="Verdana" w:eastAsiaTheme="minorEastAsia" w:hAnsi="Verdana" w:cstheme="minorBidi"/>
          <w:color w:val="000000" w:themeColor="text1"/>
          <w:kern w:val="24"/>
        </w:rPr>
        <w:t xml:space="preserve"> that it is wholly understandable that in the face of modernisation, the Manx language became associated with ignorance and lack of education and moreover, the Manx people began to regard their own language as a hindrance (Ager 2009).</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 </w:t>
      </w:r>
    </w:p>
    <w:p w:rsidR="00331169" w:rsidRPr="00331169" w:rsidRDefault="00331169" w:rsidP="00331169">
      <w:pPr>
        <w:pStyle w:val="NormalWeb"/>
        <w:spacing w:before="0" w:beforeAutospacing="0" w:after="0" w:afterAutospacing="0" w:line="480" w:lineRule="auto"/>
        <w:rPr>
          <w:rFonts w:ascii="Verdana" w:hAnsi="Verdana"/>
        </w:rPr>
      </w:pPr>
      <w:r w:rsidRPr="00331169">
        <w:rPr>
          <w:rFonts w:ascii="Verdana" w:eastAsiaTheme="minorEastAsia" w:hAnsi="Verdana" w:cstheme="minorBidi"/>
          <w:color w:val="000000" w:themeColor="text1"/>
          <w:kern w:val="24"/>
        </w:rPr>
        <w:t>However, despite its almost fatal decline, the death of its last native speaker, and its status of extinction in 2009, Manx has survived and remains a living language, with a small but increasing number of speakers, albeit as a second language.</w:t>
      </w:r>
    </w:p>
    <w:p w:rsidR="00331169" w:rsidRPr="00331169" w:rsidRDefault="00331169" w:rsidP="00331169">
      <w:pPr>
        <w:pStyle w:val="NormalWeb"/>
        <w:spacing w:before="0" w:beforeAutospacing="0" w:after="0" w:afterAutospacing="0" w:line="480" w:lineRule="auto"/>
        <w:rPr>
          <w:rFonts w:ascii="Verdana" w:hAnsi="Verdana"/>
        </w:rPr>
      </w:pPr>
    </w:p>
    <w:p w:rsidR="00331169" w:rsidRPr="00331169" w:rsidRDefault="00331169" w:rsidP="00331169">
      <w:pPr>
        <w:pStyle w:val="NormalWeb"/>
        <w:spacing w:before="0" w:beforeAutospacing="0" w:after="0" w:afterAutospacing="0" w:line="480" w:lineRule="auto"/>
        <w:rPr>
          <w:rFonts w:ascii="Verdana" w:hAnsi="Verdana"/>
        </w:rPr>
      </w:pPr>
    </w:p>
    <w:p w:rsidR="00331169" w:rsidRDefault="00331169" w:rsidP="00331169">
      <w:pPr>
        <w:spacing w:line="480" w:lineRule="auto"/>
      </w:pPr>
    </w:p>
    <w:p w:rsidR="00331169" w:rsidRPr="00331169" w:rsidRDefault="00331169" w:rsidP="00331169">
      <w:pPr>
        <w:pStyle w:val="NormalWeb"/>
        <w:spacing w:before="0" w:beforeAutospacing="0" w:after="0" w:afterAutospacing="0"/>
        <w:rPr>
          <w:rFonts w:ascii="Verdana" w:hAnsi="Verdana" w:cs="TimesNewRomanPSMT"/>
        </w:rPr>
      </w:pPr>
    </w:p>
    <w:p w:rsidR="00331169" w:rsidRDefault="00331169" w:rsidP="00331169">
      <w:pPr>
        <w:spacing w:line="480" w:lineRule="auto"/>
        <w:rPr>
          <w:rFonts w:ascii="Verdana" w:hAnsi="Verdana" w:cs="TimesNewRomanPSMT"/>
          <w:sz w:val="24"/>
          <w:szCs w:val="24"/>
        </w:rPr>
      </w:pPr>
    </w:p>
    <w:p w:rsidR="00331169" w:rsidRDefault="00331169" w:rsidP="00331169">
      <w:pPr>
        <w:spacing w:line="48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p>
    <w:p w:rsidR="00566C72" w:rsidRPr="00566C72" w:rsidRDefault="00566C72" w:rsidP="00566C72">
      <w:pPr>
        <w:numPr>
          <w:ilvl w:val="0"/>
          <w:numId w:val="2"/>
        </w:numPr>
        <w:autoSpaceDE w:val="0"/>
        <w:autoSpaceDN w:val="0"/>
        <w:adjustRightInd w:val="0"/>
        <w:spacing w:after="0" w:line="240" w:lineRule="auto"/>
        <w:contextualSpacing/>
        <w:rPr>
          <w:rFonts w:ascii="Verdana" w:hAnsi="Verdana"/>
          <w:b/>
          <w:sz w:val="24"/>
          <w:szCs w:val="24"/>
          <w:u w:val="single"/>
        </w:rPr>
      </w:pPr>
      <w:r w:rsidRPr="00566C72">
        <w:rPr>
          <w:rFonts w:ascii="Verdana" w:hAnsi="Verdana"/>
          <w:b/>
          <w:sz w:val="24"/>
          <w:szCs w:val="24"/>
          <w:u w:val="single"/>
        </w:rPr>
        <w:lastRenderedPageBreak/>
        <w:t>References:</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Ager, S. (2009). A Study of language death and revival with a particular focus on Manx Gaelic. MA Dissertation, Unpublished.  </w:t>
      </w:r>
      <w:hyperlink r:id="rId7" w:history="1">
        <w:r w:rsidRPr="00566C72">
          <w:rPr>
            <w:rFonts w:ascii="Verdana" w:hAnsi="Verdana"/>
            <w:sz w:val="24"/>
            <w:szCs w:val="24"/>
            <w:u w:val="single"/>
          </w:rPr>
          <w:t>https://omniglot.com/pdfs/languagerevival.pdf</w:t>
        </w:r>
      </w:hyperlink>
      <w:r w:rsidRPr="00566C72">
        <w:rPr>
          <w:rFonts w:ascii="Verdana" w:hAnsi="Verdana"/>
          <w:sz w:val="24"/>
          <w:szCs w:val="24"/>
        </w:rPr>
        <w:t xml:space="preserve">  </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sz w:val="24"/>
          <w:szCs w:val="24"/>
        </w:rPr>
        <w:t xml:space="preserve">Almurashi, W. A. (2017).  Why we should care about language death.  </w:t>
      </w:r>
      <w:r w:rsidRPr="00566C72">
        <w:rPr>
          <w:rFonts w:ascii="Verdana" w:hAnsi="Verdana" w:cs="Times New Roman"/>
          <w:i/>
          <w:sz w:val="24"/>
          <w:szCs w:val="24"/>
        </w:rPr>
        <w:t>International Journal of English Language and Linguistics Research</w:t>
      </w:r>
      <w:r w:rsidRPr="00566C72">
        <w:rPr>
          <w:rFonts w:ascii="Verdana" w:hAnsi="Verdana" w:cs="Times New Roman"/>
          <w:sz w:val="24"/>
          <w:szCs w:val="24"/>
        </w:rPr>
        <w:t>.  Vol.5, No 5, pp. 62-73.</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rPr>
          <w:rFonts w:ascii="Verdana" w:hAnsi="Verdana"/>
          <w:sz w:val="24"/>
          <w:szCs w:val="24"/>
        </w:rPr>
      </w:pPr>
      <w:r w:rsidRPr="00566C72">
        <w:rPr>
          <w:rFonts w:ascii="Verdana" w:hAnsi="Verdana"/>
          <w:sz w:val="24"/>
          <w:szCs w:val="24"/>
        </w:rPr>
        <w:t xml:space="preserve">Appel, R. &amp; Muysken, P. (1987). </w:t>
      </w:r>
      <w:r w:rsidRPr="00566C72">
        <w:rPr>
          <w:rFonts w:ascii="Verdana" w:hAnsi="Verdana"/>
          <w:i/>
          <w:sz w:val="24"/>
          <w:szCs w:val="24"/>
        </w:rPr>
        <w:t>Language Contact and Bilingualism</w:t>
      </w:r>
      <w:r w:rsidRPr="00566C72">
        <w:rPr>
          <w:rFonts w:ascii="Verdana" w:hAnsi="Verdana"/>
          <w:sz w:val="24"/>
          <w:szCs w:val="24"/>
        </w:rPr>
        <w:t>. London: Edward Arnold.</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sz w:val="24"/>
          <w:szCs w:val="24"/>
        </w:rPr>
        <w:t xml:space="preserve">Baker, C. (2011). </w:t>
      </w:r>
      <w:r w:rsidRPr="00566C72">
        <w:rPr>
          <w:rFonts w:ascii="Verdana" w:hAnsi="Verdana"/>
          <w:i/>
          <w:sz w:val="24"/>
          <w:szCs w:val="24"/>
        </w:rPr>
        <w:t xml:space="preserve"> Foundations of Bilingual Education and Bilingualism </w:t>
      </w:r>
      <w:r w:rsidRPr="00566C72">
        <w:rPr>
          <w:rFonts w:ascii="Verdana" w:hAnsi="Verdana"/>
          <w:sz w:val="24"/>
          <w:szCs w:val="24"/>
        </w:rPr>
        <w:t>(Ed 5).  Bristol: Multilingualism Matters</w:t>
      </w:r>
      <w:r w:rsidRPr="00566C72">
        <w:rPr>
          <w:rFonts w:ascii="Verdana" w:hAnsi="Verdana" w:cs="Times New Roman"/>
          <w:sz w:val="24"/>
          <w:szCs w:val="24"/>
        </w:rPr>
        <w:t>.</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autoSpaceDE w:val="0"/>
        <w:autoSpaceDN w:val="0"/>
        <w:adjustRightInd w:val="0"/>
        <w:spacing w:after="0" w:line="240" w:lineRule="auto"/>
        <w:rPr>
          <w:rFonts w:ascii="Verdana" w:hAnsi="Verdana" w:cs="Times New Roman"/>
          <w:i/>
          <w:sz w:val="24"/>
          <w:szCs w:val="24"/>
        </w:rPr>
      </w:pPr>
      <w:r w:rsidRPr="00566C72">
        <w:rPr>
          <w:rFonts w:ascii="Verdana" w:hAnsi="Verdana" w:cs="Times New Roman"/>
          <w:sz w:val="24"/>
          <w:szCs w:val="24"/>
        </w:rPr>
        <w:t xml:space="preserve">Barker, V., Giles. H., Noels, K., Duck, J., Hecht, M.L. &amp; Clement, R. (2001). The English-only Movement: A Communication Analysis of Changing Perceptions of Language Vitality.  </w:t>
      </w:r>
      <w:r w:rsidRPr="00566C72">
        <w:rPr>
          <w:rFonts w:ascii="Verdana" w:hAnsi="Verdana" w:cs="Times New Roman"/>
          <w:i/>
          <w:sz w:val="24"/>
          <w:szCs w:val="24"/>
        </w:rPr>
        <w:t>Journal of Communication.</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sz w:val="24"/>
          <w:szCs w:val="24"/>
        </w:rPr>
        <w:t xml:space="preserve">Berresford Ellis, P. (1993). </w:t>
      </w:r>
      <w:r w:rsidRPr="00566C72">
        <w:rPr>
          <w:rFonts w:ascii="Verdana" w:hAnsi="Verdana"/>
          <w:i/>
          <w:iCs/>
          <w:sz w:val="24"/>
          <w:szCs w:val="24"/>
        </w:rPr>
        <w:t xml:space="preserve">The Celtic revolution. </w:t>
      </w:r>
      <w:r w:rsidRPr="00566C72">
        <w:rPr>
          <w:rFonts w:ascii="Verdana" w:hAnsi="Verdana"/>
          <w:sz w:val="24"/>
          <w:szCs w:val="24"/>
        </w:rPr>
        <w:t>Talybont: Y Lolfa.</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rPr>
          <w:rFonts w:ascii="Verdana" w:hAnsi="Verdana"/>
          <w:sz w:val="24"/>
          <w:szCs w:val="24"/>
        </w:rPr>
      </w:pPr>
      <w:r w:rsidRPr="00566C72">
        <w:rPr>
          <w:rFonts w:ascii="Verdana" w:hAnsi="Verdana" w:cs="Cambria"/>
          <w:sz w:val="24"/>
          <w:szCs w:val="24"/>
        </w:rPr>
        <w:t xml:space="preserve">Brenzinger, M. (2007). Indicators for Assessing Language Vitality. In M. Brenzinger (Ed.), </w:t>
      </w:r>
      <w:r w:rsidRPr="00566C72">
        <w:rPr>
          <w:rFonts w:ascii="Verdana" w:hAnsi="Verdana" w:cs="Cambria-Italic"/>
          <w:i/>
          <w:iCs/>
          <w:sz w:val="24"/>
          <w:szCs w:val="24"/>
        </w:rPr>
        <w:t xml:space="preserve">Language Endangerment throughout the World </w:t>
      </w:r>
      <w:r w:rsidRPr="00566C72">
        <w:rPr>
          <w:rFonts w:ascii="Verdana" w:hAnsi="Verdana" w:cs="Cambria"/>
          <w:sz w:val="24"/>
          <w:szCs w:val="24"/>
        </w:rPr>
        <w:t xml:space="preserve">(pp. ix </w:t>
      </w:r>
      <w:r w:rsidRPr="00566C72">
        <w:rPr>
          <w:rFonts w:ascii="Cambria Math" w:hAnsi="Cambria Math" w:cs="Cambria Math"/>
          <w:sz w:val="24"/>
          <w:szCs w:val="24"/>
        </w:rPr>
        <w:t>‐</w:t>
      </w:r>
      <w:r w:rsidRPr="00566C72">
        <w:rPr>
          <w:rFonts w:ascii="Verdana" w:hAnsi="Verdana" w:cs="Cambria"/>
          <w:sz w:val="24"/>
          <w:szCs w:val="24"/>
        </w:rPr>
        <w:t xml:space="preserve"> xii). Berlin: Walter de Gruyter.</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cs="Times New Roman"/>
          <w:sz w:val="24"/>
          <w:szCs w:val="24"/>
        </w:rPr>
        <w:t xml:space="preserve">Broderick, G. (1999). </w:t>
      </w:r>
      <w:r w:rsidRPr="00566C72">
        <w:rPr>
          <w:rFonts w:ascii="Verdana" w:hAnsi="Verdana" w:cs="Times New Roman"/>
          <w:i/>
          <w:iCs/>
          <w:sz w:val="24"/>
          <w:szCs w:val="24"/>
        </w:rPr>
        <w:t xml:space="preserve">Language Death in the Isle of Man. </w:t>
      </w:r>
      <w:r w:rsidRPr="00566C72">
        <w:rPr>
          <w:rFonts w:ascii="Verdana" w:hAnsi="Verdana" w:cs="Times New Roman"/>
          <w:sz w:val="24"/>
          <w:szCs w:val="24"/>
        </w:rPr>
        <w:t xml:space="preserve">Tübingen: Niemeyer. </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cs="Times New Roman"/>
          <w:sz w:val="24"/>
          <w:szCs w:val="24"/>
        </w:rPr>
        <w:t xml:space="preserve">Broderick, G. (2002). Revived Manx. In M. J. Ball, &amp; G. E. Jones (Eds.), </w:t>
      </w:r>
      <w:proofErr w:type="gramStart"/>
      <w:r w:rsidRPr="00566C72">
        <w:rPr>
          <w:rFonts w:ascii="Verdana" w:hAnsi="Verdana" w:cs="Times New Roman"/>
          <w:i/>
          <w:iCs/>
          <w:sz w:val="24"/>
          <w:szCs w:val="24"/>
        </w:rPr>
        <w:t>The</w:t>
      </w:r>
      <w:proofErr w:type="gramEnd"/>
      <w:r w:rsidRPr="00566C72">
        <w:rPr>
          <w:rFonts w:ascii="Verdana" w:hAnsi="Verdana" w:cs="Times New Roman"/>
          <w:i/>
          <w:iCs/>
          <w:sz w:val="24"/>
          <w:szCs w:val="24"/>
        </w:rPr>
        <w:t xml:space="preserve"> Celtic Languages </w:t>
      </w:r>
      <w:r w:rsidRPr="00566C72">
        <w:rPr>
          <w:rFonts w:ascii="Verdana" w:hAnsi="Verdana" w:cs="Times New Roman"/>
          <w:sz w:val="24"/>
          <w:szCs w:val="24"/>
        </w:rPr>
        <w:t xml:space="preserve">(pp. 289-348). London / New York: Routledge. </w:t>
      </w:r>
      <w:r w:rsidRPr="00566C72">
        <w:rPr>
          <w:rFonts w:ascii="Verdana" w:hAnsi="Verdana"/>
          <w:sz w:val="24"/>
          <w:szCs w:val="24"/>
        </w:rPr>
        <w:t xml:space="preserve">Price, G. (Ed.). (1992). </w:t>
      </w:r>
      <w:r w:rsidRPr="00566C72">
        <w:rPr>
          <w:rFonts w:ascii="Verdana" w:hAnsi="Verdana"/>
          <w:i/>
          <w:iCs/>
          <w:sz w:val="24"/>
          <w:szCs w:val="24"/>
        </w:rPr>
        <w:t xml:space="preserve">The Celtic connection. </w:t>
      </w:r>
      <w:r w:rsidRPr="00566C72">
        <w:rPr>
          <w:rFonts w:ascii="Verdana" w:hAnsi="Verdana"/>
          <w:sz w:val="24"/>
          <w:szCs w:val="24"/>
        </w:rPr>
        <w:t xml:space="preserve">Gerrards Cross: Colin Smythe. </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sz w:val="24"/>
          <w:szCs w:val="24"/>
        </w:rPr>
        <w:t xml:space="preserve">Buda, J. K. (2006).  </w:t>
      </w:r>
      <w:r w:rsidRPr="00566C72">
        <w:rPr>
          <w:rFonts w:ascii="Verdana" w:hAnsi="Verdana"/>
          <w:sz w:val="24"/>
          <w:szCs w:val="24"/>
          <w:lang w:val="en"/>
        </w:rPr>
        <w:t xml:space="preserve">Language Shift in Australia and Canada.  </w:t>
      </w:r>
      <w:r w:rsidRPr="00566C72">
        <w:rPr>
          <w:rFonts w:ascii="Verdana" w:hAnsi="Verdana"/>
          <w:i/>
          <w:sz w:val="24"/>
          <w:szCs w:val="24"/>
        </w:rPr>
        <w:t>Otsuma Women’s University Annual Report: Humanities and Social Sciences</w:t>
      </w:r>
      <w:r w:rsidRPr="00566C72">
        <w:rPr>
          <w:rFonts w:ascii="Verdana" w:hAnsi="Verdana"/>
          <w:sz w:val="24"/>
          <w:szCs w:val="24"/>
        </w:rPr>
        <w:t>, (24).</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Cain, A. (2009, 06 17). Interview with Adrian Cain. (S. Ager, Interviewer)</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Clarke, J. T. (1872). A Letter from the Reverend J.T. Clarke read at Yn Laigh Ghailckagh (1872). (S. Miller, Ed.) </w:t>
      </w:r>
      <w:r w:rsidRPr="00566C72">
        <w:rPr>
          <w:rFonts w:ascii="Verdana" w:hAnsi="Verdana"/>
          <w:i/>
          <w:iCs/>
          <w:sz w:val="24"/>
          <w:szCs w:val="24"/>
        </w:rPr>
        <w:t>Manx Notes - Folkways &amp; Language, 11</w:t>
      </w:r>
      <w:r w:rsidRPr="00566C72">
        <w:rPr>
          <w:rFonts w:ascii="Verdana" w:hAnsi="Verdana"/>
          <w:sz w:val="24"/>
          <w:szCs w:val="24"/>
        </w:rPr>
        <w:t>, pp. 272-281.</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Coakley, F. (2001). </w:t>
      </w:r>
      <w:r w:rsidRPr="00566C72">
        <w:rPr>
          <w:rFonts w:ascii="Verdana" w:hAnsi="Verdana"/>
          <w:i/>
          <w:iCs/>
          <w:sz w:val="24"/>
          <w:szCs w:val="24"/>
        </w:rPr>
        <w:t xml:space="preserve">Manx Notebook. </w:t>
      </w:r>
      <w:r w:rsidRPr="00566C72">
        <w:rPr>
          <w:rFonts w:ascii="Verdana" w:hAnsi="Verdana"/>
          <w:sz w:val="24"/>
          <w:szCs w:val="24"/>
        </w:rPr>
        <w:t xml:space="preserve">Retrieved 03 01, 2020, from Geneology: </w:t>
      </w:r>
      <w:hyperlink r:id="rId8" w:history="1">
        <w:r w:rsidRPr="00566C72">
          <w:rPr>
            <w:rFonts w:ascii="Verdana" w:hAnsi="Verdana"/>
            <w:sz w:val="24"/>
            <w:szCs w:val="24"/>
            <w:u w:val="single"/>
          </w:rPr>
          <w:t>http://www.isle-of-man.com/manxnotebook/famhist/genealgy/emig.htm</w:t>
        </w:r>
      </w:hyperlink>
      <w:r w:rsidRPr="00566C72">
        <w:rPr>
          <w:rFonts w:ascii="Verdana" w:hAnsi="Verdana"/>
          <w:sz w:val="24"/>
          <w:szCs w:val="24"/>
        </w:rPr>
        <w:t xml:space="preserve"> </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lastRenderedPageBreak/>
        <w:t xml:space="preserve">Coluzzi, P. (2007).  </w:t>
      </w:r>
      <w:r w:rsidRPr="00566C72">
        <w:rPr>
          <w:rFonts w:ascii="Verdana" w:eastAsia="Times New Roman" w:hAnsi="Verdana" w:cs="Times New Roman"/>
          <w:bCs/>
          <w:kern w:val="36"/>
          <w:sz w:val="24"/>
          <w:szCs w:val="24"/>
          <w:lang w:val="en" w:eastAsia="en-GB"/>
        </w:rPr>
        <w:t xml:space="preserve">Economic phenomena and ideologies behind language shift: </w:t>
      </w:r>
      <w:r w:rsidRPr="00566C72">
        <w:rPr>
          <w:rFonts w:ascii="Verdana" w:eastAsia="Times New Roman" w:hAnsi="Verdana" w:cs="Times New Roman"/>
          <w:bCs/>
          <w:sz w:val="24"/>
          <w:szCs w:val="24"/>
          <w:lang w:val="en" w:eastAsia="en-GB"/>
        </w:rPr>
        <w:t>From nationalism and globalization to modernization and the ideology of “new”.  Language Problems and Language Planning; 39:1 (pp. 70 – 83).</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cs="CenturyBase"/>
          <w:sz w:val="24"/>
          <w:szCs w:val="24"/>
        </w:rPr>
        <w:t xml:space="preserve">Conklin, N. &amp; Lourie, M. (1983). </w:t>
      </w:r>
      <w:r w:rsidRPr="00566C72">
        <w:rPr>
          <w:rFonts w:ascii="Verdana" w:hAnsi="Verdana" w:cs="CenturyBase"/>
          <w:i/>
          <w:sz w:val="24"/>
          <w:szCs w:val="24"/>
        </w:rPr>
        <w:t>A Host of Tongues</w:t>
      </w:r>
      <w:r w:rsidRPr="00566C72">
        <w:rPr>
          <w:rFonts w:ascii="Verdana" w:hAnsi="Verdana" w:cs="CenturyBase"/>
          <w:sz w:val="24"/>
          <w:szCs w:val="24"/>
        </w:rPr>
        <w:t>.  New York: The Free Press</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rPr>
          <w:rFonts w:ascii="Verdana" w:hAnsi="Verdana" w:cs="Cambria"/>
          <w:sz w:val="24"/>
          <w:szCs w:val="24"/>
        </w:rPr>
      </w:pPr>
      <w:r w:rsidRPr="00566C72">
        <w:rPr>
          <w:rFonts w:ascii="Verdana" w:hAnsi="Verdana" w:cs="Cambria"/>
          <w:sz w:val="24"/>
          <w:szCs w:val="24"/>
        </w:rPr>
        <w:t xml:space="preserve">Crystal, D. (2000). </w:t>
      </w:r>
      <w:r w:rsidRPr="00566C72">
        <w:rPr>
          <w:rFonts w:ascii="Verdana" w:hAnsi="Verdana" w:cs="Cambria"/>
          <w:i/>
          <w:sz w:val="24"/>
          <w:szCs w:val="24"/>
        </w:rPr>
        <w:t>Language Death</w:t>
      </w:r>
      <w:r w:rsidRPr="00566C72">
        <w:rPr>
          <w:rFonts w:ascii="Verdana" w:hAnsi="Verdana" w:cs="Cambria"/>
          <w:sz w:val="24"/>
          <w:szCs w:val="24"/>
        </w:rPr>
        <w:t>. Cambridge: Cambridge University Press.</w:t>
      </w:r>
    </w:p>
    <w:p w:rsidR="00566C72" w:rsidRPr="00566C72" w:rsidRDefault="00566C72" w:rsidP="00566C72">
      <w:pPr>
        <w:rPr>
          <w:rFonts w:ascii="Verdana" w:hAnsi="Verdana" w:cs="Cambria"/>
          <w:sz w:val="24"/>
          <w:szCs w:val="24"/>
        </w:rPr>
      </w:pPr>
      <w:r w:rsidRPr="00566C72">
        <w:rPr>
          <w:rFonts w:ascii="Verdana" w:hAnsi="Verdana"/>
          <w:sz w:val="24"/>
          <w:szCs w:val="24"/>
          <w:lang w:val="en"/>
        </w:rPr>
        <w:t xml:space="preserve">Department for Children, Education, Lifelong Learning and Skills. (2008). </w:t>
      </w:r>
      <w:r w:rsidRPr="00566C72">
        <w:rPr>
          <w:rFonts w:ascii="Verdana" w:hAnsi="Verdana"/>
          <w:i/>
          <w:iCs/>
          <w:sz w:val="24"/>
          <w:szCs w:val="24"/>
          <w:lang w:val="en"/>
        </w:rPr>
        <w:t>Welsh in the National Curriculum for Wales</w:t>
      </w:r>
      <w:r w:rsidRPr="00566C72">
        <w:rPr>
          <w:rFonts w:ascii="Verdana" w:hAnsi="Verdana"/>
          <w:sz w:val="24"/>
          <w:szCs w:val="24"/>
          <w:lang w:val="en"/>
        </w:rPr>
        <w:t>. Cardiff: Welsh Government.</w:t>
      </w:r>
    </w:p>
    <w:p w:rsidR="00566C72" w:rsidRPr="00566C72" w:rsidRDefault="00566C72" w:rsidP="00566C72">
      <w:pPr>
        <w:rPr>
          <w:rFonts w:ascii="Verdana" w:hAnsi="Verdana" w:cs="Cambria"/>
          <w:sz w:val="24"/>
          <w:szCs w:val="24"/>
        </w:rPr>
      </w:pPr>
      <w:r w:rsidRPr="00566C72">
        <w:rPr>
          <w:rFonts w:ascii="Verdana" w:hAnsi="Verdana"/>
          <w:sz w:val="24"/>
          <w:szCs w:val="24"/>
        </w:rPr>
        <w:t>Derbyshire, R. (2009, 06 25). Interview with Rosemary Derbyshire. (S. Ager, Interviewer).</w:t>
      </w: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Feltham, J. (1798). </w:t>
      </w:r>
      <w:r w:rsidRPr="00566C72">
        <w:rPr>
          <w:rFonts w:ascii="Verdana" w:hAnsi="Verdana"/>
          <w:i/>
          <w:iCs/>
          <w:sz w:val="24"/>
          <w:szCs w:val="24"/>
        </w:rPr>
        <w:t xml:space="preserve">A Tour through the Island of Man, in 1797 and 1798. </w:t>
      </w:r>
      <w:r w:rsidRPr="00566C72">
        <w:rPr>
          <w:rFonts w:ascii="Verdana" w:hAnsi="Verdana"/>
          <w:sz w:val="24"/>
          <w:szCs w:val="24"/>
        </w:rPr>
        <w:t>Bath: R. Cruttwell.</w:t>
      </w:r>
    </w:p>
    <w:p w:rsidR="00566C72" w:rsidRPr="00566C72" w:rsidRDefault="00566C72" w:rsidP="00566C72">
      <w:pPr>
        <w:rPr>
          <w:rFonts w:ascii="Verdana" w:hAnsi="Verdana"/>
          <w:sz w:val="24"/>
          <w:szCs w:val="24"/>
        </w:rPr>
      </w:pPr>
    </w:p>
    <w:p w:rsidR="00566C72" w:rsidRPr="00566C72" w:rsidRDefault="00566C72" w:rsidP="00566C72">
      <w:pPr>
        <w:rPr>
          <w:rFonts w:ascii="Verdana" w:hAnsi="Verdana" w:cs="Times New Roman"/>
          <w:sz w:val="24"/>
          <w:szCs w:val="24"/>
        </w:rPr>
      </w:pPr>
      <w:r w:rsidRPr="00566C72">
        <w:rPr>
          <w:rFonts w:ascii="Verdana" w:hAnsi="Verdana" w:cs="Times New Roman"/>
          <w:sz w:val="24"/>
          <w:szCs w:val="24"/>
        </w:rPr>
        <w:t xml:space="preserve">Ferguson, C. (1959). Diglossia. </w:t>
      </w:r>
      <w:r w:rsidRPr="00566C72">
        <w:rPr>
          <w:rFonts w:ascii="Verdana" w:hAnsi="Verdana" w:cs="Times New Roman"/>
          <w:i/>
          <w:iCs/>
          <w:sz w:val="24"/>
          <w:szCs w:val="24"/>
        </w:rPr>
        <w:t xml:space="preserve">Word, </w:t>
      </w:r>
      <w:r w:rsidRPr="00566C72">
        <w:rPr>
          <w:rFonts w:ascii="Verdana" w:hAnsi="Verdana" w:cs="Times New Roman"/>
          <w:sz w:val="24"/>
          <w:szCs w:val="24"/>
        </w:rPr>
        <w:t>15 (3), 325-340.</w:t>
      </w:r>
    </w:p>
    <w:p w:rsidR="00566C72" w:rsidRPr="00566C72" w:rsidRDefault="00566C72" w:rsidP="00566C72">
      <w:pPr>
        <w:rPr>
          <w:rFonts w:ascii="Verdana" w:hAnsi="Verdana"/>
          <w:sz w:val="24"/>
          <w:szCs w:val="24"/>
        </w:rPr>
      </w:pPr>
      <w:r w:rsidRPr="00566C72">
        <w:rPr>
          <w:rFonts w:ascii="Verdana" w:hAnsi="Verdana" w:cs="Arial"/>
          <w:bCs/>
          <w:sz w:val="24"/>
          <w:szCs w:val="24"/>
          <w:lang w:val="en"/>
        </w:rPr>
        <w:t>Fishman</w:t>
      </w:r>
      <w:r w:rsidRPr="00566C72">
        <w:rPr>
          <w:rFonts w:ascii="Verdana" w:hAnsi="Verdana" w:cs="Arial"/>
          <w:sz w:val="24"/>
          <w:szCs w:val="24"/>
          <w:lang w:val="en"/>
        </w:rPr>
        <w:t>, J. (</w:t>
      </w:r>
      <w:r w:rsidRPr="00566C72">
        <w:rPr>
          <w:rFonts w:ascii="Verdana" w:hAnsi="Verdana" w:cs="Arial"/>
          <w:bCs/>
          <w:sz w:val="24"/>
          <w:szCs w:val="24"/>
          <w:lang w:val="en"/>
        </w:rPr>
        <w:t>1964)</w:t>
      </w:r>
      <w:r w:rsidRPr="00566C72">
        <w:rPr>
          <w:rFonts w:ascii="Verdana" w:hAnsi="Verdana" w:cs="Arial"/>
          <w:sz w:val="24"/>
          <w:szCs w:val="24"/>
          <w:lang w:val="en"/>
        </w:rPr>
        <w:t xml:space="preserve">. Language maintenance and language shift as a field of inquiry. A definition of the field and suggestions for its further development. </w:t>
      </w:r>
      <w:r w:rsidRPr="00566C72">
        <w:rPr>
          <w:rFonts w:ascii="Verdana" w:hAnsi="Verdana" w:cs="Arial"/>
          <w:i/>
          <w:sz w:val="24"/>
          <w:szCs w:val="24"/>
          <w:lang w:val="en"/>
        </w:rPr>
        <w:t xml:space="preserve">Linguistics – An Interdisciplinary Journal of the Language Sciences </w:t>
      </w:r>
      <w:r w:rsidRPr="00566C72">
        <w:rPr>
          <w:rFonts w:ascii="Verdana" w:hAnsi="Verdana" w:cs="Arial"/>
          <w:sz w:val="24"/>
          <w:szCs w:val="24"/>
          <w:lang w:val="en"/>
        </w:rPr>
        <w:t>9: 32–70.</w:t>
      </w:r>
    </w:p>
    <w:p w:rsidR="00566C72" w:rsidRPr="00566C72" w:rsidRDefault="00566C72" w:rsidP="00566C72">
      <w:pPr>
        <w:rPr>
          <w:rFonts w:ascii="Verdana" w:hAnsi="Verdana" w:cs="Times New Roman"/>
          <w:sz w:val="24"/>
          <w:szCs w:val="24"/>
        </w:rPr>
      </w:pPr>
      <w:r w:rsidRPr="00566C72">
        <w:rPr>
          <w:rFonts w:ascii="Verdana" w:hAnsi="Verdana" w:cs="Times New Roman"/>
          <w:sz w:val="24"/>
          <w:szCs w:val="24"/>
        </w:rPr>
        <w:t xml:space="preserve">Fishman, J. A. (1967). Bilingualism with and without diglossia; diglossia with and without bilingualism. </w:t>
      </w:r>
      <w:r w:rsidRPr="00566C72">
        <w:rPr>
          <w:rFonts w:ascii="Verdana" w:hAnsi="Verdana" w:cs="Times New Roman"/>
          <w:i/>
          <w:iCs/>
          <w:sz w:val="24"/>
          <w:szCs w:val="24"/>
        </w:rPr>
        <w:t xml:space="preserve">Journal of Social Issues, </w:t>
      </w:r>
      <w:r w:rsidRPr="00566C72">
        <w:rPr>
          <w:rFonts w:ascii="Verdana" w:hAnsi="Verdana" w:cs="Times New Roman"/>
          <w:sz w:val="24"/>
          <w:szCs w:val="24"/>
        </w:rPr>
        <w:t>23 (1), 29-38.</w:t>
      </w:r>
    </w:p>
    <w:p w:rsidR="00566C72" w:rsidRPr="00566C72" w:rsidRDefault="00566C72" w:rsidP="00566C72">
      <w:pPr>
        <w:rPr>
          <w:rFonts w:ascii="Verdana" w:hAnsi="Verdana" w:cs="Times New Roman"/>
          <w:sz w:val="24"/>
          <w:szCs w:val="24"/>
        </w:rPr>
      </w:pPr>
      <w:r w:rsidRPr="00566C72">
        <w:rPr>
          <w:rFonts w:ascii="Verdana" w:hAnsi="Verdana" w:cs="Times New Roman"/>
          <w:sz w:val="24"/>
          <w:szCs w:val="24"/>
        </w:rPr>
        <w:t xml:space="preserve">Fishman, J. A. (1990). What is reversing language shift (RKS) and how can it succeed?  </w:t>
      </w:r>
      <w:r w:rsidRPr="00566C72">
        <w:rPr>
          <w:rFonts w:ascii="Verdana" w:hAnsi="Verdana" w:cs="Times New Roman"/>
          <w:i/>
          <w:sz w:val="24"/>
          <w:szCs w:val="24"/>
        </w:rPr>
        <w:t>Journal of Multilingual and Multicultural Development</w:t>
      </w:r>
      <w:r w:rsidRPr="00566C72">
        <w:rPr>
          <w:rFonts w:ascii="Verdana" w:hAnsi="Verdana" w:cs="Times New Roman"/>
          <w:sz w:val="24"/>
          <w:szCs w:val="24"/>
        </w:rPr>
        <w:t xml:space="preserve"> 11 (1 &amp; 2), 5 – 36.</w:t>
      </w:r>
    </w:p>
    <w:p w:rsidR="00566C72" w:rsidRPr="00566C72" w:rsidRDefault="00566C72" w:rsidP="00566C72">
      <w:pPr>
        <w:rPr>
          <w:rFonts w:ascii="Verdana" w:hAnsi="Verdana" w:cs="Times New Roman"/>
          <w:sz w:val="24"/>
          <w:szCs w:val="24"/>
        </w:rPr>
      </w:pPr>
      <w:r w:rsidRPr="00566C72">
        <w:rPr>
          <w:rFonts w:ascii="Verdana" w:hAnsi="Verdana" w:cs="Times New Roman"/>
          <w:sz w:val="24"/>
          <w:szCs w:val="24"/>
        </w:rPr>
        <w:t xml:space="preserve">Garzia, R. &amp; Diaz, C. (1992). The status and use of Spanish and English among Hispanic youth in Dade County (Miami) Florida: A sociolinguistic study. </w:t>
      </w:r>
      <w:r w:rsidRPr="00566C72">
        <w:rPr>
          <w:rFonts w:ascii="Verdana" w:hAnsi="Verdana" w:cs="Times New Roman"/>
          <w:i/>
          <w:sz w:val="24"/>
          <w:szCs w:val="24"/>
        </w:rPr>
        <w:t>Language and Education</w:t>
      </w:r>
      <w:r w:rsidRPr="00566C72">
        <w:rPr>
          <w:rFonts w:ascii="Verdana" w:hAnsi="Verdana" w:cs="Times New Roman"/>
          <w:sz w:val="24"/>
          <w:szCs w:val="24"/>
        </w:rPr>
        <w:t xml:space="preserve"> (6); 13 - 32.</w:t>
      </w:r>
    </w:p>
    <w:p w:rsidR="00566C72" w:rsidRPr="00566C72" w:rsidRDefault="00566C72" w:rsidP="00566C72">
      <w:pPr>
        <w:rPr>
          <w:rFonts w:ascii="Verdana" w:hAnsi="Verdana"/>
          <w:sz w:val="24"/>
          <w:szCs w:val="24"/>
        </w:rPr>
      </w:pPr>
      <w:r w:rsidRPr="00566C72">
        <w:rPr>
          <w:rFonts w:ascii="Verdana" w:hAnsi="Verdana"/>
          <w:sz w:val="24"/>
          <w:szCs w:val="24"/>
        </w:rPr>
        <w:t xml:space="preserve">Gawne, P. (2020, 01 03). </w:t>
      </w:r>
      <w:r w:rsidRPr="00566C72">
        <w:rPr>
          <w:rFonts w:ascii="Verdana" w:hAnsi="Verdana"/>
          <w:i/>
          <w:iCs/>
          <w:sz w:val="24"/>
          <w:szCs w:val="24"/>
        </w:rPr>
        <w:t xml:space="preserve">Securing the Future of Manx Gaelic. </w:t>
      </w:r>
      <w:r w:rsidRPr="00566C72">
        <w:rPr>
          <w:rFonts w:ascii="Verdana" w:hAnsi="Verdana"/>
          <w:sz w:val="24"/>
          <w:szCs w:val="24"/>
        </w:rPr>
        <w:t xml:space="preserve">Retrieved 07 20, 2009, from Rannsachadh air Poileasaidh Cànain agus Dealbhadh Cànain / Research on Language Policy and Language Planning: </w:t>
      </w:r>
      <w:hyperlink r:id="rId9" w:history="1">
        <w:r w:rsidRPr="00566C72">
          <w:rPr>
            <w:rFonts w:ascii="Verdana" w:hAnsi="Verdana"/>
            <w:sz w:val="24"/>
            <w:szCs w:val="24"/>
            <w:u w:val="single"/>
          </w:rPr>
          <w:t>http://www.arts.ed.ac.uk/celtic/poileasaidh/gawneseminar.html</w:t>
        </w:r>
      </w:hyperlink>
      <w:r w:rsidRPr="00566C72">
        <w:rPr>
          <w:rFonts w:ascii="Verdana" w:hAnsi="Verdana"/>
          <w:sz w:val="24"/>
          <w:szCs w:val="24"/>
        </w:rPr>
        <w:t xml:space="preserve"> </w:t>
      </w:r>
    </w:p>
    <w:p w:rsidR="00566C72" w:rsidRPr="00566C72" w:rsidRDefault="00566C72" w:rsidP="00566C72">
      <w:pPr>
        <w:rPr>
          <w:rFonts w:ascii="Verdana" w:hAnsi="Verdana"/>
          <w:sz w:val="24"/>
          <w:szCs w:val="24"/>
        </w:rPr>
      </w:pPr>
      <w:r w:rsidRPr="00566C72">
        <w:rPr>
          <w:rFonts w:ascii="Verdana" w:hAnsi="Verdana"/>
          <w:sz w:val="24"/>
          <w:szCs w:val="24"/>
        </w:rPr>
        <w:t xml:space="preserve">Giles, H., Bourhis, R.Y. &amp; Taylor, D.M. (1977). Towards a theory of language in ethnic group relations. In H. GILES (ed.), </w:t>
      </w:r>
      <w:r w:rsidRPr="00566C72">
        <w:rPr>
          <w:rFonts w:ascii="Verdana" w:hAnsi="Verdana"/>
          <w:i/>
          <w:sz w:val="24"/>
          <w:szCs w:val="24"/>
        </w:rPr>
        <w:t>Language, Ethnicity and Intergroup Relations</w:t>
      </w:r>
      <w:r w:rsidRPr="00566C72">
        <w:rPr>
          <w:rFonts w:ascii="Verdana" w:hAnsi="Verdana"/>
          <w:sz w:val="24"/>
          <w:szCs w:val="24"/>
        </w:rPr>
        <w:t>, (pp. 307 – 348).  London, UK: Academic Press.</w:t>
      </w:r>
    </w:p>
    <w:p w:rsidR="00566C72" w:rsidRPr="00566C72" w:rsidRDefault="00566C72" w:rsidP="00566C72">
      <w:pPr>
        <w:rPr>
          <w:rFonts w:ascii="Verdana" w:hAnsi="Verdana"/>
          <w:sz w:val="24"/>
          <w:szCs w:val="24"/>
        </w:rPr>
      </w:pPr>
      <w:r w:rsidRPr="00566C72">
        <w:rPr>
          <w:rFonts w:ascii="Verdana" w:hAnsi="Verdana"/>
          <w:sz w:val="24"/>
          <w:szCs w:val="24"/>
        </w:rPr>
        <w:lastRenderedPageBreak/>
        <w:t xml:space="preserve">Gill, W. (1859). Editor's Introduction. In J. Kelly, </w:t>
      </w:r>
      <w:r w:rsidRPr="00566C72">
        <w:rPr>
          <w:rFonts w:ascii="Verdana" w:hAnsi="Verdana"/>
          <w:i/>
          <w:iCs/>
          <w:sz w:val="24"/>
          <w:szCs w:val="24"/>
        </w:rPr>
        <w:t xml:space="preserve">A practical grammar of the ancient Gaelic, or language of the Isle of Man, usually called Manks </w:t>
      </w:r>
      <w:r w:rsidRPr="00566C72">
        <w:rPr>
          <w:rFonts w:ascii="Verdana" w:hAnsi="Verdana"/>
          <w:sz w:val="24"/>
          <w:szCs w:val="24"/>
        </w:rPr>
        <w:t>(p. v). Douglas: Manx Society.</w:t>
      </w:r>
    </w:p>
    <w:p w:rsidR="00566C72" w:rsidRPr="00566C72" w:rsidRDefault="00566C72" w:rsidP="00566C72">
      <w:pPr>
        <w:rPr>
          <w:rFonts w:ascii="Verdana" w:hAnsi="Verdana"/>
          <w:sz w:val="24"/>
          <w:szCs w:val="24"/>
        </w:rPr>
      </w:pPr>
      <w:r w:rsidRPr="00566C72">
        <w:rPr>
          <w:rFonts w:ascii="Verdana" w:hAnsi="Verdana"/>
          <w:sz w:val="24"/>
          <w:szCs w:val="24"/>
        </w:rPr>
        <w:t xml:space="preserve">Grenoble, L.A. &amp; Whaley, L.J. (1996).  Endangered languages: Current issues and future prospects.  </w:t>
      </w:r>
      <w:r w:rsidRPr="00566C72">
        <w:rPr>
          <w:rFonts w:ascii="Verdana" w:hAnsi="Verdana"/>
          <w:i/>
          <w:sz w:val="24"/>
          <w:szCs w:val="24"/>
        </w:rPr>
        <w:t xml:space="preserve">International Journal of the Sociology of Language </w:t>
      </w:r>
      <w:r w:rsidRPr="00566C72">
        <w:rPr>
          <w:rFonts w:ascii="Verdana" w:hAnsi="Verdana"/>
          <w:sz w:val="24"/>
          <w:szCs w:val="24"/>
        </w:rPr>
        <w:t>118:209-23.</w:t>
      </w:r>
    </w:p>
    <w:p w:rsidR="00566C72" w:rsidRPr="00566C72" w:rsidRDefault="00566C72" w:rsidP="00566C72">
      <w:pPr>
        <w:rPr>
          <w:rFonts w:ascii="Verdana" w:hAnsi="Verdana"/>
          <w:sz w:val="24"/>
          <w:szCs w:val="24"/>
        </w:rPr>
      </w:pPr>
      <w:r w:rsidRPr="00566C72">
        <w:rPr>
          <w:rFonts w:ascii="Verdana" w:hAnsi="Verdana"/>
          <w:sz w:val="24"/>
          <w:szCs w:val="24"/>
        </w:rPr>
        <w:t xml:space="preserve">Hinton, L. (1999). </w:t>
      </w:r>
      <w:r w:rsidRPr="00566C72">
        <w:rPr>
          <w:rFonts w:ascii="Verdana" w:hAnsi="Verdana"/>
          <w:i/>
          <w:sz w:val="24"/>
          <w:szCs w:val="24"/>
        </w:rPr>
        <w:t>Involuntary language loss among immigrants: Asian-American linguistic autobiographies</w:t>
      </w:r>
      <w:r w:rsidRPr="00566C72">
        <w:rPr>
          <w:rFonts w:ascii="Verdana" w:hAnsi="Verdana"/>
          <w:sz w:val="24"/>
          <w:szCs w:val="24"/>
        </w:rPr>
        <w:t xml:space="preserve"> (Report No. EDO-FL-99-10).  Washington DC: Office of Educational Research and Improvement.</w:t>
      </w:r>
    </w:p>
    <w:p w:rsidR="00566C72" w:rsidRPr="00566C72" w:rsidRDefault="00566C72" w:rsidP="00566C72">
      <w:pPr>
        <w:rPr>
          <w:rFonts w:ascii="Verdana" w:hAnsi="Verdana"/>
          <w:sz w:val="24"/>
          <w:szCs w:val="24"/>
        </w:rPr>
      </w:pPr>
      <w:r w:rsidRPr="00566C72">
        <w:rPr>
          <w:rFonts w:ascii="Verdana" w:hAnsi="Verdana"/>
          <w:sz w:val="24"/>
          <w:szCs w:val="24"/>
          <w:lang w:val="en"/>
        </w:rPr>
        <w:t xml:space="preserve">Hughes, S. (2012). </w:t>
      </w:r>
      <w:r w:rsidRPr="00566C72">
        <w:rPr>
          <w:rFonts w:ascii="Verdana" w:hAnsi="Verdana"/>
          <w:i/>
          <w:iCs/>
          <w:sz w:val="24"/>
          <w:szCs w:val="24"/>
          <w:lang w:val="en"/>
        </w:rPr>
        <w:t>School Census Results</w:t>
      </w:r>
      <w:r w:rsidRPr="00566C72">
        <w:rPr>
          <w:rFonts w:ascii="Verdana" w:hAnsi="Verdana"/>
          <w:sz w:val="24"/>
          <w:szCs w:val="24"/>
          <w:lang w:val="en"/>
        </w:rPr>
        <w:t>. Cardiff: Welsh Government, 2012.</w:t>
      </w:r>
      <w:r w:rsidRPr="00566C72">
        <w:rPr>
          <w:rFonts w:ascii="Verdana" w:hAnsi="Verdana"/>
          <w:sz w:val="24"/>
          <w:szCs w:val="24"/>
        </w:rPr>
        <w:t xml:space="preserve"> </w:t>
      </w:r>
    </w:p>
    <w:p w:rsidR="00566C72" w:rsidRPr="00566C72" w:rsidRDefault="00566C72" w:rsidP="00566C72">
      <w:pPr>
        <w:rPr>
          <w:rFonts w:ascii="Verdana" w:hAnsi="Verdana"/>
          <w:sz w:val="24"/>
          <w:szCs w:val="24"/>
        </w:rPr>
      </w:pPr>
      <w:r w:rsidRPr="00566C72">
        <w:rPr>
          <w:rFonts w:ascii="Verdana" w:hAnsi="Verdana"/>
          <w:sz w:val="24"/>
          <w:szCs w:val="24"/>
        </w:rPr>
        <w:t xml:space="preserve">Hyltenstam, K. &amp; Stroud, C. (1996).  Language Maintenance.  In H. GOBEL, P.H. NELDE, Z. STARY &amp; W. WOLK (eds), </w:t>
      </w:r>
      <w:r w:rsidRPr="00566C72">
        <w:rPr>
          <w:rFonts w:ascii="Verdana" w:hAnsi="Verdana"/>
          <w:i/>
          <w:sz w:val="24"/>
          <w:szCs w:val="24"/>
        </w:rPr>
        <w:t>Contact Linguistics:  An International Handbook of Contemporary Research</w:t>
      </w:r>
      <w:r w:rsidRPr="00566C72">
        <w:rPr>
          <w:rFonts w:ascii="Verdana" w:hAnsi="Verdana"/>
          <w:sz w:val="24"/>
          <w:szCs w:val="24"/>
        </w:rPr>
        <w:t>.  Berlin: Walter de Gruyter.</w:t>
      </w:r>
    </w:p>
    <w:p w:rsidR="00566C72" w:rsidRPr="00566C72" w:rsidRDefault="00566C72" w:rsidP="00566C72">
      <w:pPr>
        <w:rPr>
          <w:rFonts w:ascii="Verdana" w:hAnsi="Verdana"/>
          <w:sz w:val="24"/>
          <w:szCs w:val="24"/>
        </w:rPr>
      </w:pPr>
      <w:r w:rsidRPr="00566C72">
        <w:rPr>
          <w:rFonts w:ascii="Verdana" w:hAnsi="Verdana"/>
          <w:sz w:val="24"/>
          <w:szCs w:val="24"/>
        </w:rPr>
        <w:t xml:space="preserve">Jenner, H. (1877. Manx Language. Its Grammar, Literature, and Present State. </w:t>
      </w:r>
      <w:r w:rsidRPr="00566C72">
        <w:rPr>
          <w:rFonts w:ascii="Verdana" w:hAnsi="Verdana"/>
          <w:i/>
          <w:iCs/>
          <w:sz w:val="24"/>
          <w:szCs w:val="24"/>
        </w:rPr>
        <w:t>Transactions of the Philological Society</w:t>
      </w:r>
      <w:r w:rsidRPr="00566C72">
        <w:rPr>
          <w:rFonts w:ascii="Verdana" w:hAnsi="Verdana"/>
          <w:sz w:val="24"/>
          <w:szCs w:val="24"/>
        </w:rPr>
        <w:t>, 1875–76.</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r w:rsidRPr="00566C72">
        <w:rPr>
          <w:rFonts w:ascii="Verdana" w:hAnsi="Verdana" w:cs="Times New Roman"/>
          <w:sz w:val="24"/>
          <w:szCs w:val="24"/>
        </w:rPr>
        <w:t xml:space="preserve">Karran, P. (2009, 06 24). Conversation with Peter Karran. (S. Ager, Interviewer) </w:t>
      </w:r>
    </w:p>
    <w:p w:rsidR="00566C72" w:rsidRPr="00566C72" w:rsidRDefault="00566C72" w:rsidP="00566C72">
      <w:pPr>
        <w:autoSpaceDE w:val="0"/>
        <w:autoSpaceDN w:val="0"/>
        <w:adjustRightInd w:val="0"/>
        <w:spacing w:after="0" w:line="240" w:lineRule="auto"/>
        <w:rPr>
          <w:rFonts w:ascii="Verdana" w:hAnsi="Verdana" w:cs="Times New Roman"/>
          <w:sz w:val="24"/>
          <w:szCs w:val="24"/>
        </w:rPr>
      </w:pPr>
    </w:p>
    <w:p w:rsidR="00566C72" w:rsidRPr="00566C72" w:rsidRDefault="00566C72" w:rsidP="00566C72">
      <w:pPr>
        <w:rPr>
          <w:rFonts w:ascii="Verdana" w:hAnsi="Verdana" w:cs="Times New Roman"/>
          <w:sz w:val="24"/>
          <w:szCs w:val="24"/>
        </w:rPr>
      </w:pPr>
      <w:r w:rsidRPr="00566C72">
        <w:rPr>
          <w:rFonts w:ascii="Verdana" w:hAnsi="Verdana" w:cs="Times New Roman"/>
          <w:sz w:val="24"/>
          <w:szCs w:val="24"/>
        </w:rPr>
        <w:t>Karran, P., &amp; Pilgrim, A. (2009, 06 25). Interview with Peter Karran and Adrian Pilgrim. (S. Ager, Interviewer).</w:t>
      </w:r>
    </w:p>
    <w:p w:rsidR="00566C72" w:rsidRPr="00566C72" w:rsidRDefault="00566C72" w:rsidP="00566C72">
      <w:pPr>
        <w:rPr>
          <w:rFonts w:ascii="Verdana" w:hAnsi="Verdana"/>
          <w:sz w:val="24"/>
          <w:szCs w:val="24"/>
        </w:rPr>
      </w:pPr>
      <w:r w:rsidRPr="00566C72">
        <w:rPr>
          <w:rFonts w:ascii="Verdana" w:hAnsi="Verdana" w:cs="Times New Roman"/>
          <w:sz w:val="24"/>
          <w:szCs w:val="24"/>
        </w:rPr>
        <w:t xml:space="preserve">Lao. C. (2004). Parents’ attitudes toward Chinese-English bilingual education and Chinese-language use.  </w:t>
      </w:r>
      <w:r w:rsidRPr="00566C72">
        <w:rPr>
          <w:rFonts w:ascii="Verdana" w:hAnsi="Verdana" w:cs="Times New Roman"/>
          <w:i/>
          <w:sz w:val="24"/>
          <w:szCs w:val="24"/>
        </w:rPr>
        <w:t>Bilingual Research Journal</w:t>
      </w:r>
      <w:r w:rsidRPr="00566C72">
        <w:rPr>
          <w:rFonts w:ascii="Verdana" w:hAnsi="Verdana" w:cs="Times New Roman"/>
          <w:sz w:val="24"/>
          <w:szCs w:val="24"/>
        </w:rPr>
        <w:t xml:space="preserve"> 28 (1), 99-121.</w:t>
      </w:r>
    </w:p>
    <w:p w:rsidR="00566C72" w:rsidRPr="00566C72" w:rsidRDefault="00566C72" w:rsidP="00566C72">
      <w:pPr>
        <w:rPr>
          <w:rFonts w:ascii="Verdana" w:hAnsi="Verdana"/>
          <w:sz w:val="24"/>
          <w:szCs w:val="24"/>
        </w:rPr>
      </w:pPr>
      <w:r w:rsidRPr="00566C72">
        <w:rPr>
          <w:rFonts w:ascii="Verdana" w:hAnsi="Verdana"/>
          <w:sz w:val="24"/>
          <w:szCs w:val="24"/>
        </w:rPr>
        <w:t xml:space="preserve">Matthews, J. (2009b, 06 17). Interview with Julie Matthews. (S. Ager, Interviewer) </w:t>
      </w:r>
    </w:p>
    <w:p w:rsidR="00566C72" w:rsidRPr="00566C72" w:rsidRDefault="00566C72" w:rsidP="00566C72">
      <w:pPr>
        <w:rPr>
          <w:rFonts w:ascii="Verdana" w:hAnsi="Verdana"/>
          <w:sz w:val="24"/>
          <w:szCs w:val="24"/>
        </w:rPr>
      </w:pPr>
      <w:r w:rsidRPr="00566C72">
        <w:rPr>
          <w:rFonts w:ascii="Verdana" w:hAnsi="Verdana"/>
          <w:sz w:val="24"/>
          <w:szCs w:val="24"/>
        </w:rPr>
        <w:t>Miller, S</w:t>
      </w:r>
      <w:proofErr w:type="gramStart"/>
      <w:r w:rsidRPr="00566C72">
        <w:rPr>
          <w:rFonts w:ascii="Verdana" w:hAnsi="Verdana"/>
          <w:sz w:val="24"/>
          <w:szCs w:val="24"/>
        </w:rPr>
        <w:t>.(</w:t>
      </w:r>
      <w:proofErr w:type="gramEnd"/>
      <w:r w:rsidRPr="00566C72">
        <w:rPr>
          <w:rFonts w:ascii="Verdana" w:hAnsi="Verdana"/>
          <w:sz w:val="24"/>
          <w:szCs w:val="24"/>
        </w:rPr>
        <w:t>2</w:t>
      </w:r>
      <w:r w:rsidRPr="00566C72">
        <w:rPr>
          <w:rFonts w:ascii="Verdana" w:hAnsi="Verdana"/>
          <w:sz w:val="24"/>
          <w:szCs w:val="24"/>
          <w:vertAlign w:val="superscript"/>
        </w:rPr>
        <w:t>nd</w:t>
      </w:r>
      <w:r w:rsidRPr="00566C72">
        <w:rPr>
          <w:rFonts w:ascii="Verdana" w:hAnsi="Verdana"/>
          <w:sz w:val="24"/>
          <w:szCs w:val="24"/>
        </w:rPr>
        <w:t xml:space="preserve"> September 1993).  </w:t>
      </w:r>
      <w:r w:rsidRPr="00566C72">
        <w:rPr>
          <w:rFonts w:ascii="Verdana" w:hAnsi="Verdana"/>
          <w:i/>
          <w:sz w:val="24"/>
          <w:szCs w:val="24"/>
        </w:rPr>
        <w:t xml:space="preserve">“The death of Manx from newspaper clipping 1950s”.  </w:t>
      </w:r>
      <w:r w:rsidRPr="00566C72">
        <w:rPr>
          <w:rFonts w:ascii="Verdana" w:hAnsi="Verdana"/>
          <w:sz w:val="24"/>
          <w:szCs w:val="24"/>
        </w:rPr>
        <w:t>Ned Maddrell Memorial Lecture. 28 November 1996.  Archived from the original on 19 September 2004.</w:t>
      </w:r>
    </w:p>
    <w:p w:rsidR="00566C72" w:rsidRPr="00566C72" w:rsidRDefault="00566C72" w:rsidP="00566C72">
      <w:pPr>
        <w:rPr>
          <w:rFonts w:ascii="Verdana" w:hAnsi="Verdana"/>
          <w:sz w:val="24"/>
          <w:szCs w:val="24"/>
        </w:rPr>
      </w:pPr>
      <w:r w:rsidRPr="00566C72">
        <w:rPr>
          <w:rFonts w:ascii="Verdana" w:hAnsi="Verdana"/>
          <w:sz w:val="24"/>
          <w:szCs w:val="24"/>
        </w:rPr>
        <w:t xml:space="preserve">Miller, S. (Ed.) (1994). </w:t>
      </w:r>
      <w:r w:rsidRPr="00566C72">
        <w:rPr>
          <w:rFonts w:ascii="Verdana" w:hAnsi="Verdana"/>
          <w:i/>
          <w:iCs/>
          <w:sz w:val="24"/>
          <w:szCs w:val="24"/>
        </w:rPr>
        <w:t xml:space="preserve">Manx Notes: Folkways &amp; Language. </w:t>
      </w:r>
      <w:r w:rsidRPr="00566C72">
        <w:rPr>
          <w:rFonts w:ascii="Verdana" w:hAnsi="Verdana"/>
          <w:sz w:val="24"/>
          <w:szCs w:val="24"/>
        </w:rPr>
        <w:t xml:space="preserve">Retrieved 07 14, 2009, from Manx Notes 14: </w:t>
      </w:r>
      <w:hyperlink r:id="rId10" w:history="1">
        <w:r w:rsidRPr="00566C72">
          <w:rPr>
            <w:rFonts w:ascii="Verdana" w:hAnsi="Verdana"/>
            <w:sz w:val="24"/>
            <w:szCs w:val="24"/>
            <w:u w:val="single"/>
          </w:rPr>
          <w:t>http://www.smo.uhi.ac.uk/~stephen/manxnotes/MN014.pdf</w:t>
        </w:r>
      </w:hyperlink>
      <w:r w:rsidRPr="00566C72">
        <w:rPr>
          <w:rFonts w:ascii="Verdana" w:hAnsi="Verdana"/>
          <w:sz w:val="24"/>
          <w:szCs w:val="24"/>
        </w:rPr>
        <w:t xml:space="preserve"> </w:t>
      </w:r>
    </w:p>
    <w:p w:rsidR="00566C72" w:rsidRPr="00566C72" w:rsidRDefault="00566C72" w:rsidP="00566C72">
      <w:pPr>
        <w:rPr>
          <w:rFonts w:ascii="Verdana" w:hAnsi="Verdana"/>
          <w:sz w:val="24"/>
          <w:szCs w:val="24"/>
        </w:rPr>
      </w:pPr>
      <w:r w:rsidRPr="00566C72">
        <w:rPr>
          <w:rFonts w:ascii="Verdana" w:hAnsi="Verdana"/>
          <w:sz w:val="24"/>
          <w:szCs w:val="24"/>
        </w:rPr>
        <w:t xml:space="preserve">Ó Néill, D. (Ed.). (2005). </w:t>
      </w:r>
      <w:proofErr w:type="gramStart"/>
      <w:r w:rsidRPr="00566C72">
        <w:rPr>
          <w:rFonts w:ascii="Verdana" w:hAnsi="Verdana"/>
          <w:i/>
          <w:iCs/>
          <w:sz w:val="24"/>
          <w:szCs w:val="24"/>
        </w:rPr>
        <w:t>Rebuilding</w:t>
      </w:r>
      <w:proofErr w:type="gramEnd"/>
      <w:r w:rsidRPr="00566C72">
        <w:rPr>
          <w:rFonts w:ascii="Verdana" w:hAnsi="Verdana"/>
          <w:i/>
          <w:iCs/>
          <w:sz w:val="24"/>
          <w:szCs w:val="24"/>
        </w:rPr>
        <w:t xml:space="preserve"> the Celtic languages: reversing language shift in the Celtic countries. </w:t>
      </w:r>
      <w:r w:rsidRPr="00566C72">
        <w:rPr>
          <w:rFonts w:ascii="Verdana" w:hAnsi="Verdana"/>
          <w:sz w:val="24"/>
          <w:szCs w:val="24"/>
        </w:rPr>
        <w:t>Talybont, Ceredigion: Y Lolfa.</w:t>
      </w:r>
    </w:p>
    <w:p w:rsidR="00566C72" w:rsidRPr="00566C72" w:rsidRDefault="00566C72" w:rsidP="00566C72">
      <w:pPr>
        <w:rPr>
          <w:rFonts w:ascii="Verdana" w:hAnsi="Verdana"/>
          <w:sz w:val="24"/>
          <w:szCs w:val="24"/>
        </w:rPr>
      </w:pPr>
      <w:r w:rsidRPr="00566C72">
        <w:rPr>
          <w:rFonts w:ascii="Verdana" w:hAnsi="Verdana"/>
          <w:sz w:val="24"/>
          <w:szCs w:val="24"/>
        </w:rPr>
        <w:t xml:space="preserve">Pine, A. &amp; Turin, M. (2017). Language Revitalization. Oxford Research Encyclopaedia of Linguistics.  Oxford University Press.  </w:t>
      </w:r>
    </w:p>
    <w:p w:rsidR="00566C72" w:rsidRPr="00566C72" w:rsidRDefault="00566C72" w:rsidP="00566C72">
      <w:pPr>
        <w:rPr>
          <w:rFonts w:ascii="Verdana" w:hAnsi="Verdana"/>
          <w:sz w:val="24"/>
          <w:szCs w:val="24"/>
        </w:rPr>
      </w:pPr>
      <w:r w:rsidRPr="00566C72">
        <w:rPr>
          <w:rFonts w:ascii="Verdana" w:hAnsi="Verdana"/>
          <w:sz w:val="24"/>
          <w:szCs w:val="24"/>
        </w:rPr>
        <w:lastRenderedPageBreak/>
        <w:t xml:space="preserve">Pilgrim, A. J. (2005). </w:t>
      </w:r>
      <w:r w:rsidRPr="00566C72">
        <w:rPr>
          <w:rFonts w:ascii="Verdana" w:hAnsi="Verdana"/>
          <w:i/>
          <w:iCs/>
          <w:sz w:val="24"/>
          <w:szCs w:val="24"/>
        </w:rPr>
        <w:t xml:space="preserve">A Sketch of Manx Gaelic. </w:t>
      </w:r>
      <w:r w:rsidRPr="00566C72">
        <w:rPr>
          <w:rFonts w:ascii="Verdana" w:hAnsi="Verdana"/>
          <w:sz w:val="24"/>
          <w:szCs w:val="24"/>
        </w:rPr>
        <w:t xml:space="preserve">Retrieved 02 01, 2020, from Gaelg: </w:t>
      </w:r>
      <w:hyperlink r:id="rId11" w:history="1">
        <w:r w:rsidRPr="00566C72">
          <w:rPr>
            <w:rFonts w:ascii="Verdana" w:hAnsi="Verdana"/>
            <w:sz w:val="24"/>
            <w:szCs w:val="24"/>
            <w:u w:val="single"/>
          </w:rPr>
          <w:t>http://www.gaelg.iofm.net/INFO/oml/sketch.html</w:t>
        </w:r>
      </w:hyperlink>
      <w:r w:rsidRPr="00566C72">
        <w:rPr>
          <w:rFonts w:ascii="Verdana" w:hAnsi="Verdana"/>
          <w:sz w:val="24"/>
          <w:szCs w:val="24"/>
        </w:rPr>
        <w:t xml:space="preserve"> </w:t>
      </w:r>
    </w:p>
    <w:p w:rsidR="00566C72" w:rsidRPr="00566C72" w:rsidRDefault="00566C72" w:rsidP="00566C72">
      <w:pPr>
        <w:rPr>
          <w:rFonts w:ascii="Verdana" w:hAnsi="Verdana"/>
          <w:sz w:val="24"/>
          <w:szCs w:val="24"/>
        </w:rPr>
      </w:pPr>
      <w:r w:rsidRPr="00566C72">
        <w:rPr>
          <w:rFonts w:ascii="Verdana" w:hAnsi="Verdana" w:cs="Arial"/>
          <w:bCs/>
          <w:sz w:val="24"/>
          <w:szCs w:val="24"/>
          <w:lang w:val="en"/>
        </w:rPr>
        <w:t>Sofu,</w:t>
      </w:r>
      <w:r w:rsidRPr="00566C72">
        <w:rPr>
          <w:rFonts w:ascii="Verdana" w:hAnsi="Verdana" w:cs="Arial"/>
          <w:sz w:val="24"/>
          <w:szCs w:val="24"/>
          <w:lang w:val="en"/>
        </w:rPr>
        <w:t xml:space="preserve"> H. (2009) </w:t>
      </w:r>
      <w:r w:rsidRPr="00566C72">
        <w:rPr>
          <w:rFonts w:ascii="Verdana" w:hAnsi="Verdana"/>
          <w:sz w:val="24"/>
          <w:szCs w:val="24"/>
        </w:rPr>
        <w:t>Language Shift or Maintenance within Three Generations: Examples from Three Turkish-Arabic-Speaking Families</w:t>
      </w:r>
      <w:r w:rsidRPr="00566C72">
        <w:rPr>
          <w:rFonts w:ascii="Verdana" w:hAnsi="Verdana" w:cs="Arial"/>
          <w:sz w:val="24"/>
          <w:szCs w:val="24"/>
          <w:lang w:val="en"/>
        </w:rPr>
        <w:t>International Journal of Multilingualism, v6 n3 p246-257.</w:t>
      </w:r>
    </w:p>
    <w:p w:rsidR="00566C72" w:rsidRPr="00566C72" w:rsidRDefault="00566C72" w:rsidP="00566C72">
      <w:pPr>
        <w:rPr>
          <w:rFonts w:ascii="Verdana" w:hAnsi="Verdana"/>
          <w:sz w:val="24"/>
          <w:szCs w:val="24"/>
        </w:rPr>
      </w:pPr>
      <w:r w:rsidRPr="00566C72">
        <w:rPr>
          <w:rFonts w:ascii="Verdana" w:hAnsi="Verdana"/>
          <w:sz w:val="24"/>
          <w:szCs w:val="24"/>
        </w:rPr>
        <w:t xml:space="preserve">Steinforth, D.H. (2015). Early Vikings in the Isle of Man: Old Paradigms and New Perspectives. </w:t>
      </w:r>
      <w:r w:rsidRPr="00566C72">
        <w:rPr>
          <w:rFonts w:ascii="Verdana" w:hAnsi="Verdana"/>
          <w:i/>
          <w:sz w:val="24"/>
          <w:szCs w:val="24"/>
        </w:rPr>
        <w:t>Viking and Medieval Scandinavia</w:t>
      </w:r>
      <w:r w:rsidRPr="00566C72">
        <w:rPr>
          <w:rFonts w:ascii="Verdana" w:hAnsi="Verdana"/>
          <w:sz w:val="24"/>
          <w:szCs w:val="24"/>
        </w:rPr>
        <w:t xml:space="preserve"> (11); 203-229.</w:t>
      </w: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Stowell, B. (2005). The Case of Manx Gaelic / Yn Ghailckagh. In D. Ó Néill (Ed.), </w:t>
      </w:r>
      <w:proofErr w:type="gramStart"/>
      <w:r w:rsidRPr="00566C72">
        <w:rPr>
          <w:rFonts w:ascii="Verdana" w:hAnsi="Verdana"/>
          <w:i/>
          <w:iCs/>
          <w:sz w:val="24"/>
          <w:szCs w:val="24"/>
        </w:rPr>
        <w:t>Rebuilding</w:t>
      </w:r>
      <w:proofErr w:type="gramEnd"/>
      <w:r w:rsidRPr="00566C72">
        <w:rPr>
          <w:rFonts w:ascii="Verdana" w:hAnsi="Verdana"/>
          <w:i/>
          <w:iCs/>
          <w:sz w:val="24"/>
          <w:szCs w:val="24"/>
        </w:rPr>
        <w:t xml:space="preserve"> the Celtic languages: reversing language shift in the Celtic countries </w:t>
      </w:r>
      <w:r w:rsidRPr="00566C72">
        <w:rPr>
          <w:rFonts w:ascii="Verdana" w:hAnsi="Verdana"/>
          <w:sz w:val="24"/>
          <w:szCs w:val="24"/>
        </w:rPr>
        <w:t xml:space="preserve">(pp. 383-416). Talybont, Ceredigion: Y Lolfa. </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Stowell, B. (2009, 06 17). Interview with Brian Stowell. (S. Ager, Interviewer)</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rPr>
      </w:pPr>
      <w:r w:rsidRPr="00566C72">
        <w:rPr>
          <w:rFonts w:ascii="Verdana" w:hAnsi="Verdana"/>
          <w:sz w:val="24"/>
          <w:szCs w:val="24"/>
        </w:rPr>
        <w:t xml:space="preserve">Thomson, R. L. (2000). Manx. In G. Price, </w:t>
      </w:r>
      <w:r w:rsidRPr="00566C72">
        <w:rPr>
          <w:rFonts w:ascii="Verdana" w:hAnsi="Verdana"/>
          <w:i/>
          <w:iCs/>
          <w:sz w:val="24"/>
          <w:szCs w:val="24"/>
        </w:rPr>
        <w:t xml:space="preserve">Languages in Britain &amp; Ireland </w:t>
      </w:r>
      <w:r w:rsidRPr="00566C72">
        <w:rPr>
          <w:rFonts w:ascii="Verdana" w:hAnsi="Verdana"/>
          <w:sz w:val="24"/>
          <w:szCs w:val="24"/>
        </w:rPr>
        <w:t>(pp. 58-69). Oxford: Blackwell.</w:t>
      </w:r>
    </w:p>
    <w:p w:rsidR="00566C72" w:rsidRPr="00566C72" w:rsidRDefault="00566C72" w:rsidP="00566C72">
      <w:pPr>
        <w:autoSpaceDE w:val="0"/>
        <w:autoSpaceDN w:val="0"/>
        <w:adjustRightInd w:val="0"/>
        <w:spacing w:after="0" w:line="240" w:lineRule="auto"/>
        <w:rPr>
          <w:rFonts w:ascii="Verdana" w:hAnsi="Verdana"/>
          <w:sz w:val="24"/>
          <w:szCs w:val="24"/>
        </w:rPr>
      </w:pPr>
    </w:p>
    <w:p w:rsidR="00566C72" w:rsidRPr="00566C72" w:rsidRDefault="00566C72" w:rsidP="00566C72">
      <w:pPr>
        <w:autoSpaceDE w:val="0"/>
        <w:autoSpaceDN w:val="0"/>
        <w:adjustRightInd w:val="0"/>
        <w:spacing w:after="0" w:line="240" w:lineRule="auto"/>
        <w:rPr>
          <w:rFonts w:ascii="Verdana" w:hAnsi="Verdana"/>
          <w:sz w:val="24"/>
          <w:szCs w:val="24"/>
          <w:lang w:val="en"/>
        </w:rPr>
      </w:pPr>
      <w:r w:rsidRPr="00566C72">
        <w:rPr>
          <w:rFonts w:ascii="Verdana" w:hAnsi="Verdana"/>
          <w:sz w:val="24"/>
          <w:szCs w:val="24"/>
          <w:lang w:val="en"/>
        </w:rPr>
        <w:t>UNESCO Ad Hoc Expert Group on Endangered Languages. (2003). Language Vitality and Endangerment.  Document submitted to the International Expert Meeting on UNESCO Programme Safeguarding of Endangered Languages.  Paris, 10 – 12 March.</w:t>
      </w:r>
    </w:p>
    <w:p w:rsidR="00566C72" w:rsidRPr="00566C72" w:rsidRDefault="00566C72" w:rsidP="00566C72">
      <w:pPr>
        <w:autoSpaceDE w:val="0"/>
        <w:autoSpaceDN w:val="0"/>
        <w:adjustRightInd w:val="0"/>
        <w:spacing w:after="0" w:line="240" w:lineRule="auto"/>
        <w:rPr>
          <w:rFonts w:ascii="Verdana" w:hAnsi="Verdana" w:cs="TimesNewRomanPSMT"/>
          <w:sz w:val="24"/>
          <w:szCs w:val="24"/>
        </w:rPr>
      </w:pPr>
    </w:p>
    <w:p w:rsidR="00566C72" w:rsidRDefault="00566C72" w:rsidP="00331169">
      <w:pPr>
        <w:spacing w:line="480" w:lineRule="auto"/>
        <w:rPr>
          <w:rFonts w:ascii="Verdana" w:hAnsi="Verdana" w:cs="TimesNewRomanPSMT"/>
          <w:sz w:val="24"/>
          <w:szCs w:val="24"/>
        </w:rPr>
      </w:pPr>
      <w:bookmarkStart w:id="0" w:name="_GoBack"/>
      <w:bookmarkEnd w:id="0"/>
    </w:p>
    <w:p w:rsidR="00382DA1" w:rsidRPr="00382DA1" w:rsidRDefault="00382DA1" w:rsidP="00382DA1">
      <w:pPr>
        <w:spacing w:line="480" w:lineRule="auto"/>
        <w:ind w:left="720"/>
        <w:jc w:val="right"/>
        <w:rPr>
          <w:rFonts w:ascii="Verdana" w:hAnsi="Verdana" w:cs="TimesNewRomanPSMT"/>
          <w:sz w:val="24"/>
          <w:szCs w:val="24"/>
        </w:rPr>
      </w:pPr>
    </w:p>
    <w:p w:rsidR="00382DA1" w:rsidRPr="002A35D9" w:rsidRDefault="00382DA1" w:rsidP="002A35D9">
      <w:pPr>
        <w:spacing w:after="0" w:line="240" w:lineRule="auto"/>
        <w:rPr>
          <w:rFonts w:ascii="Times New Roman" w:eastAsia="Times New Roman" w:hAnsi="Times New Roman" w:cs="Times New Roman"/>
          <w:sz w:val="24"/>
          <w:szCs w:val="24"/>
          <w:lang w:eastAsia="en-GB"/>
        </w:rPr>
      </w:pPr>
    </w:p>
    <w:p w:rsidR="002A35D9" w:rsidRPr="002A35D9" w:rsidRDefault="002A35D9" w:rsidP="002A35D9">
      <w:pPr>
        <w:spacing w:after="0" w:line="240" w:lineRule="auto"/>
        <w:rPr>
          <w:rFonts w:ascii="Times New Roman" w:eastAsia="Times New Roman" w:hAnsi="Times New Roman" w:cs="Times New Roman"/>
          <w:sz w:val="24"/>
          <w:szCs w:val="24"/>
          <w:lang w:eastAsia="en-GB"/>
        </w:rPr>
      </w:pPr>
    </w:p>
    <w:p w:rsidR="002A35D9" w:rsidRDefault="002A35D9" w:rsidP="002A35D9">
      <w:pPr>
        <w:spacing w:after="0" w:line="240" w:lineRule="auto"/>
        <w:rPr>
          <w:rFonts w:ascii="Times New Roman" w:eastAsia="Times New Roman" w:hAnsi="Times New Roman" w:cs="Times New Roman"/>
          <w:sz w:val="24"/>
          <w:szCs w:val="24"/>
          <w:lang w:eastAsia="en-GB"/>
        </w:rPr>
      </w:pPr>
    </w:p>
    <w:p w:rsidR="002A35D9" w:rsidRPr="002A35D9" w:rsidRDefault="002A35D9" w:rsidP="002A35D9">
      <w:pPr>
        <w:spacing w:after="0" w:line="240" w:lineRule="auto"/>
        <w:rPr>
          <w:rFonts w:ascii="Times New Roman" w:eastAsia="Times New Roman" w:hAnsi="Times New Roman" w:cs="Times New Roman"/>
          <w:sz w:val="24"/>
          <w:szCs w:val="24"/>
          <w:lang w:eastAsia="en-GB"/>
        </w:rPr>
      </w:pPr>
    </w:p>
    <w:p w:rsidR="002A35D9" w:rsidRPr="002A35D9" w:rsidRDefault="002A35D9" w:rsidP="002A35D9"/>
    <w:p w:rsidR="002A35D9" w:rsidRDefault="002A35D9"/>
    <w:sectPr w:rsidR="002A35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26D0" w:rsidRDefault="00C626D0" w:rsidP="00331169">
      <w:pPr>
        <w:spacing w:after="0" w:line="240" w:lineRule="auto"/>
      </w:pPr>
      <w:r>
        <w:separator/>
      </w:r>
    </w:p>
  </w:endnote>
  <w:endnote w:type="continuationSeparator" w:id="0">
    <w:p w:rsidR="00C626D0" w:rsidRDefault="00C626D0" w:rsidP="00331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NewRomanPSMT">
    <w:altName w:val="Times New Roman"/>
    <w:panose1 w:val="00000000000000000000"/>
    <w:charset w:val="00"/>
    <w:family w:val="auto"/>
    <w:notTrueType/>
    <w:pitch w:val="default"/>
    <w:sig w:usb0="00000003" w:usb1="00000000" w:usb2="00000000" w:usb3="00000000" w:csb0="00000101" w:csb1="00000000"/>
  </w:font>
  <w:font w:name="Cambria">
    <w:panose1 w:val="02040503050406030204"/>
    <w:charset w:val="00"/>
    <w:family w:val="roman"/>
    <w:pitch w:val="variable"/>
    <w:sig w:usb0="E00006FF" w:usb1="420024FF" w:usb2="02000000" w:usb3="00000000" w:csb0="0000019F" w:csb1="00000000"/>
  </w:font>
  <w:font w:name="Cambria-Italic">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enturyBase">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5735705"/>
      <w:docPartObj>
        <w:docPartGallery w:val="Page Numbers (Bottom of Page)"/>
        <w:docPartUnique/>
      </w:docPartObj>
    </w:sdtPr>
    <w:sdtEndPr>
      <w:rPr>
        <w:noProof/>
      </w:rPr>
    </w:sdtEndPr>
    <w:sdtContent>
      <w:p w:rsidR="00331169" w:rsidRDefault="00331169">
        <w:pPr>
          <w:pStyle w:val="Footer"/>
          <w:jc w:val="right"/>
        </w:pPr>
        <w:r>
          <w:fldChar w:fldCharType="begin"/>
        </w:r>
        <w:r>
          <w:instrText xml:space="preserve"> PAGE   \* MERGEFORMAT </w:instrText>
        </w:r>
        <w:r>
          <w:fldChar w:fldCharType="separate"/>
        </w:r>
        <w:r w:rsidR="00566C72">
          <w:rPr>
            <w:noProof/>
          </w:rPr>
          <w:t>32</w:t>
        </w:r>
        <w:r>
          <w:rPr>
            <w:noProof/>
          </w:rPr>
          <w:fldChar w:fldCharType="end"/>
        </w:r>
      </w:p>
    </w:sdtContent>
  </w:sdt>
  <w:p w:rsidR="00331169" w:rsidRDefault="003311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26D0" w:rsidRDefault="00C626D0" w:rsidP="00331169">
      <w:pPr>
        <w:spacing w:after="0" w:line="240" w:lineRule="auto"/>
      </w:pPr>
      <w:r>
        <w:separator/>
      </w:r>
    </w:p>
  </w:footnote>
  <w:footnote w:type="continuationSeparator" w:id="0">
    <w:p w:rsidR="00C626D0" w:rsidRDefault="00C626D0" w:rsidP="0033116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1169" w:rsidRPr="00331169" w:rsidRDefault="00331169" w:rsidP="00331169">
    <w:pPr>
      <w:tabs>
        <w:tab w:val="center" w:pos="4513"/>
        <w:tab w:val="right" w:pos="9026"/>
      </w:tabs>
      <w:spacing w:after="0" w:line="240" w:lineRule="auto"/>
      <w:jc w:val="right"/>
    </w:pPr>
    <w:r w:rsidRPr="00331169">
      <w:t>Rhiannon Ellis: 1815414</w:t>
    </w:r>
  </w:p>
  <w:p w:rsidR="00331169" w:rsidRPr="00331169" w:rsidRDefault="00331169" w:rsidP="00331169">
    <w:pPr>
      <w:tabs>
        <w:tab w:val="center" w:pos="4513"/>
        <w:tab w:val="right" w:pos="9026"/>
      </w:tabs>
      <w:spacing w:after="0" w:line="240" w:lineRule="auto"/>
      <w:jc w:val="right"/>
    </w:pPr>
    <w:r w:rsidRPr="00331169">
      <w:t>Societal Bilingualism: ECDA-7002</w:t>
    </w:r>
  </w:p>
  <w:p w:rsidR="00331169" w:rsidRDefault="0033116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6341F9"/>
    <w:multiLevelType w:val="multilevel"/>
    <w:tmpl w:val="C5ACE2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498F279F"/>
    <w:multiLevelType w:val="hybridMultilevel"/>
    <w:tmpl w:val="52BEC4A6"/>
    <w:lvl w:ilvl="0" w:tplc="AC2ED760">
      <w:start w:val="1"/>
      <w:numFmt w:val="bullet"/>
      <w:lvlText w:val="•"/>
      <w:lvlJc w:val="left"/>
      <w:pPr>
        <w:tabs>
          <w:tab w:val="num" w:pos="720"/>
        </w:tabs>
        <w:ind w:left="720" w:hanging="360"/>
      </w:pPr>
      <w:rPr>
        <w:rFonts w:ascii="Arial" w:hAnsi="Arial" w:hint="default"/>
      </w:rPr>
    </w:lvl>
    <w:lvl w:ilvl="1" w:tplc="06C29CF4" w:tentative="1">
      <w:start w:val="1"/>
      <w:numFmt w:val="bullet"/>
      <w:lvlText w:val="•"/>
      <w:lvlJc w:val="left"/>
      <w:pPr>
        <w:tabs>
          <w:tab w:val="num" w:pos="1440"/>
        </w:tabs>
        <w:ind w:left="1440" w:hanging="360"/>
      </w:pPr>
      <w:rPr>
        <w:rFonts w:ascii="Arial" w:hAnsi="Arial" w:hint="default"/>
      </w:rPr>
    </w:lvl>
    <w:lvl w:ilvl="2" w:tplc="EDBE4EE6" w:tentative="1">
      <w:start w:val="1"/>
      <w:numFmt w:val="bullet"/>
      <w:lvlText w:val="•"/>
      <w:lvlJc w:val="left"/>
      <w:pPr>
        <w:tabs>
          <w:tab w:val="num" w:pos="2160"/>
        </w:tabs>
        <w:ind w:left="2160" w:hanging="360"/>
      </w:pPr>
      <w:rPr>
        <w:rFonts w:ascii="Arial" w:hAnsi="Arial" w:hint="default"/>
      </w:rPr>
    </w:lvl>
    <w:lvl w:ilvl="3" w:tplc="5AC84144" w:tentative="1">
      <w:start w:val="1"/>
      <w:numFmt w:val="bullet"/>
      <w:lvlText w:val="•"/>
      <w:lvlJc w:val="left"/>
      <w:pPr>
        <w:tabs>
          <w:tab w:val="num" w:pos="2880"/>
        </w:tabs>
        <w:ind w:left="2880" w:hanging="360"/>
      </w:pPr>
      <w:rPr>
        <w:rFonts w:ascii="Arial" w:hAnsi="Arial" w:hint="default"/>
      </w:rPr>
    </w:lvl>
    <w:lvl w:ilvl="4" w:tplc="21E23E8C" w:tentative="1">
      <w:start w:val="1"/>
      <w:numFmt w:val="bullet"/>
      <w:lvlText w:val="•"/>
      <w:lvlJc w:val="left"/>
      <w:pPr>
        <w:tabs>
          <w:tab w:val="num" w:pos="3600"/>
        </w:tabs>
        <w:ind w:left="3600" w:hanging="360"/>
      </w:pPr>
      <w:rPr>
        <w:rFonts w:ascii="Arial" w:hAnsi="Arial" w:hint="default"/>
      </w:rPr>
    </w:lvl>
    <w:lvl w:ilvl="5" w:tplc="DE24C206" w:tentative="1">
      <w:start w:val="1"/>
      <w:numFmt w:val="bullet"/>
      <w:lvlText w:val="•"/>
      <w:lvlJc w:val="left"/>
      <w:pPr>
        <w:tabs>
          <w:tab w:val="num" w:pos="4320"/>
        </w:tabs>
        <w:ind w:left="4320" w:hanging="360"/>
      </w:pPr>
      <w:rPr>
        <w:rFonts w:ascii="Arial" w:hAnsi="Arial" w:hint="default"/>
      </w:rPr>
    </w:lvl>
    <w:lvl w:ilvl="6" w:tplc="10DE539A" w:tentative="1">
      <w:start w:val="1"/>
      <w:numFmt w:val="bullet"/>
      <w:lvlText w:val="•"/>
      <w:lvlJc w:val="left"/>
      <w:pPr>
        <w:tabs>
          <w:tab w:val="num" w:pos="5040"/>
        </w:tabs>
        <w:ind w:left="5040" w:hanging="360"/>
      </w:pPr>
      <w:rPr>
        <w:rFonts w:ascii="Arial" w:hAnsi="Arial" w:hint="default"/>
      </w:rPr>
    </w:lvl>
    <w:lvl w:ilvl="7" w:tplc="D6668298" w:tentative="1">
      <w:start w:val="1"/>
      <w:numFmt w:val="bullet"/>
      <w:lvlText w:val="•"/>
      <w:lvlJc w:val="left"/>
      <w:pPr>
        <w:tabs>
          <w:tab w:val="num" w:pos="5760"/>
        </w:tabs>
        <w:ind w:left="5760" w:hanging="360"/>
      </w:pPr>
      <w:rPr>
        <w:rFonts w:ascii="Arial" w:hAnsi="Arial" w:hint="default"/>
      </w:rPr>
    </w:lvl>
    <w:lvl w:ilvl="8" w:tplc="813C6B5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5D9"/>
    <w:rsid w:val="002A35D9"/>
    <w:rsid w:val="002E26FD"/>
    <w:rsid w:val="00331169"/>
    <w:rsid w:val="00382DA1"/>
    <w:rsid w:val="00566C72"/>
    <w:rsid w:val="005B4238"/>
    <w:rsid w:val="00C626D0"/>
    <w:rsid w:val="00E56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4C921E-76DF-41D2-A971-EDFF5CB4A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35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A35D9"/>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31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169"/>
  </w:style>
  <w:style w:type="paragraph" w:styleId="Footer">
    <w:name w:val="footer"/>
    <w:basedOn w:val="Normal"/>
    <w:link w:val="FooterChar"/>
    <w:uiPriority w:val="99"/>
    <w:unhideWhenUsed/>
    <w:rsid w:val="00331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9926">
      <w:bodyDiv w:val="1"/>
      <w:marLeft w:val="0"/>
      <w:marRight w:val="0"/>
      <w:marTop w:val="0"/>
      <w:marBottom w:val="0"/>
      <w:divBdr>
        <w:top w:val="none" w:sz="0" w:space="0" w:color="auto"/>
        <w:left w:val="none" w:sz="0" w:space="0" w:color="auto"/>
        <w:bottom w:val="none" w:sz="0" w:space="0" w:color="auto"/>
        <w:right w:val="none" w:sz="0" w:space="0" w:color="auto"/>
      </w:divBdr>
    </w:div>
    <w:div w:id="61803263">
      <w:bodyDiv w:val="1"/>
      <w:marLeft w:val="0"/>
      <w:marRight w:val="0"/>
      <w:marTop w:val="0"/>
      <w:marBottom w:val="0"/>
      <w:divBdr>
        <w:top w:val="none" w:sz="0" w:space="0" w:color="auto"/>
        <w:left w:val="none" w:sz="0" w:space="0" w:color="auto"/>
        <w:bottom w:val="none" w:sz="0" w:space="0" w:color="auto"/>
        <w:right w:val="none" w:sz="0" w:space="0" w:color="auto"/>
      </w:divBdr>
    </w:div>
    <w:div w:id="113908785">
      <w:bodyDiv w:val="1"/>
      <w:marLeft w:val="0"/>
      <w:marRight w:val="0"/>
      <w:marTop w:val="0"/>
      <w:marBottom w:val="0"/>
      <w:divBdr>
        <w:top w:val="none" w:sz="0" w:space="0" w:color="auto"/>
        <w:left w:val="none" w:sz="0" w:space="0" w:color="auto"/>
        <w:bottom w:val="none" w:sz="0" w:space="0" w:color="auto"/>
        <w:right w:val="none" w:sz="0" w:space="0" w:color="auto"/>
      </w:divBdr>
    </w:div>
    <w:div w:id="140657029">
      <w:bodyDiv w:val="1"/>
      <w:marLeft w:val="0"/>
      <w:marRight w:val="0"/>
      <w:marTop w:val="0"/>
      <w:marBottom w:val="0"/>
      <w:divBdr>
        <w:top w:val="none" w:sz="0" w:space="0" w:color="auto"/>
        <w:left w:val="none" w:sz="0" w:space="0" w:color="auto"/>
        <w:bottom w:val="none" w:sz="0" w:space="0" w:color="auto"/>
        <w:right w:val="none" w:sz="0" w:space="0" w:color="auto"/>
      </w:divBdr>
    </w:div>
    <w:div w:id="161506805">
      <w:bodyDiv w:val="1"/>
      <w:marLeft w:val="0"/>
      <w:marRight w:val="0"/>
      <w:marTop w:val="0"/>
      <w:marBottom w:val="0"/>
      <w:divBdr>
        <w:top w:val="none" w:sz="0" w:space="0" w:color="auto"/>
        <w:left w:val="none" w:sz="0" w:space="0" w:color="auto"/>
        <w:bottom w:val="none" w:sz="0" w:space="0" w:color="auto"/>
        <w:right w:val="none" w:sz="0" w:space="0" w:color="auto"/>
      </w:divBdr>
    </w:div>
    <w:div w:id="183594049">
      <w:bodyDiv w:val="1"/>
      <w:marLeft w:val="0"/>
      <w:marRight w:val="0"/>
      <w:marTop w:val="0"/>
      <w:marBottom w:val="0"/>
      <w:divBdr>
        <w:top w:val="none" w:sz="0" w:space="0" w:color="auto"/>
        <w:left w:val="none" w:sz="0" w:space="0" w:color="auto"/>
        <w:bottom w:val="none" w:sz="0" w:space="0" w:color="auto"/>
        <w:right w:val="none" w:sz="0" w:space="0" w:color="auto"/>
      </w:divBdr>
    </w:div>
    <w:div w:id="294021103">
      <w:bodyDiv w:val="1"/>
      <w:marLeft w:val="0"/>
      <w:marRight w:val="0"/>
      <w:marTop w:val="0"/>
      <w:marBottom w:val="0"/>
      <w:divBdr>
        <w:top w:val="none" w:sz="0" w:space="0" w:color="auto"/>
        <w:left w:val="none" w:sz="0" w:space="0" w:color="auto"/>
        <w:bottom w:val="none" w:sz="0" w:space="0" w:color="auto"/>
        <w:right w:val="none" w:sz="0" w:space="0" w:color="auto"/>
      </w:divBdr>
    </w:div>
    <w:div w:id="310251779">
      <w:bodyDiv w:val="1"/>
      <w:marLeft w:val="0"/>
      <w:marRight w:val="0"/>
      <w:marTop w:val="0"/>
      <w:marBottom w:val="0"/>
      <w:divBdr>
        <w:top w:val="none" w:sz="0" w:space="0" w:color="auto"/>
        <w:left w:val="none" w:sz="0" w:space="0" w:color="auto"/>
        <w:bottom w:val="none" w:sz="0" w:space="0" w:color="auto"/>
        <w:right w:val="none" w:sz="0" w:space="0" w:color="auto"/>
      </w:divBdr>
    </w:div>
    <w:div w:id="338776186">
      <w:bodyDiv w:val="1"/>
      <w:marLeft w:val="0"/>
      <w:marRight w:val="0"/>
      <w:marTop w:val="0"/>
      <w:marBottom w:val="0"/>
      <w:divBdr>
        <w:top w:val="none" w:sz="0" w:space="0" w:color="auto"/>
        <w:left w:val="none" w:sz="0" w:space="0" w:color="auto"/>
        <w:bottom w:val="none" w:sz="0" w:space="0" w:color="auto"/>
        <w:right w:val="none" w:sz="0" w:space="0" w:color="auto"/>
      </w:divBdr>
    </w:div>
    <w:div w:id="344093716">
      <w:bodyDiv w:val="1"/>
      <w:marLeft w:val="0"/>
      <w:marRight w:val="0"/>
      <w:marTop w:val="0"/>
      <w:marBottom w:val="0"/>
      <w:divBdr>
        <w:top w:val="none" w:sz="0" w:space="0" w:color="auto"/>
        <w:left w:val="none" w:sz="0" w:space="0" w:color="auto"/>
        <w:bottom w:val="none" w:sz="0" w:space="0" w:color="auto"/>
        <w:right w:val="none" w:sz="0" w:space="0" w:color="auto"/>
      </w:divBdr>
    </w:div>
    <w:div w:id="359941751">
      <w:bodyDiv w:val="1"/>
      <w:marLeft w:val="0"/>
      <w:marRight w:val="0"/>
      <w:marTop w:val="0"/>
      <w:marBottom w:val="0"/>
      <w:divBdr>
        <w:top w:val="none" w:sz="0" w:space="0" w:color="auto"/>
        <w:left w:val="none" w:sz="0" w:space="0" w:color="auto"/>
        <w:bottom w:val="none" w:sz="0" w:space="0" w:color="auto"/>
        <w:right w:val="none" w:sz="0" w:space="0" w:color="auto"/>
      </w:divBdr>
    </w:div>
    <w:div w:id="377365189">
      <w:bodyDiv w:val="1"/>
      <w:marLeft w:val="0"/>
      <w:marRight w:val="0"/>
      <w:marTop w:val="0"/>
      <w:marBottom w:val="0"/>
      <w:divBdr>
        <w:top w:val="none" w:sz="0" w:space="0" w:color="auto"/>
        <w:left w:val="none" w:sz="0" w:space="0" w:color="auto"/>
        <w:bottom w:val="none" w:sz="0" w:space="0" w:color="auto"/>
        <w:right w:val="none" w:sz="0" w:space="0" w:color="auto"/>
      </w:divBdr>
    </w:div>
    <w:div w:id="416513008">
      <w:bodyDiv w:val="1"/>
      <w:marLeft w:val="0"/>
      <w:marRight w:val="0"/>
      <w:marTop w:val="0"/>
      <w:marBottom w:val="0"/>
      <w:divBdr>
        <w:top w:val="none" w:sz="0" w:space="0" w:color="auto"/>
        <w:left w:val="none" w:sz="0" w:space="0" w:color="auto"/>
        <w:bottom w:val="none" w:sz="0" w:space="0" w:color="auto"/>
        <w:right w:val="none" w:sz="0" w:space="0" w:color="auto"/>
      </w:divBdr>
    </w:div>
    <w:div w:id="504512543">
      <w:bodyDiv w:val="1"/>
      <w:marLeft w:val="0"/>
      <w:marRight w:val="0"/>
      <w:marTop w:val="0"/>
      <w:marBottom w:val="0"/>
      <w:divBdr>
        <w:top w:val="none" w:sz="0" w:space="0" w:color="auto"/>
        <w:left w:val="none" w:sz="0" w:space="0" w:color="auto"/>
        <w:bottom w:val="none" w:sz="0" w:space="0" w:color="auto"/>
        <w:right w:val="none" w:sz="0" w:space="0" w:color="auto"/>
      </w:divBdr>
    </w:div>
    <w:div w:id="580912459">
      <w:bodyDiv w:val="1"/>
      <w:marLeft w:val="0"/>
      <w:marRight w:val="0"/>
      <w:marTop w:val="0"/>
      <w:marBottom w:val="0"/>
      <w:divBdr>
        <w:top w:val="none" w:sz="0" w:space="0" w:color="auto"/>
        <w:left w:val="none" w:sz="0" w:space="0" w:color="auto"/>
        <w:bottom w:val="none" w:sz="0" w:space="0" w:color="auto"/>
        <w:right w:val="none" w:sz="0" w:space="0" w:color="auto"/>
      </w:divBdr>
    </w:div>
    <w:div w:id="615723605">
      <w:bodyDiv w:val="1"/>
      <w:marLeft w:val="0"/>
      <w:marRight w:val="0"/>
      <w:marTop w:val="0"/>
      <w:marBottom w:val="0"/>
      <w:divBdr>
        <w:top w:val="none" w:sz="0" w:space="0" w:color="auto"/>
        <w:left w:val="none" w:sz="0" w:space="0" w:color="auto"/>
        <w:bottom w:val="none" w:sz="0" w:space="0" w:color="auto"/>
        <w:right w:val="none" w:sz="0" w:space="0" w:color="auto"/>
      </w:divBdr>
    </w:div>
    <w:div w:id="650717913">
      <w:bodyDiv w:val="1"/>
      <w:marLeft w:val="0"/>
      <w:marRight w:val="0"/>
      <w:marTop w:val="0"/>
      <w:marBottom w:val="0"/>
      <w:divBdr>
        <w:top w:val="none" w:sz="0" w:space="0" w:color="auto"/>
        <w:left w:val="none" w:sz="0" w:space="0" w:color="auto"/>
        <w:bottom w:val="none" w:sz="0" w:space="0" w:color="auto"/>
        <w:right w:val="none" w:sz="0" w:space="0" w:color="auto"/>
      </w:divBdr>
    </w:div>
    <w:div w:id="700785796">
      <w:bodyDiv w:val="1"/>
      <w:marLeft w:val="0"/>
      <w:marRight w:val="0"/>
      <w:marTop w:val="0"/>
      <w:marBottom w:val="0"/>
      <w:divBdr>
        <w:top w:val="none" w:sz="0" w:space="0" w:color="auto"/>
        <w:left w:val="none" w:sz="0" w:space="0" w:color="auto"/>
        <w:bottom w:val="none" w:sz="0" w:space="0" w:color="auto"/>
        <w:right w:val="none" w:sz="0" w:space="0" w:color="auto"/>
      </w:divBdr>
    </w:div>
    <w:div w:id="718288454">
      <w:bodyDiv w:val="1"/>
      <w:marLeft w:val="0"/>
      <w:marRight w:val="0"/>
      <w:marTop w:val="0"/>
      <w:marBottom w:val="0"/>
      <w:divBdr>
        <w:top w:val="none" w:sz="0" w:space="0" w:color="auto"/>
        <w:left w:val="none" w:sz="0" w:space="0" w:color="auto"/>
        <w:bottom w:val="none" w:sz="0" w:space="0" w:color="auto"/>
        <w:right w:val="none" w:sz="0" w:space="0" w:color="auto"/>
      </w:divBdr>
    </w:div>
    <w:div w:id="774635698">
      <w:bodyDiv w:val="1"/>
      <w:marLeft w:val="0"/>
      <w:marRight w:val="0"/>
      <w:marTop w:val="0"/>
      <w:marBottom w:val="0"/>
      <w:divBdr>
        <w:top w:val="none" w:sz="0" w:space="0" w:color="auto"/>
        <w:left w:val="none" w:sz="0" w:space="0" w:color="auto"/>
        <w:bottom w:val="none" w:sz="0" w:space="0" w:color="auto"/>
        <w:right w:val="none" w:sz="0" w:space="0" w:color="auto"/>
      </w:divBdr>
      <w:divsChild>
        <w:div w:id="1200700812">
          <w:marLeft w:val="274"/>
          <w:marRight w:val="0"/>
          <w:marTop w:val="0"/>
          <w:marBottom w:val="0"/>
          <w:divBdr>
            <w:top w:val="none" w:sz="0" w:space="0" w:color="auto"/>
            <w:left w:val="none" w:sz="0" w:space="0" w:color="auto"/>
            <w:bottom w:val="none" w:sz="0" w:space="0" w:color="auto"/>
            <w:right w:val="none" w:sz="0" w:space="0" w:color="auto"/>
          </w:divBdr>
        </w:div>
        <w:div w:id="1149908159">
          <w:marLeft w:val="274"/>
          <w:marRight w:val="0"/>
          <w:marTop w:val="0"/>
          <w:marBottom w:val="0"/>
          <w:divBdr>
            <w:top w:val="none" w:sz="0" w:space="0" w:color="auto"/>
            <w:left w:val="none" w:sz="0" w:space="0" w:color="auto"/>
            <w:bottom w:val="none" w:sz="0" w:space="0" w:color="auto"/>
            <w:right w:val="none" w:sz="0" w:space="0" w:color="auto"/>
          </w:divBdr>
        </w:div>
        <w:div w:id="1641769205">
          <w:marLeft w:val="274"/>
          <w:marRight w:val="0"/>
          <w:marTop w:val="0"/>
          <w:marBottom w:val="0"/>
          <w:divBdr>
            <w:top w:val="none" w:sz="0" w:space="0" w:color="auto"/>
            <w:left w:val="none" w:sz="0" w:space="0" w:color="auto"/>
            <w:bottom w:val="none" w:sz="0" w:space="0" w:color="auto"/>
            <w:right w:val="none" w:sz="0" w:space="0" w:color="auto"/>
          </w:divBdr>
        </w:div>
      </w:divsChild>
    </w:div>
    <w:div w:id="801728916">
      <w:bodyDiv w:val="1"/>
      <w:marLeft w:val="0"/>
      <w:marRight w:val="0"/>
      <w:marTop w:val="0"/>
      <w:marBottom w:val="0"/>
      <w:divBdr>
        <w:top w:val="none" w:sz="0" w:space="0" w:color="auto"/>
        <w:left w:val="none" w:sz="0" w:space="0" w:color="auto"/>
        <w:bottom w:val="none" w:sz="0" w:space="0" w:color="auto"/>
        <w:right w:val="none" w:sz="0" w:space="0" w:color="auto"/>
      </w:divBdr>
    </w:div>
    <w:div w:id="834225163">
      <w:bodyDiv w:val="1"/>
      <w:marLeft w:val="0"/>
      <w:marRight w:val="0"/>
      <w:marTop w:val="0"/>
      <w:marBottom w:val="0"/>
      <w:divBdr>
        <w:top w:val="none" w:sz="0" w:space="0" w:color="auto"/>
        <w:left w:val="none" w:sz="0" w:space="0" w:color="auto"/>
        <w:bottom w:val="none" w:sz="0" w:space="0" w:color="auto"/>
        <w:right w:val="none" w:sz="0" w:space="0" w:color="auto"/>
      </w:divBdr>
    </w:div>
    <w:div w:id="842744681">
      <w:bodyDiv w:val="1"/>
      <w:marLeft w:val="0"/>
      <w:marRight w:val="0"/>
      <w:marTop w:val="0"/>
      <w:marBottom w:val="0"/>
      <w:divBdr>
        <w:top w:val="none" w:sz="0" w:space="0" w:color="auto"/>
        <w:left w:val="none" w:sz="0" w:space="0" w:color="auto"/>
        <w:bottom w:val="none" w:sz="0" w:space="0" w:color="auto"/>
        <w:right w:val="none" w:sz="0" w:space="0" w:color="auto"/>
      </w:divBdr>
    </w:div>
    <w:div w:id="877552473">
      <w:bodyDiv w:val="1"/>
      <w:marLeft w:val="0"/>
      <w:marRight w:val="0"/>
      <w:marTop w:val="0"/>
      <w:marBottom w:val="0"/>
      <w:divBdr>
        <w:top w:val="none" w:sz="0" w:space="0" w:color="auto"/>
        <w:left w:val="none" w:sz="0" w:space="0" w:color="auto"/>
        <w:bottom w:val="none" w:sz="0" w:space="0" w:color="auto"/>
        <w:right w:val="none" w:sz="0" w:space="0" w:color="auto"/>
      </w:divBdr>
    </w:div>
    <w:div w:id="941575523">
      <w:bodyDiv w:val="1"/>
      <w:marLeft w:val="0"/>
      <w:marRight w:val="0"/>
      <w:marTop w:val="0"/>
      <w:marBottom w:val="0"/>
      <w:divBdr>
        <w:top w:val="none" w:sz="0" w:space="0" w:color="auto"/>
        <w:left w:val="none" w:sz="0" w:space="0" w:color="auto"/>
        <w:bottom w:val="none" w:sz="0" w:space="0" w:color="auto"/>
        <w:right w:val="none" w:sz="0" w:space="0" w:color="auto"/>
      </w:divBdr>
    </w:div>
    <w:div w:id="1105228913">
      <w:bodyDiv w:val="1"/>
      <w:marLeft w:val="0"/>
      <w:marRight w:val="0"/>
      <w:marTop w:val="0"/>
      <w:marBottom w:val="0"/>
      <w:divBdr>
        <w:top w:val="none" w:sz="0" w:space="0" w:color="auto"/>
        <w:left w:val="none" w:sz="0" w:space="0" w:color="auto"/>
        <w:bottom w:val="none" w:sz="0" w:space="0" w:color="auto"/>
        <w:right w:val="none" w:sz="0" w:space="0" w:color="auto"/>
      </w:divBdr>
    </w:div>
    <w:div w:id="1224558496">
      <w:bodyDiv w:val="1"/>
      <w:marLeft w:val="0"/>
      <w:marRight w:val="0"/>
      <w:marTop w:val="0"/>
      <w:marBottom w:val="0"/>
      <w:divBdr>
        <w:top w:val="none" w:sz="0" w:space="0" w:color="auto"/>
        <w:left w:val="none" w:sz="0" w:space="0" w:color="auto"/>
        <w:bottom w:val="none" w:sz="0" w:space="0" w:color="auto"/>
        <w:right w:val="none" w:sz="0" w:space="0" w:color="auto"/>
      </w:divBdr>
    </w:div>
    <w:div w:id="1300070145">
      <w:bodyDiv w:val="1"/>
      <w:marLeft w:val="0"/>
      <w:marRight w:val="0"/>
      <w:marTop w:val="0"/>
      <w:marBottom w:val="0"/>
      <w:divBdr>
        <w:top w:val="none" w:sz="0" w:space="0" w:color="auto"/>
        <w:left w:val="none" w:sz="0" w:space="0" w:color="auto"/>
        <w:bottom w:val="none" w:sz="0" w:space="0" w:color="auto"/>
        <w:right w:val="none" w:sz="0" w:space="0" w:color="auto"/>
      </w:divBdr>
    </w:div>
    <w:div w:id="1314682442">
      <w:bodyDiv w:val="1"/>
      <w:marLeft w:val="0"/>
      <w:marRight w:val="0"/>
      <w:marTop w:val="0"/>
      <w:marBottom w:val="0"/>
      <w:divBdr>
        <w:top w:val="none" w:sz="0" w:space="0" w:color="auto"/>
        <w:left w:val="none" w:sz="0" w:space="0" w:color="auto"/>
        <w:bottom w:val="none" w:sz="0" w:space="0" w:color="auto"/>
        <w:right w:val="none" w:sz="0" w:space="0" w:color="auto"/>
      </w:divBdr>
    </w:div>
    <w:div w:id="1346329072">
      <w:bodyDiv w:val="1"/>
      <w:marLeft w:val="0"/>
      <w:marRight w:val="0"/>
      <w:marTop w:val="0"/>
      <w:marBottom w:val="0"/>
      <w:divBdr>
        <w:top w:val="none" w:sz="0" w:space="0" w:color="auto"/>
        <w:left w:val="none" w:sz="0" w:space="0" w:color="auto"/>
        <w:bottom w:val="none" w:sz="0" w:space="0" w:color="auto"/>
        <w:right w:val="none" w:sz="0" w:space="0" w:color="auto"/>
      </w:divBdr>
    </w:div>
    <w:div w:id="1370838797">
      <w:bodyDiv w:val="1"/>
      <w:marLeft w:val="0"/>
      <w:marRight w:val="0"/>
      <w:marTop w:val="0"/>
      <w:marBottom w:val="0"/>
      <w:divBdr>
        <w:top w:val="none" w:sz="0" w:space="0" w:color="auto"/>
        <w:left w:val="none" w:sz="0" w:space="0" w:color="auto"/>
        <w:bottom w:val="none" w:sz="0" w:space="0" w:color="auto"/>
        <w:right w:val="none" w:sz="0" w:space="0" w:color="auto"/>
      </w:divBdr>
    </w:div>
    <w:div w:id="1371414044">
      <w:bodyDiv w:val="1"/>
      <w:marLeft w:val="0"/>
      <w:marRight w:val="0"/>
      <w:marTop w:val="0"/>
      <w:marBottom w:val="0"/>
      <w:divBdr>
        <w:top w:val="none" w:sz="0" w:space="0" w:color="auto"/>
        <w:left w:val="none" w:sz="0" w:space="0" w:color="auto"/>
        <w:bottom w:val="none" w:sz="0" w:space="0" w:color="auto"/>
        <w:right w:val="none" w:sz="0" w:space="0" w:color="auto"/>
      </w:divBdr>
    </w:div>
    <w:div w:id="1377703611">
      <w:bodyDiv w:val="1"/>
      <w:marLeft w:val="0"/>
      <w:marRight w:val="0"/>
      <w:marTop w:val="0"/>
      <w:marBottom w:val="0"/>
      <w:divBdr>
        <w:top w:val="none" w:sz="0" w:space="0" w:color="auto"/>
        <w:left w:val="none" w:sz="0" w:space="0" w:color="auto"/>
        <w:bottom w:val="none" w:sz="0" w:space="0" w:color="auto"/>
        <w:right w:val="none" w:sz="0" w:space="0" w:color="auto"/>
      </w:divBdr>
    </w:div>
    <w:div w:id="1379816003">
      <w:bodyDiv w:val="1"/>
      <w:marLeft w:val="0"/>
      <w:marRight w:val="0"/>
      <w:marTop w:val="0"/>
      <w:marBottom w:val="0"/>
      <w:divBdr>
        <w:top w:val="none" w:sz="0" w:space="0" w:color="auto"/>
        <w:left w:val="none" w:sz="0" w:space="0" w:color="auto"/>
        <w:bottom w:val="none" w:sz="0" w:space="0" w:color="auto"/>
        <w:right w:val="none" w:sz="0" w:space="0" w:color="auto"/>
      </w:divBdr>
    </w:div>
    <w:div w:id="1394045762">
      <w:bodyDiv w:val="1"/>
      <w:marLeft w:val="0"/>
      <w:marRight w:val="0"/>
      <w:marTop w:val="0"/>
      <w:marBottom w:val="0"/>
      <w:divBdr>
        <w:top w:val="none" w:sz="0" w:space="0" w:color="auto"/>
        <w:left w:val="none" w:sz="0" w:space="0" w:color="auto"/>
        <w:bottom w:val="none" w:sz="0" w:space="0" w:color="auto"/>
        <w:right w:val="none" w:sz="0" w:space="0" w:color="auto"/>
      </w:divBdr>
    </w:div>
    <w:div w:id="1527865676">
      <w:bodyDiv w:val="1"/>
      <w:marLeft w:val="0"/>
      <w:marRight w:val="0"/>
      <w:marTop w:val="0"/>
      <w:marBottom w:val="0"/>
      <w:divBdr>
        <w:top w:val="none" w:sz="0" w:space="0" w:color="auto"/>
        <w:left w:val="none" w:sz="0" w:space="0" w:color="auto"/>
        <w:bottom w:val="none" w:sz="0" w:space="0" w:color="auto"/>
        <w:right w:val="none" w:sz="0" w:space="0" w:color="auto"/>
      </w:divBdr>
    </w:div>
    <w:div w:id="1558470926">
      <w:bodyDiv w:val="1"/>
      <w:marLeft w:val="0"/>
      <w:marRight w:val="0"/>
      <w:marTop w:val="0"/>
      <w:marBottom w:val="0"/>
      <w:divBdr>
        <w:top w:val="none" w:sz="0" w:space="0" w:color="auto"/>
        <w:left w:val="none" w:sz="0" w:space="0" w:color="auto"/>
        <w:bottom w:val="none" w:sz="0" w:space="0" w:color="auto"/>
        <w:right w:val="none" w:sz="0" w:space="0" w:color="auto"/>
      </w:divBdr>
    </w:div>
    <w:div w:id="1574513298">
      <w:bodyDiv w:val="1"/>
      <w:marLeft w:val="0"/>
      <w:marRight w:val="0"/>
      <w:marTop w:val="0"/>
      <w:marBottom w:val="0"/>
      <w:divBdr>
        <w:top w:val="none" w:sz="0" w:space="0" w:color="auto"/>
        <w:left w:val="none" w:sz="0" w:space="0" w:color="auto"/>
        <w:bottom w:val="none" w:sz="0" w:space="0" w:color="auto"/>
        <w:right w:val="none" w:sz="0" w:space="0" w:color="auto"/>
      </w:divBdr>
    </w:div>
    <w:div w:id="1611425898">
      <w:bodyDiv w:val="1"/>
      <w:marLeft w:val="0"/>
      <w:marRight w:val="0"/>
      <w:marTop w:val="0"/>
      <w:marBottom w:val="0"/>
      <w:divBdr>
        <w:top w:val="none" w:sz="0" w:space="0" w:color="auto"/>
        <w:left w:val="none" w:sz="0" w:space="0" w:color="auto"/>
        <w:bottom w:val="none" w:sz="0" w:space="0" w:color="auto"/>
        <w:right w:val="none" w:sz="0" w:space="0" w:color="auto"/>
      </w:divBdr>
    </w:div>
    <w:div w:id="1775055506">
      <w:bodyDiv w:val="1"/>
      <w:marLeft w:val="0"/>
      <w:marRight w:val="0"/>
      <w:marTop w:val="0"/>
      <w:marBottom w:val="0"/>
      <w:divBdr>
        <w:top w:val="none" w:sz="0" w:space="0" w:color="auto"/>
        <w:left w:val="none" w:sz="0" w:space="0" w:color="auto"/>
        <w:bottom w:val="none" w:sz="0" w:space="0" w:color="auto"/>
        <w:right w:val="none" w:sz="0" w:space="0" w:color="auto"/>
      </w:divBdr>
    </w:div>
    <w:div w:id="1908299383">
      <w:bodyDiv w:val="1"/>
      <w:marLeft w:val="0"/>
      <w:marRight w:val="0"/>
      <w:marTop w:val="0"/>
      <w:marBottom w:val="0"/>
      <w:divBdr>
        <w:top w:val="none" w:sz="0" w:space="0" w:color="auto"/>
        <w:left w:val="none" w:sz="0" w:space="0" w:color="auto"/>
        <w:bottom w:val="none" w:sz="0" w:space="0" w:color="auto"/>
        <w:right w:val="none" w:sz="0" w:space="0" w:color="auto"/>
      </w:divBdr>
    </w:div>
    <w:div w:id="1954245747">
      <w:bodyDiv w:val="1"/>
      <w:marLeft w:val="0"/>
      <w:marRight w:val="0"/>
      <w:marTop w:val="0"/>
      <w:marBottom w:val="0"/>
      <w:divBdr>
        <w:top w:val="none" w:sz="0" w:space="0" w:color="auto"/>
        <w:left w:val="none" w:sz="0" w:space="0" w:color="auto"/>
        <w:bottom w:val="none" w:sz="0" w:space="0" w:color="auto"/>
        <w:right w:val="none" w:sz="0" w:space="0" w:color="auto"/>
      </w:divBdr>
    </w:div>
    <w:div w:id="2007393534">
      <w:bodyDiv w:val="1"/>
      <w:marLeft w:val="0"/>
      <w:marRight w:val="0"/>
      <w:marTop w:val="0"/>
      <w:marBottom w:val="0"/>
      <w:divBdr>
        <w:top w:val="none" w:sz="0" w:space="0" w:color="auto"/>
        <w:left w:val="none" w:sz="0" w:space="0" w:color="auto"/>
        <w:bottom w:val="none" w:sz="0" w:space="0" w:color="auto"/>
        <w:right w:val="none" w:sz="0" w:space="0" w:color="auto"/>
      </w:divBdr>
    </w:div>
    <w:div w:id="2019000138">
      <w:bodyDiv w:val="1"/>
      <w:marLeft w:val="0"/>
      <w:marRight w:val="0"/>
      <w:marTop w:val="0"/>
      <w:marBottom w:val="0"/>
      <w:divBdr>
        <w:top w:val="none" w:sz="0" w:space="0" w:color="auto"/>
        <w:left w:val="none" w:sz="0" w:space="0" w:color="auto"/>
        <w:bottom w:val="none" w:sz="0" w:space="0" w:color="auto"/>
        <w:right w:val="none" w:sz="0" w:space="0" w:color="auto"/>
      </w:divBdr>
    </w:div>
    <w:div w:id="2034764848">
      <w:bodyDiv w:val="1"/>
      <w:marLeft w:val="0"/>
      <w:marRight w:val="0"/>
      <w:marTop w:val="0"/>
      <w:marBottom w:val="0"/>
      <w:divBdr>
        <w:top w:val="none" w:sz="0" w:space="0" w:color="auto"/>
        <w:left w:val="none" w:sz="0" w:space="0" w:color="auto"/>
        <w:bottom w:val="none" w:sz="0" w:space="0" w:color="auto"/>
        <w:right w:val="none" w:sz="0" w:space="0" w:color="auto"/>
      </w:divBdr>
    </w:div>
    <w:div w:id="207653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sle-of-man.com/manxnotebook/famhist/genealgy/emig.ht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omniglot.com/pdfs/languagerevival.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aelg.iofm.net/INFO/oml/sketch.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mo.uhi.ac.uk/~stephen/manxnotes/MN014.pdf" TargetMode="External"/><Relationship Id="rId4" Type="http://schemas.openxmlformats.org/officeDocument/2006/relationships/webSettings" Target="webSettings.xml"/><Relationship Id="rId9" Type="http://schemas.openxmlformats.org/officeDocument/2006/relationships/hyperlink" Target="http://www.arts.ed.ac.uk/celtic/poileasaidh/gawneseminar.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32</Pages>
  <Words>6760</Words>
  <Characters>38538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45208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 Ellis (Aneurin Bevan UHB - Workforce and Organisational Development)</dc:creator>
  <cp:keywords/>
  <dc:description/>
  <cp:lastModifiedBy>Non Ellis (Aneurin Bevan UHB - Workforce and Organisational Development)</cp:lastModifiedBy>
  <cp:revision>2</cp:revision>
  <dcterms:created xsi:type="dcterms:W3CDTF">2021-01-04T18:53:00Z</dcterms:created>
  <dcterms:modified xsi:type="dcterms:W3CDTF">2021-01-04T19:42:00Z</dcterms:modified>
</cp:coreProperties>
</file>