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E34BBD" w14:textId="77777777" w:rsidR="002229F0" w:rsidRDefault="002229F0" w:rsidP="00E611D9">
      <w:pPr>
        <w:pStyle w:val="AssignBody"/>
      </w:pPr>
    </w:p>
    <w:p w14:paraId="13BBB0E2" w14:textId="2EDC301F" w:rsidR="00755E37" w:rsidRPr="00D02618" w:rsidRDefault="00D02618" w:rsidP="00D02618">
      <w:pPr>
        <w:spacing w:line="480" w:lineRule="auto"/>
        <w:jc w:val="center"/>
        <w:rPr>
          <w:i/>
          <w:iCs/>
          <w:sz w:val="32"/>
          <w:szCs w:val="32"/>
          <w:u w:val="single"/>
        </w:rPr>
      </w:pPr>
      <w:r w:rsidRPr="00D02618">
        <w:rPr>
          <w:i/>
          <w:iCs/>
          <w:sz w:val="32"/>
          <w:szCs w:val="32"/>
          <w:u w:val="single"/>
        </w:rPr>
        <w:t>Do pupils in KS2 display greater involvement in a task when placed into mixed ability grouping?</w:t>
      </w:r>
    </w:p>
    <w:p w14:paraId="438C5A8C" w14:textId="5E3BFEB1" w:rsidR="00755E37" w:rsidRDefault="00755E37" w:rsidP="00755E37">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gan</w:t>
      </w:r>
      <w:proofErr w:type="spellEnd"/>
      <w:r>
        <w:t xml:space="preserve"> </w:t>
      </w:r>
      <w:proofErr w:type="spellStart"/>
      <w:r>
        <w:t>ddefnyddio’r</w:t>
      </w:r>
      <w:proofErr w:type="spellEnd"/>
      <w:r>
        <w:t xml:space="preserve"> </w:t>
      </w:r>
      <w:proofErr w:type="spellStart"/>
      <w:r>
        <w:t>tabl</w:t>
      </w:r>
      <w:proofErr w:type="spellEnd"/>
      <w:r>
        <w:t xml:space="preserve"> </w:t>
      </w:r>
      <w:proofErr w:type="spellStart"/>
      <w:r>
        <w:t>isod</w:t>
      </w:r>
      <w:proofErr w:type="spellEnd"/>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181D3942" w14:textId="244AF641" w:rsidR="00755E37" w:rsidRDefault="004825DE">
            <w:pPr>
              <w:pStyle w:val="AssignBody"/>
            </w:pPr>
            <w:r>
              <w:t>Synthesise and reflect upon strategies used</w:t>
            </w:r>
          </w:p>
        </w:tc>
        <w:tc>
          <w:tcPr>
            <w:tcW w:w="3647" w:type="dxa"/>
            <w:tcBorders>
              <w:top w:val="single" w:sz="4" w:space="0" w:color="auto"/>
              <w:left w:val="single" w:sz="4" w:space="0" w:color="auto"/>
              <w:bottom w:val="single" w:sz="4" w:space="0" w:color="auto"/>
              <w:right w:val="single" w:sz="4" w:space="0" w:color="auto"/>
            </w:tcBorders>
          </w:tcPr>
          <w:p w14:paraId="342A62A2" w14:textId="3F70E229" w:rsidR="00755E37" w:rsidRDefault="004825DE">
            <w:pPr>
              <w:pStyle w:val="AssignBody"/>
            </w:pPr>
            <w:r>
              <w:t>Deeper reflections carried out during critical reflections</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A9415E3" w14:textId="26D950E7" w:rsidR="00755E37" w:rsidRDefault="004825DE">
            <w:pPr>
              <w:pStyle w:val="AssignBody"/>
            </w:pPr>
            <w:r>
              <w:t>Use correct grammar and punctuation</w:t>
            </w:r>
          </w:p>
        </w:tc>
        <w:tc>
          <w:tcPr>
            <w:tcW w:w="3647" w:type="dxa"/>
            <w:tcBorders>
              <w:top w:val="single" w:sz="4" w:space="0" w:color="auto"/>
              <w:left w:val="single" w:sz="4" w:space="0" w:color="auto"/>
              <w:bottom w:val="single" w:sz="4" w:space="0" w:color="auto"/>
              <w:right w:val="single" w:sz="4" w:space="0" w:color="auto"/>
            </w:tcBorders>
          </w:tcPr>
          <w:p w14:paraId="0E186AA1" w14:textId="643F9487" w:rsidR="00755E37" w:rsidRDefault="004825DE">
            <w:pPr>
              <w:pStyle w:val="AssignBody"/>
            </w:pPr>
            <w:proofErr w:type="gramStart"/>
            <w:r>
              <w:t>Proof read</w:t>
            </w:r>
            <w:proofErr w:type="gramEnd"/>
            <w:r>
              <w:t xml:space="preserve"> and check spelling, grammar and </w:t>
            </w:r>
            <w:r>
              <w:t xml:space="preserve">correct </w:t>
            </w:r>
            <w:r>
              <w:t>references</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47203029" w14:textId="2D54E508" w:rsidR="00755E37" w:rsidRDefault="004825DE">
            <w:pPr>
              <w:pStyle w:val="AssignBody"/>
            </w:pPr>
            <w:r>
              <w:t xml:space="preserve">Be specific when making recommendations </w:t>
            </w:r>
          </w:p>
        </w:tc>
        <w:tc>
          <w:tcPr>
            <w:tcW w:w="3647" w:type="dxa"/>
            <w:tcBorders>
              <w:top w:val="single" w:sz="4" w:space="0" w:color="auto"/>
              <w:left w:val="single" w:sz="4" w:space="0" w:color="auto"/>
              <w:bottom w:val="single" w:sz="4" w:space="0" w:color="auto"/>
              <w:right w:val="single" w:sz="4" w:space="0" w:color="auto"/>
            </w:tcBorders>
          </w:tcPr>
          <w:p w14:paraId="38E46D89" w14:textId="2C51918B" w:rsidR="00755E37" w:rsidRDefault="004825DE">
            <w:pPr>
              <w:pStyle w:val="AssignBody"/>
            </w:pPr>
            <w:r>
              <w:t xml:space="preserve">Reflect fully with the literature to recommend an action plan or further research </w:t>
            </w:r>
          </w:p>
        </w:tc>
      </w:tr>
    </w:tbl>
    <w:p w14:paraId="35C23213" w14:textId="67AFAEB1" w:rsidR="00755E37" w:rsidRDefault="00755E37" w:rsidP="00755E37">
      <w:pPr>
        <w:pStyle w:val="AssignBody"/>
      </w:pPr>
    </w:p>
    <w:p w14:paraId="541F6D5B" w14:textId="72DFEFB2" w:rsidR="00984FA4" w:rsidRDefault="007F511A" w:rsidP="00984FA4">
      <w:pPr>
        <w:pStyle w:val="AssignBody"/>
      </w:pPr>
      <w:r>
        <w:t>Word count- 4991</w:t>
      </w:r>
      <w:bookmarkStart w:id="1" w:name="_GoBack"/>
      <w:bookmarkEnd w:id="1"/>
    </w:p>
    <w:p w14:paraId="4B9318D6" w14:textId="26C50775" w:rsidR="00755E37" w:rsidRPr="00984FA4" w:rsidRDefault="00984FA4" w:rsidP="00984FA4">
      <w:pPr>
        <w:spacing w:line="480" w:lineRule="auto"/>
        <w:jc w:val="center"/>
        <w:rPr>
          <w:i/>
          <w:iCs/>
          <w:sz w:val="32"/>
          <w:szCs w:val="32"/>
          <w:u w:val="single"/>
        </w:rPr>
      </w:pPr>
      <w:r w:rsidRPr="00D02618">
        <w:rPr>
          <w:i/>
          <w:iCs/>
          <w:sz w:val="32"/>
          <w:szCs w:val="32"/>
          <w:u w:val="single"/>
        </w:rPr>
        <w:t>Do pupils in KS2 display greater involvement in a task when placed into mixed ability grouping?</w:t>
      </w:r>
    </w:p>
    <w:p w14:paraId="426B9576" w14:textId="77777777" w:rsidR="00D02618" w:rsidRPr="00284C8C" w:rsidRDefault="00D02618" w:rsidP="00D02618">
      <w:pPr>
        <w:spacing w:line="360" w:lineRule="auto"/>
        <w:jc w:val="center"/>
        <w:rPr>
          <w:rFonts w:ascii="Arial" w:hAnsi="Arial" w:cs="Arial"/>
          <w:b/>
          <w:bCs/>
          <w:sz w:val="28"/>
          <w:szCs w:val="28"/>
          <w:u w:val="single"/>
        </w:rPr>
      </w:pPr>
      <w:r w:rsidRPr="00284C8C">
        <w:rPr>
          <w:rFonts w:ascii="Arial" w:hAnsi="Arial" w:cs="Arial"/>
          <w:b/>
          <w:bCs/>
          <w:sz w:val="28"/>
          <w:szCs w:val="28"/>
          <w:u w:val="single"/>
        </w:rPr>
        <w:t>Introduction.</w:t>
      </w:r>
    </w:p>
    <w:p w14:paraId="34519FBE" w14:textId="77777777" w:rsidR="00D02618" w:rsidRPr="00D02618" w:rsidRDefault="00D02618" w:rsidP="00D02618">
      <w:pPr>
        <w:spacing w:line="360" w:lineRule="auto"/>
        <w:jc w:val="center"/>
        <w:rPr>
          <w:rFonts w:ascii="Arial" w:hAnsi="Arial" w:cs="Arial"/>
          <w:b/>
          <w:bCs/>
          <w:u w:val="single"/>
        </w:rPr>
      </w:pPr>
    </w:p>
    <w:p w14:paraId="3A6A07A0" w14:textId="77777777" w:rsidR="00D02618" w:rsidRPr="00D02618" w:rsidRDefault="00D02618" w:rsidP="00D02618">
      <w:pPr>
        <w:spacing w:line="360" w:lineRule="auto"/>
        <w:rPr>
          <w:rFonts w:ascii="Arial" w:hAnsi="Arial" w:cs="Arial"/>
        </w:rPr>
      </w:pPr>
      <w:r w:rsidRPr="00D02618">
        <w:rPr>
          <w:rFonts w:ascii="Arial" w:hAnsi="Arial" w:cs="Arial"/>
        </w:rPr>
        <w:t>This research being carried out is to determine if placing pupils into mixed ability groups during a lesson, has an effect on their engagement in the activity being carried out.</w:t>
      </w:r>
    </w:p>
    <w:p w14:paraId="49D7CA64" w14:textId="31DDB944" w:rsidR="00D02618" w:rsidRPr="00135557" w:rsidRDefault="00D02618" w:rsidP="00135557">
      <w:pPr>
        <w:spacing w:line="360" w:lineRule="auto"/>
        <w:rPr>
          <w:rFonts w:ascii="Arial" w:hAnsi="Arial" w:cs="Arial"/>
        </w:rPr>
      </w:pPr>
      <w:r w:rsidRPr="00D02618">
        <w:rPr>
          <w:rFonts w:ascii="Arial" w:hAnsi="Arial" w:cs="Arial"/>
        </w:rPr>
        <w:t xml:space="preserve">The study will take place in an inner-city </w:t>
      </w:r>
      <w:r w:rsidR="00501C18">
        <w:rPr>
          <w:rFonts w:ascii="Arial" w:hAnsi="Arial" w:cs="Arial"/>
        </w:rPr>
        <w:t xml:space="preserve">primary </w:t>
      </w:r>
      <w:r w:rsidRPr="00D02618">
        <w:rPr>
          <w:rFonts w:ascii="Arial" w:hAnsi="Arial" w:cs="Arial"/>
        </w:rPr>
        <w:t xml:space="preserve">school in Swansea. The year group involved in the study are year 5 students, where the ages of pupil’s ranges between 9 and 10 years old. The method for this study will be a lesson observation which will be carried out in two classes in this year group. After the initial lesson observation three participants from each class will be interviewed on their thoughts and opinions of each lesson. There will be six participants in total which will be interviewed. The participants were chosen based on </w:t>
      </w:r>
      <w:r w:rsidRPr="00D02618">
        <w:rPr>
          <w:rFonts w:ascii="Arial" w:hAnsi="Arial" w:cs="Arial"/>
        </w:rPr>
        <w:lastRenderedPageBreak/>
        <w:t>their prior attainment or ability levels</w:t>
      </w:r>
      <w:r w:rsidR="00950CB7">
        <w:rPr>
          <w:rFonts w:ascii="Arial" w:hAnsi="Arial" w:cs="Arial"/>
        </w:rPr>
        <w:t xml:space="preserve"> of the pupils previously defined by the class teacher based upon baseline tests and assessments</w:t>
      </w:r>
      <w:r w:rsidRPr="00D02618">
        <w:rPr>
          <w:rFonts w:ascii="Arial" w:hAnsi="Arial" w:cs="Arial"/>
        </w:rPr>
        <w:t xml:space="preserve">. The data collected will then be analysed to find out if placing pupils in mixed ability groups does lead to higher levels of engagement from all pupils. By undertaking this research, the evidence gathered can be used to inform future practices in education. Outlined in the Successful Futures document (Donaldson, 2015) which was developed together with the new curriculum for Wales, an emphasis is put upon the need for changes to the curriculum to be evidence based and relevant up to date research should inform new methods of teaching practice. It is also considered that school and education should contribute to pupils becoming ‘enterprising, creative contributors’ thinking creatively to solve problems collaboratively, each person adopting a different role within their teams or groups which will therefore prepare them for a lifetime of work outside of education (Donaldson, 2015). </w:t>
      </w:r>
    </w:p>
    <w:p w14:paraId="767C3B03" w14:textId="5C45F1FA"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First it should be considered what is meant by the term ‘Ability grouping.’ ‘Ability grouping’ is the term most commonly used to describe the practice of placing pupils in groups or classes depending on their academic ability and performance during le</w:t>
      </w:r>
      <w:r w:rsidR="00135557">
        <w:rPr>
          <w:rFonts w:ascii="Arial" w:hAnsi="Arial" w:cs="Arial"/>
          <w:color w:val="000000" w:themeColor="text1"/>
        </w:rPr>
        <w:t>arning</w:t>
      </w:r>
      <w:r w:rsidRPr="00D02618">
        <w:rPr>
          <w:rFonts w:ascii="Arial" w:hAnsi="Arial" w:cs="Arial"/>
          <w:color w:val="000000" w:themeColor="text1"/>
        </w:rPr>
        <w:t xml:space="preserve"> (</w:t>
      </w:r>
      <w:r w:rsidR="009A0AAB" w:rsidRPr="00D02618">
        <w:rPr>
          <w:rFonts w:ascii="Arial" w:hAnsi="Arial" w:cs="Arial"/>
          <w:color w:val="000000" w:themeColor="text1"/>
        </w:rPr>
        <w:t xml:space="preserve">Hallam, 2002. </w:t>
      </w:r>
      <w:proofErr w:type="spellStart"/>
      <w:r w:rsidR="009A0AAB" w:rsidRPr="00D02618">
        <w:rPr>
          <w:rFonts w:ascii="Arial" w:hAnsi="Arial" w:cs="Arial"/>
          <w:color w:val="000000" w:themeColor="text1"/>
        </w:rPr>
        <w:t>Harlen</w:t>
      </w:r>
      <w:proofErr w:type="spellEnd"/>
      <w:r w:rsidR="009A0AAB" w:rsidRPr="00D02618">
        <w:rPr>
          <w:rFonts w:ascii="Arial" w:hAnsi="Arial" w:cs="Arial"/>
          <w:color w:val="000000" w:themeColor="text1"/>
        </w:rPr>
        <w:t xml:space="preserve"> and Malcom, 1997</w:t>
      </w:r>
      <w:r w:rsidR="009A0AAB">
        <w:rPr>
          <w:rFonts w:ascii="Arial" w:hAnsi="Arial" w:cs="Arial"/>
          <w:color w:val="000000" w:themeColor="text1"/>
        </w:rPr>
        <w:t xml:space="preserve">. </w:t>
      </w:r>
      <w:r w:rsidR="009A0AAB" w:rsidRPr="00D02618">
        <w:rPr>
          <w:rFonts w:ascii="Arial" w:hAnsi="Arial" w:cs="Arial"/>
          <w:color w:val="000000" w:themeColor="text1"/>
        </w:rPr>
        <w:t>Sands and Kerry, 1982</w:t>
      </w:r>
      <w:r w:rsidR="009A0AAB">
        <w:rPr>
          <w:rFonts w:ascii="Arial" w:hAnsi="Arial" w:cs="Arial"/>
          <w:color w:val="000000" w:themeColor="text1"/>
        </w:rPr>
        <w:t xml:space="preserve">. </w:t>
      </w:r>
      <w:r w:rsidR="009A0AAB" w:rsidRPr="00D02618">
        <w:rPr>
          <w:rFonts w:ascii="Arial" w:hAnsi="Arial" w:cs="Arial"/>
          <w:color w:val="000000" w:themeColor="text1"/>
        </w:rPr>
        <w:t xml:space="preserve">Kelly, 1978. </w:t>
      </w:r>
      <w:r w:rsidRPr="00D02618">
        <w:rPr>
          <w:rFonts w:ascii="Arial" w:hAnsi="Arial" w:cs="Arial"/>
          <w:color w:val="000000" w:themeColor="text1"/>
        </w:rPr>
        <w:t>Kelly, 1975</w:t>
      </w:r>
      <w:r w:rsidR="009A0AAB">
        <w:rPr>
          <w:rFonts w:ascii="Arial" w:hAnsi="Arial" w:cs="Arial"/>
          <w:color w:val="000000" w:themeColor="text1"/>
        </w:rPr>
        <w:t>).</w:t>
      </w:r>
      <w:r w:rsidRPr="00D02618">
        <w:rPr>
          <w:rFonts w:ascii="Arial" w:hAnsi="Arial" w:cs="Arial"/>
          <w:color w:val="000000" w:themeColor="text1"/>
        </w:rPr>
        <w:t xml:space="preserve"> More recently it is considered that the term ‘attainment grouping’ is probably a better way to describe this teaching strategy (</w:t>
      </w:r>
      <w:r w:rsidR="0037102B" w:rsidRPr="00D02618">
        <w:rPr>
          <w:rFonts w:ascii="Arial" w:hAnsi="Arial" w:cs="Arial"/>
          <w:color w:val="000000" w:themeColor="text1"/>
        </w:rPr>
        <w:t xml:space="preserve">Taylor </w:t>
      </w:r>
      <w:r w:rsidR="0037102B" w:rsidRPr="00D02618">
        <w:rPr>
          <w:rFonts w:ascii="Arial" w:hAnsi="Arial" w:cs="Arial"/>
          <w:i/>
          <w:iCs/>
          <w:color w:val="000000" w:themeColor="text1"/>
        </w:rPr>
        <w:t>et al</w:t>
      </w:r>
      <w:r w:rsidR="0037102B" w:rsidRPr="00D02618">
        <w:rPr>
          <w:rFonts w:ascii="Arial" w:hAnsi="Arial" w:cs="Arial"/>
          <w:color w:val="000000" w:themeColor="text1"/>
        </w:rPr>
        <w:t>, 2017</w:t>
      </w:r>
      <w:r w:rsidR="0037102B">
        <w:rPr>
          <w:rFonts w:ascii="Arial" w:hAnsi="Arial" w:cs="Arial"/>
          <w:color w:val="000000" w:themeColor="text1"/>
        </w:rPr>
        <w:t>.</w:t>
      </w:r>
      <w:r w:rsidRPr="00D02618">
        <w:rPr>
          <w:rFonts w:ascii="Arial" w:hAnsi="Arial" w:cs="Arial"/>
          <w:color w:val="000000" w:themeColor="text1"/>
        </w:rPr>
        <w:t xml:space="preserve">Baines, 2012.) and reference will be made to both terms in this paper. </w:t>
      </w:r>
    </w:p>
    <w:p w14:paraId="16F0D662"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Ability grouping and allocation of pupils to classes based on their attainment levels was a widely used practice in the U.K during the 1940s and 1950s, to prepare pupils for the 11+ exam sat to enter into Grammar schools. However, with the introduction of a Comprehensive education and the removal of the entrance exam, streaming of classes based on attainment in primary schools declined. In 1990s a new national curriculum was introduced and raising standards was encouraged, as a means to do this ability grouping was reintroduced and encouraged to be adopted in the primary school setting (Hallam, Ireson and Davies, 2002. Hallam, 2002). We see ability grouping happening in secondary education more than primary (Taylor </w:t>
      </w:r>
      <w:r w:rsidRPr="00D02618">
        <w:rPr>
          <w:rFonts w:ascii="Arial" w:hAnsi="Arial" w:cs="Arial"/>
          <w:i/>
          <w:iCs/>
          <w:color w:val="000000" w:themeColor="text1"/>
        </w:rPr>
        <w:t>et al</w:t>
      </w:r>
      <w:r w:rsidRPr="00D02618">
        <w:rPr>
          <w:rFonts w:ascii="Arial" w:hAnsi="Arial" w:cs="Arial"/>
          <w:color w:val="000000" w:themeColor="text1"/>
        </w:rPr>
        <w:t>, 2017) especially with regards to streaming and setting students relating to their attainment (</w:t>
      </w:r>
      <w:proofErr w:type="spellStart"/>
      <w:r w:rsidRPr="00D02618">
        <w:rPr>
          <w:rFonts w:ascii="Arial" w:hAnsi="Arial" w:cs="Arial"/>
          <w:color w:val="000000" w:themeColor="text1"/>
        </w:rPr>
        <w:t>Harlen</w:t>
      </w:r>
      <w:proofErr w:type="spellEnd"/>
      <w:r w:rsidRPr="00D02618">
        <w:rPr>
          <w:rFonts w:ascii="Arial" w:hAnsi="Arial" w:cs="Arial"/>
          <w:color w:val="000000" w:themeColor="text1"/>
        </w:rPr>
        <w:t xml:space="preserve"> and Malcom, 1997). The most common way of grouping students in the primary setting is ‘within class ability grouping.’ This is considered to be a flexible system and allows the teacher to regroup students when teaching a variety of subjects or based on the teacher’s knowledge of their attainment levels and pupil progress (Hallam, Ireson and Davies, 2002).  </w:t>
      </w:r>
    </w:p>
    <w:p w14:paraId="305D1D7B" w14:textId="1E90F414"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There are certain factors why schools choose to group pupils based on ability or attainment. These include the understanding that it may increase standards throughout the school, </w:t>
      </w:r>
      <w:r w:rsidRPr="00D02618">
        <w:rPr>
          <w:rFonts w:ascii="Arial" w:hAnsi="Arial" w:cs="Arial"/>
          <w:color w:val="000000" w:themeColor="text1"/>
        </w:rPr>
        <w:lastRenderedPageBreak/>
        <w:t xml:space="preserve">teachers can match the teaching towards the ability of the pupils therefore allowing the pupils to achieve their full potential and teachers can target necessary provision needed for that particular lesson which may lead to a possible reduction in the differentiation needed to be provided for whole class instruction. Teachers can also work closely with lower ability students and those needing additional support within the classroom (Hallam, Ireson and Davies, 2002. </w:t>
      </w:r>
      <w:r w:rsidR="00744A52" w:rsidRPr="00D02618">
        <w:rPr>
          <w:rFonts w:ascii="Arial" w:hAnsi="Arial" w:cs="Arial"/>
          <w:color w:val="000000" w:themeColor="text1"/>
        </w:rPr>
        <w:t xml:space="preserve">ES, 2005. </w:t>
      </w:r>
      <w:r w:rsidRPr="00D02618">
        <w:rPr>
          <w:rFonts w:ascii="Arial" w:hAnsi="Arial" w:cs="Arial"/>
          <w:color w:val="000000" w:themeColor="text1"/>
        </w:rPr>
        <w:t xml:space="preserve">Baines, 2012. </w:t>
      </w:r>
      <w:proofErr w:type="spellStart"/>
      <w:r w:rsidRPr="00D02618">
        <w:rPr>
          <w:rFonts w:ascii="Arial" w:hAnsi="Arial" w:cs="Arial"/>
          <w:color w:val="000000" w:themeColor="text1"/>
        </w:rPr>
        <w:t>Df</w:t>
      </w:r>
      <w:r w:rsidRPr="00D02618">
        <w:rPr>
          <w:rFonts w:ascii="Arial" w:hAnsi="Arial" w:cs="Arial"/>
        </w:rPr>
        <w:t>Francome</w:t>
      </w:r>
      <w:proofErr w:type="spellEnd"/>
      <w:r w:rsidRPr="00D02618">
        <w:rPr>
          <w:rFonts w:ascii="Arial" w:hAnsi="Arial" w:cs="Arial"/>
        </w:rPr>
        <w:t>, 2015</w:t>
      </w:r>
      <w:r w:rsidRPr="00D02618">
        <w:rPr>
          <w:rFonts w:ascii="Arial" w:hAnsi="Arial" w:cs="Arial"/>
          <w:color w:val="000000" w:themeColor="text1"/>
        </w:rPr>
        <w:t xml:space="preserve">). The Education Endowment Foundation (2018) describes ‘in class ability grouping’ or attainment grouping to be beneficial to all students in the classroom but has seen to have a lower benefit for students with a lower attainment than others. It is thought that different types of grouping benefit different collections of pupils, streaming or setting tends to benefit the more able students, those students who are less able benefit more from in class ability groupings (Hallam, 2002). </w:t>
      </w:r>
    </w:p>
    <w:p w14:paraId="7F40D424" w14:textId="23BF7819"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A meta-analysis of studies of within class ability grouping showed that effect sizes were greatest when pupils were formed into groups on the basis of ability and pupils with lower and higher ability pupils achieving more from the grouping. It also showed that group sizes effected the outcome and group sizes of three or four being considered adequate (</w:t>
      </w:r>
      <w:proofErr w:type="spellStart"/>
      <w:r w:rsidRPr="00D02618">
        <w:rPr>
          <w:rFonts w:ascii="Arial" w:hAnsi="Arial" w:cs="Arial"/>
          <w:color w:val="000000" w:themeColor="text1"/>
        </w:rPr>
        <w:t>Harlen</w:t>
      </w:r>
      <w:proofErr w:type="spellEnd"/>
      <w:r w:rsidRPr="00D02618">
        <w:rPr>
          <w:rFonts w:ascii="Arial" w:hAnsi="Arial" w:cs="Arial"/>
          <w:color w:val="000000" w:themeColor="text1"/>
        </w:rPr>
        <w:t xml:space="preserve"> and Malcom, 1999. Lou et al. 1996). However, the Programme for International Student Assessment (PISA) studies have repeatedly found that higher levels of grouping pupils based on ability carried out in schools can lead to a reduction in academic performance and ability grouping can actually increase the gap of attainment between higher and lower ability pupils (</w:t>
      </w:r>
      <w:r w:rsidR="00761FE7" w:rsidRPr="00D02618">
        <w:rPr>
          <w:rFonts w:ascii="Arial" w:hAnsi="Arial" w:cs="Arial"/>
          <w:color w:val="000000" w:themeColor="text1"/>
        </w:rPr>
        <w:t>Baines. 2012</w:t>
      </w:r>
      <w:r w:rsidR="00761FE7">
        <w:rPr>
          <w:rFonts w:ascii="Arial" w:hAnsi="Arial" w:cs="Arial"/>
          <w:color w:val="000000" w:themeColor="text1"/>
        </w:rPr>
        <w:t xml:space="preserve"> and </w:t>
      </w:r>
      <w:r w:rsidRPr="00D02618">
        <w:rPr>
          <w:rFonts w:ascii="Arial" w:hAnsi="Arial" w:cs="Arial"/>
          <w:color w:val="000000" w:themeColor="text1"/>
        </w:rPr>
        <w:t xml:space="preserve">OECD, 2010). It is also considered that grouping pupils based on ability also has a negative effect on pupils non academically, this could include their perceived beliefs about their own abilities and their attitude towards learning, higher pressure in top attaining groupings and low expectations in the lower attainment groupings from both the teachers and the students perspectives (Baines, 2012 and </w:t>
      </w:r>
      <w:proofErr w:type="spellStart"/>
      <w:r w:rsidRPr="00D02618">
        <w:rPr>
          <w:rFonts w:ascii="Arial" w:hAnsi="Arial" w:cs="Arial"/>
          <w:color w:val="000000" w:themeColor="text1"/>
        </w:rPr>
        <w:t>Boaler</w:t>
      </w:r>
      <w:proofErr w:type="spellEnd"/>
      <w:r w:rsidRPr="00D02618">
        <w:rPr>
          <w:rFonts w:ascii="Arial" w:hAnsi="Arial" w:cs="Arial"/>
          <w:color w:val="000000" w:themeColor="text1"/>
        </w:rPr>
        <w:t xml:space="preserve">, William and Brown, 2000). </w:t>
      </w:r>
    </w:p>
    <w:p w14:paraId="75176ED2"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Other advantages of choosing to teach mixed ability classes or groups could provide all pupils with equal opportunities within their learning, enable positive role models for lower ability students which could enhance relationships between pupils and increase confidence and motivation for low attaining pupils (Hallam, Ireson and Davies, 2002). </w:t>
      </w:r>
    </w:p>
    <w:p w14:paraId="1F037756"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A study of teachers perspectives of ‘mixed ability teaching’ was carried out in Taiwan, it was found that most teachers considered this method of teaching to have a benefit towards the students non academically but found it challenging when implementing this practice within their classrooms with regards to differentiation. Over a third of all the teachers involved thought that it had no impact upon the pupil’s ability to learn more effectively and overall achievement (Huang, 2014). </w:t>
      </w:r>
    </w:p>
    <w:p w14:paraId="6305DA42"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lastRenderedPageBreak/>
        <w:t xml:space="preserve">Very few studies have been carried out into the impact of mixed ability group teaching on the engagement of the pupils in the lesson, compared with that of the pupils’ level of achievement being the indicator during the research. One example is a study carried out by </w:t>
      </w:r>
    </w:p>
    <w:p w14:paraId="729302C5"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Kaiser et al (2013) which focused on behavioural engagement within mixed attainment groupings. It was suggested that behavioural engagement may be a good quality indicator of motivation displayed by the pupils and this was measured by classroom participation, effort witnessed by the pupil, increased concentration and contribution towards the class discussion by asking relevant questions during instruction. It was considered that increased pupil engagement does not contribute higher levels of achievement within in the classroom or vice versa and that these two factors are not linked in any way. Therefore, further research into this practice of grouping pupils based upon attainment or ability would be considered necessary to gather more information on whether in class mixed ability grouping does have an effect upon engagement of pupils when involved in a specific task.     </w:t>
      </w:r>
    </w:p>
    <w:p w14:paraId="0CDE35E2" w14:textId="77777777" w:rsidR="00D02618" w:rsidRPr="00D02618" w:rsidRDefault="00D02618" w:rsidP="00D02618">
      <w:pPr>
        <w:spacing w:line="360" w:lineRule="auto"/>
        <w:jc w:val="center"/>
        <w:rPr>
          <w:rFonts w:ascii="Arial" w:hAnsi="Arial" w:cs="Arial"/>
          <w:b/>
          <w:bCs/>
          <w:u w:val="single"/>
        </w:rPr>
      </w:pPr>
    </w:p>
    <w:p w14:paraId="43C5CB62" w14:textId="77777777" w:rsidR="00D02618" w:rsidRPr="00284C8C" w:rsidRDefault="00D02618" w:rsidP="00D02618">
      <w:pPr>
        <w:spacing w:line="360" w:lineRule="auto"/>
        <w:jc w:val="center"/>
        <w:rPr>
          <w:rFonts w:ascii="Arial" w:hAnsi="Arial" w:cs="Arial"/>
          <w:b/>
          <w:bCs/>
          <w:sz w:val="28"/>
          <w:szCs w:val="28"/>
          <w:u w:val="single"/>
        </w:rPr>
      </w:pPr>
      <w:r w:rsidRPr="00284C8C">
        <w:rPr>
          <w:rFonts w:ascii="Arial" w:hAnsi="Arial" w:cs="Arial"/>
          <w:b/>
          <w:bCs/>
          <w:sz w:val="28"/>
          <w:szCs w:val="28"/>
          <w:u w:val="single"/>
        </w:rPr>
        <w:t xml:space="preserve">Methods. </w:t>
      </w:r>
    </w:p>
    <w:p w14:paraId="161855DB" w14:textId="77777777" w:rsidR="00D02618" w:rsidRPr="00D02618" w:rsidRDefault="00D02618" w:rsidP="00D02618">
      <w:pPr>
        <w:spacing w:line="360" w:lineRule="auto"/>
        <w:jc w:val="center"/>
        <w:rPr>
          <w:rFonts w:ascii="Arial" w:hAnsi="Arial" w:cs="Arial"/>
          <w:b/>
          <w:bCs/>
          <w:u w:val="single"/>
        </w:rPr>
      </w:pPr>
    </w:p>
    <w:p w14:paraId="3EA27193" w14:textId="0D2EDB30" w:rsidR="00D02618" w:rsidRPr="00D02618" w:rsidRDefault="00D02618" w:rsidP="00D02618">
      <w:pPr>
        <w:spacing w:line="360" w:lineRule="auto"/>
        <w:rPr>
          <w:rFonts w:ascii="Arial" w:hAnsi="Arial" w:cs="Arial"/>
        </w:rPr>
      </w:pPr>
      <w:r w:rsidRPr="00D02618">
        <w:rPr>
          <w:rFonts w:ascii="Arial" w:hAnsi="Arial" w:cs="Arial"/>
        </w:rPr>
        <w:t>According to Burton and Bartlett (2009) there are four main types of educational research, basic, applied, action and evaluation research. Each of these types of research are concerned with different elements involved in teaching and learning. The type of research focused on in this study is action research, research carried out into a particular method of teaching in order to gain insights into that method and based around practice rather than theory (</w:t>
      </w:r>
      <w:proofErr w:type="spellStart"/>
      <w:r w:rsidRPr="00D02618">
        <w:rPr>
          <w:rFonts w:ascii="Arial" w:hAnsi="Arial" w:cs="Arial"/>
        </w:rPr>
        <w:t>Hartas</w:t>
      </w:r>
      <w:proofErr w:type="spellEnd"/>
      <w:r w:rsidRPr="00D02618">
        <w:rPr>
          <w:rFonts w:ascii="Arial" w:hAnsi="Arial" w:cs="Arial"/>
        </w:rPr>
        <w:t>. 2010). The researcher Kurt Lewin (1946) is thought to have created this type of research advancing it further in 1948 by suggesting that it consists of cycles of ‘planning, acting, observing and reflecting’ (Lewin, 1948). Action research may uncover specific educational paradigms and misconceptions. Action research can however lead to the assumption that there is an issue with a certain aspect of teaching however practitioners may just be curious and want to acquire a deeper understanding of the teaching and learning taking place in their classrooms (</w:t>
      </w:r>
      <w:proofErr w:type="spellStart"/>
      <w:r w:rsidR="006E6897" w:rsidRPr="00D02618">
        <w:rPr>
          <w:rFonts w:ascii="Arial" w:hAnsi="Arial" w:cs="Arial"/>
        </w:rPr>
        <w:t>Palaiologou</w:t>
      </w:r>
      <w:proofErr w:type="spellEnd"/>
      <w:r w:rsidR="006E6897" w:rsidRPr="00D02618">
        <w:rPr>
          <w:rFonts w:ascii="Arial" w:hAnsi="Arial" w:cs="Arial"/>
        </w:rPr>
        <w:t xml:space="preserve"> </w:t>
      </w:r>
      <w:r w:rsidR="006E6897" w:rsidRPr="00D02618">
        <w:rPr>
          <w:rFonts w:ascii="Arial" w:hAnsi="Arial" w:cs="Arial"/>
          <w:i/>
          <w:iCs/>
        </w:rPr>
        <w:t>et al</w:t>
      </w:r>
      <w:r w:rsidR="006E6897" w:rsidRPr="00D02618">
        <w:rPr>
          <w:rFonts w:ascii="Arial" w:hAnsi="Arial" w:cs="Arial"/>
        </w:rPr>
        <w:t>, 2016</w:t>
      </w:r>
      <w:r w:rsidR="006E6897">
        <w:rPr>
          <w:rFonts w:ascii="Arial" w:hAnsi="Arial" w:cs="Arial"/>
        </w:rPr>
        <w:t xml:space="preserve">. </w:t>
      </w:r>
      <w:r w:rsidRPr="00D02618">
        <w:rPr>
          <w:rFonts w:ascii="Arial" w:hAnsi="Arial" w:cs="Arial"/>
        </w:rPr>
        <w:t xml:space="preserve">Burton and Bartlett, 2009. Gordon. 2008, and </w:t>
      </w:r>
      <w:proofErr w:type="spellStart"/>
      <w:r w:rsidRPr="00D02618">
        <w:rPr>
          <w:rFonts w:ascii="Arial" w:hAnsi="Arial" w:cs="Arial"/>
        </w:rPr>
        <w:t>Hartas</w:t>
      </w:r>
      <w:proofErr w:type="spellEnd"/>
      <w:r w:rsidRPr="00D02618">
        <w:rPr>
          <w:rFonts w:ascii="Arial" w:hAnsi="Arial" w:cs="Arial"/>
        </w:rPr>
        <w:t xml:space="preserve">, 2010). </w:t>
      </w:r>
    </w:p>
    <w:p w14:paraId="78EBE506" w14:textId="533ECDF3" w:rsidR="00D02618" w:rsidRPr="00D02618" w:rsidRDefault="00D02618" w:rsidP="00D02618">
      <w:pPr>
        <w:spacing w:line="360" w:lineRule="auto"/>
        <w:rPr>
          <w:rFonts w:ascii="Arial" w:hAnsi="Arial" w:cs="Arial"/>
        </w:rPr>
      </w:pPr>
      <w:r w:rsidRPr="00D02618">
        <w:rPr>
          <w:rFonts w:ascii="Arial" w:hAnsi="Arial" w:cs="Arial"/>
        </w:rPr>
        <w:t xml:space="preserve">The principle method of this data collection in this </w:t>
      </w:r>
      <w:r w:rsidR="00D33BE8">
        <w:rPr>
          <w:rFonts w:ascii="Arial" w:hAnsi="Arial" w:cs="Arial"/>
        </w:rPr>
        <w:t xml:space="preserve">action </w:t>
      </w:r>
      <w:r w:rsidRPr="00D02618">
        <w:rPr>
          <w:rFonts w:ascii="Arial" w:hAnsi="Arial" w:cs="Arial"/>
        </w:rPr>
        <w:t xml:space="preserve">research is a lesson study, which includes lesson observations and interviews with pupils involved in the focus lesson. Lesson studies are described as ‘highly specialised forms of classroom action research which focuses of development of teacher practice knowledge’ (Dudley, 2014). Originating in Japan but recently becoming widely acknowledged in the U.S and U.K as a way of assessing </w:t>
      </w:r>
      <w:r w:rsidRPr="00D02618">
        <w:rPr>
          <w:rFonts w:ascii="Arial" w:hAnsi="Arial" w:cs="Arial"/>
        </w:rPr>
        <w:lastRenderedPageBreak/>
        <w:t>impacts certain teaching methods have on learning in the classroom. Analysing data collected in lesson study observations could help inform teachers of best practice and allow for reflection of what is considered effective teaching. Lesson studies are based on a collaboration between two or more practitioners (like undertaken in this study) whereby the teachers will plan the lesson together and then observe the other teachers’ lesson being delivered and record observations from that particular lesson. The teachers will then both reflect upon the lessons delivered to enhance their professional development (</w:t>
      </w:r>
      <w:r w:rsidR="006E6897" w:rsidRPr="00D02618">
        <w:rPr>
          <w:rFonts w:ascii="Arial" w:hAnsi="Arial" w:cs="Arial"/>
          <w:color w:val="070A0A"/>
        </w:rPr>
        <w:t xml:space="preserve">Godfrey </w:t>
      </w:r>
      <w:r w:rsidR="006E6897" w:rsidRPr="00D02618">
        <w:rPr>
          <w:rFonts w:ascii="Arial" w:hAnsi="Arial" w:cs="Arial"/>
          <w:i/>
          <w:iCs/>
          <w:color w:val="070A0A"/>
        </w:rPr>
        <w:t>et al,</w:t>
      </w:r>
      <w:r w:rsidR="006E6897" w:rsidRPr="00D02618">
        <w:rPr>
          <w:rFonts w:ascii="Arial" w:hAnsi="Arial" w:cs="Arial"/>
          <w:color w:val="070A0A"/>
        </w:rPr>
        <w:t xml:space="preserve"> </w:t>
      </w:r>
      <w:r w:rsidR="006E6897" w:rsidRPr="00D02618">
        <w:rPr>
          <w:rFonts w:ascii="Arial" w:hAnsi="Arial" w:cs="Arial"/>
          <w:color w:val="000000" w:themeColor="text1"/>
        </w:rPr>
        <w:t xml:space="preserve">2019. </w:t>
      </w:r>
      <w:r w:rsidR="006E6897" w:rsidRPr="00D02618">
        <w:rPr>
          <w:rFonts w:ascii="Arial" w:hAnsi="Arial" w:cs="Arial"/>
        </w:rPr>
        <w:t>Education Endowment Foundation, 2017.</w:t>
      </w:r>
      <w:r w:rsidR="006E6897" w:rsidRPr="00D02618">
        <w:rPr>
          <w:rFonts w:ascii="Arial" w:hAnsi="Arial" w:cs="Arial"/>
          <w:color w:val="070A0A"/>
        </w:rPr>
        <w:t xml:space="preserve"> </w:t>
      </w:r>
      <w:proofErr w:type="spellStart"/>
      <w:r w:rsidR="006E6897" w:rsidRPr="00D02618">
        <w:rPr>
          <w:rFonts w:ascii="Arial" w:hAnsi="Arial" w:cs="Arial"/>
          <w:color w:val="000000" w:themeColor="text1"/>
        </w:rPr>
        <w:t>Cajkler</w:t>
      </w:r>
      <w:proofErr w:type="spellEnd"/>
      <w:r w:rsidR="006E6897" w:rsidRPr="00D02618">
        <w:rPr>
          <w:rFonts w:ascii="Arial" w:hAnsi="Arial" w:cs="Arial"/>
          <w:color w:val="000000" w:themeColor="text1"/>
        </w:rPr>
        <w:t xml:space="preserve"> and Wood, 2016. </w:t>
      </w:r>
      <w:r w:rsidRPr="00D02618">
        <w:rPr>
          <w:rFonts w:ascii="Arial" w:hAnsi="Arial" w:cs="Arial"/>
        </w:rPr>
        <w:t xml:space="preserve">Cheung and Wong, 2014. </w:t>
      </w:r>
      <w:r w:rsidR="006E6897" w:rsidRPr="00D02618">
        <w:rPr>
          <w:rFonts w:ascii="Arial" w:hAnsi="Arial" w:cs="Arial"/>
          <w:color w:val="000000" w:themeColor="text1"/>
        </w:rPr>
        <w:t>Dudley, 2014</w:t>
      </w:r>
      <w:r w:rsidR="006E6897">
        <w:rPr>
          <w:rFonts w:ascii="Arial" w:hAnsi="Arial" w:cs="Arial"/>
          <w:color w:val="000000" w:themeColor="text1"/>
        </w:rPr>
        <w:t xml:space="preserve">. </w:t>
      </w:r>
      <w:r w:rsidR="006E6897" w:rsidRPr="00D02618">
        <w:rPr>
          <w:rFonts w:ascii="Arial" w:hAnsi="Arial" w:cs="Arial"/>
          <w:color w:val="070A0A"/>
        </w:rPr>
        <w:t>Hart, Alston and Murata, 2011.</w:t>
      </w:r>
      <w:r w:rsidR="006E6897">
        <w:rPr>
          <w:rFonts w:ascii="Arial" w:hAnsi="Arial" w:cs="Arial"/>
          <w:color w:val="000000" w:themeColor="text1"/>
        </w:rPr>
        <w:t xml:space="preserve"> </w:t>
      </w:r>
      <w:r w:rsidRPr="00D02618">
        <w:rPr>
          <w:rFonts w:ascii="Arial" w:hAnsi="Arial" w:cs="Arial"/>
        </w:rPr>
        <w:t>Department for Education, 2009</w:t>
      </w:r>
      <w:r w:rsidR="006E6897">
        <w:rPr>
          <w:rFonts w:ascii="Arial" w:hAnsi="Arial" w:cs="Arial"/>
        </w:rPr>
        <w:t>)</w:t>
      </w:r>
      <w:r w:rsidRPr="00D02618">
        <w:rPr>
          <w:rFonts w:ascii="Arial" w:hAnsi="Arial" w:cs="Arial"/>
        </w:rPr>
        <w:t xml:space="preserve">. </w:t>
      </w:r>
    </w:p>
    <w:p w14:paraId="0CBE021B" w14:textId="77777777" w:rsidR="00D02618" w:rsidRPr="00D02618" w:rsidRDefault="00D02618" w:rsidP="00D02618">
      <w:pPr>
        <w:spacing w:line="360" w:lineRule="auto"/>
        <w:rPr>
          <w:rFonts w:ascii="Arial" w:hAnsi="Arial" w:cs="Arial"/>
        </w:rPr>
      </w:pPr>
      <w:r w:rsidRPr="00D02618">
        <w:rPr>
          <w:rFonts w:ascii="Arial" w:hAnsi="Arial" w:cs="Arial"/>
        </w:rPr>
        <w:t>In this study notes taken during observations, reflections from both teachers involved in the study and responses from pupils during a short interview after the lesson will contribute to the findings discussed in this lesson study. The data used will be both qualitative and quantitative (</w:t>
      </w:r>
      <w:proofErr w:type="spellStart"/>
      <w:r w:rsidRPr="00D02618">
        <w:rPr>
          <w:rFonts w:ascii="Arial" w:hAnsi="Arial" w:cs="Arial"/>
        </w:rPr>
        <w:t>Hartas</w:t>
      </w:r>
      <w:proofErr w:type="spellEnd"/>
      <w:r w:rsidRPr="00D02618">
        <w:rPr>
          <w:rFonts w:ascii="Arial" w:hAnsi="Arial" w:cs="Arial"/>
        </w:rPr>
        <w:t xml:space="preserve">, 2010). </w:t>
      </w:r>
    </w:p>
    <w:p w14:paraId="70638113" w14:textId="5BF85158" w:rsidR="00D02618" w:rsidRPr="00D02618" w:rsidRDefault="00D02618" w:rsidP="00D02618">
      <w:pPr>
        <w:spacing w:line="360" w:lineRule="auto"/>
        <w:rPr>
          <w:rFonts w:ascii="Arial" w:hAnsi="Arial" w:cs="Arial"/>
        </w:rPr>
      </w:pPr>
      <w:r w:rsidRPr="00D02618">
        <w:rPr>
          <w:rFonts w:ascii="Arial" w:hAnsi="Arial" w:cs="Arial"/>
        </w:rPr>
        <w:t>The quantitative data will consist of observations of pupils’ levels of involvement or engagement and observed participations and/or interactions will be recorded during three phases during the lessons. The level of involvement or engagement will be measured by using the Leuven scale (see appendix 3) (</w:t>
      </w:r>
      <w:proofErr w:type="spellStart"/>
      <w:r w:rsidRPr="00D02618">
        <w:rPr>
          <w:rFonts w:ascii="Arial" w:hAnsi="Arial" w:cs="Arial"/>
        </w:rPr>
        <w:t>Laevers</w:t>
      </w:r>
      <w:proofErr w:type="spellEnd"/>
      <w:r w:rsidR="00A97F15">
        <w:rPr>
          <w:rFonts w:ascii="Arial" w:hAnsi="Arial" w:cs="Arial"/>
        </w:rPr>
        <w:t>,</w:t>
      </w:r>
      <w:r w:rsidRPr="00D02618">
        <w:rPr>
          <w:rFonts w:ascii="Arial" w:hAnsi="Arial" w:cs="Arial"/>
        </w:rPr>
        <w:t xml:space="preserve"> 1994) and pupil participation will be measured using the Likert scale (Likert</w:t>
      </w:r>
      <w:r w:rsidR="00A97F15">
        <w:rPr>
          <w:rFonts w:ascii="Arial" w:hAnsi="Arial" w:cs="Arial"/>
        </w:rPr>
        <w:t>,</w:t>
      </w:r>
      <w:r w:rsidRPr="00D02618">
        <w:rPr>
          <w:rFonts w:ascii="Arial" w:hAnsi="Arial" w:cs="Arial"/>
        </w:rPr>
        <w:t xml:space="preserve"> 1932) and will show participation and interaction of certain behaviours and the frequency of these particular behaviours by the pupils being observed. An observation recording sheet has been designed to record these quantitative results (see appendix 4 and 6). Observation as a method of research has some strengths such as being able to gather large amounts of data and being witness to actual classroom behaviours occurring ‘naturally’, however the observer might struggle with recording all the observations witnessed in a short space of time, the observers may affect the situation in which the pupils behave during that lesson and the observer may not successfully determine a certain behaviour e.g. Decisions made with reference to pupils engagement with a task (Burton and Bartlett, 2009).  </w:t>
      </w:r>
    </w:p>
    <w:p w14:paraId="345BA9BE" w14:textId="47F792FD" w:rsidR="00D02618" w:rsidRPr="00D02618" w:rsidRDefault="00D02618" w:rsidP="00D02618">
      <w:pPr>
        <w:spacing w:line="360" w:lineRule="auto"/>
        <w:rPr>
          <w:rFonts w:ascii="Arial" w:hAnsi="Arial" w:cs="Arial"/>
        </w:rPr>
      </w:pPr>
      <w:r w:rsidRPr="00D02618">
        <w:rPr>
          <w:rFonts w:ascii="Arial" w:hAnsi="Arial" w:cs="Arial"/>
        </w:rPr>
        <w:t xml:space="preserve">The qualitative data collected will be based upon additional notes made by the observer during the lesson, reflections from both practitioners taking part in the study and responses made by the pupils during the interview process after the lesson has been carried out. It was considered relevant in this particular study to interview the observed pupils after the lesson has taken place in order to gain further insight into the views of the pupils after working in mixed ability groups. The type of interviews carried out during this lesson study are semi structured interviews undertaken in a focus group of all three observed pupils. The interview </w:t>
      </w:r>
      <w:r w:rsidRPr="00D02618">
        <w:rPr>
          <w:rFonts w:ascii="Arial" w:hAnsi="Arial" w:cs="Arial"/>
        </w:rPr>
        <w:lastRenderedPageBreak/>
        <w:t xml:space="preserve">will be semi structured outlining questions that could be asked prior to the initial interview but with scope to alter and change the questions depending on the answers provided by the pupils during the focus group. This allows for a degree of flexibility when interviewing the pupils and allows the researcher to use questions which may elicit an extended answer from the pupils (Qu and Dumay, 2011). Compared with other data collection methods such as questionnaires, the interviewer can witness other non-verbal examples of behaviour which could be used during analysis of the answers to the questions asked by the researcher (Burton and Bartlett, 2009). There are also some weaknesses to interviewing techniques such as the interviewer may affect the responses of the answers given by the participants which could alter the accuracy of the results and each interview could be slightly different and different questions could be asked by each interviewer which could in the end be difficult to evaluate and analyse </w:t>
      </w:r>
      <w:r w:rsidR="00A97F15">
        <w:rPr>
          <w:rFonts w:ascii="Arial" w:hAnsi="Arial" w:cs="Arial"/>
        </w:rPr>
        <w:t>(</w:t>
      </w:r>
      <w:proofErr w:type="spellStart"/>
      <w:r w:rsidR="00A97F15" w:rsidRPr="00D02618">
        <w:rPr>
          <w:rFonts w:ascii="Arial" w:hAnsi="Arial" w:cs="Arial"/>
        </w:rPr>
        <w:t>Palaiologou</w:t>
      </w:r>
      <w:proofErr w:type="spellEnd"/>
      <w:r w:rsidR="00A97F15" w:rsidRPr="00D02618">
        <w:rPr>
          <w:rFonts w:ascii="Arial" w:hAnsi="Arial" w:cs="Arial"/>
        </w:rPr>
        <w:t xml:space="preserve"> </w:t>
      </w:r>
      <w:r w:rsidR="00A97F15" w:rsidRPr="00D02618">
        <w:rPr>
          <w:rFonts w:ascii="Arial" w:hAnsi="Arial" w:cs="Arial"/>
          <w:i/>
          <w:iCs/>
        </w:rPr>
        <w:t>et al</w:t>
      </w:r>
      <w:r w:rsidR="00A97F15" w:rsidRPr="00D02618">
        <w:rPr>
          <w:rFonts w:ascii="Arial" w:hAnsi="Arial" w:cs="Arial"/>
        </w:rPr>
        <w:t>, 2016.</w:t>
      </w:r>
      <w:r w:rsidR="00A97F15" w:rsidRPr="00A97F15">
        <w:rPr>
          <w:rFonts w:ascii="Arial" w:hAnsi="Arial" w:cs="Arial"/>
        </w:rPr>
        <w:t xml:space="preserve"> </w:t>
      </w:r>
      <w:proofErr w:type="spellStart"/>
      <w:r w:rsidR="00A97F15" w:rsidRPr="00D02618">
        <w:rPr>
          <w:rFonts w:ascii="Arial" w:hAnsi="Arial" w:cs="Arial"/>
        </w:rPr>
        <w:t>Hartas</w:t>
      </w:r>
      <w:proofErr w:type="spellEnd"/>
      <w:r w:rsidR="00A97F15" w:rsidRPr="00D02618">
        <w:rPr>
          <w:rFonts w:ascii="Arial" w:hAnsi="Arial" w:cs="Arial"/>
        </w:rPr>
        <w:t xml:space="preserve">, 2010 </w:t>
      </w:r>
      <w:r w:rsidR="00A97F15">
        <w:rPr>
          <w:rFonts w:ascii="Arial" w:hAnsi="Arial" w:cs="Arial"/>
        </w:rPr>
        <w:t xml:space="preserve">and </w:t>
      </w:r>
      <w:r w:rsidRPr="00D02618">
        <w:rPr>
          <w:rFonts w:ascii="Arial" w:hAnsi="Arial" w:cs="Arial"/>
        </w:rPr>
        <w:t xml:space="preserve">Burton and Bartlett, 2009).      </w:t>
      </w:r>
    </w:p>
    <w:p w14:paraId="3B8BB0F8" w14:textId="77777777" w:rsidR="00D02618" w:rsidRPr="00D02618" w:rsidRDefault="00D02618" w:rsidP="00D02618">
      <w:pPr>
        <w:spacing w:line="360" w:lineRule="auto"/>
        <w:rPr>
          <w:rFonts w:ascii="Arial" w:hAnsi="Arial" w:cs="Arial"/>
        </w:rPr>
      </w:pPr>
      <w:r w:rsidRPr="00D02618">
        <w:rPr>
          <w:rFonts w:ascii="Arial" w:hAnsi="Arial" w:cs="Arial"/>
        </w:rPr>
        <w:t xml:space="preserve">A reflection pro forma will be used for both practitioners to reflect upon the teaching and learning being undertaken during this lesson study. The reflection proforma is adapted from Brookfield’s four lenses model (Brookfield, 1998) and includes aspects of Gibbs six stages reflection model (Gibbs, 1988). The four lenses model takes into account different opinions from all participants during the research, the autobiographical (your own opinion), the pupils’ perspective, colleagues experience (the other researchers) and the theory and possible research behind experience (Brookfield, 1998). The six stages model however allows for further analysis of feelings towards the experience and how this may be developed which informs an action plan at the end of the study (Gibbs, 1988). </w:t>
      </w:r>
    </w:p>
    <w:p w14:paraId="7910F6DA" w14:textId="77777777" w:rsidR="00D02618" w:rsidRPr="00284C8C" w:rsidRDefault="00D02618" w:rsidP="00D02618">
      <w:pPr>
        <w:pStyle w:val="NormalWeb"/>
        <w:spacing w:line="360" w:lineRule="auto"/>
        <w:jc w:val="center"/>
        <w:rPr>
          <w:rFonts w:ascii="Arial" w:hAnsi="Arial" w:cs="Arial"/>
          <w:sz w:val="28"/>
          <w:szCs w:val="28"/>
        </w:rPr>
      </w:pPr>
      <w:r w:rsidRPr="00284C8C">
        <w:rPr>
          <w:rFonts w:ascii="Arial" w:hAnsi="Arial" w:cs="Arial"/>
          <w:b/>
          <w:bCs/>
          <w:sz w:val="28"/>
          <w:szCs w:val="28"/>
          <w:u w:val="single"/>
        </w:rPr>
        <w:t>Ethical considerations.</w:t>
      </w:r>
    </w:p>
    <w:p w14:paraId="1ADB0474" w14:textId="5F6A6EB0" w:rsidR="00D02618" w:rsidRPr="00D02618" w:rsidRDefault="00D02618" w:rsidP="00D02618">
      <w:pPr>
        <w:pStyle w:val="NormalWeb"/>
        <w:spacing w:line="360" w:lineRule="auto"/>
        <w:rPr>
          <w:rFonts w:ascii="Arial" w:hAnsi="Arial" w:cs="Arial"/>
          <w:sz w:val="22"/>
          <w:szCs w:val="22"/>
        </w:rPr>
      </w:pPr>
      <w:r w:rsidRPr="00D02618">
        <w:rPr>
          <w:rFonts w:ascii="Arial" w:hAnsi="Arial" w:cs="Arial"/>
          <w:sz w:val="22"/>
          <w:szCs w:val="22"/>
        </w:rPr>
        <w:t xml:space="preserve">As this is a study involving people and especially young vulnerable persons there has to be a careful consideration of the ethics involved. Ethics approval was obtained from the Universities ethics committee before the research could go ahead, the committee will decide if there is a degree or risk or harm likely to occur towards the participants involved in the study and how this study might benefit the research in this particular field of enquiry (Gorman, 2007 and Burgess, 1989). Verbal consent was obtained from the school in order to carry this type of research out and written consent was obtained prior to the start of this study from the parents of the pupils involved. As the pupils were of an appropriate age their verbal assent was also obtained before observations or interviews could take place. It was made clear throughout the study that pupils could withdraw at any time and that their identity and the school’s identity would remain anonymous at all times. The parents and pupils were </w:t>
      </w:r>
      <w:r w:rsidRPr="00D02618">
        <w:rPr>
          <w:rFonts w:ascii="Arial" w:hAnsi="Arial" w:cs="Arial"/>
          <w:sz w:val="22"/>
          <w:szCs w:val="22"/>
        </w:rPr>
        <w:lastRenderedPageBreak/>
        <w:t>informed of how the data would be used during and at the end of the study and could ask for access to the results of the study if they should wish it. Data collected from this study would be kept on a password protected device and all paper documents kept at the school keeping in line with the data protection act (</w:t>
      </w:r>
      <w:r w:rsidR="00E8686C" w:rsidRPr="00D02618">
        <w:rPr>
          <w:rFonts w:ascii="Arial" w:hAnsi="Arial" w:cs="Arial"/>
          <w:sz w:val="22"/>
          <w:szCs w:val="22"/>
        </w:rPr>
        <w:t>BERA, 2018</w:t>
      </w:r>
      <w:r w:rsidR="00E8686C">
        <w:rPr>
          <w:rFonts w:ascii="Arial" w:hAnsi="Arial" w:cs="Arial"/>
          <w:sz w:val="22"/>
          <w:szCs w:val="22"/>
        </w:rPr>
        <w:t xml:space="preserve">. </w:t>
      </w:r>
      <w:r w:rsidRPr="00D02618">
        <w:rPr>
          <w:rFonts w:ascii="Arial" w:hAnsi="Arial" w:cs="Arial"/>
          <w:sz w:val="22"/>
          <w:szCs w:val="22"/>
        </w:rPr>
        <w:t>U.K Gov, 2018</w:t>
      </w:r>
      <w:r w:rsidR="00E8686C">
        <w:rPr>
          <w:rFonts w:ascii="Arial" w:hAnsi="Arial" w:cs="Arial"/>
          <w:sz w:val="22"/>
          <w:szCs w:val="22"/>
        </w:rPr>
        <w:t xml:space="preserve"> and </w:t>
      </w:r>
      <w:r w:rsidRPr="00D02618">
        <w:rPr>
          <w:rFonts w:ascii="Arial" w:hAnsi="Arial" w:cs="Arial"/>
          <w:sz w:val="22"/>
          <w:szCs w:val="22"/>
        </w:rPr>
        <w:t>Morrow, 2009). (See appendix 12 for letters given to parents and pupils for their consent</w:t>
      </w:r>
      <w:r w:rsidR="00C954FD">
        <w:rPr>
          <w:rFonts w:ascii="Arial" w:hAnsi="Arial" w:cs="Arial"/>
          <w:sz w:val="22"/>
          <w:szCs w:val="22"/>
        </w:rPr>
        <w:t xml:space="preserve"> and refer to ethic form previously completed</w:t>
      </w:r>
      <w:r w:rsidRPr="00D02618">
        <w:rPr>
          <w:rFonts w:ascii="Arial" w:hAnsi="Arial" w:cs="Arial"/>
          <w:sz w:val="22"/>
          <w:szCs w:val="22"/>
        </w:rPr>
        <w:t xml:space="preserve">). </w:t>
      </w:r>
    </w:p>
    <w:p w14:paraId="5F46A856" w14:textId="77777777" w:rsidR="00D02618" w:rsidRPr="00284C8C" w:rsidRDefault="00D02618" w:rsidP="00D02618">
      <w:pPr>
        <w:pStyle w:val="NormalWeb"/>
        <w:spacing w:line="360" w:lineRule="auto"/>
        <w:jc w:val="center"/>
        <w:rPr>
          <w:rFonts w:ascii="Arial" w:hAnsi="Arial" w:cs="Arial"/>
          <w:b/>
          <w:bCs/>
          <w:sz w:val="28"/>
          <w:szCs w:val="28"/>
          <w:u w:val="single"/>
        </w:rPr>
      </w:pPr>
      <w:r w:rsidRPr="00284C8C">
        <w:rPr>
          <w:rFonts w:ascii="Arial" w:hAnsi="Arial" w:cs="Arial"/>
          <w:b/>
          <w:bCs/>
          <w:sz w:val="28"/>
          <w:szCs w:val="28"/>
          <w:u w:val="single"/>
        </w:rPr>
        <w:t>Lesson overview.</w:t>
      </w:r>
    </w:p>
    <w:p w14:paraId="1777D71A" w14:textId="6A5AC023" w:rsidR="00D02618" w:rsidRPr="00284C8C" w:rsidRDefault="00D02618" w:rsidP="00284C8C">
      <w:pPr>
        <w:pStyle w:val="NormalWeb"/>
        <w:spacing w:line="360" w:lineRule="auto"/>
        <w:rPr>
          <w:rFonts w:ascii="Arial" w:hAnsi="Arial" w:cs="Arial"/>
          <w:sz w:val="22"/>
          <w:szCs w:val="22"/>
        </w:rPr>
      </w:pPr>
      <w:r w:rsidRPr="00D02618">
        <w:rPr>
          <w:rFonts w:ascii="Arial" w:hAnsi="Arial" w:cs="Arial"/>
          <w:sz w:val="22"/>
          <w:szCs w:val="22"/>
        </w:rPr>
        <w:t xml:space="preserve">The purpose of this lesson study is to evaluate pupil engagement when placed into mixed ability groups. The lesson planned for this particular lesson study is focussed on problem solving in Mathematics for key stage 2 pupils. The lesson will include a brief outline of what the pupils must achieve and consists of a practical activity based on previous knowledge obtained during previous mathematics lessons. The pupils are normally placed into ability groupings for a subject such as mathematics. This is to allow the teacher can plan for differentiation appropriately, so all pupils are challenged sufficiently. During this lesson study the pupils will be placed into mixed ability groups in order to carry out the practical aspect of the lesson. The groups will be encouraged to complete the activity will little assistance from the teacher in order to gage how effective mixed abilities groupings is on the pupil’s engagement and ability to complete the practical task in that group (see appendix 1 for detailed lesson plan). The lesson will be spilt into three phases; opening, middle section (when the independent activity takes place) and end phase or plenary. On the observation recording sheet these will be referred to as phase 1, 2 and 3. </w:t>
      </w:r>
    </w:p>
    <w:p w14:paraId="6B83CED1" w14:textId="77777777" w:rsidR="00D02618" w:rsidRPr="00284C8C" w:rsidRDefault="00D02618" w:rsidP="00D02618">
      <w:pPr>
        <w:spacing w:line="360" w:lineRule="auto"/>
        <w:jc w:val="center"/>
        <w:rPr>
          <w:rFonts w:ascii="Arial" w:hAnsi="Arial" w:cs="Arial"/>
          <w:b/>
          <w:bCs/>
          <w:sz w:val="28"/>
          <w:szCs w:val="28"/>
          <w:u w:val="single"/>
        </w:rPr>
      </w:pPr>
      <w:r w:rsidRPr="00284C8C">
        <w:rPr>
          <w:rFonts w:ascii="Arial" w:hAnsi="Arial" w:cs="Arial"/>
          <w:b/>
          <w:bCs/>
          <w:sz w:val="28"/>
          <w:szCs w:val="28"/>
          <w:u w:val="single"/>
        </w:rPr>
        <w:t>Evaluation and results.</w:t>
      </w:r>
    </w:p>
    <w:p w14:paraId="3AA227FB"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At the end of the first lesson, the focus group interview took place with the first three participants and both researchers reflected upon the lesson. A previously designed reflections proforma was used after the initial lesson to review and make changes to the lesson before the following lesson observation and also at the end of the study to inform a relevant action plan to be taken further. The proforma used was an adaptation of Brookfield’s four lenses of reflection (1998) and Gibbs six stages reflection model (1988) (see appendix 10). </w:t>
      </w:r>
    </w:p>
    <w:p w14:paraId="79E48BFE" w14:textId="60AA2F15"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The quantitative data from the first lesson study shows that all the pupils’ level of engagement decreased throughout the course of the lesson (see graph 1</w:t>
      </w:r>
      <w:r w:rsidR="00805197">
        <w:rPr>
          <w:rFonts w:ascii="Arial" w:hAnsi="Arial" w:cs="Arial"/>
          <w:color w:val="000000" w:themeColor="text1"/>
        </w:rPr>
        <w:t>,</w:t>
      </w:r>
      <w:r w:rsidRPr="00D02618">
        <w:rPr>
          <w:rFonts w:ascii="Arial" w:hAnsi="Arial" w:cs="Arial"/>
          <w:color w:val="000000" w:themeColor="text1"/>
        </w:rPr>
        <w:t xml:space="preserve"> appendix 11). The results do show that pupil x (the lower attaining pupil) did show a greater level of engagement over the whole lesson compared to the other pupils involved. The lower </w:t>
      </w:r>
      <w:r w:rsidRPr="00D02618">
        <w:rPr>
          <w:rFonts w:ascii="Arial" w:hAnsi="Arial" w:cs="Arial"/>
          <w:color w:val="000000" w:themeColor="text1"/>
        </w:rPr>
        <w:lastRenderedPageBreak/>
        <w:t>attaining pupil never lead of dominated the discussion (see table 1 appendix 11). Pupil Z (the higher attaining pupil) showed very little engagement with the activity throughout the whole lesson, this could indicate that this individual lacked motivation toward the activity and you could possibly assume that this activity may have been too easy for the pupil. However, when reflecting upon the interview conducted that particular individual did say that he/she ‘needed more help with factors’ the main subject of the lesson.</w:t>
      </w:r>
    </w:p>
    <w:p w14:paraId="4FDB77DF"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All the pupils showed the same or equal level of engagement during the second phase of the lesson, which included the practical activity needed to be completed in order to achieve the learning objective given for this lesson. </w:t>
      </w:r>
    </w:p>
    <w:p w14:paraId="319295BB"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During this particular lesson the pupils in the group observed seemed to work very well together and support each other during the activity, they all seemed to value each other’s input, but pupil Y seemed to communicate ideas more clearly than the other two pupils. Pupil X never dominated or lead the discussion of the activity with the group and it was recorded that it was observed that this individual needed support from the others to understand the activity. It was witnessed that another pupil was leading the team to complete the task, this pupil was not one of the pupils being observed but the observer did mention their participation during the observation. </w:t>
      </w:r>
    </w:p>
    <w:p w14:paraId="5835A91C"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The autobiographical or self-aspect of the reflection after the first lesson showed that the activity involved definitely promoted team working within that particular lesson and even though the groups were mixed ability a certain level of scaffolding would still need to be provided for an appropriate outcome to be achieved. This informed the decision then to allow time for more scaffolding at the beginning of the following lesson to see if this made a difference to the outcome. </w:t>
      </w:r>
    </w:p>
    <w:p w14:paraId="1DA58611"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The pupils’ response showed that working in these mixed groups meant that some pupils were off task and one pupil commented that ‘no one listened to his opinions.’ This could have been due to the sizing of the groups of the fact that all the individuals in the group were not playing their part in the completion of the activity and working cooperatively together. During the interview it was mentioned by pupil Z that pupil Y was off task and ‘sat daydreaming’ this was also witnessed by the observer and recorded in the notes gathered (see appendix 5).  </w:t>
      </w:r>
    </w:p>
    <w:p w14:paraId="2CB0BA82"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The quantitative data collected during the second lesson observation contrasted completely with the results from the first lesson observation. In these results, the pupil showing the greatest level of engagement during the lesson was pupil Z (the higher attaining pupil). Even though this was the case, the lower attaining pupil (pupil X) did show an increase in engagement from the levels witnessed at the beginning of the lesson to the end. Both middle </w:t>
      </w:r>
      <w:r w:rsidRPr="00D02618">
        <w:rPr>
          <w:rFonts w:ascii="Arial" w:hAnsi="Arial" w:cs="Arial"/>
          <w:color w:val="000000" w:themeColor="text1"/>
        </w:rPr>
        <w:lastRenderedPageBreak/>
        <w:t xml:space="preserve">and lower attaining pupils (pupil Y and Z) showed relatively low levels of engagement during the second phase of the lesson. This phase included the practical activity needed to be completed to achieve the learning outcome.  Pupil X was observed to have disengaged with the activity during the opening phase of the lesson which could indicate that there may be a lack of understanding of the task (see graph- appendix </w:t>
      </w:r>
      <w:proofErr w:type="gramStart"/>
      <w:r w:rsidRPr="00D02618">
        <w:rPr>
          <w:rFonts w:ascii="Arial" w:hAnsi="Arial" w:cs="Arial"/>
          <w:color w:val="000000" w:themeColor="text1"/>
        </w:rPr>
        <w:t>11 )</w:t>
      </w:r>
      <w:proofErr w:type="gramEnd"/>
      <w:r w:rsidRPr="00D02618">
        <w:rPr>
          <w:rFonts w:ascii="Arial" w:hAnsi="Arial" w:cs="Arial"/>
          <w:color w:val="000000" w:themeColor="text1"/>
        </w:rPr>
        <w:t>.</w:t>
      </w:r>
    </w:p>
    <w:p w14:paraId="12EFD1CA"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Pupil Z (higher attaining pupil) took over the task completely but did listen to others voicing their opinions and waited patiently for help from the others in the group. During the practical this individual gave out instructions for people to follow when setting out the chairs. Pupil Y and X both waited for instructions given from other members of the group, but pupil Y managed to work out the perimeter independently of both of the groups attempts placing the chairs in a particular array. It was observed that the team may have struggled to work together during this activity, and no one voiced when they found the task difficult to complete (see appendix 7). </w:t>
      </w:r>
    </w:p>
    <w:p w14:paraId="154FED94"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At the end of the second lesson interviews with the next three participants (see appendix 9) and a reflection using the proforma with the other practitioner was conducted (see appendix 10). Here it was evident that there was an increased level of engagement from the pupils and that the activity was very good in promoting collaboration between the participants involved. The pupils did notice that they had been placed into mixed ability groups and explained that they thought this was important and it was good to work with other people with different abilities to themselves. They said that you could receive help from others or help out friends when they were struggling and that this would help them in the future. The pupils did think that lots of people would be off task during this activity but explained that this was not the case. They explained that they thought everyone in the class had worked really well with each other and that there were no ‘arguments.’ Pupil X explained the importance of helping others and stated that he thought that he was very helpful during this activity. </w:t>
      </w:r>
    </w:p>
    <w:p w14:paraId="365A0D46"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From the reflection proforma (see appendix 10) the opinions of both researchers was that the least effective part of the lesson was that the group sizes were considered too large to allow all members of the group to be actively engaged at the same time and all groups working on this particular activity increased the excitement of the pupils and sometimes the situation could become chaotic. It was also an opinion of both researchers that lower ability pupils both seemed to access the practical activity more effectively that the other pupils. </w:t>
      </w:r>
    </w:p>
    <w:p w14:paraId="4458DDC8"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The data collected in this study was not related to achievement of the pupils but based upon perceived engagement of the pupils witnessed by the observer. </w:t>
      </w:r>
    </w:p>
    <w:p w14:paraId="20412251" w14:textId="49F3FF76"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This particular task was not differentiated at all by both teachers and this could have had an impact on whether the pupils could complete the task correctly (Huang, 2014). </w:t>
      </w:r>
    </w:p>
    <w:p w14:paraId="1EBB7F89" w14:textId="0BDAD7EB" w:rsidR="00D02618" w:rsidRPr="00284C8C" w:rsidRDefault="00D02618" w:rsidP="00284C8C">
      <w:pPr>
        <w:spacing w:line="360" w:lineRule="auto"/>
        <w:rPr>
          <w:rFonts w:ascii="Arial" w:hAnsi="Arial" w:cs="Arial"/>
          <w:color w:val="000000" w:themeColor="text1"/>
        </w:rPr>
      </w:pPr>
      <w:r w:rsidRPr="00D02618">
        <w:rPr>
          <w:rFonts w:ascii="Arial" w:hAnsi="Arial" w:cs="Arial"/>
          <w:color w:val="000000" w:themeColor="text1"/>
        </w:rPr>
        <w:lastRenderedPageBreak/>
        <w:t>Hallam, Ireson and Davies (2002) noted that pupils of a higher attainment showed lower cognitive processes when involved in group work in the classroom and explains that collaborative work does ‘not stretch the average pupil.’ This shows from the results found in lesson 1 where pupil Z did not engage fully with the task and lost interest towards the end of the lesson. This agrees with the research that ‘attainment grouping’ is said to have a greater impact upon higher ability pupils than lower ability (Hallam. 2002). During this study the group sizes were of individuals of 7 persons, this size of the groupings may have been too large, it is considered that smaller group sizes may have had a different effect and produced different results (</w:t>
      </w:r>
      <w:proofErr w:type="spellStart"/>
      <w:r w:rsidRPr="00D02618">
        <w:rPr>
          <w:rFonts w:ascii="Arial" w:hAnsi="Arial" w:cs="Arial"/>
          <w:color w:val="000000" w:themeColor="text1"/>
        </w:rPr>
        <w:t>Harlen</w:t>
      </w:r>
      <w:proofErr w:type="spellEnd"/>
      <w:r w:rsidRPr="00D02618">
        <w:rPr>
          <w:rFonts w:ascii="Arial" w:hAnsi="Arial" w:cs="Arial"/>
          <w:color w:val="000000" w:themeColor="text1"/>
        </w:rPr>
        <w:t xml:space="preserve"> and Malcom, 1999 and Lou </w:t>
      </w:r>
      <w:r w:rsidRPr="00D02618">
        <w:rPr>
          <w:rFonts w:ascii="Arial" w:hAnsi="Arial" w:cs="Arial"/>
          <w:i/>
          <w:iCs/>
          <w:color w:val="000000" w:themeColor="text1"/>
        </w:rPr>
        <w:t>et al</w:t>
      </w:r>
      <w:r w:rsidRPr="00D02618">
        <w:rPr>
          <w:rFonts w:ascii="Arial" w:hAnsi="Arial" w:cs="Arial"/>
          <w:color w:val="000000" w:themeColor="text1"/>
        </w:rPr>
        <w:t xml:space="preserve">, 1996). It could be assumed that during the second lesson study that the lower ability pupil may have benefitted more from the mixed attainment groups as it was witnessed that the individual needed support from others in the group and during the interview stated that he did receive the help when asking for it, this may have then boosted the confidence of the individual and increased their motivation of the activity this links back to the theory that mixed ability groupings has an effect on other factors that are not academic such as relationships between peers and confidence of lower ability pupils (Hallam, Ireson and Davies, 2002). </w:t>
      </w:r>
    </w:p>
    <w:p w14:paraId="2BEB44A2" w14:textId="77777777" w:rsidR="00D40583" w:rsidRDefault="00D40583" w:rsidP="00284C8C">
      <w:pPr>
        <w:spacing w:line="360" w:lineRule="auto"/>
        <w:jc w:val="center"/>
        <w:rPr>
          <w:rFonts w:ascii="Arial" w:hAnsi="Arial" w:cs="Arial"/>
          <w:b/>
          <w:bCs/>
          <w:sz w:val="28"/>
          <w:szCs w:val="28"/>
          <w:u w:val="single"/>
        </w:rPr>
      </w:pPr>
    </w:p>
    <w:p w14:paraId="358255F0" w14:textId="12AA577E" w:rsidR="00D02618" w:rsidRPr="00284C8C" w:rsidRDefault="00D02618" w:rsidP="00284C8C">
      <w:pPr>
        <w:spacing w:line="360" w:lineRule="auto"/>
        <w:jc w:val="center"/>
        <w:rPr>
          <w:rFonts w:ascii="Arial" w:hAnsi="Arial" w:cs="Arial"/>
          <w:b/>
          <w:bCs/>
          <w:sz w:val="28"/>
          <w:szCs w:val="28"/>
          <w:u w:val="single"/>
        </w:rPr>
      </w:pPr>
      <w:r w:rsidRPr="00284C8C">
        <w:rPr>
          <w:rFonts w:ascii="Arial" w:hAnsi="Arial" w:cs="Arial"/>
          <w:b/>
          <w:bCs/>
          <w:sz w:val="28"/>
          <w:szCs w:val="28"/>
          <w:u w:val="single"/>
        </w:rPr>
        <w:t>Conclusions and Recommendations.</w:t>
      </w:r>
    </w:p>
    <w:p w14:paraId="64279F98" w14:textId="6865024B" w:rsidR="00D02618" w:rsidRPr="00D02618" w:rsidRDefault="00D02618" w:rsidP="00D02618">
      <w:pPr>
        <w:spacing w:line="360" w:lineRule="auto"/>
        <w:jc w:val="both"/>
        <w:rPr>
          <w:rFonts w:ascii="Arial" w:hAnsi="Arial" w:cs="Arial"/>
          <w:color w:val="000000" w:themeColor="text1"/>
        </w:rPr>
      </w:pPr>
      <w:r w:rsidRPr="00D02618">
        <w:rPr>
          <w:rFonts w:ascii="Arial" w:hAnsi="Arial" w:cs="Arial"/>
          <w:color w:val="000000" w:themeColor="text1"/>
        </w:rPr>
        <w:t>It is concluded that placing pupils in mixed ability groups may have an impact of the level of engagement showed by all pupils, but it is not possible to accurately conclude that this is the case. Further longitudinal studies would be needed in this topic to gain more results so a possible statistical significance could be discovered. There could also be studied carried out into the comparisons between ability grouping and mixed ability grouping which may show more accurate results. As previously mentioned in the methods section of this study observation techniques do have certain limitations (</w:t>
      </w:r>
      <w:r w:rsidRPr="00D02618">
        <w:rPr>
          <w:rFonts w:ascii="Arial" w:hAnsi="Arial" w:cs="Arial"/>
        </w:rPr>
        <w:t xml:space="preserve">Burton and Bartlett. 2009). </w:t>
      </w:r>
      <w:r w:rsidRPr="00D02618">
        <w:rPr>
          <w:rFonts w:ascii="Arial" w:hAnsi="Arial" w:cs="Arial"/>
          <w:color w:val="000000" w:themeColor="text1"/>
        </w:rPr>
        <w:t>As the observers were different during both lessons carried out, this could mean that the ideas of what was considered a level 4 on the Leuven scale could have been misinterpreted and participations and interactions such as ‘leading the discussion and dominating discussions’ could be misunderstood by both observers. Due to this being a controversial topic there could be an assumption that each observer may have a current belief or towards this particular topic of research and the researcher must try and conduct this research with no preconceived idea of what the results may tell them (</w:t>
      </w:r>
      <w:proofErr w:type="spellStart"/>
      <w:r w:rsidRPr="00D02618">
        <w:rPr>
          <w:rFonts w:ascii="Arial" w:hAnsi="Arial" w:cs="Arial"/>
          <w:color w:val="000000" w:themeColor="text1"/>
        </w:rPr>
        <w:t>Kivunja</w:t>
      </w:r>
      <w:proofErr w:type="spellEnd"/>
      <w:r w:rsidRPr="00D02618">
        <w:rPr>
          <w:rFonts w:ascii="Arial" w:hAnsi="Arial" w:cs="Arial"/>
          <w:color w:val="000000" w:themeColor="text1"/>
        </w:rPr>
        <w:t xml:space="preserve"> and </w:t>
      </w:r>
      <w:proofErr w:type="spellStart"/>
      <w:r w:rsidRPr="00D02618">
        <w:rPr>
          <w:rFonts w:ascii="Arial" w:hAnsi="Arial" w:cs="Arial"/>
          <w:color w:val="000000" w:themeColor="text1"/>
        </w:rPr>
        <w:t>Kuyini</w:t>
      </w:r>
      <w:proofErr w:type="spellEnd"/>
      <w:r w:rsidRPr="00D02618">
        <w:rPr>
          <w:rFonts w:ascii="Arial" w:hAnsi="Arial" w:cs="Arial"/>
          <w:color w:val="000000" w:themeColor="text1"/>
        </w:rPr>
        <w:t>, 2017). It could also be assumed that the researcher may have missed a certain behaviour or interaction within the lesson as they were recording their findings (</w:t>
      </w:r>
      <w:r w:rsidRPr="00D02618">
        <w:rPr>
          <w:rFonts w:ascii="Arial" w:hAnsi="Arial" w:cs="Arial"/>
        </w:rPr>
        <w:t>Burton and Bartlett, 2009)</w:t>
      </w:r>
      <w:r w:rsidR="00617ADE">
        <w:rPr>
          <w:rFonts w:ascii="Arial" w:hAnsi="Arial" w:cs="Arial"/>
        </w:rPr>
        <w:t>.</w:t>
      </w:r>
      <w:r w:rsidRPr="00D02618">
        <w:rPr>
          <w:rFonts w:ascii="Arial" w:hAnsi="Arial" w:cs="Arial"/>
        </w:rPr>
        <w:t xml:space="preserve"> </w:t>
      </w:r>
    </w:p>
    <w:p w14:paraId="5F226807" w14:textId="77777777" w:rsidR="00D02618" w:rsidRPr="00D02618" w:rsidRDefault="00D02618" w:rsidP="00D02618">
      <w:pPr>
        <w:spacing w:line="360" w:lineRule="auto"/>
        <w:jc w:val="both"/>
        <w:rPr>
          <w:rFonts w:ascii="Arial" w:hAnsi="Arial" w:cs="Arial"/>
          <w:color w:val="000000" w:themeColor="text1"/>
        </w:rPr>
      </w:pPr>
      <w:r w:rsidRPr="00D02618">
        <w:rPr>
          <w:rFonts w:ascii="Arial" w:hAnsi="Arial" w:cs="Arial"/>
          <w:color w:val="000000" w:themeColor="text1"/>
        </w:rPr>
        <w:lastRenderedPageBreak/>
        <w:t>Before the research was conducted it could have been helpful to conduct a pilot study in order to practice the techniques used to gather the information. This initial study could help refine the questions asked of the pupils and lead to altering the observation recording sheet to refine the data collected. It could have also been helpful for both the researchers involved to first discuss their interpretations of the specific behaviours recorded, this would made sure that both researchers understood the levels involved in both the quantitative scales used.  Even though the quantitative data was recorded it was important to also record other additional notes or comments that may have witnessed by the observer. This is important as it could be added to the qualitative data accumulated and could possibly impact the interpretation of the data. Due to this research being carried out in the school setting there were certain time constraints placed upon this research. The parents did not promptly send back the consent forms needed therefore the lesson study could not be carried out earlier in the term. The school gave an allocated amount of time to complete the research and explained when the lesson study should take place and it was asked by the researchers that both lessons be conducted on executive days at the same time on both days. This would allow for enough time to alter the lesson if any difficulties should arise. However, this was not possible, so the lesson studies were carried out on the same day with little time for the researchers to reflect on the first lesson study and make relevant changes to the lesson being delivered. Both of the researchers were not experienced in conducting interviews with people especially young people and therefore could have asked certain questions which may have been considered leading which may have affected the accuracy of the results. Also, it is important to state that the pupils participating in the interview were very well known by the interviewer and could have been answering the questions based on what they thought the researcher may have wanted the answer to be.</w:t>
      </w:r>
    </w:p>
    <w:p w14:paraId="45FDBE44" w14:textId="77777777" w:rsidR="00D02618" w:rsidRPr="00D02618" w:rsidRDefault="00D02618" w:rsidP="00D02618">
      <w:pPr>
        <w:spacing w:line="360" w:lineRule="auto"/>
        <w:jc w:val="both"/>
        <w:rPr>
          <w:rFonts w:ascii="Arial" w:hAnsi="Arial" w:cs="Arial"/>
          <w:color w:val="000000" w:themeColor="text1"/>
          <w:u w:val="single"/>
        </w:rPr>
      </w:pPr>
      <w:r w:rsidRPr="00D02618">
        <w:rPr>
          <w:rFonts w:ascii="Arial" w:hAnsi="Arial" w:cs="Arial"/>
          <w:color w:val="000000" w:themeColor="text1"/>
        </w:rPr>
        <w:t xml:space="preserve">Reflecting upon the finding in this research I will definitely be using mixed ability groupings more during my own delivery of lessons and onto my further professional teaching experiences during the course of my PGCE. I will make sure this becomes a part of my own teaching and encourage more schools to adopt this method as I believe there is still more to learn from this approach to classroom and learning management.  </w:t>
      </w:r>
    </w:p>
    <w:p w14:paraId="32791BDC"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If I was to conduct this study again, I would make sure to carry out pilot study first and make sure reflections are carried out straightaway. I also would encourage preparation of enough time between each lesson study to make necessary changes to the lesson or method of data collection. </w:t>
      </w:r>
    </w:p>
    <w:p w14:paraId="6B2E82A3" w14:textId="4E0A9E3E" w:rsidR="00D02618" w:rsidRPr="00D02618" w:rsidRDefault="00D02618" w:rsidP="00D02618">
      <w:pPr>
        <w:spacing w:line="360" w:lineRule="auto"/>
        <w:rPr>
          <w:rFonts w:ascii="Arial" w:hAnsi="Arial" w:cs="Arial"/>
          <w:color w:val="FF0000"/>
        </w:rPr>
      </w:pPr>
      <w:r w:rsidRPr="00D02618">
        <w:rPr>
          <w:rFonts w:ascii="Arial" w:hAnsi="Arial" w:cs="Arial"/>
          <w:color w:val="000000" w:themeColor="text1"/>
        </w:rPr>
        <w:t xml:space="preserve">Donaldson (2015) stated that there is importance to share good and effective practice throughout schools and even though evidence suggests that grouping pupils based on </w:t>
      </w:r>
      <w:r w:rsidRPr="00D02618">
        <w:rPr>
          <w:rFonts w:ascii="Arial" w:hAnsi="Arial" w:cs="Arial"/>
          <w:color w:val="000000" w:themeColor="text1"/>
        </w:rPr>
        <w:lastRenderedPageBreak/>
        <w:t>attainment and ability can hinder achievement and increase the gap between lower and higher ability pupils most schools will still tend to use the approach of grouping based on attainment</w:t>
      </w:r>
      <w:r w:rsidR="00D167EA">
        <w:rPr>
          <w:rFonts w:ascii="Arial" w:hAnsi="Arial" w:cs="Arial"/>
          <w:color w:val="000000" w:themeColor="text1"/>
        </w:rPr>
        <w:t xml:space="preserve"> (</w:t>
      </w:r>
      <w:r w:rsidR="00D167EA" w:rsidRPr="00D02618">
        <w:rPr>
          <w:rFonts w:ascii="Arial" w:hAnsi="Arial" w:cs="Arial"/>
          <w:color w:val="000000" w:themeColor="text1"/>
        </w:rPr>
        <w:t>Baines. 2012</w:t>
      </w:r>
      <w:r w:rsidR="00D167EA">
        <w:rPr>
          <w:rFonts w:ascii="Arial" w:hAnsi="Arial" w:cs="Arial"/>
          <w:color w:val="000000" w:themeColor="text1"/>
        </w:rPr>
        <w:t xml:space="preserve"> and </w:t>
      </w:r>
      <w:r w:rsidR="00D167EA" w:rsidRPr="00D02618">
        <w:rPr>
          <w:rFonts w:ascii="Arial" w:hAnsi="Arial" w:cs="Arial"/>
          <w:color w:val="000000" w:themeColor="text1"/>
        </w:rPr>
        <w:t>OECD, 2010</w:t>
      </w:r>
      <w:r w:rsidR="00D167EA">
        <w:rPr>
          <w:rFonts w:ascii="Arial" w:hAnsi="Arial" w:cs="Arial"/>
          <w:color w:val="000000" w:themeColor="text1"/>
        </w:rPr>
        <w:t>)</w:t>
      </w:r>
      <w:r w:rsidRPr="00D02618">
        <w:rPr>
          <w:rFonts w:ascii="Arial" w:hAnsi="Arial" w:cs="Arial"/>
          <w:color w:val="000000" w:themeColor="text1"/>
        </w:rPr>
        <w:t xml:space="preserve">. One reason for this is stated by Baines (2012), he described that this may be due to it being easier for teachers to plan and delivery of the lesson may be less stressful when pupils are already placed into groups of the same ability. However, I believe that this is just making the life of the teacher more agreeable but not having a positive effect on the students learning. Collaboration between pupils is important as pupils have different ideas on strategies to solve problems or tasks while allowing peers to be role models towards behaviour and learning for lower achieving pupils. There definitely needs to be more research conducted on this topic and schools need to take on board relevant research in order to make judgements on this strategy which will benefit the child and therefore have an impact of the teaching and learning conducted in the classroom.  </w:t>
      </w:r>
    </w:p>
    <w:p w14:paraId="72569E7F" w14:textId="77777777" w:rsidR="00D02618" w:rsidRPr="00D02618" w:rsidRDefault="00D02618" w:rsidP="00D02618">
      <w:pPr>
        <w:spacing w:line="360" w:lineRule="auto"/>
        <w:jc w:val="center"/>
        <w:rPr>
          <w:rFonts w:ascii="Arial" w:hAnsi="Arial" w:cs="Arial"/>
          <w:b/>
          <w:bCs/>
          <w:color w:val="000000" w:themeColor="text1"/>
          <w:u w:val="single"/>
        </w:rPr>
      </w:pPr>
    </w:p>
    <w:p w14:paraId="000B74F0" w14:textId="77777777" w:rsidR="00D02618" w:rsidRPr="00D02618" w:rsidRDefault="00D02618" w:rsidP="00D02618">
      <w:pPr>
        <w:spacing w:line="360" w:lineRule="auto"/>
        <w:jc w:val="center"/>
        <w:rPr>
          <w:rFonts w:ascii="Arial" w:hAnsi="Arial" w:cs="Arial"/>
          <w:b/>
          <w:bCs/>
          <w:color w:val="000000" w:themeColor="text1"/>
          <w:u w:val="single"/>
        </w:rPr>
      </w:pPr>
    </w:p>
    <w:p w14:paraId="5291C5F9" w14:textId="77777777" w:rsidR="00D02618" w:rsidRPr="00D02618" w:rsidRDefault="00D02618" w:rsidP="00D02618">
      <w:pPr>
        <w:spacing w:line="360" w:lineRule="auto"/>
        <w:jc w:val="center"/>
        <w:rPr>
          <w:rFonts w:ascii="Arial" w:hAnsi="Arial" w:cs="Arial"/>
          <w:b/>
          <w:bCs/>
          <w:color w:val="000000" w:themeColor="text1"/>
          <w:u w:val="single"/>
        </w:rPr>
      </w:pPr>
    </w:p>
    <w:p w14:paraId="3D64B06F" w14:textId="77777777" w:rsidR="00D02618" w:rsidRPr="00D02618" w:rsidRDefault="00D02618" w:rsidP="00D02618">
      <w:pPr>
        <w:spacing w:line="360" w:lineRule="auto"/>
        <w:jc w:val="center"/>
        <w:rPr>
          <w:rFonts w:ascii="Arial" w:hAnsi="Arial" w:cs="Arial"/>
          <w:b/>
          <w:bCs/>
          <w:color w:val="000000" w:themeColor="text1"/>
          <w:u w:val="single"/>
        </w:rPr>
      </w:pPr>
    </w:p>
    <w:p w14:paraId="5AD164AB" w14:textId="77777777" w:rsidR="00D02618" w:rsidRPr="00D02618" w:rsidRDefault="00D02618" w:rsidP="00D02618">
      <w:pPr>
        <w:spacing w:line="360" w:lineRule="auto"/>
        <w:jc w:val="center"/>
        <w:rPr>
          <w:rFonts w:ascii="Arial" w:hAnsi="Arial" w:cs="Arial"/>
          <w:b/>
          <w:bCs/>
          <w:color w:val="000000" w:themeColor="text1"/>
          <w:u w:val="single"/>
        </w:rPr>
      </w:pPr>
    </w:p>
    <w:p w14:paraId="2E0FE5DD" w14:textId="77777777" w:rsidR="00D02618" w:rsidRPr="00D02618" w:rsidRDefault="00D02618" w:rsidP="00D02618">
      <w:pPr>
        <w:spacing w:line="360" w:lineRule="auto"/>
        <w:jc w:val="center"/>
        <w:rPr>
          <w:rFonts w:ascii="Arial" w:hAnsi="Arial" w:cs="Arial"/>
          <w:b/>
          <w:bCs/>
          <w:color w:val="000000" w:themeColor="text1"/>
          <w:u w:val="single"/>
        </w:rPr>
      </w:pPr>
    </w:p>
    <w:p w14:paraId="32F21EC9" w14:textId="77777777" w:rsidR="00D02618" w:rsidRPr="00D02618" w:rsidRDefault="00D02618" w:rsidP="00D02618">
      <w:pPr>
        <w:spacing w:line="360" w:lineRule="auto"/>
        <w:jc w:val="center"/>
        <w:rPr>
          <w:rFonts w:ascii="Arial" w:hAnsi="Arial" w:cs="Arial"/>
          <w:b/>
          <w:bCs/>
          <w:color w:val="000000" w:themeColor="text1"/>
          <w:u w:val="single"/>
        </w:rPr>
      </w:pPr>
    </w:p>
    <w:p w14:paraId="7D632D4D" w14:textId="77777777" w:rsidR="00D02618" w:rsidRPr="00150C03" w:rsidRDefault="00D02618" w:rsidP="00150C03">
      <w:pPr>
        <w:spacing w:line="360" w:lineRule="auto"/>
        <w:jc w:val="center"/>
        <w:rPr>
          <w:rFonts w:ascii="Arial" w:hAnsi="Arial" w:cs="Arial"/>
          <w:b/>
          <w:bCs/>
          <w:color w:val="000000" w:themeColor="text1"/>
          <w:sz w:val="28"/>
          <w:szCs w:val="28"/>
          <w:u w:val="single"/>
        </w:rPr>
      </w:pPr>
      <w:r w:rsidRPr="00150C03">
        <w:rPr>
          <w:rFonts w:ascii="Arial" w:hAnsi="Arial" w:cs="Arial"/>
          <w:b/>
          <w:bCs/>
          <w:color w:val="000000" w:themeColor="text1"/>
          <w:sz w:val="28"/>
          <w:szCs w:val="28"/>
          <w:u w:val="single"/>
        </w:rPr>
        <w:t>References:</w:t>
      </w:r>
    </w:p>
    <w:p w14:paraId="60CDD563" w14:textId="77777777" w:rsidR="00D02618" w:rsidRPr="00D02618" w:rsidRDefault="00D02618" w:rsidP="00D02618">
      <w:pPr>
        <w:spacing w:line="360" w:lineRule="auto"/>
        <w:rPr>
          <w:rFonts w:ascii="Arial" w:hAnsi="Arial" w:cs="Arial"/>
          <w:color w:val="FF0000"/>
        </w:rPr>
      </w:pPr>
    </w:p>
    <w:p w14:paraId="53801EE4" w14:textId="77777777" w:rsidR="00D02618" w:rsidRPr="00D02618" w:rsidRDefault="00D02618" w:rsidP="00D02618">
      <w:pPr>
        <w:pStyle w:val="NormalWeb"/>
        <w:spacing w:line="360" w:lineRule="auto"/>
        <w:rPr>
          <w:rFonts w:ascii="Arial" w:hAnsi="Arial" w:cs="Arial"/>
          <w:sz w:val="22"/>
          <w:szCs w:val="22"/>
        </w:rPr>
      </w:pPr>
      <w:r w:rsidRPr="00D02618">
        <w:rPr>
          <w:rFonts w:ascii="Arial" w:hAnsi="Arial" w:cs="Arial"/>
          <w:sz w:val="22"/>
          <w:szCs w:val="22"/>
        </w:rPr>
        <w:t xml:space="preserve">Baines, E. (2012) ‘Grouping pupils by ability in schools’ in Adey, P and Dillion, J (Ed) </w:t>
      </w:r>
      <w:r w:rsidRPr="00D02618">
        <w:rPr>
          <w:rFonts w:ascii="Arial" w:hAnsi="Arial" w:cs="Arial"/>
          <w:i/>
          <w:iCs/>
          <w:sz w:val="22"/>
          <w:szCs w:val="22"/>
        </w:rPr>
        <w:t>Bad Education. Debunking myths in education.</w:t>
      </w:r>
      <w:r w:rsidRPr="00D02618">
        <w:rPr>
          <w:rFonts w:ascii="Arial" w:hAnsi="Arial" w:cs="Arial"/>
          <w:sz w:val="22"/>
          <w:szCs w:val="22"/>
        </w:rPr>
        <w:t xml:space="preserve"> Open university press. England. </w:t>
      </w:r>
    </w:p>
    <w:p w14:paraId="752DE831" w14:textId="77777777" w:rsidR="00D02618" w:rsidRPr="00D02618" w:rsidRDefault="00D02618" w:rsidP="00D02618">
      <w:pPr>
        <w:spacing w:line="360" w:lineRule="auto"/>
        <w:rPr>
          <w:rFonts w:ascii="Arial" w:hAnsi="Arial" w:cs="Arial"/>
          <w:color w:val="000000" w:themeColor="text1"/>
        </w:rPr>
      </w:pPr>
      <w:proofErr w:type="spellStart"/>
      <w:r w:rsidRPr="00D02618">
        <w:rPr>
          <w:rFonts w:ascii="Arial" w:hAnsi="Arial" w:cs="Arial"/>
          <w:color w:val="000000" w:themeColor="text1"/>
        </w:rPr>
        <w:t>Boaler</w:t>
      </w:r>
      <w:proofErr w:type="spellEnd"/>
      <w:r w:rsidRPr="00D02618">
        <w:rPr>
          <w:rFonts w:ascii="Arial" w:hAnsi="Arial" w:cs="Arial"/>
          <w:color w:val="000000" w:themeColor="text1"/>
        </w:rPr>
        <w:t xml:space="preserve">, J., D. </w:t>
      </w:r>
      <w:proofErr w:type="spellStart"/>
      <w:r w:rsidRPr="00D02618">
        <w:rPr>
          <w:rFonts w:ascii="Arial" w:hAnsi="Arial" w:cs="Arial"/>
          <w:color w:val="000000" w:themeColor="text1"/>
        </w:rPr>
        <w:t>Wiliam</w:t>
      </w:r>
      <w:proofErr w:type="spellEnd"/>
      <w:r w:rsidRPr="00D02618">
        <w:rPr>
          <w:rFonts w:ascii="Arial" w:hAnsi="Arial" w:cs="Arial"/>
          <w:color w:val="000000" w:themeColor="text1"/>
        </w:rPr>
        <w:t xml:space="preserve">, and M. Brown. (2000). Students’ Experiences of Ability Grouping-disaffection, Polarisation and the Construction of Failure. </w:t>
      </w:r>
      <w:r w:rsidRPr="00D02618">
        <w:rPr>
          <w:rFonts w:ascii="Arial" w:hAnsi="Arial" w:cs="Arial"/>
          <w:i/>
          <w:iCs/>
          <w:color w:val="000000" w:themeColor="text1"/>
        </w:rPr>
        <w:t xml:space="preserve">British Educational Research Journal </w:t>
      </w:r>
      <w:r w:rsidRPr="00D02618">
        <w:rPr>
          <w:rFonts w:ascii="Arial" w:hAnsi="Arial" w:cs="Arial"/>
          <w:color w:val="000000" w:themeColor="text1"/>
        </w:rPr>
        <w:t xml:space="preserve">26 (5) pp. 631–648. </w:t>
      </w:r>
    </w:p>
    <w:p w14:paraId="7D31980F" w14:textId="77777777" w:rsidR="00D02618" w:rsidRPr="00D02618" w:rsidRDefault="00D02618" w:rsidP="00D02618">
      <w:pPr>
        <w:spacing w:line="360" w:lineRule="auto"/>
        <w:rPr>
          <w:rFonts w:ascii="Arial" w:hAnsi="Arial" w:cs="Arial"/>
          <w:color w:val="000000" w:themeColor="text1"/>
        </w:rPr>
      </w:pPr>
    </w:p>
    <w:p w14:paraId="72A365D1"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British Educational Research Association- BERA (2018) Ethical Guidelines for Educational Research, 4</w:t>
      </w:r>
      <w:r w:rsidRPr="00D02618">
        <w:rPr>
          <w:rFonts w:ascii="Arial" w:hAnsi="Arial" w:cs="Arial"/>
          <w:color w:val="000000" w:themeColor="text1"/>
          <w:vertAlign w:val="superscript"/>
        </w:rPr>
        <w:t>th</w:t>
      </w:r>
      <w:r w:rsidRPr="00D02618">
        <w:rPr>
          <w:rFonts w:ascii="Arial" w:hAnsi="Arial" w:cs="Arial"/>
          <w:color w:val="000000" w:themeColor="text1"/>
        </w:rPr>
        <w:t xml:space="preserve"> ed. London. [online] available from: https://www.bera.ac.uk/researchers-resources/publications/ethical- guidelines-for-educational-research-2018 </w:t>
      </w:r>
    </w:p>
    <w:p w14:paraId="0185F233" w14:textId="77777777" w:rsidR="00D02618" w:rsidRPr="00D02618" w:rsidRDefault="00D02618" w:rsidP="00D02618">
      <w:pPr>
        <w:spacing w:line="360" w:lineRule="auto"/>
        <w:rPr>
          <w:rFonts w:ascii="Arial" w:hAnsi="Arial" w:cs="Arial"/>
        </w:rPr>
      </w:pPr>
    </w:p>
    <w:p w14:paraId="0AA937F7" w14:textId="77777777" w:rsidR="00D02618" w:rsidRPr="00D02618" w:rsidRDefault="00D02618" w:rsidP="00D02618">
      <w:pPr>
        <w:spacing w:line="360" w:lineRule="auto"/>
        <w:rPr>
          <w:rFonts w:ascii="Arial" w:hAnsi="Arial" w:cs="Arial"/>
        </w:rPr>
      </w:pPr>
      <w:r w:rsidRPr="00D02618">
        <w:rPr>
          <w:rFonts w:ascii="Arial" w:hAnsi="Arial" w:cs="Arial"/>
        </w:rPr>
        <w:t xml:space="preserve">Brookfield, S. (1998) Critically reflective practice. </w:t>
      </w:r>
      <w:r w:rsidRPr="00D02618">
        <w:rPr>
          <w:rFonts w:ascii="Arial" w:hAnsi="Arial" w:cs="Arial"/>
          <w:i/>
          <w:iCs/>
        </w:rPr>
        <w:t xml:space="preserve">Journal of Continuing Education in the </w:t>
      </w:r>
      <w:r w:rsidRPr="00D02618">
        <w:rPr>
          <w:rFonts w:ascii="Arial" w:hAnsi="Arial" w:cs="Arial"/>
        </w:rPr>
        <w:t xml:space="preserve">Health Professions; 18, (4) ProQuest Education Journals p. 197 </w:t>
      </w:r>
    </w:p>
    <w:p w14:paraId="18D4C35E" w14:textId="77777777" w:rsidR="00D02618" w:rsidRPr="00D02618" w:rsidRDefault="00D02618" w:rsidP="00D02618">
      <w:pPr>
        <w:spacing w:line="360" w:lineRule="auto"/>
        <w:rPr>
          <w:rFonts w:ascii="Arial" w:hAnsi="Arial" w:cs="Arial"/>
        </w:rPr>
      </w:pPr>
    </w:p>
    <w:p w14:paraId="3557BAD0" w14:textId="77777777" w:rsidR="00D02618" w:rsidRPr="00D02618" w:rsidRDefault="00D02618" w:rsidP="00D02618">
      <w:pPr>
        <w:spacing w:line="360" w:lineRule="auto"/>
        <w:rPr>
          <w:rFonts w:ascii="Arial" w:hAnsi="Arial" w:cs="Arial"/>
        </w:rPr>
      </w:pPr>
      <w:r w:rsidRPr="00D02618">
        <w:rPr>
          <w:rFonts w:ascii="Arial" w:hAnsi="Arial" w:cs="Arial"/>
        </w:rPr>
        <w:t xml:space="preserve">Burgess, R. G. (1989) </w:t>
      </w:r>
      <w:r w:rsidRPr="00D02618">
        <w:rPr>
          <w:rFonts w:ascii="Arial" w:hAnsi="Arial" w:cs="Arial"/>
          <w:i/>
          <w:iCs/>
        </w:rPr>
        <w:t>The Ethics of Educational Research.</w:t>
      </w:r>
      <w:r w:rsidRPr="00D02618">
        <w:rPr>
          <w:rFonts w:ascii="Arial" w:hAnsi="Arial" w:cs="Arial"/>
        </w:rPr>
        <w:t xml:space="preserve"> East Sussex. The Falmer Press</w:t>
      </w:r>
    </w:p>
    <w:p w14:paraId="01A68E9A" w14:textId="77777777" w:rsidR="00D02618" w:rsidRPr="00D02618" w:rsidRDefault="00D02618" w:rsidP="00D02618">
      <w:pPr>
        <w:pStyle w:val="NormalWeb"/>
        <w:spacing w:line="360" w:lineRule="auto"/>
        <w:rPr>
          <w:rFonts w:ascii="Arial" w:hAnsi="Arial" w:cs="Arial"/>
          <w:color w:val="000000" w:themeColor="text1"/>
          <w:sz w:val="22"/>
          <w:szCs w:val="22"/>
        </w:rPr>
      </w:pPr>
      <w:r w:rsidRPr="00D02618">
        <w:rPr>
          <w:rFonts w:ascii="Arial" w:hAnsi="Arial" w:cs="Arial"/>
          <w:color w:val="000000" w:themeColor="text1"/>
          <w:sz w:val="22"/>
          <w:szCs w:val="22"/>
        </w:rPr>
        <w:t xml:space="preserve">Burton, D. and Bartlett, S. (2009) </w:t>
      </w:r>
      <w:r w:rsidRPr="00D02618">
        <w:rPr>
          <w:rFonts w:ascii="Arial" w:hAnsi="Arial" w:cs="Arial"/>
          <w:i/>
          <w:iCs/>
          <w:color w:val="000000" w:themeColor="text1"/>
          <w:sz w:val="22"/>
          <w:szCs w:val="22"/>
        </w:rPr>
        <w:t>Key issues for Education Researchers</w:t>
      </w:r>
      <w:r w:rsidRPr="00D02618">
        <w:rPr>
          <w:rFonts w:ascii="Arial" w:hAnsi="Arial" w:cs="Arial"/>
          <w:color w:val="000000" w:themeColor="text1"/>
          <w:sz w:val="22"/>
          <w:szCs w:val="22"/>
        </w:rPr>
        <w:t xml:space="preserve">. London. Sage </w:t>
      </w:r>
    </w:p>
    <w:p w14:paraId="6DB95B48" w14:textId="77777777" w:rsidR="00D02618" w:rsidRPr="00D02618" w:rsidRDefault="00D02618" w:rsidP="00D02618">
      <w:pPr>
        <w:shd w:val="clear" w:color="auto" w:fill="FFFFFF"/>
        <w:spacing w:afterAutospacing="1" w:line="360" w:lineRule="auto"/>
        <w:rPr>
          <w:rFonts w:ascii="Arial" w:hAnsi="Arial" w:cs="Arial"/>
          <w:color w:val="000000" w:themeColor="text1"/>
        </w:rPr>
      </w:pPr>
      <w:proofErr w:type="spellStart"/>
      <w:r w:rsidRPr="00D02618">
        <w:rPr>
          <w:rFonts w:ascii="Arial" w:hAnsi="Arial" w:cs="Arial"/>
          <w:color w:val="000000" w:themeColor="text1"/>
        </w:rPr>
        <w:t>Cajkler</w:t>
      </w:r>
      <w:proofErr w:type="spellEnd"/>
      <w:r w:rsidRPr="00D02618">
        <w:rPr>
          <w:rFonts w:ascii="Arial" w:hAnsi="Arial" w:cs="Arial"/>
          <w:color w:val="000000" w:themeColor="text1"/>
        </w:rPr>
        <w:t>, W. and Wood, P. (2016) Adapting ‘lesson study’ to investigate classroom pedagogy in initial teacher education: what student-teachers think. </w:t>
      </w:r>
      <w:r w:rsidRPr="00D02618">
        <w:rPr>
          <w:rFonts w:ascii="Arial" w:hAnsi="Arial" w:cs="Arial"/>
          <w:i/>
          <w:iCs/>
          <w:color w:val="000000" w:themeColor="text1"/>
        </w:rPr>
        <w:t>Cambridge Journal of Education</w:t>
      </w:r>
      <w:r w:rsidRPr="00D02618">
        <w:rPr>
          <w:rFonts w:ascii="Arial" w:hAnsi="Arial" w:cs="Arial"/>
          <w:color w:val="000000" w:themeColor="text1"/>
        </w:rPr>
        <w:t>, 46(1) pp. 1-18 [DOI: </w:t>
      </w:r>
      <w:hyperlink r:id="rId10" w:history="1">
        <w:r w:rsidRPr="00D02618">
          <w:rPr>
            <w:rFonts w:ascii="Arial" w:hAnsi="Arial" w:cs="Arial"/>
            <w:color w:val="000000" w:themeColor="text1"/>
            <w:u w:val="single"/>
          </w:rPr>
          <w:t>10.1080/0305764X.2015.1009363</w:t>
        </w:r>
      </w:hyperlink>
      <w:r w:rsidRPr="00D02618">
        <w:rPr>
          <w:rFonts w:ascii="Arial" w:hAnsi="Arial" w:cs="Arial"/>
          <w:color w:val="000000" w:themeColor="text1"/>
        </w:rPr>
        <w:t>]</w:t>
      </w:r>
    </w:p>
    <w:p w14:paraId="7AEFDD97" w14:textId="77777777" w:rsidR="00D02618" w:rsidRPr="00D02618" w:rsidRDefault="00D02618" w:rsidP="00D02618">
      <w:pPr>
        <w:pStyle w:val="NormalWeb"/>
        <w:shd w:val="clear" w:color="auto" w:fill="FFFFFF"/>
        <w:spacing w:line="360" w:lineRule="auto"/>
        <w:rPr>
          <w:rFonts w:ascii="Arial" w:hAnsi="Arial" w:cs="Arial"/>
          <w:color w:val="000000" w:themeColor="text1"/>
          <w:sz w:val="22"/>
          <w:szCs w:val="22"/>
        </w:rPr>
      </w:pPr>
      <w:r w:rsidRPr="00D02618">
        <w:rPr>
          <w:rFonts w:ascii="Arial" w:hAnsi="Arial" w:cs="Arial"/>
          <w:color w:val="000000" w:themeColor="text1"/>
          <w:sz w:val="22"/>
          <w:szCs w:val="22"/>
        </w:rPr>
        <w:t xml:space="preserve">Cheung, W. M., Wong, W. Y. (2014) ‘Does lesson study work?’ </w:t>
      </w:r>
      <w:r w:rsidRPr="00D02618">
        <w:rPr>
          <w:rFonts w:ascii="Arial" w:hAnsi="Arial" w:cs="Arial"/>
          <w:i/>
          <w:iCs/>
          <w:color w:val="000000" w:themeColor="text1"/>
          <w:sz w:val="22"/>
          <w:szCs w:val="22"/>
        </w:rPr>
        <w:t>International Journal for lesson and learning studies</w:t>
      </w:r>
      <w:r w:rsidRPr="00D02618">
        <w:rPr>
          <w:rFonts w:ascii="Arial" w:hAnsi="Arial" w:cs="Arial"/>
          <w:color w:val="000000" w:themeColor="text1"/>
          <w:sz w:val="22"/>
          <w:szCs w:val="22"/>
        </w:rPr>
        <w:t xml:space="preserve">.  </w:t>
      </w:r>
      <w:proofErr w:type="gramStart"/>
      <w:r w:rsidRPr="00D02618">
        <w:rPr>
          <w:rFonts w:ascii="Arial" w:hAnsi="Arial" w:cs="Arial"/>
          <w:color w:val="000000" w:themeColor="text1"/>
          <w:sz w:val="22"/>
          <w:szCs w:val="22"/>
        </w:rPr>
        <w:t>3  (</w:t>
      </w:r>
      <w:proofErr w:type="gramEnd"/>
      <w:r w:rsidRPr="00D02618">
        <w:rPr>
          <w:rFonts w:ascii="Arial" w:hAnsi="Arial" w:cs="Arial"/>
          <w:color w:val="000000" w:themeColor="text1"/>
          <w:sz w:val="22"/>
          <w:szCs w:val="22"/>
        </w:rPr>
        <w:t>2), pp. 137-149. [</w:t>
      </w:r>
      <w:proofErr w:type="gramStart"/>
      <w:r w:rsidRPr="00D02618">
        <w:rPr>
          <w:rFonts w:ascii="Arial" w:hAnsi="Arial" w:cs="Arial"/>
          <w:color w:val="000000" w:themeColor="text1"/>
          <w:sz w:val="22"/>
          <w:szCs w:val="22"/>
        </w:rPr>
        <w:t>online ]</w:t>
      </w:r>
      <w:proofErr w:type="gramEnd"/>
      <w:r w:rsidRPr="00D02618">
        <w:rPr>
          <w:rFonts w:ascii="Arial" w:hAnsi="Arial" w:cs="Arial"/>
          <w:color w:val="000000" w:themeColor="text1"/>
          <w:sz w:val="22"/>
          <w:szCs w:val="22"/>
        </w:rPr>
        <w:t xml:space="preserve"> available from: https://doi.org/10.1108/IJLLS-05-2013-0024 </w:t>
      </w:r>
    </w:p>
    <w:p w14:paraId="5F14E45D"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Department for Education and Skills- DfES (2005). </w:t>
      </w:r>
      <w:r w:rsidRPr="00D02618">
        <w:rPr>
          <w:rFonts w:ascii="Arial" w:hAnsi="Arial" w:cs="Arial"/>
          <w:i/>
          <w:iCs/>
          <w:color w:val="000000" w:themeColor="text1"/>
        </w:rPr>
        <w:t>Higher Standards, Better Schools for All: More Choice for Parents and Pupils</w:t>
      </w:r>
      <w:r w:rsidRPr="00D02618">
        <w:rPr>
          <w:rFonts w:ascii="Arial" w:hAnsi="Arial" w:cs="Arial"/>
          <w:color w:val="000000" w:themeColor="text1"/>
        </w:rPr>
        <w:t xml:space="preserve">. London: HMSO. </w:t>
      </w:r>
    </w:p>
    <w:p w14:paraId="3F899D06" w14:textId="77777777" w:rsidR="00D02618" w:rsidRPr="00D02618" w:rsidRDefault="00D02618" w:rsidP="00D02618">
      <w:pPr>
        <w:spacing w:line="360" w:lineRule="auto"/>
        <w:rPr>
          <w:rFonts w:ascii="Arial" w:hAnsi="Arial" w:cs="Arial"/>
          <w:color w:val="000000" w:themeColor="text1"/>
        </w:rPr>
      </w:pPr>
    </w:p>
    <w:p w14:paraId="1D59D5D5"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 xml:space="preserve">Department for Education. (2009). </w:t>
      </w:r>
      <w:r w:rsidRPr="00D02618">
        <w:rPr>
          <w:rFonts w:ascii="Arial" w:hAnsi="Arial" w:cs="Arial"/>
          <w:i/>
          <w:iCs/>
          <w:color w:val="000000" w:themeColor="text1"/>
        </w:rPr>
        <w:t>Improving subject pedagogy through lesson study.</w:t>
      </w:r>
      <w:r w:rsidRPr="00D02618">
        <w:rPr>
          <w:rFonts w:ascii="Arial" w:hAnsi="Arial" w:cs="Arial"/>
          <w:color w:val="000000" w:themeColor="text1"/>
        </w:rPr>
        <w:t xml:space="preserve"> Handbook for leading teachers in Mathematics and English. Crown. </w:t>
      </w:r>
    </w:p>
    <w:p w14:paraId="1A6D2060" w14:textId="77777777" w:rsidR="00D02618" w:rsidRPr="00D02618" w:rsidRDefault="00D02618" w:rsidP="00D02618">
      <w:pPr>
        <w:spacing w:before="100" w:beforeAutospacing="1" w:after="100" w:afterAutospacing="1" w:line="360" w:lineRule="auto"/>
        <w:rPr>
          <w:rFonts w:ascii="Arial" w:hAnsi="Arial" w:cs="Arial"/>
          <w:color w:val="000000" w:themeColor="text1"/>
        </w:rPr>
      </w:pPr>
      <w:r w:rsidRPr="00D02618">
        <w:rPr>
          <w:rFonts w:ascii="Arial" w:hAnsi="Arial" w:cs="Arial"/>
          <w:color w:val="000000" w:themeColor="text1"/>
        </w:rPr>
        <w:t xml:space="preserve">Dudley, P. (2014) Lesson Study: A Handbook. [online] available from: </w:t>
      </w:r>
      <w:hyperlink r:id="rId11" w:history="1">
        <w:r w:rsidRPr="00D02618">
          <w:rPr>
            <w:rStyle w:val="Hyperlink"/>
            <w:rFonts w:ascii="Arial" w:hAnsi="Arial" w:cs="Arial"/>
          </w:rPr>
          <w:t>https://lessonstudy.co.uk/lesson-study-a-handbook/</w:t>
        </w:r>
      </w:hyperlink>
      <w:r w:rsidRPr="00D02618">
        <w:rPr>
          <w:rFonts w:ascii="Arial" w:hAnsi="Arial" w:cs="Arial"/>
          <w:color w:val="000000" w:themeColor="text1"/>
        </w:rPr>
        <w:t xml:space="preserve"> [accessed 20 January 2020]</w:t>
      </w:r>
    </w:p>
    <w:p w14:paraId="677FCE1A" w14:textId="77777777" w:rsidR="00D02618" w:rsidRPr="00D02618" w:rsidRDefault="00D02618" w:rsidP="00D02618">
      <w:pPr>
        <w:spacing w:before="100" w:beforeAutospacing="1" w:after="100" w:afterAutospacing="1" w:line="360" w:lineRule="auto"/>
        <w:rPr>
          <w:rFonts w:ascii="Arial" w:hAnsi="Arial" w:cs="Arial"/>
          <w:color w:val="000000" w:themeColor="text1"/>
        </w:rPr>
      </w:pPr>
      <w:r w:rsidRPr="00D02618">
        <w:rPr>
          <w:rFonts w:ascii="Arial" w:hAnsi="Arial" w:cs="Arial"/>
          <w:color w:val="000000" w:themeColor="text1"/>
        </w:rPr>
        <w:t xml:space="preserve">Education Endowment Foundation. (2017) Lesson Study. Evaluation Report and Executive Summary November 2017. [R. Murphy, F. </w:t>
      </w:r>
      <w:proofErr w:type="spellStart"/>
      <w:r w:rsidRPr="00D02618">
        <w:rPr>
          <w:rFonts w:ascii="Arial" w:hAnsi="Arial" w:cs="Arial"/>
          <w:color w:val="000000" w:themeColor="text1"/>
        </w:rPr>
        <w:t>Weinhardt</w:t>
      </w:r>
      <w:proofErr w:type="spellEnd"/>
      <w:r w:rsidRPr="00D02618">
        <w:rPr>
          <w:rFonts w:ascii="Arial" w:hAnsi="Arial" w:cs="Arial"/>
          <w:color w:val="000000" w:themeColor="text1"/>
        </w:rPr>
        <w:t xml:space="preserve"> and G. </w:t>
      </w:r>
      <w:proofErr w:type="spellStart"/>
      <w:r w:rsidRPr="00D02618">
        <w:rPr>
          <w:rFonts w:ascii="Arial" w:hAnsi="Arial" w:cs="Arial"/>
          <w:color w:val="000000" w:themeColor="text1"/>
        </w:rPr>
        <w:t>Wyness</w:t>
      </w:r>
      <w:proofErr w:type="spellEnd"/>
      <w:r w:rsidRPr="00D02618">
        <w:rPr>
          <w:rFonts w:ascii="Arial" w:hAnsi="Arial" w:cs="Arial"/>
          <w:color w:val="000000" w:themeColor="text1"/>
        </w:rPr>
        <w:t>- evaluators]</w:t>
      </w:r>
    </w:p>
    <w:p w14:paraId="2D12A35F" w14:textId="77777777" w:rsidR="00D02618" w:rsidRPr="00D02618" w:rsidRDefault="00D02618" w:rsidP="00D02618">
      <w:pPr>
        <w:spacing w:before="100" w:beforeAutospacing="1" w:after="100" w:afterAutospacing="1" w:line="360" w:lineRule="auto"/>
        <w:rPr>
          <w:rFonts w:ascii="Arial" w:hAnsi="Arial" w:cs="Arial"/>
          <w:color w:val="000000" w:themeColor="text1"/>
        </w:rPr>
      </w:pPr>
      <w:r w:rsidRPr="00D02618">
        <w:rPr>
          <w:rFonts w:ascii="Arial" w:hAnsi="Arial" w:cs="Arial"/>
          <w:color w:val="000000" w:themeColor="text1"/>
        </w:rPr>
        <w:t xml:space="preserve">Education Endowment Foundation.(2018) ‘Within-class attainment grouping’ </w:t>
      </w:r>
      <w:r w:rsidRPr="00D02618">
        <w:rPr>
          <w:rFonts w:ascii="Arial" w:hAnsi="Arial" w:cs="Arial"/>
          <w:i/>
          <w:iCs/>
          <w:color w:val="000000" w:themeColor="text1"/>
        </w:rPr>
        <w:t>Teaching &amp; Learning Toolkit</w:t>
      </w:r>
      <w:r w:rsidRPr="00D02618">
        <w:rPr>
          <w:rFonts w:ascii="Arial" w:hAnsi="Arial" w:cs="Arial"/>
          <w:color w:val="000000" w:themeColor="text1"/>
        </w:rPr>
        <w:t xml:space="preserve"> [online] available on :</w:t>
      </w:r>
      <w:r w:rsidRPr="00D02618">
        <w:rPr>
          <w:rFonts w:ascii="Arial" w:hAnsi="Arial" w:cs="Arial"/>
          <w:color w:val="000000" w:themeColor="text1"/>
        </w:rPr>
        <w:t xml:space="preserve"> </w:t>
      </w:r>
      <w:hyperlink r:id="rId12" w:history="1">
        <w:r w:rsidRPr="00D02618">
          <w:rPr>
            <w:rStyle w:val="Hyperlink"/>
            <w:rFonts w:ascii="Arial" w:hAnsi="Arial" w:cs="Arial"/>
          </w:rPr>
          <w:t>https://educationendowmentfoundation.org.uk/pdf/generate/?u=https://educationendowmentfoundation.org.uk/pdf/toolkit/?id=2618&amp;t=Teaching%20and%20Learning%20Toolkit&amp;e=2618&amp;s=</w:t>
        </w:r>
      </w:hyperlink>
      <w:r w:rsidRPr="00D02618">
        <w:rPr>
          <w:rFonts w:ascii="Arial" w:hAnsi="Arial" w:cs="Arial"/>
          <w:color w:val="000000" w:themeColor="text1"/>
        </w:rPr>
        <w:t xml:space="preserve"> [Accessed 13/02/2020]</w:t>
      </w:r>
    </w:p>
    <w:p w14:paraId="3F124AE1" w14:textId="77777777" w:rsidR="00D02618" w:rsidRPr="00D02618" w:rsidRDefault="00D02618" w:rsidP="00D02618">
      <w:pPr>
        <w:spacing w:line="360" w:lineRule="auto"/>
        <w:rPr>
          <w:rFonts w:ascii="Arial" w:hAnsi="Arial" w:cs="Arial"/>
        </w:rPr>
      </w:pPr>
      <w:proofErr w:type="spellStart"/>
      <w:r w:rsidRPr="00D02618">
        <w:rPr>
          <w:rFonts w:ascii="Arial" w:hAnsi="Arial" w:cs="Arial"/>
        </w:rPr>
        <w:t>Francome</w:t>
      </w:r>
      <w:proofErr w:type="spellEnd"/>
      <w:r w:rsidRPr="00D02618">
        <w:rPr>
          <w:rFonts w:ascii="Arial" w:hAnsi="Arial" w:cs="Arial"/>
        </w:rPr>
        <w:t xml:space="preserve">, T. (2015). </w:t>
      </w:r>
      <w:r w:rsidRPr="00D02618">
        <w:rPr>
          <w:rFonts w:ascii="Arial" w:hAnsi="Arial" w:cs="Arial"/>
          <w:i/>
          <w:iCs/>
        </w:rPr>
        <w:t xml:space="preserve">Experiences of teaching and learning mathematics in </w:t>
      </w:r>
      <w:proofErr w:type="spellStart"/>
      <w:r w:rsidRPr="00D02618">
        <w:rPr>
          <w:rFonts w:ascii="Arial" w:hAnsi="Arial" w:cs="Arial"/>
          <w:i/>
          <w:iCs/>
        </w:rPr>
        <w:t>setted</w:t>
      </w:r>
      <w:proofErr w:type="spellEnd"/>
      <w:r w:rsidRPr="00D02618">
        <w:rPr>
          <w:rFonts w:ascii="Arial" w:hAnsi="Arial" w:cs="Arial"/>
          <w:i/>
          <w:iCs/>
        </w:rPr>
        <w:t xml:space="preserve"> and mixed settings. </w:t>
      </w:r>
      <w:r w:rsidRPr="00D02618">
        <w:rPr>
          <w:rFonts w:ascii="Arial" w:hAnsi="Arial" w:cs="Arial"/>
        </w:rPr>
        <w:t xml:space="preserve">Thesis, University of Birmingham </w:t>
      </w:r>
    </w:p>
    <w:p w14:paraId="3BCF6BA3" w14:textId="77777777" w:rsidR="00D02618" w:rsidRPr="00D02618" w:rsidRDefault="00D02618" w:rsidP="00D02618">
      <w:pPr>
        <w:spacing w:line="360" w:lineRule="auto"/>
        <w:rPr>
          <w:rFonts w:ascii="Arial" w:hAnsi="Arial" w:cs="Arial"/>
        </w:rPr>
      </w:pPr>
    </w:p>
    <w:p w14:paraId="1F611426" w14:textId="77777777" w:rsidR="00D02618" w:rsidRPr="00D02618" w:rsidRDefault="00D02618" w:rsidP="00D02618">
      <w:pPr>
        <w:spacing w:line="360" w:lineRule="auto"/>
        <w:rPr>
          <w:rFonts w:ascii="Arial" w:hAnsi="Arial" w:cs="Arial"/>
        </w:rPr>
      </w:pPr>
      <w:r w:rsidRPr="00D02618">
        <w:rPr>
          <w:rFonts w:ascii="Arial" w:hAnsi="Arial" w:cs="Arial"/>
        </w:rPr>
        <w:t xml:space="preserve">Gibbs, G (1988). ‘Learning by Doing: A guide to teaching and learning </w:t>
      </w:r>
      <w:proofErr w:type="gramStart"/>
      <w:r w:rsidRPr="00D02618">
        <w:rPr>
          <w:rFonts w:ascii="Arial" w:hAnsi="Arial" w:cs="Arial"/>
        </w:rPr>
        <w:t>methods’</w:t>
      </w:r>
      <w:proofErr w:type="gramEnd"/>
      <w:r w:rsidRPr="00D02618">
        <w:rPr>
          <w:rFonts w:ascii="Arial" w:hAnsi="Arial" w:cs="Arial"/>
        </w:rPr>
        <w:t>. Further Education Unit. Oxford Polytechnic: Oxford.</w:t>
      </w:r>
    </w:p>
    <w:p w14:paraId="6A4EB7AA" w14:textId="77777777" w:rsidR="00D02618" w:rsidRPr="00D02618" w:rsidRDefault="00D02618" w:rsidP="00D02618">
      <w:pPr>
        <w:pStyle w:val="NormalWeb"/>
        <w:shd w:val="clear" w:color="auto" w:fill="FFFFFF"/>
        <w:spacing w:line="360" w:lineRule="auto"/>
        <w:rPr>
          <w:rFonts w:ascii="Arial" w:hAnsi="Arial" w:cs="Arial"/>
          <w:color w:val="000000" w:themeColor="text1"/>
          <w:sz w:val="22"/>
          <w:szCs w:val="22"/>
        </w:rPr>
      </w:pPr>
      <w:r w:rsidRPr="00D02618">
        <w:rPr>
          <w:rFonts w:ascii="Arial" w:hAnsi="Arial" w:cs="Arial"/>
          <w:color w:val="000000" w:themeColor="text1"/>
          <w:sz w:val="22"/>
          <w:szCs w:val="22"/>
        </w:rPr>
        <w:t xml:space="preserve">Godfrey, D., </w:t>
      </w:r>
      <w:proofErr w:type="spellStart"/>
      <w:r w:rsidRPr="00D02618">
        <w:rPr>
          <w:rFonts w:ascii="Arial" w:hAnsi="Arial" w:cs="Arial"/>
          <w:color w:val="000000" w:themeColor="text1"/>
          <w:sz w:val="22"/>
          <w:szCs w:val="22"/>
        </w:rPr>
        <w:t>Seleznyov</w:t>
      </w:r>
      <w:proofErr w:type="spellEnd"/>
      <w:r w:rsidRPr="00D02618">
        <w:rPr>
          <w:rFonts w:ascii="Arial" w:hAnsi="Arial" w:cs="Arial"/>
          <w:color w:val="000000" w:themeColor="text1"/>
          <w:sz w:val="22"/>
          <w:szCs w:val="22"/>
        </w:rPr>
        <w:t>, S., Anders, J., Wollaston, N. and Barrera-</w:t>
      </w:r>
      <w:proofErr w:type="spellStart"/>
      <w:r w:rsidRPr="00D02618">
        <w:rPr>
          <w:rFonts w:ascii="Arial" w:hAnsi="Arial" w:cs="Arial"/>
          <w:color w:val="000000" w:themeColor="text1"/>
          <w:sz w:val="22"/>
          <w:szCs w:val="22"/>
        </w:rPr>
        <w:t>Pedemonte</w:t>
      </w:r>
      <w:proofErr w:type="spellEnd"/>
      <w:r w:rsidRPr="00D02618">
        <w:rPr>
          <w:rFonts w:ascii="Arial" w:hAnsi="Arial" w:cs="Arial"/>
          <w:color w:val="000000" w:themeColor="text1"/>
          <w:sz w:val="22"/>
          <w:szCs w:val="22"/>
        </w:rPr>
        <w:t xml:space="preserve">, F. (2019) A developmental evaluation approach to lesson study: exploring the impact of lesson study in London schools. </w:t>
      </w:r>
      <w:r w:rsidRPr="00D02618">
        <w:rPr>
          <w:rFonts w:ascii="Arial" w:hAnsi="Arial" w:cs="Arial"/>
          <w:i/>
          <w:iCs/>
          <w:color w:val="000000" w:themeColor="text1"/>
          <w:sz w:val="22"/>
          <w:szCs w:val="22"/>
        </w:rPr>
        <w:t xml:space="preserve">Professional Development in Education </w:t>
      </w:r>
      <w:r w:rsidRPr="00D02618">
        <w:rPr>
          <w:rFonts w:ascii="Arial" w:hAnsi="Arial" w:cs="Arial"/>
          <w:color w:val="000000" w:themeColor="text1"/>
          <w:sz w:val="22"/>
          <w:szCs w:val="22"/>
        </w:rPr>
        <w:t>45 (2). pp. 325-340</w:t>
      </w:r>
    </w:p>
    <w:p w14:paraId="68E8E7FF" w14:textId="77777777" w:rsidR="00D02618" w:rsidRPr="00D02618" w:rsidRDefault="00D02618" w:rsidP="00D02618">
      <w:pPr>
        <w:pStyle w:val="NormalWeb"/>
        <w:spacing w:line="360" w:lineRule="auto"/>
        <w:rPr>
          <w:rFonts w:ascii="Arial" w:hAnsi="Arial" w:cs="Arial"/>
          <w:color w:val="000000" w:themeColor="text1"/>
          <w:sz w:val="22"/>
          <w:szCs w:val="22"/>
        </w:rPr>
      </w:pPr>
      <w:r w:rsidRPr="00D02618">
        <w:rPr>
          <w:rFonts w:ascii="Arial" w:hAnsi="Arial" w:cs="Arial"/>
          <w:color w:val="000000" w:themeColor="text1"/>
          <w:sz w:val="22"/>
          <w:szCs w:val="22"/>
        </w:rPr>
        <w:t xml:space="preserve">Gordon, S.P (2008) </w:t>
      </w:r>
      <w:r w:rsidRPr="00D02618">
        <w:rPr>
          <w:rFonts w:ascii="Arial" w:hAnsi="Arial" w:cs="Arial"/>
          <w:i/>
          <w:iCs/>
          <w:color w:val="000000" w:themeColor="text1"/>
          <w:sz w:val="22"/>
          <w:szCs w:val="22"/>
        </w:rPr>
        <w:t xml:space="preserve">Collaborative Action Research. Developing Professional Learning Communities. </w:t>
      </w:r>
      <w:r w:rsidRPr="00D02618">
        <w:rPr>
          <w:rFonts w:ascii="Arial" w:hAnsi="Arial" w:cs="Arial"/>
          <w:color w:val="000000" w:themeColor="text1"/>
          <w:sz w:val="22"/>
          <w:szCs w:val="22"/>
        </w:rPr>
        <w:t xml:space="preserve">New York. Teacher’s College Press. </w:t>
      </w:r>
    </w:p>
    <w:p w14:paraId="4A19096A" w14:textId="77777777" w:rsidR="00D02618" w:rsidRPr="00D02618" w:rsidRDefault="00D02618" w:rsidP="00D02618">
      <w:pPr>
        <w:pStyle w:val="NormalWeb"/>
        <w:shd w:val="clear" w:color="auto" w:fill="FFFFFF"/>
        <w:spacing w:line="360" w:lineRule="auto"/>
        <w:rPr>
          <w:rFonts w:ascii="Arial" w:hAnsi="Arial" w:cs="Arial"/>
          <w:sz w:val="22"/>
          <w:szCs w:val="22"/>
        </w:rPr>
      </w:pPr>
      <w:r w:rsidRPr="00D02618">
        <w:rPr>
          <w:rFonts w:ascii="Arial" w:hAnsi="Arial" w:cs="Arial"/>
          <w:sz w:val="22"/>
          <w:szCs w:val="22"/>
        </w:rPr>
        <w:t>Gorman S. (2007) Chapter 2- Managing research ethics. Ahead on collision. [book]</w:t>
      </w:r>
      <w:r w:rsidRPr="00D02618">
        <w:rPr>
          <w:rFonts w:ascii="Arial" w:hAnsi="Arial" w:cs="Arial"/>
          <w:i/>
          <w:iCs/>
          <w:sz w:val="22"/>
          <w:szCs w:val="22"/>
        </w:rPr>
        <w:t xml:space="preserve"> An Ethical Approach to Practitioner Research</w:t>
      </w:r>
      <w:r w:rsidRPr="00D02618">
        <w:rPr>
          <w:rFonts w:ascii="Arial" w:hAnsi="Arial" w:cs="Arial"/>
          <w:sz w:val="22"/>
          <w:szCs w:val="22"/>
        </w:rPr>
        <w:t>. Ed- Campbell, A. and Groundwater-Smith, S. Oxon. Routledge.</w:t>
      </w:r>
    </w:p>
    <w:p w14:paraId="3D8AF0F0" w14:textId="77777777" w:rsidR="00D02618" w:rsidRPr="00D02618" w:rsidRDefault="00D02618" w:rsidP="00D02618">
      <w:pPr>
        <w:spacing w:line="360" w:lineRule="auto"/>
        <w:rPr>
          <w:rFonts w:ascii="Arial" w:hAnsi="Arial" w:cs="Arial"/>
        </w:rPr>
      </w:pPr>
      <w:r w:rsidRPr="00D02618">
        <w:rPr>
          <w:rFonts w:ascii="Arial" w:hAnsi="Arial" w:cs="Arial"/>
        </w:rPr>
        <w:t xml:space="preserve">Hallam, S. (2002) </w:t>
      </w:r>
      <w:r w:rsidRPr="00D02618">
        <w:rPr>
          <w:rFonts w:ascii="Arial" w:hAnsi="Arial" w:cs="Arial"/>
          <w:i/>
          <w:iCs/>
        </w:rPr>
        <w:t>Ability Grouping in Schools. Perspectives on Education Policy</w:t>
      </w:r>
      <w:r w:rsidRPr="00D02618">
        <w:rPr>
          <w:rFonts w:ascii="Arial" w:hAnsi="Arial" w:cs="Arial"/>
        </w:rPr>
        <w:t>. Institute of Education. London</w:t>
      </w:r>
    </w:p>
    <w:p w14:paraId="164A0154" w14:textId="77777777" w:rsidR="00D02618" w:rsidRPr="00D02618" w:rsidRDefault="00D02618" w:rsidP="00D02618">
      <w:pPr>
        <w:pStyle w:val="NormalWeb"/>
        <w:shd w:val="clear" w:color="auto" w:fill="FFFFFF"/>
        <w:spacing w:line="360" w:lineRule="auto"/>
        <w:rPr>
          <w:rFonts w:ascii="Arial" w:hAnsi="Arial" w:cs="Arial"/>
          <w:sz w:val="22"/>
          <w:szCs w:val="22"/>
        </w:rPr>
      </w:pPr>
      <w:r w:rsidRPr="00D02618">
        <w:rPr>
          <w:rFonts w:ascii="Arial" w:hAnsi="Arial" w:cs="Arial"/>
          <w:sz w:val="22"/>
          <w:szCs w:val="22"/>
        </w:rPr>
        <w:t xml:space="preserve">Hallam, S., Ireson, J. and Davies, J. (2002) </w:t>
      </w:r>
      <w:r w:rsidRPr="00D02618">
        <w:rPr>
          <w:rFonts w:ascii="Arial" w:hAnsi="Arial" w:cs="Arial"/>
          <w:i/>
          <w:iCs/>
          <w:sz w:val="22"/>
          <w:szCs w:val="22"/>
        </w:rPr>
        <w:t>Effective Pupil Grouping in the Primary School</w:t>
      </w:r>
      <w:r w:rsidRPr="00D02618">
        <w:rPr>
          <w:rFonts w:ascii="Arial" w:hAnsi="Arial" w:cs="Arial"/>
          <w:sz w:val="22"/>
          <w:szCs w:val="22"/>
        </w:rPr>
        <w:t xml:space="preserve">. David Fulton Publishers. London </w:t>
      </w:r>
    </w:p>
    <w:p w14:paraId="3021BAB3" w14:textId="77777777" w:rsidR="00D02618" w:rsidRPr="00D02618" w:rsidRDefault="00D02618" w:rsidP="00D02618">
      <w:pPr>
        <w:pStyle w:val="NormalWeb"/>
        <w:spacing w:line="360" w:lineRule="auto"/>
        <w:rPr>
          <w:rFonts w:ascii="Arial" w:hAnsi="Arial" w:cs="Arial"/>
          <w:sz w:val="22"/>
          <w:szCs w:val="22"/>
        </w:rPr>
      </w:pPr>
      <w:proofErr w:type="spellStart"/>
      <w:r w:rsidRPr="00D02618">
        <w:rPr>
          <w:rFonts w:ascii="Arial" w:hAnsi="Arial" w:cs="Arial"/>
          <w:sz w:val="22"/>
          <w:szCs w:val="22"/>
        </w:rPr>
        <w:t>Harlen</w:t>
      </w:r>
      <w:proofErr w:type="spellEnd"/>
      <w:r w:rsidRPr="00D02618">
        <w:rPr>
          <w:rFonts w:ascii="Arial" w:hAnsi="Arial" w:cs="Arial"/>
          <w:sz w:val="22"/>
          <w:szCs w:val="22"/>
        </w:rPr>
        <w:t xml:space="preserve">, W. and Malcom, H. (1999) </w:t>
      </w:r>
      <w:r w:rsidRPr="00D02618">
        <w:rPr>
          <w:rFonts w:ascii="Arial" w:hAnsi="Arial" w:cs="Arial"/>
          <w:i/>
          <w:iCs/>
          <w:sz w:val="22"/>
          <w:szCs w:val="22"/>
        </w:rPr>
        <w:t>Setting and Streaming. A Research Review</w:t>
      </w:r>
      <w:r w:rsidRPr="00D02618">
        <w:rPr>
          <w:rFonts w:ascii="Arial" w:hAnsi="Arial" w:cs="Arial"/>
          <w:sz w:val="22"/>
          <w:szCs w:val="22"/>
        </w:rPr>
        <w:t xml:space="preserve">. The Scottish Council for Research in Education. Glasgow </w:t>
      </w:r>
    </w:p>
    <w:p w14:paraId="19042DEF" w14:textId="77777777" w:rsidR="00D02618" w:rsidRPr="00D02618" w:rsidRDefault="00D02618" w:rsidP="00D02618">
      <w:pPr>
        <w:spacing w:line="360" w:lineRule="auto"/>
        <w:rPr>
          <w:rFonts w:ascii="Arial" w:hAnsi="Arial" w:cs="Arial"/>
          <w:color w:val="070A0A"/>
        </w:rPr>
      </w:pPr>
      <w:r w:rsidRPr="00D02618">
        <w:rPr>
          <w:rFonts w:ascii="Arial" w:hAnsi="Arial" w:cs="Arial"/>
          <w:color w:val="070A0A"/>
        </w:rPr>
        <w:t>Hart,</w:t>
      </w:r>
      <w:r w:rsidRPr="00D02618">
        <w:rPr>
          <w:rFonts w:ascii="Arial" w:hAnsi="Arial" w:cs="Arial"/>
        </w:rPr>
        <w:t xml:space="preserve"> </w:t>
      </w:r>
      <w:r w:rsidRPr="00D02618">
        <w:rPr>
          <w:rFonts w:ascii="Arial" w:hAnsi="Arial" w:cs="Arial"/>
          <w:color w:val="070A0A"/>
        </w:rPr>
        <w:t xml:space="preserve">L. C., Alston, A. S. and Murata, A. (2011) Lesson Study Research and Practice in Mathematics Education. Springer. London  </w:t>
      </w:r>
    </w:p>
    <w:p w14:paraId="5062F98C" w14:textId="77777777" w:rsidR="00D02618" w:rsidRPr="00D02618" w:rsidRDefault="00D02618" w:rsidP="00D02618">
      <w:pPr>
        <w:pStyle w:val="NormalWeb"/>
        <w:spacing w:line="360" w:lineRule="auto"/>
        <w:rPr>
          <w:rFonts w:ascii="Arial" w:hAnsi="Arial" w:cs="Arial"/>
          <w:sz w:val="22"/>
          <w:szCs w:val="22"/>
        </w:rPr>
      </w:pPr>
      <w:r w:rsidRPr="00D02618">
        <w:rPr>
          <w:rFonts w:ascii="Arial" w:hAnsi="Arial" w:cs="Arial"/>
          <w:sz w:val="22"/>
          <w:szCs w:val="22"/>
        </w:rPr>
        <w:t xml:space="preserve">Huang, L. (2014) Investigating Mixed-Ability Teaching in Taiwanese Primary Schools. </w:t>
      </w:r>
      <w:r w:rsidRPr="00D02618">
        <w:rPr>
          <w:rFonts w:ascii="Arial" w:hAnsi="Arial" w:cs="Arial"/>
          <w:i/>
          <w:iCs/>
          <w:sz w:val="22"/>
          <w:szCs w:val="22"/>
        </w:rPr>
        <w:t>International Education Studies</w:t>
      </w:r>
      <w:r w:rsidRPr="00D02618">
        <w:rPr>
          <w:rFonts w:ascii="Arial" w:hAnsi="Arial" w:cs="Arial"/>
          <w:sz w:val="22"/>
          <w:szCs w:val="22"/>
        </w:rPr>
        <w:t xml:space="preserve"> 7 (5) pp. 85- 93</w:t>
      </w:r>
    </w:p>
    <w:p w14:paraId="000C53E5" w14:textId="77777777" w:rsidR="00D02618" w:rsidRPr="00D02618" w:rsidRDefault="00D02618" w:rsidP="00D02618">
      <w:pPr>
        <w:spacing w:before="100" w:beforeAutospacing="1" w:after="100" w:afterAutospacing="1" w:line="360" w:lineRule="auto"/>
        <w:rPr>
          <w:rFonts w:ascii="Arial" w:hAnsi="Arial" w:cs="Arial"/>
          <w:color w:val="000000" w:themeColor="text1"/>
        </w:rPr>
      </w:pPr>
      <w:r w:rsidRPr="00D02618">
        <w:rPr>
          <w:rFonts w:ascii="Arial" w:hAnsi="Arial" w:cs="Arial"/>
          <w:color w:val="000000" w:themeColor="text1"/>
        </w:rPr>
        <w:t xml:space="preserve">Kaiser, J., </w:t>
      </w:r>
      <w:proofErr w:type="spellStart"/>
      <w:r w:rsidRPr="00D02618">
        <w:rPr>
          <w:rFonts w:ascii="Arial" w:hAnsi="Arial" w:cs="Arial"/>
          <w:color w:val="000000" w:themeColor="text1"/>
        </w:rPr>
        <w:t>Retelsdorf</w:t>
      </w:r>
      <w:proofErr w:type="spellEnd"/>
      <w:r w:rsidRPr="00D02618">
        <w:rPr>
          <w:rFonts w:ascii="Arial" w:hAnsi="Arial" w:cs="Arial"/>
          <w:color w:val="000000" w:themeColor="text1"/>
        </w:rPr>
        <w:t xml:space="preserve">, J., </w:t>
      </w:r>
      <w:proofErr w:type="spellStart"/>
      <w:r w:rsidRPr="00D02618">
        <w:rPr>
          <w:rFonts w:ascii="Arial" w:hAnsi="Arial" w:cs="Arial"/>
          <w:color w:val="000000" w:themeColor="text1"/>
        </w:rPr>
        <w:t>Südkamp</w:t>
      </w:r>
      <w:proofErr w:type="spellEnd"/>
      <w:r w:rsidRPr="00D02618">
        <w:rPr>
          <w:rFonts w:ascii="Arial" w:hAnsi="Arial" w:cs="Arial"/>
          <w:color w:val="000000" w:themeColor="text1"/>
        </w:rPr>
        <w:t xml:space="preserve">, A., </w:t>
      </w:r>
      <w:proofErr w:type="spellStart"/>
      <w:r w:rsidRPr="00D02618">
        <w:rPr>
          <w:rFonts w:ascii="Arial" w:hAnsi="Arial" w:cs="Arial"/>
          <w:color w:val="000000" w:themeColor="text1"/>
        </w:rPr>
        <w:t>Möller</w:t>
      </w:r>
      <w:proofErr w:type="spellEnd"/>
      <w:r w:rsidRPr="00D02618">
        <w:rPr>
          <w:rFonts w:ascii="Arial" w:hAnsi="Arial" w:cs="Arial"/>
          <w:color w:val="000000" w:themeColor="text1"/>
        </w:rPr>
        <w:t xml:space="preserve">, J. (2013) Achievement and engagement: How student characteristics influence teacher judgements. </w:t>
      </w:r>
      <w:r w:rsidRPr="00D02618">
        <w:rPr>
          <w:rFonts w:ascii="Arial" w:hAnsi="Arial" w:cs="Arial"/>
          <w:i/>
          <w:iCs/>
          <w:color w:val="000000" w:themeColor="text1"/>
        </w:rPr>
        <w:t>Learning and Instruction</w:t>
      </w:r>
      <w:r w:rsidRPr="00D02618">
        <w:rPr>
          <w:rFonts w:ascii="Arial" w:hAnsi="Arial" w:cs="Arial"/>
          <w:color w:val="000000" w:themeColor="text1"/>
        </w:rPr>
        <w:t>. 28 pp. 73-84</w:t>
      </w:r>
    </w:p>
    <w:p w14:paraId="73FB181C" w14:textId="77777777" w:rsidR="00D02618" w:rsidRPr="00D02618" w:rsidRDefault="00D02618" w:rsidP="00D02618">
      <w:pPr>
        <w:pStyle w:val="NormalWeb"/>
        <w:shd w:val="clear" w:color="auto" w:fill="FFFFFF"/>
        <w:spacing w:line="360" w:lineRule="auto"/>
        <w:rPr>
          <w:rFonts w:ascii="Arial" w:hAnsi="Arial" w:cs="Arial"/>
          <w:sz w:val="22"/>
          <w:szCs w:val="22"/>
        </w:rPr>
      </w:pPr>
      <w:r w:rsidRPr="00D02618">
        <w:rPr>
          <w:rFonts w:ascii="Arial" w:hAnsi="Arial" w:cs="Arial"/>
          <w:sz w:val="22"/>
          <w:szCs w:val="22"/>
        </w:rPr>
        <w:t xml:space="preserve">Kelly, A.V. (1975) </w:t>
      </w:r>
      <w:r w:rsidRPr="00D02618">
        <w:rPr>
          <w:rFonts w:ascii="Arial" w:hAnsi="Arial" w:cs="Arial"/>
          <w:i/>
          <w:iCs/>
          <w:sz w:val="22"/>
          <w:szCs w:val="22"/>
        </w:rPr>
        <w:t>Case Studies in Mixed Ability Teaching</w:t>
      </w:r>
      <w:r w:rsidRPr="00D02618">
        <w:rPr>
          <w:rFonts w:ascii="Arial" w:hAnsi="Arial" w:cs="Arial"/>
          <w:sz w:val="22"/>
          <w:szCs w:val="22"/>
        </w:rPr>
        <w:t>. Harper and Row. London</w:t>
      </w:r>
    </w:p>
    <w:p w14:paraId="02D8D28D" w14:textId="77777777" w:rsidR="00D02618" w:rsidRPr="00D02618" w:rsidRDefault="00D02618" w:rsidP="00D02618">
      <w:pPr>
        <w:pStyle w:val="NormalWeb"/>
        <w:shd w:val="clear" w:color="auto" w:fill="FFFFFF"/>
        <w:spacing w:line="360" w:lineRule="auto"/>
        <w:rPr>
          <w:rFonts w:ascii="Arial" w:hAnsi="Arial" w:cs="Arial"/>
          <w:sz w:val="22"/>
          <w:szCs w:val="22"/>
        </w:rPr>
      </w:pPr>
      <w:r w:rsidRPr="00D02618">
        <w:rPr>
          <w:rFonts w:ascii="Arial" w:hAnsi="Arial" w:cs="Arial"/>
          <w:sz w:val="22"/>
          <w:szCs w:val="22"/>
        </w:rPr>
        <w:t xml:space="preserve">Kelly, A.V. (1978) </w:t>
      </w:r>
      <w:r w:rsidRPr="00D02618">
        <w:rPr>
          <w:rFonts w:ascii="Arial" w:hAnsi="Arial" w:cs="Arial"/>
          <w:i/>
          <w:iCs/>
          <w:sz w:val="22"/>
          <w:szCs w:val="22"/>
        </w:rPr>
        <w:t>Mixed Ability Grouping. Theory and Practice</w:t>
      </w:r>
      <w:r w:rsidRPr="00D02618">
        <w:rPr>
          <w:rFonts w:ascii="Arial" w:hAnsi="Arial" w:cs="Arial"/>
          <w:sz w:val="22"/>
          <w:szCs w:val="22"/>
        </w:rPr>
        <w:t>. Harper and Row. London</w:t>
      </w:r>
    </w:p>
    <w:p w14:paraId="53122D62" w14:textId="77777777" w:rsidR="00D02618" w:rsidRPr="00D02618" w:rsidRDefault="00D02618" w:rsidP="00D02618">
      <w:pPr>
        <w:pStyle w:val="NormalWeb"/>
        <w:spacing w:line="360" w:lineRule="auto"/>
        <w:rPr>
          <w:rFonts w:ascii="Arial" w:hAnsi="Arial" w:cs="Arial"/>
          <w:sz w:val="22"/>
          <w:szCs w:val="22"/>
        </w:rPr>
      </w:pPr>
      <w:proofErr w:type="spellStart"/>
      <w:r w:rsidRPr="00D02618">
        <w:rPr>
          <w:rFonts w:ascii="Arial" w:hAnsi="Arial" w:cs="Arial"/>
          <w:sz w:val="22"/>
          <w:szCs w:val="22"/>
        </w:rPr>
        <w:lastRenderedPageBreak/>
        <w:t>Kivunja</w:t>
      </w:r>
      <w:proofErr w:type="spellEnd"/>
      <w:r w:rsidRPr="00D02618">
        <w:rPr>
          <w:rFonts w:ascii="Arial" w:hAnsi="Arial" w:cs="Arial"/>
          <w:sz w:val="22"/>
          <w:szCs w:val="22"/>
        </w:rPr>
        <w:t xml:space="preserve">, C. and </w:t>
      </w:r>
      <w:proofErr w:type="spellStart"/>
      <w:r w:rsidRPr="00D02618">
        <w:rPr>
          <w:rFonts w:ascii="Arial" w:hAnsi="Arial" w:cs="Arial"/>
          <w:sz w:val="22"/>
          <w:szCs w:val="22"/>
        </w:rPr>
        <w:t>Kuyini</w:t>
      </w:r>
      <w:proofErr w:type="spellEnd"/>
      <w:r w:rsidRPr="00D02618">
        <w:rPr>
          <w:rFonts w:ascii="Arial" w:hAnsi="Arial" w:cs="Arial"/>
          <w:sz w:val="22"/>
          <w:szCs w:val="22"/>
        </w:rPr>
        <w:t>, A. B. (2017</w:t>
      </w:r>
      <w:proofErr w:type="gramStart"/>
      <w:r w:rsidRPr="00D02618">
        <w:rPr>
          <w:rFonts w:ascii="Arial" w:hAnsi="Arial" w:cs="Arial"/>
          <w:sz w:val="22"/>
          <w:szCs w:val="22"/>
        </w:rPr>
        <w:t>)  Understanding</w:t>
      </w:r>
      <w:proofErr w:type="gramEnd"/>
      <w:r w:rsidRPr="00D02618">
        <w:rPr>
          <w:rFonts w:ascii="Arial" w:hAnsi="Arial" w:cs="Arial"/>
          <w:sz w:val="22"/>
          <w:szCs w:val="22"/>
        </w:rPr>
        <w:t xml:space="preserve"> and Applying Research Paradigms in Educational Contexts. </w:t>
      </w:r>
      <w:r w:rsidRPr="00D02618">
        <w:rPr>
          <w:rFonts w:ascii="Arial" w:hAnsi="Arial" w:cs="Arial"/>
          <w:i/>
          <w:iCs/>
          <w:sz w:val="22"/>
          <w:szCs w:val="22"/>
        </w:rPr>
        <w:t>International Journal of Higher Education</w:t>
      </w:r>
      <w:r w:rsidRPr="00D02618">
        <w:rPr>
          <w:rFonts w:ascii="Arial" w:hAnsi="Arial" w:cs="Arial"/>
          <w:sz w:val="22"/>
          <w:szCs w:val="22"/>
        </w:rPr>
        <w:t xml:space="preserve">. </w:t>
      </w:r>
      <w:proofErr w:type="gramStart"/>
      <w:r w:rsidRPr="00D02618">
        <w:rPr>
          <w:rFonts w:ascii="Arial" w:hAnsi="Arial" w:cs="Arial"/>
          <w:sz w:val="22"/>
          <w:szCs w:val="22"/>
        </w:rPr>
        <w:t>6  (</w:t>
      </w:r>
      <w:proofErr w:type="gramEnd"/>
      <w:r w:rsidRPr="00D02618">
        <w:rPr>
          <w:rFonts w:ascii="Arial" w:hAnsi="Arial" w:cs="Arial"/>
          <w:sz w:val="22"/>
          <w:szCs w:val="22"/>
        </w:rPr>
        <w:t>5); pp. 26- 41</w:t>
      </w:r>
    </w:p>
    <w:p w14:paraId="7B63F15A" w14:textId="77777777" w:rsidR="00D02618" w:rsidRPr="00D02618" w:rsidRDefault="00D02618" w:rsidP="00D02618">
      <w:pPr>
        <w:pStyle w:val="NormalWeb"/>
        <w:shd w:val="clear" w:color="auto" w:fill="FFFFFF"/>
        <w:spacing w:line="360" w:lineRule="auto"/>
        <w:rPr>
          <w:rFonts w:ascii="Arial" w:hAnsi="Arial" w:cs="Arial"/>
          <w:color w:val="000000" w:themeColor="text1"/>
          <w:sz w:val="22"/>
          <w:szCs w:val="22"/>
        </w:rPr>
      </w:pPr>
      <w:proofErr w:type="spellStart"/>
      <w:r w:rsidRPr="00D02618">
        <w:rPr>
          <w:rFonts w:ascii="Arial" w:hAnsi="Arial" w:cs="Arial"/>
          <w:color w:val="000000" w:themeColor="text1"/>
          <w:sz w:val="22"/>
          <w:szCs w:val="22"/>
        </w:rPr>
        <w:t>Laevers</w:t>
      </w:r>
      <w:proofErr w:type="spellEnd"/>
      <w:r w:rsidRPr="00D02618">
        <w:rPr>
          <w:rFonts w:ascii="Arial" w:hAnsi="Arial" w:cs="Arial"/>
          <w:color w:val="000000" w:themeColor="text1"/>
          <w:sz w:val="22"/>
          <w:szCs w:val="22"/>
        </w:rPr>
        <w:t xml:space="preserve">, F. (1994). The Leuven Involvement Scale for Young Children LIS- YC. </w:t>
      </w:r>
      <w:r w:rsidRPr="00D02618">
        <w:rPr>
          <w:rFonts w:ascii="Arial" w:hAnsi="Arial" w:cs="Arial"/>
          <w:i/>
          <w:iCs/>
          <w:color w:val="000000" w:themeColor="text1"/>
          <w:sz w:val="22"/>
          <w:szCs w:val="22"/>
        </w:rPr>
        <w:t>Experiential Education Series no.1.</w:t>
      </w:r>
      <w:r w:rsidRPr="00D02618">
        <w:rPr>
          <w:rFonts w:ascii="Arial" w:hAnsi="Arial" w:cs="Arial"/>
          <w:color w:val="000000" w:themeColor="text1"/>
          <w:sz w:val="22"/>
          <w:szCs w:val="22"/>
        </w:rPr>
        <w:t xml:space="preserve"> Centre for Experiential Education. Leuven- Belgium </w:t>
      </w:r>
    </w:p>
    <w:p w14:paraId="442EF7FD" w14:textId="77777777" w:rsidR="00D02618" w:rsidRPr="00D02618" w:rsidRDefault="00D02618" w:rsidP="00D02618">
      <w:pPr>
        <w:spacing w:line="360" w:lineRule="auto"/>
        <w:rPr>
          <w:rFonts w:ascii="Arial" w:hAnsi="Arial" w:cs="Arial"/>
        </w:rPr>
      </w:pPr>
      <w:r w:rsidRPr="00D02618">
        <w:rPr>
          <w:rFonts w:ascii="Arial" w:hAnsi="Arial" w:cs="Arial"/>
        </w:rPr>
        <w:t xml:space="preserve">Lewin, K. (1946) Action research and minority problems. </w:t>
      </w:r>
      <w:r w:rsidRPr="00D02618">
        <w:rPr>
          <w:rFonts w:ascii="Arial" w:hAnsi="Arial" w:cs="Arial"/>
          <w:i/>
          <w:iCs/>
        </w:rPr>
        <w:t>Journal of social sciences</w:t>
      </w:r>
      <w:r w:rsidRPr="00D02618">
        <w:rPr>
          <w:rFonts w:ascii="Arial" w:hAnsi="Arial" w:cs="Arial"/>
        </w:rPr>
        <w:t>. 2 (4) pp. 34-46</w:t>
      </w:r>
    </w:p>
    <w:p w14:paraId="58EC8D22" w14:textId="77777777" w:rsidR="00D02618" w:rsidRPr="00D02618" w:rsidRDefault="00D02618" w:rsidP="00D02618">
      <w:pPr>
        <w:spacing w:line="360" w:lineRule="auto"/>
        <w:rPr>
          <w:rFonts w:ascii="Arial" w:hAnsi="Arial" w:cs="Arial"/>
        </w:rPr>
      </w:pPr>
    </w:p>
    <w:p w14:paraId="05EF4498"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rPr>
        <w:t xml:space="preserve">Lewin, K. (1948) </w:t>
      </w:r>
      <w:r w:rsidRPr="00D02618">
        <w:rPr>
          <w:rFonts w:ascii="Arial" w:hAnsi="Arial" w:cs="Arial"/>
          <w:i/>
          <w:iCs/>
        </w:rPr>
        <w:t>Resolving social conflicts</w:t>
      </w:r>
      <w:r w:rsidRPr="00D02618">
        <w:rPr>
          <w:rFonts w:ascii="Arial" w:hAnsi="Arial" w:cs="Arial"/>
        </w:rPr>
        <w:t>. New York. Harper</w:t>
      </w:r>
      <w:r w:rsidRPr="00D02618">
        <w:rPr>
          <w:rFonts w:ascii="Arial" w:hAnsi="Arial" w:cs="Arial"/>
          <w:color w:val="000000" w:themeColor="text1"/>
        </w:rPr>
        <w:t xml:space="preserve"> </w:t>
      </w:r>
    </w:p>
    <w:p w14:paraId="47273CA2" w14:textId="77777777" w:rsidR="00D02618" w:rsidRPr="00D02618" w:rsidRDefault="00D02618" w:rsidP="00D02618">
      <w:pPr>
        <w:spacing w:line="360" w:lineRule="auto"/>
        <w:rPr>
          <w:rFonts w:ascii="Arial" w:hAnsi="Arial" w:cs="Arial"/>
          <w:color w:val="000000" w:themeColor="text1"/>
        </w:rPr>
      </w:pPr>
    </w:p>
    <w:p w14:paraId="474DDC48" w14:textId="77777777" w:rsidR="00D02618" w:rsidRPr="00D02618" w:rsidRDefault="00D02618" w:rsidP="00D02618">
      <w:pPr>
        <w:spacing w:line="360" w:lineRule="auto"/>
        <w:rPr>
          <w:rFonts w:ascii="Arial" w:hAnsi="Arial" w:cs="Arial"/>
          <w:color w:val="000000" w:themeColor="text1"/>
        </w:rPr>
      </w:pPr>
      <w:r w:rsidRPr="00D02618">
        <w:rPr>
          <w:rFonts w:ascii="Arial" w:hAnsi="Arial" w:cs="Arial"/>
          <w:color w:val="000000" w:themeColor="text1"/>
        </w:rPr>
        <w:t>Likert, R. (1932). "A Technique for the Measurement of Attitudes". Archives of Psychology 140: pp. 1–55. </w:t>
      </w:r>
    </w:p>
    <w:p w14:paraId="1108904C" w14:textId="77777777" w:rsidR="00D02618" w:rsidRPr="00D02618" w:rsidRDefault="00D02618" w:rsidP="00D02618">
      <w:pPr>
        <w:pStyle w:val="NormalWeb"/>
        <w:spacing w:line="360" w:lineRule="auto"/>
        <w:rPr>
          <w:rFonts w:ascii="Arial" w:hAnsi="Arial" w:cs="Arial"/>
          <w:sz w:val="22"/>
          <w:szCs w:val="22"/>
        </w:rPr>
      </w:pPr>
      <w:r w:rsidRPr="00D02618">
        <w:rPr>
          <w:rFonts w:ascii="Arial" w:hAnsi="Arial" w:cs="Arial"/>
          <w:sz w:val="22"/>
          <w:szCs w:val="22"/>
        </w:rPr>
        <w:t xml:space="preserve">Lou, Y., </w:t>
      </w:r>
      <w:proofErr w:type="spellStart"/>
      <w:r w:rsidRPr="00D02618">
        <w:rPr>
          <w:rFonts w:ascii="Arial" w:hAnsi="Arial" w:cs="Arial"/>
          <w:sz w:val="22"/>
          <w:szCs w:val="22"/>
        </w:rPr>
        <w:t>Abrami</w:t>
      </w:r>
      <w:proofErr w:type="spellEnd"/>
      <w:r w:rsidRPr="00D02618">
        <w:rPr>
          <w:rFonts w:ascii="Arial" w:hAnsi="Arial" w:cs="Arial"/>
          <w:sz w:val="22"/>
          <w:szCs w:val="22"/>
        </w:rPr>
        <w:t xml:space="preserve">, P. C., Spence, J.C., Poulsen, C., Chambers, B., </w:t>
      </w:r>
      <w:proofErr w:type="spellStart"/>
      <w:r w:rsidRPr="00D02618">
        <w:rPr>
          <w:rFonts w:ascii="Arial" w:hAnsi="Arial" w:cs="Arial"/>
          <w:sz w:val="22"/>
          <w:szCs w:val="22"/>
        </w:rPr>
        <w:t>d'Apollonia</w:t>
      </w:r>
      <w:proofErr w:type="spellEnd"/>
      <w:r w:rsidRPr="00D02618">
        <w:rPr>
          <w:rFonts w:ascii="Arial" w:hAnsi="Arial" w:cs="Arial"/>
          <w:sz w:val="22"/>
          <w:szCs w:val="22"/>
        </w:rPr>
        <w:t xml:space="preserve">, S. (1996) Within-Class Grouping: A Meta-Analysis. Review </w:t>
      </w:r>
      <w:r w:rsidRPr="00D02618">
        <w:rPr>
          <w:rFonts w:ascii="Arial" w:hAnsi="Arial" w:cs="Arial"/>
          <w:i/>
          <w:iCs/>
          <w:sz w:val="22"/>
          <w:szCs w:val="22"/>
        </w:rPr>
        <w:t xml:space="preserve">of Educational Research. </w:t>
      </w:r>
      <w:r w:rsidRPr="00D02618">
        <w:rPr>
          <w:rFonts w:ascii="Arial" w:hAnsi="Arial" w:cs="Arial"/>
          <w:sz w:val="22"/>
          <w:szCs w:val="22"/>
        </w:rPr>
        <w:t>66 (4) pp. 423-458</w:t>
      </w:r>
      <w:r w:rsidRPr="00D02618">
        <w:rPr>
          <w:rFonts w:ascii="Arial" w:hAnsi="Arial" w:cs="Arial"/>
          <w:i/>
          <w:iCs/>
          <w:sz w:val="22"/>
          <w:szCs w:val="22"/>
        </w:rPr>
        <w:t xml:space="preserve"> </w:t>
      </w:r>
    </w:p>
    <w:p w14:paraId="10947ACB" w14:textId="77777777" w:rsidR="00D02618" w:rsidRPr="00D02618" w:rsidRDefault="00D02618" w:rsidP="00D02618">
      <w:pPr>
        <w:spacing w:line="360" w:lineRule="auto"/>
        <w:rPr>
          <w:rFonts w:ascii="Arial" w:hAnsi="Arial" w:cs="Arial"/>
        </w:rPr>
      </w:pPr>
      <w:r w:rsidRPr="00D02618">
        <w:rPr>
          <w:rFonts w:ascii="Arial" w:hAnsi="Arial" w:cs="Arial"/>
          <w:color w:val="000000" w:themeColor="text1"/>
        </w:rPr>
        <w:t xml:space="preserve">Morrow, V. (2009) The Ethics of Social Research with Children and Families in Young Lives: Practical Experiences, Young Lives. Oxford </w:t>
      </w:r>
    </w:p>
    <w:p w14:paraId="2B3786A7" w14:textId="77777777" w:rsidR="00D02618" w:rsidRPr="00D02618" w:rsidRDefault="00D02618" w:rsidP="00D02618">
      <w:pPr>
        <w:pStyle w:val="NormalWeb"/>
        <w:spacing w:line="360" w:lineRule="auto"/>
        <w:rPr>
          <w:rFonts w:ascii="Arial" w:hAnsi="Arial" w:cs="Arial"/>
          <w:sz w:val="22"/>
          <w:szCs w:val="22"/>
        </w:rPr>
      </w:pPr>
      <w:r w:rsidRPr="00D02618">
        <w:rPr>
          <w:rFonts w:ascii="Arial" w:hAnsi="Arial" w:cs="Arial"/>
          <w:sz w:val="22"/>
          <w:szCs w:val="22"/>
        </w:rPr>
        <w:t xml:space="preserve">OECD (2010) PISA 2009 Results: What makes a school </w:t>
      </w:r>
      <w:proofErr w:type="gramStart"/>
      <w:r w:rsidRPr="00D02618">
        <w:rPr>
          <w:rFonts w:ascii="Arial" w:hAnsi="Arial" w:cs="Arial"/>
          <w:sz w:val="22"/>
          <w:szCs w:val="22"/>
        </w:rPr>
        <w:t>successful?-</w:t>
      </w:r>
      <w:proofErr w:type="gramEnd"/>
      <w:r w:rsidRPr="00D02618">
        <w:rPr>
          <w:rFonts w:ascii="Arial" w:hAnsi="Arial" w:cs="Arial"/>
          <w:sz w:val="22"/>
          <w:szCs w:val="22"/>
        </w:rPr>
        <w:t xml:space="preserve"> resources, policies and practices. Vol. IV. [online] Available from: </w:t>
      </w:r>
      <w:hyperlink r:id="rId13" w:history="1">
        <w:r w:rsidRPr="00D02618">
          <w:rPr>
            <w:rStyle w:val="Hyperlink"/>
            <w:rFonts w:ascii="Arial" w:hAnsi="Arial" w:cs="Arial"/>
            <w:sz w:val="22"/>
            <w:szCs w:val="22"/>
          </w:rPr>
          <w:t>https://www.oecd-ilibrary.org/education/pisa-2009-results-what-makes-a-school-successful_9789264091559-en</w:t>
        </w:r>
      </w:hyperlink>
      <w:r w:rsidRPr="00D02618">
        <w:rPr>
          <w:rFonts w:ascii="Arial" w:hAnsi="Arial" w:cs="Arial"/>
          <w:sz w:val="22"/>
          <w:szCs w:val="22"/>
        </w:rPr>
        <w:t xml:space="preserve"> [accessed 18 January 2020]</w:t>
      </w:r>
    </w:p>
    <w:p w14:paraId="0C358465" w14:textId="77777777" w:rsidR="00D02618" w:rsidRPr="00D02618" w:rsidRDefault="00D02618" w:rsidP="00D02618">
      <w:pPr>
        <w:pStyle w:val="NormalWeb"/>
        <w:spacing w:line="360" w:lineRule="auto"/>
        <w:rPr>
          <w:rFonts w:ascii="Arial" w:hAnsi="Arial" w:cs="Arial"/>
          <w:color w:val="000000" w:themeColor="text1"/>
          <w:sz w:val="22"/>
          <w:szCs w:val="22"/>
        </w:rPr>
      </w:pPr>
      <w:proofErr w:type="spellStart"/>
      <w:r w:rsidRPr="00D02618">
        <w:rPr>
          <w:rFonts w:ascii="Arial" w:hAnsi="Arial" w:cs="Arial"/>
          <w:color w:val="000000" w:themeColor="text1"/>
          <w:sz w:val="22"/>
          <w:szCs w:val="22"/>
        </w:rPr>
        <w:t>Palaiologou</w:t>
      </w:r>
      <w:proofErr w:type="spellEnd"/>
      <w:r w:rsidRPr="00D02618">
        <w:rPr>
          <w:rFonts w:ascii="Arial" w:hAnsi="Arial" w:cs="Arial"/>
          <w:color w:val="000000" w:themeColor="text1"/>
          <w:sz w:val="22"/>
          <w:szCs w:val="22"/>
        </w:rPr>
        <w:t xml:space="preserve">, I., Needham, D. and Male, T. (2016) </w:t>
      </w:r>
      <w:r w:rsidRPr="00D02618">
        <w:rPr>
          <w:rFonts w:ascii="Arial" w:hAnsi="Arial" w:cs="Arial"/>
          <w:i/>
          <w:iCs/>
          <w:color w:val="000000" w:themeColor="text1"/>
          <w:sz w:val="22"/>
          <w:szCs w:val="22"/>
        </w:rPr>
        <w:t>Doing Research in Education. Theory and Practice</w:t>
      </w:r>
      <w:r w:rsidRPr="00D02618">
        <w:rPr>
          <w:rFonts w:ascii="Arial" w:hAnsi="Arial" w:cs="Arial"/>
          <w:color w:val="000000" w:themeColor="text1"/>
          <w:sz w:val="22"/>
          <w:szCs w:val="22"/>
        </w:rPr>
        <w:t>. London. Sage</w:t>
      </w:r>
    </w:p>
    <w:p w14:paraId="7C24D45B" w14:textId="77777777" w:rsidR="00D02618" w:rsidRPr="00D02618" w:rsidRDefault="00D02618" w:rsidP="00D02618">
      <w:pPr>
        <w:pStyle w:val="NormalWeb"/>
        <w:spacing w:line="360" w:lineRule="auto"/>
        <w:rPr>
          <w:rFonts w:ascii="Arial" w:hAnsi="Arial" w:cs="Arial"/>
          <w:sz w:val="22"/>
          <w:szCs w:val="22"/>
        </w:rPr>
      </w:pPr>
      <w:r w:rsidRPr="00D02618">
        <w:rPr>
          <w:rFonts w:ascii="Arial" w:hAnsi="Arial" w:cs="Arial"/>
          <w:sz w:val="22"/>
          <w:szCs w:val="22"/>
        </w:rPr>
        <w:t xml:space="preserve">Qu, S. and Dumay, J. (2011). The Qualitative Research Interview. </w:t>
      </w:r>
      <w:r w:rsidRPr="00D02618">
        <w:rPr>
          <w:rFonts w:ascii="Arial" w:hAnsi="Arial" w:cs="Arial"/>
          <w:i/>
          <w:iCs/>
          <w:sz w:val="22"/>
          <w:szCs w:val="22"/>
        </w:rPr>
        <w:t>Qualitative Research in Accounting &amp; Management.</w:t>
      </w:r>
      <w:r w:rsidRPr="00D02618">
        <w:rPr>
          <w:rFonts w:ascii="Arial" w:hAnsi="Arial" w:cs="Arial"/>
          <w:sz w:val="22"/>
          <w:szCs w:val="22"/>
        </w:rPr>
        <w:t xml:space="preserve"> 8 (3) pp. 238-264 </w:t>
      </w:r>
    </w:p>
    <w:p w14:paraId="2BF393B5" w14:textId="77777777" w:rsidR="00D02618" w:rsidRPr="00D02618" w:rsidRDefault="00D02618" w:rsidP="00D02618">
      <w:pPr>
        <w:pStyle w:val="NormalWeb"/>
        <w:shd w:val="clear" w:color="auto" w:fill="FFFFFF"/>
        <w:spacing w:line="360" w:lineRule="auto"/>
        <w:rPr>
          <w:rFonts w:ascii="Arial" w:hAnsi="Arial" w:cs="Arial"/>
          <w:sz w:val="22"/>
          <w:szCs w:val="22"/>
        </w:rPr>
      </w:pPr>
      <w:r w:rsidRPr="00D02618">
        <w:rPr>
          <w:rFonts w:ascii="Arial" w:hAnsi="Arial" w:cs="Arial"/>
          <w:sz w:val="22"/>
          <w:szCs w:val="22"/>
        </w:rPr>
        <w:t xml:space="preserve">Sands, M. and Kerry, T. (1982) </w:t>
      </w:r>
      <w:r w:rsidRPr="00D02618">
        <w:rPr>
          <w:rFonts w:ascii="Arial" w:hAnsi="Arial" w:cs="Arial"/>
          <w:i/>
          <w:iCs/>
          <w:sz w:val="22"/>
          <w:szCs w:val="22"/>
        </w:rPr>
        <w:t>Mixed Ability Teaching</w:t>
      </w:r>
      <w:r w:rsidRPr="00D02618">
        <w:rPr>
          <w:rFonts w:ascii="Arial" w:hAnsi="Arial" w:cs="Arial"/>
          <w:sz w:val="22"/>
          <w:szCs w:val="22"/>
        </w:rPr>
        <w:t>. Croom Helm. London</w:t>
      </w:r>
    </w:p>
    <w:p w14:paraId="3A7648EB" w14:textId="77777777" w:rsidR="00D02618" w:rsidRPr="00D02618" w:rsidRDefault="00D02618" w:rsidP="00D02618">
      <w:pPr>
        <w:pStyle w:val="NormalWeb"/>
        <w:spacing w:line="360" w:lineRule="auto"/>
        <w:rPr>
          <w:rFonts w:ascii="Arial" w:hAnsi="Arial" w:cs="Arial"/>
          <w:color w:val="000000" w:themeColor="text1"/>
          <w:sz w:val="22"/>
          <w:szCs w:val="22"/>
        </w:rPr>
      </w:pPr>
      <w:r w:rsidRPr="00D02618">
        <w:rPr>
          <w:rFonts w:ascii="Arial" w:hAnsi="Arial" w:cs="Arial"/>
          <w:color w:val="000000" w:themeColor="text1"/>
          <w:sz w:val="22"/>
          <w:szCs w:val="22"/>
        </w:rPr>
        <w:t xml:space="preserve">Taylor, B., Francis, B., Archer, L., </w:t>
      </w:r>
      <w:proofErr w:type="spellStart"/>
      <w:r w:rsidRPr="00D02618">
        <w:rPr>
          <w:rFonts w:ascii="Arial" w:hAnsi="Arial" w:cs="Arial"/>
          <w:color w:val="000000" w:themeColor="text1"/>
          <w:sz w:val="22"/>
          <w:szCs w:val="22"/>
        </w:rPr>
        <w:t>Hodgen</w:t>
      </w:r>
      <w:proofErr w:type="spellEnd"/>
      <w:r w:rsidRPr="00D02618">
        <w:rPr>
          <w:rFonts w:ascii="Arial" w:hAnsi="Arial" w:cs="Arial"/>
          <w:color w:val="000000" w:themeColor="text1"/>
          <w:sz w:val="22"/>
          <w:szCs w:val="22"/>
        </w:rPr>
        <w:t xml:space="preserve">, J., Pepper, D., </w:t>
      </w:r>
      <w:proofErr w:type="spellStart"/>
      <w:r w:rsidRPr="00D02618">
        <w:rPr>
          <w:rFonts w:ascii="Arial" w:hAnsi="Arial" w:cs="Arial"/>
          <w:color w:val="000000" w:themeColor="text1"/>
          <w:sz w:val="22"/>
          <w:szCs w:val="22"/>
        </w:rPr>
        <w:t>Tereshchenko</w:t>
      </w:r>
      <w:proofErr w:type="spellEnd"/>
      <w:r w:rsidRPr="00D02618">
        <w:rPr>
          <w:rFonts w:ascii="Arial" w:hAnsi="Arial" w:cs="Arial"/>
          <w:color w:val="000000" w:themeColor="text1"/>
          <w:sz w:val="22"/>
          <w:szCs w:val="22"/>
        </w:rPr>
        <w:t xml:space="preserve">, A. and Travers, M. (2017) ‘Factors deterring schools from mixed attainment teaching practice’ </w:t>
      </w:r>
      <w:r w:rsidRPr="00D02618">
        <w:rPr>
          <w:rFonts w:ascii="Arial" w:hAnsi="Arial" w:cs="Arial"/>
          <w:i/>
          <w:iCs/>
          <w:color w:val="000000" w:themeColor="text1"/>
          <w:sz w:val="22"/>
          <w:szCs w:val="22"/>
        </w:rPr>
        <w:t xml:space="preserve">Pedagogy, </w:t>
      </w:r>
      <w:r w:rsidRPr="00D02618">
        <w:rPr>
          <w:rFonts w:ascii="Arial" w:hAnsi="Arial" w:cs="Arial"/>
          <w:i/>
          <w:iCs/>
          <w:color w:val="000000" w:themeColor="text1"/>
          <w:sz w:val="22"/>
          <w:szCs w:val="22"/>
        </w:rPr>
        <w:lastRenderedPageBreak/>
        <w:t>Culture &amp; Society</w:t>
      </w:r>
      <w:r w:rsidRPr="00D02618">
        <w:rPr>
          <w:rFonts w:ascii="Arial" w:hAnsi="Arial" w:cs="Arial"/>
          <w:color w:val="000000" w:themeColor="text1"/>
          <w:sz w:val="22"/>
          <w:szCs w:val="22"/>
        </w:rPr>
        <w:t xml:space="preserve"> 25(3)pp- 327–345 [online]available from: https://doi.org/10.1080/14681366.2016.1256908 </w:t>
      </w:r>
    </w:p>
    <w:p w14:paraId="66D821C1" w14:textId="77777777" w:rsidR="00D02618" w:rsidRPr="00D02618" w:rsidRDefault="00D02618" w:rsidP="00D02618">
      <w:pPr>
        <w:spacing w:line="360" w:lineRule="auto"/>
        <w:rPr>
          <w:rFonts w:ascii="Arial" w:hAnsi="Arial" w:cs="Arial"/>
        </w:rPr>
      </w:pPr>
      <w:r w:rsidRPr="00D02618">
        <w:rPr>
          <w:rFonts w:ascii="Arial" w:hAnsi="Arial" w:cs="Arial"/>
        </w:rPr>
        <w:t xml:space="preserve">U.K Government. (2018) Data protection Act. [Online] available from: </w:t>
      </w:r>
      <w:r w:rsidRPr="00D02618">
        <w:rPr>
          <w:rFonts w:ascii="Arial" w:hAnsi="Arial" w:cs="Arial"/>
        </w:rPr>
        <w:fldChar w:fldCharType="begin"/>
      </w:r>
      <w:r w:rsidRPr="00D02618">
        <w:rPr>
          <w:rFonts w:ascii="Arial" w:hAnsi="Arial" w:cs="Arial"/>
        </w:rPr>
        <w:instrText xml:space="preserve"> HYPERLINK "http://www.legislation.gov.uk/ukpga/2018/12/contents/enacted" </w:instrText>
      </w:r>
      <w:r w:rsidRPr="00D02618">
        <w:rPr>
          <w:rFonts w:ascii="Arial" w:hAnsi="Arial" w:cs="Arial"/>
        </w:rPr>
        <w:fldChar w:fldCharType="separate"/>
      </w:r>
      <w:r w:rsidRPr="00D02618">
        <w:rPr>
          <w:rStyle w:val="Hyperlink"/>
          <w:rFonts w:ascii="Arial" w:hAnsi="Arial" w:cs="Arial"/>
        </w:rPr>
        <w:t>http://www.legislation.gov.uk/ukpga/2018/12/contents/enacted</w:t>
      </w:r>
      <w:r w:rsidRPr="00D02618">
        <w:rPr>
          <w:rFonts w:ascii="Arial" w:hAnsi="Arial" w:cs="Arial"/>
        </w:rPr>
        <w:fldChar w:fldCharType="end"/>
      </w:r>
      <w:r w:rsidRPr="00D02618">
        <w:rPr>
          <w:rFonts w:ascii="Arial" w:hAnsi="Arial" w:cs="Arial"/>
        </w:rPr>
        <w:t xml:space="preserve"> [accessed 2 February 2020] </w:t>
      </w:r>
    </w:p>
    <w:p w14:paraId="0C93E6C6" w14:textId="77777777" w:rsidR="00D02618" w:rsidRPr="00D02618" w:rsidRDefault="00D02618" w:rsidP="00D02618">
      <w:pPr>
        <w:spacing w:line="360" w:lineRule="auto"/>
        <w:rPr>
          <w:rFonts w:ascii="Arial" w:hAnsi="Arial" w:cs="Arial"/>
        </w:rPr>
      </w:pPr>
    </w:p>
    <w:p w14:paraId="2108DE7F" w14:textId="77777777" w:rsidR="00D02618" w:rsidRPr="00D02618" w:rsidRDefault="00D02618" w:rsidP="00D02618">
      <w:pPr>
        <w:spacing w:line="360" w:lineRule="auto"/>
        <w:rPr>
          <w:rFonts w:ascii="Arial" w:hAnsi="Arial" w:cs="Arial"/>
        </w:rPr>
      </w:pPr>
    </w:p>
    <w:p w14:paraId="6C4C7A30" w14:textId="77777777" w:rsidR="00D02618" w:rsidRPr="00D02618" w:rsidRDefault="00D02618" w:rsidP="00D02618">
      <w:pPr>
        <w:spacing w:line="360" w:lineRule="auto"/>
        <w:rPr>
          <w:rFonts w:ascii="Arial" w:hAnsi="Arial" w:cs="Arial"/>
        </w:rPr>
      </w:pPr>
    </w:p>
    <w:p w14:paraId="4CF86B4A" w14:textId="77777777" w:rsidR="00D02618" w:rsidRPr="00D02618" w:rsidRDefault="00D02618" w:rsidP="00D02618">
      <w:pPr>
        <w:pStyle w:val="NormalWeb"/>
        <w:spacing w:line="360" w:lineRule="auto"/>
        <w:rPr>
          <w:rFonts w:ascii="Arial" w:hAnsi="Arial" w:cs="Arial"/>
          <w:sz w:val="22"/>
          <w:szCs w:val="22"/>
        </w:rPr>
      </w:pPr>
    </w:p>
    <w:p w14:paraId="7138C66E" w14:textId="77777777" w:rsidR="00D02618" w:rsidRPr="00D02618" w:rsidRDefault="00D02618" w:rsidP="00D02618">
      <w:pPr>
        <w:spacing w:before="100" w:beforeAutospacing="1" w:after="100" w:afterAutospacing="1" w:line="360" w:lineRule="auto"/>
        <w:rPr>
          <w:rFonts w:ascii="Arial" w:hAnsi="Arial" w:cs="Arial"/>
        </w:rPr>
      </w:pPr>
    </w:p>
    <w:p w14:paraId="32A614FB" w14:textId="77777777" w:rsidR="00D02618" w:rsidRPr="00D02618" w:rsidRDefault="00D02618" w:rsidP="00D02618">
      <w:pPr>
        <w:pStyle w:val="AssignSubHeader"/>
        <w:rPr>
          <w:rFonts w:cs="Arial"/>
          <w:sz w:val="22"/>
        </w:rPr>
      </w:pPr>
    </w:p>
    <w:p w14:paraId="5AB6EFD6" w14:textId="77777777" w:rsidR="00D02618" w:rsidRPr="00D02618" w:rsidRDefault="00D02618" w:rsidP="00D02618">
      <w:pPr>
        <w:pStyle w:val="AssignBody"/>
        <w:rPr>
          <w:rFonts w:cs="Arial"/>
        </w:rPr>
      </w:pPr>
    </w:p>
    <w:sectPr w:rsidR="00D02618" w:rsidRPr="00D0261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A8AC5" w14:textId="77777777" w:rsidR="008A01AE" w:rsidRDefault="008A01AE" w:rsidP="00E611D9">
      <w:pPr>
        <w:spacing w:after="0" w:line="240" w:lineRule="auto"/>
      </w:pPr>
      <w:r>
        <w:separator/>
      </w:r>
    </w:p>
  </w:endnote>
  <w:endnote w:type="continuationSeparator" w:id="0">
    <w:p w14:paraId="42B35F69" w14:textId="77777777" w:rsidR="008A01AE" w:rsidRDefault="008A01AE"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BEB662" w14:textId="77777777" w:rsidR="008A01AE" w:rsidRDefault="008A01AE" w:rsidP="00E611D9">
      <w:pPr>
        <w:spacing w:after="0" w:line="240" w:lineRule="auto"/>
      </w:pPr>
      <w:r>
        <w:separator/>
      </w:r>
    </w:p>
  </w:footnote>
  <w:footnote w:type="continuationSeparator" w:id="0">
    <w:p w14:paraId="51C750D6" w14:textId="77777777" w:rsidR="008A01AE" w:rsidRDefault="008A01AE"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3CF72" w14:textId="04B0F91A" w:rsidR="00755E37" w:rsidRDefault="00755E37">
    <w:pPr>
      <w:pStyle w:val="Header"/>
    </w:pPr>
    <w:r>
      <w:t>ECAD7004/C</w:t>
    </w:r>
  </w:p>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5702"/>
    <w:multiLevelType w:val="multilevel"/>
    <w:tmpl w:val="7F0E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7789D"/>
    <w:multiLevelType w:val="multilevel"/>
    <w:tmpl w:val="D072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A12C0"/>
    <w:multiLevelType w:val="hybridMultilevel"/>
    <w:tmpl w:val="0C0EF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17C92"/>
    <w:multiLevelType w:val="hybridMultilevel"/>
    <w:tmpl w:val="6FDEF0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BB2DB2"/>
    <w:multiLevelType w:val="multilevel"/>
    <w:tmpl w:val="648E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DA1688"/>
    <w:multiLevelType w:val="hybridMultilevel"/>
    <w:tmpl w:val="4AF858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91FF8"/>
    <w:multiLevelType w:val="hybridMultilevel"/>
    <w:tmpl w:val="35347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684924"/>
    <w:multiLevelType w:val="hybridMultilevel"/>
    <w:tmpl w:val="398C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CE22EC"/>
    <w:multiLevelType w:val="hybridMultilevel"/>
    <w:tmpl w:val="E3188B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1A65FB"/>
    <w:multiLevelType w:val="hybridMultilevel"/>
    <w:tmpl w:val="679EA2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9C7073"/>
    <w:multiLevelType w:val="hybridMultilevel"/>
    <w:tmpl w:val="947A8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D70C4A"/>
    <w:multiLevelType w:val="hybridMultilevel"/>
    <w:tmpl w:val="4AB213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7C3598"/>
    <w:multiLevelType w:val="hybridMultilevel"/>
    <w:tmpl w:val="67ACA37C"/>
    <w:lvl w:ilvl="0" w:tplc="08090005">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3" w15:restartNumberingAfterBreak="0">
    <w:nsid w:val="68845F2E"/>
    <w:multiLevelType w:val="hybridMultilevel"/>
    <w:tmpl w:val="B9C443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C831DC"/>
    <w:multiLevelType w:val="multilevel"/>
    <w:tmpl w:val="034E2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2B5E35"/>
    <w:multiLevelType w:val="hybridMultilevel"/>
    <w:tmpl w:val="A60807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1835F9"/>
    <w:multiLevelType w:val="hybridMultilevel"/>
    <w:tmpl w:val="8188CB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014A93"/>
    <w:multiLevelType w:val="hybridMultilevel"/>
    <w:tmpl w:val="73645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5E43C9"/>
    <w:multiLevelType w:val="hybridMultilevel"/>
    <w:tmpl w:val="6A469FB0"/>
    <w:lvl w:ilvl="0" w:tplc="08090005">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7AB00115"/>
    <w:multiLevelType w:val="hybridMultilevel"/>
    <w:tmpl w:val="1236F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E2793"/>
    <w:multiLevelType w:val="hybridMultilevel"/>
    <w:tmpl w:val="C7E882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num>
  <w:num w:numId="4">
    <w:abstractNumId w:val="14"/>
  </w:num>
  <w:num w:numId="5">
    <w:abstractNumId w:val="19"/>
  </w:num>
  <w:num w:numId="6">
    <w:abstractNumId w:val="15"/>
  </w:num>
  <w:num w:numId="7">
    <w:abstractNumId w:val="8"/>
  </w:num>
  <w:num w:numId="8">
    <w:abstractNumId w:val="16"/>
  </w:num>
  <w:num w:numId="9">
    <w:abstractNumId w:val="11"/>
  </w:num>
  <w:num w:numId="10">
    <w:abstractNumId w:val="3"/>
  </w:num>
  <w:num w:numId="11">
    <w:abstractNumId w:val="20"/>
  </w:num>
  <w:num w:numId="12">
    <w:abstractNumId w:val="17"/>
  </w:num>
  <w:num w:numId="13">
    <w:abstractNumId w:val="7"/>
  </w:num>
  <w:num w:numId="14">
    <w:abstractNumId w:val="6"/>
  </w:num>
  <w:num w:numId="15">
    <w:abstractNumId w:val="2"/>
  </w:num>
  <w:num w:numId="16">
    <w:abstractNumId w:val="12"/>
  </w:num>
  <w:num w:numId="17">
    <w:abstractNumId w:val="18"/>
  </w:num>
  <w:num w:numId="18">
    <w:abstractNumId w:val="4"/>
  </w:num>
  <w:num w:numId="19">
    <w:abstractNumId w:val="10"/>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353E3"/>
    <w:rsid w:val="00135557"/>
    <w:rsid w:val="00150C03"/>
    <w:rsid w:val="002229F0"/>
    <w:rsid w:val="00284C8C"/>
    <w:rsid w:val="0037102B"/>
    <w:rsid w:val="004456F9"/>
    <w:rsid w:val="004825DE"/>
    <w:rsid w:val="00501C18"/>
    <w:rsid w:val="00617ADE"/>
    <w:rsid w:val="006419C3"/>
    <w:rsid w:val="006B5861"/>
    <w:rsid w:val="006E6897"/>
    <w:rsid w:val="00744A52"/>
    <w:rsid w:val="00755E37"/>
    <w:rsid w:val="00761FE7"/>
    <w:rsid w:val="007F511A"/>
    <w:rsid w:val="00805197"/>
    <w:rsid w:val="0081013A"/>
    <w:rsid w:val="00817F7A"/>
    <w:rsid w:val="00852217"/>
    <w:rsid w:val="008A01AE"/>
    <w:rsid w:val="00950CB7"/>
    <w:rsid w:val="00984FA4"/>
    <w:rsid w:val="009A0AAB"/>
    <w:rsid w:val="00A97F15"/>
    <w:rsid w:val="00B457F0"/>
    <w:rsid w:val="00BC651E"/>
    <w:rsid w:val="00C954FD"/>
    <w:rsid w:val="00CD1240"/>
    <w:rsid w:val="00D02618"/>
    <w:rsid w:val="00D167EA"/>
    <w:rsid w:val="00D33BE8"/>
    <w:rsid w:val="00D40583"/>
    <w:rsid w:val="00D638DF"/>
    <w:rsid w:val="00D83A40"/>
    <w:rsid w:val="00E611D9"/>
    <w:rsid w:val="00E86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261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2618"/>
    <w:rPr>
      <w:color w:val="0563C1" w:themeColor="hyperlink"/>
      <w:u w:val="single"/>
    </w:rPr>
  </w:style>
  <w:style w:type="character" w:styleId="UnresolvedMention">
    <w:name w:val="Unresolved Mention"/>
    <w:basedOn w:val="DefaultParagraphFont"/>
    <w:uiPriority w:val="99"/>
    <w:semiHidden/>
    <w:unhideWhenUsed/>
    <w:rsid w:val="00D02618"/>
    <w:rPr>
      <w:color w:val="605E5C"/>
      <w:shd w:val="clear" w:color="auto" w:fill="E1DFDD"/>
    </w:rPr>
  </w:style>
  <w:style w:type="character" w:styleId="FollowedHyperlink">
    <w:name w:val="FollowedHyperlink"/>
    <w:basedOn w:val="DefaultParagraphFont"/>
    <w:uiPriority w:val="99"/>
    <w:semiHidden/>
    <w:unhideWhenUsed/>
    <w:rsid w:val="00D02618"/>
    <w:rPr>
      <w:color w:val="954F72" w:themeColor="followedHyperlink"/>
      <w:u w:val="single"/>
    </w:rPr>
  </w:style>
  <w:style w:type="character" w:customStyle="1" w:styleId="apple-converted-space">
    <w:name w:val="apple-converted-space"/>
    <w:basedOn w:val="DefaultParagraphFont"/>
    <w:rsid w:val="00D02618"/>
  </w:style>
  <w:style w:type="character" w:customStyle="1" w:styleId="authors">
    <w:name w:val="authors"/>
    <w:basedOn w:val="DefaultParagraphFont"/>
    <w:rsid w:val="00D02618"/>
  </w:style>
  <w:style w:type="character" w:customStyle="1" w:styleId="date">
    <w:name w:val="date"/>
    <w:basedOn w:val="DefaultParagraphFont"/>
    <w:rsid w:val="00D02618"/>
  </w:style>
  <w:style w:type="character" w:customStyle="1" w:styleId="arttitle">
    <w:name w:val="art_title"/>
    <w:basedOn w:val="DefaultParagraphFont"/>
    <w:rsid w:val="00D02618"/>
  </w:style>
  <w:style w:type="character" w:customStyle="1" w:styleId="serialtitle">
    <w:name w:val="serial_title"/>
    <w:basedOn w:val="DefaultParagraphFont"/>
    <w:rsid w:val="00D02618"/>
  </w:style>
  <w:style w:type="character" w:customStyle="1" w:styleId="volumeissue">
    <w:name w:val="volume_issue"/>
    <w:basedOn w:val="DefaultParagraphFont"/>
    <w:rsid w:val="00D02618"/>
  </w:style>
  <w:style w:type="character" w:customStyle="1" w:styleId="pagerange">
    <w:name w:val="page_range"/>
    <w:basedOn w:val="DefaultParagraphFont"/>
    <w:rsid w:val="00D02618"/>
  </w:style>
  <w:style w:type="character" w:customStyle="1" w:styleId="doilink">
    <w:name w:val="doi_link"/>
    <w:basedOn w:val="DefaultParagraphFont"/>
    <w:rsid w:val="00D02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ecd-ilibrary.org/education/pisa-2009-results-what-makes-a-school-successful_9789264091559-e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pdf/generate/?u=https://educationendowmentfoundation.org.uk/pdf/toolkit/?id=2618&amp;t=Teaching%20and%20Learning%20Toolkit&amp;e=2618&amp;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ssonstudy.co.uk/lesson-study-a-handboo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doi.org/10.1080/0305764X.2015.100936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5737</Words>
  <Characters>32705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Amy Hoyles (1900209)</cp:lastModifiedBy>
  <cp:revision>2</cp:revision>
  <dcterms:created xsi:type="dcterms:W3CDTF">2020-02-21T11:03:00Z</dcterms:created>
  <dcterms:modified xsi:type="dcterms:W3CDTF">2020-02-21T11:03:00Z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