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030713383"/>
        <w:docPartObj>
          <w:docPartGallery w:val="Table of Contents"/>
          <w:docPartUnique/>
        </w:docPartObj>
      </w:sdtPr>
      <w:sdtEndPr>
        <w:rPr>
          <w:b/>
          <w:bCs/>
        </w:rPr>
      </w:sdtEndPr>
      <w:sdtContent>
        <w:p w14:paraId="5165E354" w14:textId="77777777" w:rsidR="00AC52CF" w:rsidRDefault="00AC52CF" w:rsidP="00AC52CF">
          <w:pPr>
            <w:spacing w:line="360" w:lineRule="auto"/>
            <w:jc w:val="center"/>
            <w:rPr>
              <w:rFonts w:ascii="Times New Roman" w:hAnsi="Times New Roman" w:cs="Times New Roman"/>
              <w:b/>
              <w:bCs/>
              <w:sz w:val="32"/>
              <w:szCs w:val="32"/>
            </w:rPr>
          </w:pPr>
        </w:p>
        <w:p w14:paraId="4CCEFFDB" w14:textId="08C9900F" w:rsidR="00AC52CF" w:rsidRDefault="00AC52CF" w:rsidP="00AC52CF">
          <w:pPr>
            <w:spacing w:line="360" w:lineRule="auto"/>
            <w:jc w:val="center"/>
            <w:rPr>
              <w:rFonts w:ascii="Times New Roman" w:hAnsi="Times New Roman" w:cs="Times New Roman"/>
              <w:b/>
              <w:bCs/>
              <w:sz w:val="36"/>
              <w:szCs w:val="36"/>
              <w:lang w:val="en-US"/>
            </w:rPr>
          </w:pPr>
          <w:r w:rsidRPr="00AC52CF">
            <w:rPr>
              <w:rFonts w:ascii="Times New Roman" w:hAnsi="Times New Roman" w:cs="Times New Roman"/>
              <w:b/>
              <w:bCs/>
              <w:sz w:val="36"/>
              <w:szCs w:val="36"/>
              <w:lang w:val="en-US"/>
            </w:rPr>
            <w:t>Exchange Rate Volatility, Geopolitical Shocks, and Digital</w:t>
          </w:r>
          <w:r w:rsidR="00DF4112">
            <w:rPr>
              <w:rFonts w:ascii="Times New Roman" w:hAnsi="Times New Roman" w:cs="Times New Roman"/>
              <w:b/>
              <w:bCs/>
              <w:sz w:val="36"/>
              <w:szCs w:val="36"/>
              <w:lang w:val="en-US"/>
            </w:rPr>
            <w:t xml:space="preserve"> </w:t>
          </w:r>
          <w:r w:rsidRPr="00AC52CF">
            <w:rPr>
              <w:rFonts w:ascii="Times New Roman" w:hAnsi="Times New Roman" w:cs="Times New Roman"/>
              <w:b/>
              <w:bCs/>
              <w:sz w:val="36"/>
              <w:szCs w:val="36"/>
              <w:lang w:val="en-US"/>
            </w:rPr>
            <w:t>Services Exports</w:t>
          </w:r>
        </w:p>
        <w:p w14:paraId="3C3A5571" w14:textId="77777777" w:rsidR="00AC52CF" w:rsidRPr="00AC52CF" w:rsidRDefault="00AC52CF" w:rsidP="00AC52CF">
          <w:pPr>
            <w:spacing w:line="360" w:lineRule="auto"/>
            <w:jc w:val="center"/>
            <w:rPr>
              <w:rFonts w:ascii="Times New Roman" w:hAnsi="Times New Roman" w:cs="Times New Roman"/>
              <w:b/>
              <w:bCs/>
              <w:sz w:val="28"/>
              <w:szCs w:val="28"/>
              <w:lang w:val="en-IN"/>
            </w:rPr>
          </w:pPr>
          <w:r w:rsidRPr="00AC52CF">
            <w:rPr>
              <w:rFonts w:ascii="Times New Roman" w:hAnsi="Times New Roman" w:cs="Times New Roman"/>
              <w:b/>
              <w:bCs/>
              <w:sz w:val="28"/>
              <w:szCs w:val="28"/>
              <w:lang w:val="en-US"/>
            </w:rPr>
            <w:t>A Systematic Literature Review (2010–2024)</w:t>
          </w:r>
        </w:p>
        <w:p w14:paraId="24ECA492" w14:textId="77777777" w:rsidR="00AC52CF" w:rsidRPr="008B1A94" w:rsidRDefault="00AC52CF" w:rsidP="00AC52CF">
          <w:pPr>
            <w:spacing w:line="360" w:lineRule="auto"/>
            <w:jc w:val="center"/>
            <w:rPr>
              <w:rFonts w:ascii="Times New Roman" w:hAnsi="Times New Roman" w:cs="Times New Roman"/>
              <w:b/>
              <w:bCs/>
              <w:sz w:val="28"/>
              <w:szCs w:val="28"/>
            </w:rPr>
          </w:pPr>
          <w:r w:rsidRPr="008B1A94">
            <w:rPr>
              <w:rFonts w:ascii="Times New Roman" w:hAnsi="Times New Roman" w:cs="Times New Roman"/>
              <w:b/>
              <w:bCs/>
              <w:sz w:val="28"/>
              <w:szCs w:val="28"/>
            </w:rPr>
            <w:t>A DISSERTATION</w:t>
          </w:r>
        </w:p>
        <w:p w14:paraId="25724AAF" w14:textId="037513F3" w:rsidR="00AC52CF" w:rsidRPr="008B1A94" w:rsidRDefault="00AC52CF" w:rsidP="00AC52CF">
          <w:pPr>
            <w:spacing w:line="360" w:lineRule="auto"/>
            <w:jc w:val="center"/>
            <w:rPr>
              <w:rFonts w:ascii="Times New Roman" w:hAnsi="Times New Roman" w:cs="Times New Roman"/>
              <w:b/>
              <w:bCs/>
              <w:sz w:val="28"/>
              <w:szCs w:val="28"/>
            </w:rPr>
          </w:pPr>
          <w:r w:rsidRPr="008B1A94">
            <w:rPr>
              <w:rFonts w:ascii="Times New Roman" w:hAnsi="Times New Roman" w:cs="Times New Roman"/>
              <w:b/>
              <w:bCs/>
              <w:sz w:val="28"/>
              <w:szCs w:val="28"/>
            </w:rPr>
            <w:t xml:space="preserve">Submitted to </w:t>
          </w:r>
          <w:r w:rsidR="00453987">
            <w:rPr>
              <w:rFonts w:ascii="Times New Roman" w:hAnsi="Times New Roman" w:cs="Times New Roman"/>
              <w:b/>
              <w:bCs/>
              <w:sz w:val="28"/>
              <w:szCs w:val="28"/>
            </w:rPr>
            <w:t>University of Wales Trinity Saint David</w:t>
          </w:r>
        </w:p>
        <w:p w14:paraId="2CA7E6A7" w14:textId="7E1FE1DE" w:rsidR="00AC52CF" w:rsidRPr="008B1A94" w:rsidRDefault="00AC52CF" w:rsidP="00453987">
          <w:pPr>
            <w:spacing w:line="360" w:lineRule="auto"/>
            <w:jc w:val="center"/>
            <w:rPr>
              <w:rFonts w:ascii="Times New Roman" w:hAnsi="Times New Roman" w:cs="Times New Roman"/>
              <w:b/>
              <w:bCs/>
            </w:rPr>
          </w:pPr>
          <w:r w:rsidRPr="008B1A94">
            <w:rPr>
              <w:rFonts w:ascii="Times New Roman" w:hAnsi="Times New Roman" w:cs="Times New Roman"/>
              <w:b/>
              <w:bCs/>
            </w:rPr>
            <w:t>In partial fulfilment of the requirements for the degree o</w:t>
          </w:r>
          <w:r w:rsidR="00453987">
            <w:rPr>
              <w:rFonts w:ascii="Times New Roman" w:hAnsi="Times New Roman" w:cs="Times New Roman"/>
              <w:b/>
              <w:bCs/>
            </w:rPr>
            <w:t>f MBA(IBM)</w:t>
          </w:r>
        </w:p>
        <w:p w14:paraId="40486EA8" w14:textId="2829023A" w:rsidR="00AC52CF" w:rsidRPr="008B1A94" w:rsidRDefault="00AC52CF" w:rsidP="00453987">
          <w:pPr>
            <w:spacing w:line="360" w:lineRule="auto"/>
            <w:jc w:val="center"/>
            <w:rPr>
              <w:rFonts w:ascii="Times New Roman" w:hAnsi="Times New Roman" w:cs="Times New Roman"/>
              <w:b/>
              <w:bCs/>
            </w:rPr>
          </w:pPr>
          <w:r w:rsidRPr="008B1A94">
            <w:rPr>
              <w:rFonts w:ascii="Times New Roman" w:hAnsi="Times New Roman" w:cs="Times New Roman"/>
              <w:b/>
              <w:bCs/>
            </w:rPr>
            <w:t>Prepared by:</w:t>
          </w:r>
        </w:p>
        <w:p w14:paraId="35CA02A4" w14:textId="48473938" w:rsidR="00AC52CF" w:rsidRPr="008B1A94" w:rsidRDefault="00AC52CF" w:rsidP="00453987">
          <w:pPr>
            <w:spacing w:line="360" w:lineRule="auto"/>
            <w:jc w:val="center"/>
            <w:rPr>
              <w:rFonts w:ascii="Times New Roman" w:hAnsi="Times New Roman" w:cs="Times New Roman"/>
            </w:rPr>
          </w:pPr>
          <w:r w:rsidRPr="008B1A94">
            <w:rPr>
              <w:rFonts w:ascii="Times New Roman" w:hAnsi="Times New Roman" w:cs="Times New Roman"/>
              <w:b/>
              <w:bCs/>
            </w:rPr>
            <w:t xml:space="preserve">Name: </w:t>
          </w:r>
          <w:r>
            <w:rPr>
              <w:rFonts w:ascii="Times New Roman" w:hAnsi="Times New Roman" w:cs="Times New Roman"/>
            </w:rPr>
            <w:t>Niranjan Loganathan</w:t>
          </w:r>
        </w:p>
        <w:p w14:paraId="21D41EBA" w14:textId="4780B7F4" w:rsidR="00AC52CF" w:rsidRPr="008B1A94" w:rsidRDefault="00AC52CF" w:rsidP="00453987">
          <w:pPr>
            <w:spacing w:line="360" w:lineRule="auto"/>
            <w:jc w:val="center"/>
            <w:rPr>
              <w:rFonts w:ascii="Times New Roman" w:hAnsi="Times New Roman" w:cs="Times New Roman"/>
            </w:rPr>
          </w:pPr>
          <w:r w:rsidRPr="008B1A94">
            <w:rPr>
              <w:rFonts w:ascii="Times New Roman" w:hAnsi="Times New Roman" w:cs="Times New Roman"/>
              <w:b/>
              <w:bCs/>
            </w:rPr>
            <w:t>Student ID:</w:t>
          </w:r>
          <w:r w:rsidRPr="008B1A94">
            <w:rPr>
              <w:rFonts w:ascii="Times New Roman" w:hAnsi="Times New Roman" w:cs="Times New Roman"/>
            </w:rPr>
            <w:t xml:space="preserve"> </w:t>
          </w:r>
          <w:r w:rsidR="00453987">
            <w:rPr>
              <w:rFonts w:ascii="Times New Roman" w:hAnsi="Times New Roman" w:cs="Times New Roman"/>
            </w:rPr>
            <w:t>2424023</w:t>
          </w:r>
        </w:p>
        <w:p w14:paraId="61AB948B" w14:textId="06D677D2" w:rsidR="00AC52CF" w:rsidRPr="008B1A94" w:rsidRDefault="00AC52CF" w:rsidP="00453987">
          <w:pPr>
            <w:spacing w:line="360" w:lineRule="auto"/>
            <w:jc w:val="center"/>
            <w:rPr>
              <w:rFonts w:ascii="Times New Roman" w:hAnsi="Times New Roman" w:cs="Times New Roman"/>
              <w:b/>
              <w:bCs/>
            </w:rPr>
          </w:pPr>
          <w:r w:rsidRPr="008B1A94">
            <w:rPr>
              <w:rFonts w:ascii="Times New Roman" w:hAnsi="Times New Roman" w:cs="Times New Roman"/>
              <w:b/>
              <w:bCs/>
            </w:rPr>
            <w:t xml:space="preserve">Supervised by: </w:t>
          </w:r>
          <w:r w:rsidR="00453987">
            <w:rPr>
              <w:rFonts w:ascii="Times New Roman" w:hAnsi="Times New Roman" w:cs="Times New Roman"/>
              <w:b/>
              <w:bCs/>
            </w:rPr>
            <w:t>Dr John Harris</w:t>
          </w:r>
        </w:p>
        <w:p w14:paraId="0E6E8392" w14:textId="06B5F0B7" w:rsidR="00AC52CF" w:rsidRPr="008B1A94" w:rsidRDefault="00AC52CF" w:rsidP="00453987">
          <w:pPr>
            <w:spacing w:line="360" w:lineRule="auto"/>
            <w:jc w:val="center"/>
            <w:rPr>
              <w:rFonts w:ascii="Times New Roman" w:hAnsi="Times New Roman" w:cs="Times New Roman"/>
            </w:rPr>
          </w:pPr>
          <w:r w:rsidRPr="008B1A94">
            <w:rPr>
              <w:rFonts w:ascii="Times New Roman" w:hAnsi="Times New Roman" w:cs="Times New Roman"/>
              <w:b/>
              <w:bCs/>
            </w:rPr>
            <w:t xml:space="preserve">Submission Day: </w:t>
          </w:r>
          <w:r>
            <w:rPr>
              <w:rFonts w:ascii="Times New Roman" w:hAnsi="Times New Roman" w:cs="Times New Roman"/>
            </w:rPr>
            <w:t>0</w:t>
          </w:r>
          <w:r w:rsidR="00453987">
            <w:rPr>
              <w:rFonts w:ascii="Times New Roman" w:hAnsi="Times New Roman" w:cs="Times New Roman"/>
            </w:rPr>
            <w:t>7</w:t>
          </w:r>
          <w:r>
            <w:rPr>
              <w:rFonts w:ascii="Times New Roman" w:hAnsi="Times New Roman" w:cs="Times New Roman"/>
            </w:rPr>
            <w:t>/01/2026</w:t>
          </w:r>
        </w:p>
        <w:p w14:paraId="40BA412B" w14:textId="77777777" w:rsidR="00AC52CF" w:rsidRPr="008B1A94" w:rsidRDefault="00AC52CF" w:rsidP="00453987">
          <w:pPr>
            <w:spacing w:line="360" w:lineRule="auto"/>
            <w:jc w:val="center"/>
            <w:rPr>
              <w:rFonts w:ascii="Times New Roman" w:hAnsi="Times New Roman" w:cs="Times New Roman"/>
            </w:rPr>
          </w:pPr>
          <w:r w:rsidRPr="008B1A94">
            <w:rPr>
              <w:rFonts w:ascii="Times New Roman" w:hAnsi="Times New Roman" w:cs="Times New Roman"/>
              <w:b/>
              <w:bCs/>
            </w:rPr>
            <w:t xml:space="preserve">Word Count: </w:t>
          </w:r>
          <w:r w:rsidRPr="00C72A36">
            <w:rPr>
              <w:rFonts w:ascii="Times New Roman" w:hAnsi="Times New Roman" w:cs="Times New Roman"/>
            </w:rPr>
            <w:t>1</w:t>
          </w:r>
          <w:r w:rsidR="00C72A36" w:rsidRPr="00C72A36">
            <w:rPr>
              <w:rFonts w:ascii="Times New Roman" w:hAnsi="Times New Roman" w:cs="Times New Roman"/>
            </w:rPr>
            <w:t>5000</w:t>
          </w:r>
          <w:r w:rsidRPr="00C72A36">
            <w:rPr>
              <w:rFonts w:ascii="Times New Roman" w:hAnsi="Times New Roman" w:cs="Times New Roman"/>
            </w:rPr>
            <w:t xml:space="preserve"> words (Excluding Appendix and References)</w:t>
          </w:r>
        </w:p>
        <w:p w14:paraId="4462F340" w14:textId="77777777" w:rsidR="00AC52CF" w:rsidRPr="008B1A94" w:rsidRDefault="00AC52CF" w:rsidP="00AC52CF">
          <w:pPr>
            <w:spacing w:line="360" w:lineRule="auto"/>
            <w:jc w:val="both"/>
            <w:rPr>
              <w:rFonts w:ascii="Times New Roman" w:hAnsi="Times New Roman" w:cs="Times New Roman"/>
              <w:b/>
              <w:bCs/>
            </w:rPr>
          </w:pPr>
        </w:p>
        <w:p w14:paraId="231AB5EB" w14:textId="77777777" w:rsidR="00AC52CF" w:rsidRDefault="00AC52CF" w:rsidP="00FA69AA">
          <w:pPr>
            <w:pStyle w:val="TOCHeading"/>
            <w:rPr>
              <w:rFonts w:ascii="Arial" w:hAnsi="Arial" w:cs="Arial"/>
              <w:lang w:val="en-GB"/>
            </w:rPr>
          </w:pPr>
        </w:p>
        <w:p w14:paraId="52C1BFC7" w14:textId="77777777" w:rsidR="00AC52CF" w:rsidRDefault="00AC52CF" w:rsidP="00FA69AA">
          <w:pPr>
            <w:pStyle w:val="TOCHeading"/>
            <w:rPr>
              <w:rFonts w:ascii="Arial" w:hAnsi="Arial" w:cs="Arial"/>
              <w:lang w:val="en-GB"/>
            </w:rPr>
          </w:pPr>
        </w:p>
        <w:p w14:paraId="6DE7131A" w14:textId="77777777" w:rsidR="00AC52CF" w:rsidRDefault="00AC52CF" w:rsidP="00AC52CF"/>
        <w:p w14:paraId="54D4B62B" w14:textId="77777777" w:rsidR="00AC52CF" w:rsidRDefault="00AC52CF" w:rsidP="00AC52CF"/>
        <w:p w14:paraId="7F5D74D8" w14:textId="77777777" w:rsidR="00AC52CF" w:rsidRDefault="00AC52CF" w:rsidP="00AC52CF"/>
        <w:p w14:paraId="3F5891E2" w14:textId="77777777" w:rsidR="00AC52CF" w:rsidRDefault="00AC52CF" w:rsidP="00AC52CF"/>
        <w:p w14:paraId="43E1580E" w14:textId="77777777" w:rsidR="00AC52CF" w:rsidRDefault="00AC52CF" w:rsidP="00AC52CF"/>
        <w:p w14:paraId="36FBD978" w14:textId="77777777" w:rsidR="00AC52CF" w:rsidRPr="00AC52CF" w:rsidRDefault="00AC52CF" w:rsidP="00AC52CF"/>
        <w:p w14:paraId="76D295E6" w14:textId="77777777" w:rsidR="00AC52CF" w:rsidRDefault="00AC52CF" w:rsidP="00FA69AA">
          <w:pPr>
            <w:pStyle w:val="TOCHeading"/>
            <w:rPr>
              <w:rFonts w:ascii="Arial" w:hAnsi="Arial" w:cs="Arial"/>
              <w:lang w:val="en-GB"/>
            </w:rPr>
          </w:pPr>
        </w:p>
        <w:p w14:paraId="07CD996F" w14:textId="77777777" w:rsidR="00FA69AA" w:rsidRPr="00AC52CF" w:rsidRDefault="00FA69AA" w:rsidP="00FA69AA">
          <w:pPr>
            <w:pStyle w:val="TOCHeading"/>
            <w:rPr>
              <w:rFonts w:ascii="Arial" w:eastAsiaTheme="minorHAnsi" w:hAnsi="Arial" w:cs="Arial"/>
              <w:color w:val="auto"/>
              <w:kern w:val="2"/>
              <w:sz w:val="24"/>
              <w:szCs w:val="24"/>
              <w:lang w:val="en-GB"/>
              <w14:ligatures w14:val="standardContextual"/>
            </w:rPr>
          </w:pPr>
          <w:r w:rsidRPr="002A2A3D">
            <w:rPr>
              <w:rFonts w:ascii="Arial" w:hAnsi="Arial" w:cs="Arial"/>
              <w:lang w:val="en-GB"/>
            </w:rPr>
            <w:t>Table of Contents</w:t>
          </w:r>
        </w:p>
        <w:p w14:paraId="7583FAFB" w14:textId="77777777" w:rsidR="00874836" w:rsidRDefault="00FA69AA">
          <w:pPr>
            <w:pStyle w:val="TOC1"/>
            <w:tabs>
              <w:tab w:val="right" w:leader="dot" w:pos="9016"/>
            </w:tabs>
            <w:rPr>
              <w:rFonts w:eastAsiaTheme="minorEastAsia"/>
              <w:noProof/>
              <w:lang w:val="en-IN" w:eastAsia="en-IN"/>
            </w:rPr>
          </w:pPr>
          <w:r w:rsidRPr="002A2A3D">
            <w:rPr>
              <w:rFonts w:ascii="Arial" w:hAnsi="Arial" w:cs="Arial"/>
            </w:rPr>
            <w:fldChar w:fldCharType="begin"/>
          </w:r>
          <w:r w:rsidRPr="002A2A3D">
            <w:rPr>
              <w:rFonts w:ascii="Arial" w:hAnsi="Arial" w:cs="Arial"/>
            </w:rPr>
            <w:instrText xml:space="preserve"> TOC \o "1-3" \h \z \u </w:instrText>
          </w:r>
          <w:r w:rsidRPr="002A2A3D">
            <w:rPr>
              <w:rFonts w:ascii="Arial" w:hAnsi="Arial" w:cs="Arial"/>
            </w:rPr>
            <w:fldChar w:fldCharType="separate"/>
          </w:r>
          <w:hyperlink w:anchor="_Toc218462573" w:history="1">
            <w:r w:rsidR="00874836" w:rsidRPr="005A72A5">
              <w:rPr>
                <w:rStyle w:val="Hyperlink"/>
                <w:rFonts w:ascii="Arial" w:hAnsi="Arial" w:cs="Arial"/>
                <w:noProof/>
              </w:rPr>
              <w:t>Chapter 1: Introduction</w:t>
            </w:r>
            <w:r w:rsidR="00874836">
              <w:rPr>
                <w:noProof/>
                <w:webHidden/>
              </w:rPr>
              <w:tab/>
            </w:r>
            <w:r w:rsidR="00874836">
              <w:rPr>
                <w:noProof/>
                <w:webHidden/>
              </w:rPr>
              <w:fldChar w:fldCharType="begin"/>
            </w:r>
            <w:r w:rsidR="00874836">
              <w:rPr>
                <w:noProof/>
                <w:webHidden/>
              </w:rPr>
              <w:instrText xml:space="preserve"> PAGEREF _Toc218462573 \h </w:instrText>
            </w:r>
            <w:r w:rsidR="00874836">
              <w:rPr>
                <w:noProof/>
                <w:webHidden/>
              </w:rPr>
            </w:r>
            <w:r w:rsidR="00874836">
              <w:rPr>
                <w:noProof/>
                <w:webHidden/>
              </w:rPr>
              <w:fldChar w:fldCharType="separate"/>
            </w:r>
            <w:r w:rsidR="00874836">
              <w:rPr>
                <w:noProof/>
                <w:webHidden/>
              </w:rPr>
              <w:t>3</w:t>
            </w:r>
            <w:r w:rsidR="00874836">
              <w:rPr>
                <w:noProof/>
                <w:webHidden/>
              </w:rPr>
              <w:fldChar w:fldCharType="end"/>
            </w:r>
          </w:hyperlink>
        </w:p>
        <w:p w14:paraId="63407035" w14:textId="77777777" w:rsidR="00874836" w:rsidRDefault="00874836">
          <w:pPr>
            <w:pStyle w:val="TOC2"/>
            <w:tabs>
              <w:tab w:val="right" w:leader="dot" w:pos="9016"/>
            </w:tabs>
            <w:rPr>
              <w:rFonts w:eastAsiaTheme="minorEastAsia"/>
              <w:noProof/>
              <w:lang w:val="en-IN" w:eastAsia="en-IN"/>
            </w:rPr>
          </w:pPr>
          <w:hyperlink w:anchor="_Toc218462574" w:history="1">
            <w:r w:rsidRPr="005A72A5">
              <w:rPr>
                <w:rStyle w:val="Hyperlink"/>
                <w:rFonts w:ascii="Arial" w:hAnsi="Arial" w:cs="Arial"/>
                <w:noProof/>
              </w:rPr>
              <w:t>1.1. Background and Context</w:t>
            </w:r>
            <w:r>
              <w:rPr>
                <w:noProof/>
                <w:webHidden/>
              </w:rPr>
              <w:tab/>
            </w:r>
            <w:r>
              <w:rPr>
                <w:noProof/>
                <w:webHidden/>
              </w:rPr>
              <w:fldChar w:fldCharType="begin"/>
            </w:r>
            <w:r>
              <w:rPr>
                <w:noProof/>
                <w:webHidden/>
              </w:rPr>
              <w:instrText xml:space="preserve"> PAGEREF _Toc218462574 \h </w:instrText>
            </w:r>
            <w:r>
              <w:rPr>
                <w:noProof/>
                <w:webHidden/>
              </w:rPr>
            </w:r>
            <w:r>
              <w:rPr>
                <w:noProof/>
                <w:webHidden/>
              </w:rPr>
              <w:fldChar w:fldCharType="separate"/>
            </w:r>
            <w:r>
              <w:rPr>
                <w:noProof/>
                <w:webHidden/>
              </w:rPr>
              <w:t>3</w:t>
            </w:r>
            <w:r>
              <w:rPr>
                <w:noProof/>
                <w:webHidden/>
              </w:rPr>
              <w:fldChar w:fldCharType="end"/>
            </w:r>
          </w:hyperlink>
        </w:p>
        <w:p w14:paraId="3A1D995D" w14:textId="77777777" w:rsidR="00874836" w:rsidRDefault="00874836">
          <w:pPr>
            <w:pStyle w:val="TOC2"/>
            <w:tabs>
              <w:tab w:val="right" w:leader="dot" w:pos="9016"/>
            </w:tabs>
            <w:rPr>
              <w:rFonts w:eastAsiaTheme="minorEastAsia"/>
              <w:noProof/>
              <w:lang w:val="en-IN" w:eastAsia="en-IN"/>
            </w:rPr>
          </w:pPr>
          <w:hyperlink w:anchor="_Toc218462575" w:history="1">
            <w:r w:rsidRPr="005A72A5">
              <w:rPr>
                <w:rStyle w:val="Hyperlink"/>
                <w:rFonts w:ascii="Arial" w:hAnsi="Arial" w:cs="Arial"/>
                <w:noProof/>
              </w:rPr>
              <w:t>1.2. Research Problem and Motivation</w:t>
            </w:r>
            <w:r>
              <w:rPr>
                <w:noProof/>
                <w:webHidden/>
              </w:rPr>
              <w:tab/>
            </w:r>
            <w:r>
              <w:rPr>
                <w:noProof/>
                <w:webHidden/>
              </w:rPr>
              <w:fldChar w:fldCharType="begin"/>
            </w:r>
            <w:r>
              <w:rPr>
                <w:noProof/>
                <w:webHidden/>
              </w:rPr>
              <w:instrText xml:space="preserve"> PAGEREF _Toc218462575 \h </w:instrText>
            </w:r>
            <w:r>
              <w:rPr>
                <w:noProof/>
                <w:webHidden/>
              </w:rPr>
            </w:r>
            <w:r>
              <w:rPr>
                <w:noProof/>
                <w:webHidden/>
              </w:rPr>
              <w:fldChar w:fldCharType="separate"/>
            </w:r>
            <w:r>
              <w:rPr>
                <w:noProof/>
                <w:webHidden/>
              </w:rPr>
              <w:t>4</w:t>
            </w:r>
            <w:r>
              <w:rPr>
                <w:noProof/>
                <w:webHidden/>
              </w:rPr>
              <w:fldChar w:fldCharType="end"/>
            </w:r>
          </w:hyperlink>
        </w:p>
        <w:p w14:paraId="1C916525" w14:textId="77777777" w:rsidR="00874836" w:rsidRDefault="00874836">
          <w:pPr>
            <w:pStyle w:val="TOC2"/>
            <w:tabs>
              <w:tab w:val="right" w:leader="dot" w:pos="9016"/>
            </w:tabs>
            <w:rPr>
              <w:rFonts w:eastAsiaTheme="minorEastAsia"/>
              <w:noProof/>
              <w:lang w:val="en-IN" w:eastAsia="en-IN"/>
            </w:rPr>
          </w:pPr>
          <w:hyperlink w:anchor="_Toc218462576" w:history="1">
            <w:r w:rsidRPr="005A72A5">
              <w:rPr>
                <w:rStyle w:val="Hyperlink"/>
                <w:rFonts w:ascii="Arial" w:hAnsi="Arial" w:cs="Arial"/>
                <w:noProof/>
              </w:rPr>
              <w:t>1.3. Aim and Objectives</w:t>
            </w:r>
            <w:r>
              <w:rPr>
                <w:noProof/>
                <w:webHidden/>
              </w:rPr>
              <w:tab/>
            </w:r>
            <w:r>
              <w:rPr>
                <w:noProof/>
                <w:webHidden/>
              </w:rPr>
              <w:fldChar w:fldCharType="begin"/>
            </w:r>
            <w:r>
              <w:rPr>
                <w:noProof/>
                <w:webHidden/>
              </w:rPr>
              <w:instrText xml:space="preserve"> PAGEREF _Toc218462576 \h </w:instrText>
            </w:r>
            <w:r>
              <w:rPr>
                <w:noProof/>
                <w:webHidden/>
              </w:rPr>
            </w:r>
            <w:r>
              <w:rPr>
                <w:noProof/>
                <w:webHidden/>
              </w:rPr>
              <w:fldChar w:fldCharType="separate"/>
            </w:r>
            <w:r>
              <w:rPr>
                <w:noProof/>
                <w:webHidden/>
              </w:rPr>
              <w:t>4</w:t>
            </w:r>
            <w:r>
              <w:rPr>
                <w:noProof/>
                <w:webHidden/>
              </w:rPr>
              <w:fldChar w:fldCharType="end"/>
            </w:r>
          </w:hyperlink>
        </w:p>
        <w:p w14:paraId="10E2068C" w14:textId="77777777" w:rsidR="00874836" w:rsidRDefault="00874836">
          <w:pPr>
            <w:pStyle w:val="TOC2"/>
            <w:tabs>
              <w:tab w:val="right" w:leader="dot" w:pos="9016"/>
            </w:tabs>
            <w:rPr>
              <w:rFonts w:eastAsiaTheme="minorEastAsia"/>
              <w:noProof/>
              <w:lang w:val="en-IN" w:eastAsia="en-IN"/>
            </w:rPr>
          </w:pPr>
          <w:hyperlink w:anchor="_Toc218462577" w:history="1">
            <w:r w:rsidRPr="005A72A5">
              <w:rPr>
                <w:rStyle w:val="Hyperlink"/>
                <w:rFonts w:ascii="Arial" w:hAnsi="Arial" w:cs="Arial"/>
                <w:noProof/>
              </w:rPr>
              <w:t>1.4. Methodological Approach</w:t>
            </w:r>
            <w:r>
              <w:rPr>
                <w:noProof/>
                <w:webHidden/>
              </w:rPr>
              <w:tab/>
            </w:r>
            <w:r>
              <w:rPr>
                <w:noProof/>
                <w:webHidden/>
              </w:rPr>
              <w:fldChar w:fldCharType="begin"/>
            </w:r>
            <w:r>
              <w:rPr>
                <w:noProof/>
                <w:webHidden/>
              </w:rPr>
              <w:instrText xml:space="preserve"> PAGEREF _Toc218462577 \h </w:instrText>
            </w:r>
            <w:r>
              <w:rPr>
                <w:noProof/>
                <w:webHidden/>
              </w:rPr>
            </w:r>
            <w:r>
              <w:rPr>
                <w:noProof/>
                <w:webHidden/>
              </w:rPr>
              <w:fldChar w:fldCharType="separate"/>
            </w:r>
            <w:r>
              <w:rPr>
                <w:noProof/>
                <w:webHidden/>
              </w:rPr>
              <w:t>5</w:t>
            </w:r>
            <w:r>
              <w:rPr>
                <w:noProof/>
                <w:webHidden/>
              </w:rPr>
              <w:fldChar w:fldCharType="end"/>
            </w:r>
          </w:hyperlink>
        </w:p>
        <w:p w14:paraId="4A21F4FC" w14:textId="77777777" w:rsidR="00874836" w:rsidRDefault="00874836">
          <w:pPr>
            <w:pStyle w:val="TOC2"/>
            <w:tabs>
              <w:tab w:val="right" w:leader="dot" w:pos="9016"/>
            </w:tabs>
            <w:rPr>
              <w:rFonts w:eastAsiaTheme="minorEastAsia"/>
              <w:noProof/>
              <w:lang w:val="en-IN" w:eastAsia="en-IN"/>
            </w:rPr>
          </w:pPr>
          <w:hyperlink w:anchor="_Toc218462578" w:history="1">
            <w:r w:rsidRPr="005A72A5">
              <w:rPr>
                <w:rStyle w:val="Hyperlink"/>
                <w:rFonts w:ascii="Arial" w:hAnsi="Arial" w:cs="Arial"/>
                <w:noProof/>
              </w:rPr>
              <w:t>1.5. Structure of the Dissertation</w:t>
            </w:r>
            <w:r>
              <w:rPr>
                <w:noProof/>
                <w:webHidden/>
              </w:rPr>
              <w:tab/>
            </w:r>
            <w:r>
              <w:rPr>
                <w:noProof/>
                <w:webHidden/>
              </w:rPr>
              <w:fldChar w:fldCharType="begin"/>
            </w:r>
            <w:r>
              <w:rPr>
                <w:noProof/>
                <w:webHidden/>
              </w:rPr>
              <w:instrText xml:space="preserve"> PAGEREF _Toc218462578 \h </w:instrText>
            </w:r>
            <w:r>
              <w:rPr>
                <w:noProof/>
                <w:webHidden/>
              </w:rPr>
            </w:r>
            <w:r>
              <w:rPr>
                <w:noProof/>
                <w:webHidden/>
              </w:rPr>
              <w:fldChar w:fldCharType="separate"/>
            </w:r>
            <w:r>
              <w:rPr>
                <w:noProof/>
                <w:webHidden/>
              </w:rPr>
              <w:t>5</w:t>
            </w:r>
            <w:r>
              <w:rPr>
                <w:noProof/>
                <w:webHidden/>
              </w:rPr>
              <w:fldChar w:fldCharType="end"/>
            </w:r>
          </w:hyperlink>
        </w:p>
        <w:p w14:paraId="13C0565E" w14:textId="77777777" w:rsidR="00874836" w:rsidRDefault="00874836">
          <w:pPr>
            <w:pStyle w:val="TOC1"/>
            <w:tabs>
              <w:tab w:val="right" w:leader="dot" w:pos="9016"/>
            </w:tabs>
            <w:rPr>
              <w:rFonts w:eastAsiaTheme="minorEastAsia"/>
              <w:noProof/>
              <w:lang w:val="en-IN" w:eastAsia="en-IN"/>
            </w:rPr>
          </w:pPr>
          <w:hyperlink w:anchor="_Toc218462579" w:history="1">
            <w:r w:rsidRPr="005A72A5">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_Toc218462579 \h </w:instrText>
            </w:r>
            <w:r>
              <w:rPr>
                <w:noProof/>
                <w:webHidden/>
              </w:rPr>
            </w:r>
            <w:r>
              <w:rPr>
                <w:noProof/>
                <w:webHidden/>
              </w:rPr>
              <w:fldChar w:fldCharType="separate"/>
            </w:r>
            <w:r>
              <w:rPr>
                <w:noProof/>
                <w:webHidden/>
              </w:rPr>
              <w:t>5</w:t>
            </w:r>
            <w:r>
              <w:rPr>
                <w:noProof/>
                <w:webHidden/>
              </w:rPr>
              <w:fldChar w:fldCharType="end"/>
            </w:r>
          </w:hyperlink>
        </w:p>
        <w:p w14:paraId="54BE206D" w14:textId="77777777" w:rsidR="00874836" w:rsidRDefault="00874836">
          <w:pPr>
            <w:pStyle w:val="TOC2"/>
            <w:tabs>
              <w:tab w:val="right" w:leader="dot" w:pos="9016"/>
            </w:tabs>
            <w:rPr>
              <w:rFonts w:eastAsiaTheme="minorEastAsia"/>
              <w:noProof/>
              <w:lang w:val="en-IN" w:eastAsia="en-IN"/>
            </w:rPr>
          </w:pPr>
          <w:hyperlink w:anchor="_Toc218462580" w:history="1">
            <w:r w:rsidRPr="005A72A5">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_Toc218462580 \h </w:instrText>
            </w:r>
            <w:r>
              <w:rPr>
                <w:noProof/>
                <w:webHidden/>
              </w:rPr>
            </w:r>
            <w:r>
              <w:rPr>
                <w:noProof/>
                <w:webHidden/>
              </w:rPr>
              <w:fldChar w:fldCharType="separate"/>
            </w:r>
            <w:r>
              <w:rPr>
                <w:noProof/>
                <w:webHidden/>
              </w:rPr>
              <w:t>5</w:t>
            </w:r>
            <w:r>
              <w:rPr>
                <w:noProof/>
                <w:webHidden/>
              </w:rPr>
              <w:fldChar w:fldCharType="end"/>
            </w:r>
          </w:hyperlink>
        </w:p>
        <w:p w14:paraId="1CEECBFE" w14:textId="77777777" w:rsidR="00874836" w:rsidRDefault="00874836">
          <w:pPr>
            <w:pStyle w:val="TOC2"/>
            <w:tabs>
              <w:tab w:val="right" w:leader="dot" w:pos="9016"/>
            </w:tabs>
            <w:rPr>
              <w:rFonts w:eastAsiaTheme="minorEastAsia"/>
              <w:noProof/>
              <w:lang w:val="en-IN" w:eastAsia="en-IN"/>
            </w:rPr>
          </w:pPr>
          <w:hyperlink w:anchor="_Toc218462581" w:history="1">
            <w:r w:rsidRPr="005A72A5">
              <w:rPr>
                <w:rStyle w:val="Hyperlink"/>
                <w:rFonts w:ascii="Arial" w:hAnsi="Arial" w:cs="Arial"/>
                <w:noProof/>
              </w:rPr>
              <w:t>2.2. Theoretical Foundations of Exchange-Rate Volatility and Trade</w:t>
            </w:r>
            <w:r>
              <w:rPr>
                <w:noProof/>
                <w:webHidden/>
              </w:rPr>
              <w:tab/>
            </w:r>
            <w:r>
              <w:rPr>
                <w:noProof/>
                <w:webHidden/>
              </w:rPr>
              <w:fldChar w:fldCharType="begin"/>
            </w:r>
            <w:r>
              <w:rPr>
                <w:noProof/>
                <w:webHidden/>
              </w:rPr>
              <w:instrText xml:space="preserve"> PAGEREF _Toc218462581 \h </w:instrText>
            </w:r>
            <w:r>
              <w:rPr>
                <w:noProof/>
                <w:webHidden/>
              </w:rPr>
            </w:r>
            <w:r>
              <w:rPr>
                <w:noProof/>
                <w:webHidden/>
              </w:rPr>
              <w:fldChar w:fldCharType="separate"/>
            </w:r>
            <w:r>
              <w:rPr>
                <w:noProof/>
                <w:webHidden/>
              </w:rPr>
              <w:t>6</w:t>
            </w:r>
            <w:r>
              <w:rPr>
                <w:noProof/>
                <w:webHidden/>
              </w:rPr>
              <w:fldChar w:fldCharType="end"/>
            </w:r>
          </w:hyperlink>
        </w:p>
        <w:p w14:paraId="10149350" w14:textId="77777777" w:rsidR="00874836" w:rsidRDefault="00874836">
          <w:pPr>
            <w:pStyle w:val="TOC2"/>
            <w:tabs>
              <w:tab w:val="right" w:leader="dot" w:pos="9016"/>
            </w:tabs>
            <w:rPr>
              <w:rFonts w:eastAsiaTheme="minorEastAsia"/>
              <w:noProof/>
              <w:lang w:val="en-IN" w:eastAsia="en-IN"/>
            </w:rPr>
          </w:pPr>
          <w:hyperlink w:anchor="_Toc218462582" w:history="1">
            <w:r w:rsidRPr="005A72A5">
              <w:rPr>
                <w:rStyle w:val="Hyperlink"/>
                <w:rFonts w:ascii="Arial" w:hAnsi="Arial" w:cs="Arial"/>
                <w:noProof/>
              </w:rPr>
              <w:t>2.3. Global and Regional Evidence on Exchange-Rate Volatility</w:t>
            </w:r>
            <w:r>
              <w:rPr>
                <w:noProof/>
                <w:webHidden/>
              </w:rPr>
              <w:tab/>
            </w:r>
            <w:r>
              <w:rPr>
                <w:noProof/>
                <w:webHidden/>
              </w:rPr>
              <w:fldChar w:fldCharType="begin"/>
            </w:r>
            <w:r>
              <w:rPr>
                <w:noProof/>
                <w:webHidden/>
              </w:rPr>
              <w:instrText xml:space="preserve"> PAGEREF _Toc218462582 \h </w:instrText>
            </w:r>
            <w:r>
              <w:rPr>
                <w:noProof/>
                <w:webHidden/>
              </w:rPr>
            </w:r>
            <w:r>
              <w:rPr>
                <w:noProof/>
                <w:webHidden/>
              </w:rPr>
              <w:fldChar w:fldCharType="separate"/>
            </w:r>
            <w:r>
              <w:rPr>
                <w:noProof/>
                <w:webHidden/>
              </w:rPr>
              <w:t>8</w:t>
            </w:r>
            <w:r>
              <w:rPr>
                <w:noProof/>
                <w:webHidden/>
              </w:rPr>
              <w:fldChar w:fldCharType="end"/>
            </w:r>
          </w:hyperlink>
        </w:p>
        <w:p w14:paraId="006414D8" w14:textId="77777777" w:rsidR="00874836" w:rsidRDefault="00874836">
          <w:pPr>
            <w:pStyle w:val="TOC2"/>
            <w:tabs>
              <w:tab w:val="right" w:leader="dot" w:pos="9016"/>
            </w:tabs>
            <w:rPr>
              <w:rFonts w:eastAsiaTheme="minorEastAsia"/>
              <w:noProof/>
              <w:lang w:val="en-IN" w:eastAsia="en-IN"/>
            </w:rPr>
          </w:pPr>
          <w:hyperlink w:anchor="_Toc218462583" w:history="1">
            <w:r w:rsidRPr="005A72A5">
              <w:rPr>
                <w:rStyle w:val="Hyperlink"/>
                <w:rFonts w:ascii="Arial" w:hAnsi="Arial" w:cs="Arial"/>
                <w:noProof/>
              </w:rPr>
              <w:t>2.4. Exchange-Rate Volatility and India’s Digital Services Sector</w:t>
            </w:r>
            <w:r>
              <w:rPr>
                <w:noProof/>
                <w:webHidden/>
              </w:rPr>
              <w:tab/>
            </w:r>
            <w:r>
              <w:rPr>
                <w:noProof/>
                <w:webHidden/>
              </w:rPr>
              <w:fldChar w:fldCharType="begin"/>
            </w:r>
            <w:r>
              <w:rPr>
                <w:noProof/>
                <w:webHidden/>
              </w:rPr>
              <w:instrText xml:space="preserve"> PAGEREF _Toc218462583 \h </w:instrText>
            </w:r>
            <w:r>
              <w:rPr>
                <w:noProof/>
                <w:webHidden/>
              </w:rPr>
            </w:r>
            <w:r>
              <w:rPr>
                <w:noProof/>
                <w:webHidden/>
              </w:rPr>
              <w:fldChar w:fldCharType="separate"/>
            </w:r>
            <w:r>
              <w:rPr>
                <w:noProof/>
                <w:webHidden/>
              </w:rPr>
              <w:t>9</w:t>
            </w:r>
            <w:r>
              <w:rPr>
                <w:noProof/>
                <w:webHidden/>
              </w:rPr>
              <w:fldChar w:fldCharType="end"/>
            </w:r>
          </w:hyperlink>
        </w:p>
        <w:p w14:paraId="1A805F77" w14:textId="77777777" w:rsidR="00874836" w:rsidRDefault="00874836">
          <w:pPr>
            <w:pStyle w:val="TOC2"/>
            <w:tabs>
              <w:tab w:val="right" w:leader="dot" w:pos="9016"/>
            </w:tabs>
            <w:rPr>
              <w:rFonts w:eastAsiaTheme="minorEastAsia"/>
              <w:noProof/>
              <w:lang w:val="en-IN" w:eastAsia="en-IN"/>
            </w:rPr>
          </w:pPr>
          <w:hyperlink w:anchor="_Toc218462584" w:history="1">
            <w:r w:rsidRPr="005A72A5">
              <w:rPr>
                <w:rStyle w:val="Hyperlink"/>
                <w:rFonts w:ascii="Arial" w:hAnsi="Arial" w:cs="Arial"/>
                <w:noProof/>
              </w:rPr>
              <w:t>2.5. Geopolitical Shocks and their Interaction with Services Trade</w:t>
            </w:r>
            <w:r>
              <w:rPr>
                <w:noProof/>
                <w:webHidden/>
              </w:rPr>
              <w:tab/>
            </w:r>
            <w:r>
              <w:rPr>
                <w:noProof/>
                <w:webHidden/>
              </w:rPr>
              <w:fldChar w:fldCharType="begin"/>
            </w:r>
            <w:r>
              <w:rPr>
                <w:noProof/>
                <w:webHidden/>
              </w:rPr>
              <w:instrText xml:space="preserve"> PAGEREF _Toc218462584 \h </w:instrText>
            </w:r>
            <w:r>
              <w:rPr>
                <w:noProof/>
                <w:webHidden/>
              </w:rPr>
            </w:r>
            <w:r>
              <w:rPr>
                <w:noProof/>
                <w:webHidden/>
              </w:rPr>
              <w:fldChar w:fldCharType="separate"/>
            </w:r>
            <w:r>
              <w:rPr>
                <w:noProof/>
                <w:webHidden/>
              </w:rPr>
              <w:t>11</w:t>
            </w:r>
            <w:r>
              <w:rPr>
                <w:noProof/>
                <w:webHidden/>
              </w:rPr>
              <w:fldChar w:fldCharType="end"/>
            </w:r>
          </w:hyperlink>
        </w:p>
        <w:p w14:paraId="49DB062A" w14:textId="77777777" w:rsidR="00874836" w:rsidRDefault="00874836">
          <w:pPr>
            <w:pStyle w:val="TOC2"/>
            <w:tabs>
              <w:tab w:val="right" w:leader="dot" w:pos="9016"/>
            </w:tabs>
            <w:rPr>
              <w:rFonts w:eastAsiaTheme="minorEastAsia"/>
              <w:noProof/>
              <w:lang w:val="en-IN" w:eastAsia="en-IN"/>
            </w:rPr>
          </w:pPr>
          <w:hyperlink w:anchor="_Toc218462585" w:history="1">
            <w:r w:rsidRPr="005A72A5">
              <w:rPr>
                <w:rStyle w:val="Hyperlink"/>
                <w:rFonts w:ascii="Arial" w:hAnsi="Arial" w:cs="Arial"/>
                <w:noProof/>
              </w:rPr>
              <w:t>2.6. Cross-Cutting Themes in the Literature</w:t>
            </w:r>
            <w:r>
              <w:rPr>
                <w:noProof/>
                <w:webHidden/>
              </w:rPr>
              <w:tab/>
            </w:r>
            <w:r>
              <w:rPr>
                <w:noProof/>
                <w:webHidden/>
              </w:rPr>
              <w:fldChar w:fldCharType="begin"/>
            </w:r>
            <w:r>
              <w:rPr>
                <w:noProof/>
                <w:webHidden/>
              </w:rPr>
              <w:instrText xml:space="preserve"> PAGEREF _Toc218462585 \h </w:instrText>
            </w:r>
            <w:r>
              <w:rPr>
                <w:noProof/>
                <w:webHidden/>
              </w:rPr>
            </w:r>
            <w:r>
              <w:rPr>
                <w:noProof/>
                <w:webHidden/>
              </w:rPr>
              <w:fldChar w:fldCharType="separate"/>
            </w:r>
            <w:r>
              <w:rPr>
                <w:noProof/>
                <w:webHidden/>
              </w:rPr>
              <w:t>12</w:t>
            </w:r>
            <w:r>
              <w:rPr>
                <w:noProof/>
                <w:webHidden/>
              </w:rPr>
              <w:fldChar w:fldCharType="end"/>
            </w:r>
          </w:hyperlink>
        </w:p>
        <w:p w14:paraId="7288485C" w14:textId="77777777" w:rsidR="00874836" w:rsidRDefault="00874836">
          <w:pPr>
            <w:pStyle w:val="TOC2"/>
            <w:tabs>
              <w:tab w:val="right" w:leader="dot" w:pos="9016"/>
            </w:tabs>
            <w:rPr>
              <w:rFonts w:eastAsiaTheme="minorEastAsia"/>
              <w:noProof/>
              <w:lang w:val="en-IN" w:eastAsia="en-IN"/>
            </w:rPr>
          </w:pPr>
          <w:hyperlink w:anchor="_Toc218462586" w:history="1">
            <w:r w:rsidRPr="005A72A5">
              <w:rPr>
                <w:rStyle w:val="Hyperlink"/>
                <w:rFonts w:ascii="Arial" w:hAnsi="Arial" w:cs="Arial"/>
                <w:noProof/>
              </w:rPr>
              <w:t>2.7. Conceptual Framework</w:t>
            </w:r>
            <w:r>
              <w:rPr>
                <w:noProof/>
                <w:webHidden/>
              </w:rPr>
              <w:tab/>
            </w:r>
            <w:r>
              <w:rPr>
                <w:noProof/>
                <w:webHidden/>
              </w:rPr>
              <w:fldChar w:fldCharType="begin"/>
            </w:r>
            <w:r>
              <w:rPr>
                <w:noProof/>
                <w:webHidden/>
              </w:rPr>
              <w:instrText xml:space="preserve"> PAGEREF _Toc218462586 \h </w:instrText>
            </w:r>
            <w:r>
              <w:rPr>
                <w:noProof/>
                <w:webHidden/>
              </w:rPr>
            </w:r>
            <w:r>
              <w:rPr>
                <w:noProof/>
                <w:webHidden/>
              </w:rPr>
              <w:fldChar w:fldCharType="separate"/>
            </w:r>
            <w:r>
              <w:rPr>
                <w:noProof/>
                <w:webHidden/>
              </w:rPr>
              <w:t>13</w:t>
            </w:r>
            <w:r>
              <w:rPr>
                <w:noProof/>
                <w:webHidden/>
              </w:rPr>
              <w:fldChar w:fldCharType="end"/>
            </w:r>
          </w:hyperlink>
        </w:p>
        <w:p w14:paraId="714CF24C" w14:textId="77777777" w:rsidR="00874836" w:rsidRDefault="00874836">
          <w:pPr>
            <w:pStyle w:val="TOC2"/>
            <w:tabs>
              <w:tab w:val="right" w:leader="dot" w:pos="9016"/>
            </w:tabs>
            <w:rPr>
              <w:rFonts w:eastAsiaTheme="minorEastAsia"/>
              <w:noProof/>
              <w:lang w:val="en-IN" w:eastAsia="en-IN"/>
            </w:rPr>
          </w:pPr>
          <w:hyperlink w:anchor="_Toc218462587" w:history="1">
            <w:r w:rsidRPr="005A72A5">
              <w:rPr>
                <w:rStyle w:val="Hyperlink"/>
                <w:rFonts w:ascii="Arial" w:hAnsi="Arial" w:cs="Arial"/>
                <w:noProof/>
              </w:rPr>
              <w:t>2.8. Identified Gaps and Rationale for the Study</w:t>
            </w:r>
            <w:r>
              <w:rPr>
                <w:noProof/>
                <w:webHidden/>
              </w:rPr>
              <w:tab/>
            </w:r>
            <w:r>
              <w:rPr>
                <w:noProof/>
                <w:webHidden/>
              </w:rPr>
              <w:fldChar w:fldCharType="begin"/>
            </w:r>
            <w:r>
              <w:rPr>
                <w:noProof/>
                <w:webHidden/>
              </w:rPr>
              <w:instrText xml:space="preserve"> PAGEREF _Toc218462587 \h </w:instrText>
            </w:r>
            <w:r>
              <w:rPr>
                <w:noProof/>
                <w:webHidden/>
              </w:rPr>
            </w:r>
            <w:r>
              <w:rPr>
                <w:noProof/>
                <w:webHidden/>
              </w:rPr>
              <w:fldChar w:fldCharType="separate"/>
            </w:r>
            <w:r>
              <w:rPr>
                <w:noProof/>
                <w:webHidden/>
              </w:rPr>
              <w:t>14</w:t>
            </w:r>
            <w:r>
              <w:rPr>
                <w:noProof/>
                <w:webHidden/>
              </w:rPr>
              <w:fldChar w:fldCharType="end"/>
            </w:r>
          </w:hyperlink>
        </w:p>
        <w:p w14:paraId="2FF837A2" w14:textId="77777777" w:rsidR="00874836" w:rsidRDefault="00874836">
          <w:pPr>
            <w:pStyle w:val="TOC2"/>
            <w:tabs>
              <w:tab w:val="right" w:leader="dot" w:pos="9016"/>
            </w:tabs>
            <w:rPr>
              <w:rFonts w:eastAsiaTheme="minorEastAsia"/>
              <w:noProof/>
              <w:lang w:val="en-IN" w:eastAsia="en-IN"/>
            </w:rPr>
          </w:pPr>
          <w:hyperlink w:anchor="_Toc218462588" w:history="1">
            <w:r w:rsidRPr="005A72A5">
              <w:rPr>
                <w:rStyle w:val="Hyperlink"/>
                <w:rFonts w:ascii="Arial" w:hAnsi="Arial" w:cs="Arial"/>
                <w:noProof/>
              </w:rPr>
              <w:t>2.9. Conclusion</w:t>
            </w:r>
            <w:r>
              <w:rPr>
                <w:noProof/>
                <w:webHidden/>
              </w:rPr>
              <w:tab/>
            </w:r>
            <w:r>
              <w:rPr>
                <w:noProof/>
                <w:webHidden/>
              </w:rPr>
              <w:fldChar w:fldCharType="begin"/>
            </w:r>
            <w:r>
              <w:rPr>
                <w:noProof/>
                <w:webHidden/>
              </w:rPr>
              <w:instrText xml:space="preserve"> PAGEREF _Toc218462588 \h </w:instrText>
            </w:r>
            <w:r>
              <w:rPr>
                <w:noProof/>
                <w:webHidden/>
              </w:rPr>
            </w:r>
            <w:r>
              <w:rPr>
                <w:noProof/>
                <w:webHidden/>
              </w:rPr>
              <w:fldChar w:fldCharType="separate"/>
            </w:r>
            <w:r>
              <w:rPr>
                <w:noProof/>
                <w:webHidden/>
              </w:rPr>
              <w:t>15</w:t>
            </w:r>
            <w:r>
              <w:rPr>
                <w:noProof/>
                <w:webHidden/>
              </w:rPr>
              <w:fldChar w:fldCharType="end"/>
            </w:r>
          </w:hyperlink>
        </w:p>
        <w:p w14:paraId="607B1C97" w14:textId="77777777" w:rsidR="00874836" w:rsidRDefault="00874836">
          <w:pPr>
            <w:pStyle w:val="TOC1"/>
            <w:tabs>
              <w:tab w:val="right" w:leader="dot" w:pos="9016"/>
            </w:tabs>
            <w:rPr>
              <w:rFonts w:eastAsiaTheme="minorEastAsia"/>
              <w:noProof/>
              <w:lang w:val="en-IN" w:eastAsia="en-IN"/>
            </w:rPr>
          </w:pPr>
          <w:hyperlink w:anchor="_Toc218462589" w:history="1">
            <w:r w:rsidRPr="005A72A5">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_Toc218462589 \h </w:instrText>
            </w:r>
            <w:r>
              <w:rPr>
                <w:noProof/>
                <w:webHidden/>
              </w:rPr>
            </w:r>
            <w:r>
              <w:rPr>
                <w:noProof/>
                <w:webHidden/>
              </w:rPr>
              <w:fldChar w:fldCharType="separate"/>
            </w:r>
            <w:r>
              <w:rPr>
                <w:noProof/>
                <w:webHidden/>
              </w:rPr>
              <w:t>15</w:t>
            </w:r>
            <w:r>
              <w:rPr>
                <w:noProof/>
                <w:webHidden/>
              </w:rPr>
              <w:fldChar w:fldCharType="end"/>
            </w:r>
          </w:hyperlink>
        </w:p>
        <w:p w14:paraId="6E04A56B" w14:textId="77777777" w:rsidR="00874836" w:rsidRDefault="00874836">
          <w:pPr>
            <w:pStyle w:val="TOC2"/>
            <w:tabs>
              <w:tab w:val="right" w:leader="dot" w:pos="9016"/>
            </w:tabs>
            <w:rPr>
              <w:rFonts w:eastAsiaTheme="minorEastAsia"/>
              <w:noProof/>
              <w:lang w:val="en-IN" w:eastAsia="en-IN"/>
            </w:rPr>
          </w:pPr>
          <w:hyperlink w:anchor="_Toc218462590" w:history="1">
            <w:r w:rsidRPr="005A72A5">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_Toc218462590 \h </w:instrText>
            </w:r>
            <w:r>
              <w:rPr>
                <w:noProof/>
                <w:webHidden/>
              </w:rPr>
            </w:r>
            <w:r>
              <w:rPr>
                <w:noProof/>
                <w:webHidden/>
              </w:rPr>
              <w:fldChar w:fldCharType="separate"/>
            </w:r>
            <w:r>
              <w:rPr>
                <w:noProof/>
                <w:webHidden/>
              </w:rPr>
              <w:t>15</w:t>
            </w:r>
            <w:r>
              <w:rPr>
                <w:noProof/>
                <w:webHidden/>
              </w:rPr>
              <w:fldChar w:fldCharType="end"/>
            </w:r>
          </w:hyperlink>
        </w:p>
        <w:p w14:paraId="434AEE89" w14:textId="77777777" w:rsidR="00874836" w:rsidRDefault="00874836">
          <w:pPr>
            <w:pStyle w:val="TOC2"/>
            <w:tabs>
              <w:tab w:val="right" w:leader="dot" w:pos="9016"/>
            </w:tabs>
            <w:rPr>
              <w:rFonts w:eastAsiaTheme="minorEastAsia"/>
              <w:noProof/>
              <w:lang w:val="en-IN" w:eastAsia="en-IN"/>
            </w:rPr>
          </w:pPr>
          <w:hyperlink w:anchor="_Toc218462591" w:history="1">
            <w:r w:rsidRPr="005A72A5">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_Toc218462591 \h </w:instrText>
            </w:r>
            <w:r>
              <w:rPr>
                <w:noProof/>
                <w:webHidden/>
              </w:rPr>
            </w:r>
            <w:r>
              <w:rPr>
                <w:noProof/>
                <w:webHidden/>
              </w:rPr>
              <w:fldChar w:fldCharType="separate"/>
            </w:r>
            <w:r>
              <w:rPr>
                <w:noProof/>
                <w:webHidden/>
              </w:rPr>
              <w:t>16</w:t>
            </w:r>
            <w:r>
              <w:rPr>
                <w:noProof/>
                <w:webHidden/>
              </w:rPr>
              <w:fldChar w:fldCharType="end"/>
            </w:r>
          </w:hyperlink>
        </w:p>
        <w:p w14:paraId="2CADD091" w14:textId="77777777" w:rsidR="00874836" w:rsidRDefault="00874836">
          <w:pPr>
            <w:pStyle w:val="TOC2"/>
            <w:tabs>
              <w:tab w:val="right" w:leader="dot" w:pos="9016"/>
            </w:tabs>
            <w:rPr>
              <w:rFonts w:eastAsiaTheme="minorEastAsia"/>
              <w:noProof/>
              <w:lang w:val="en-IN" w:eastAsia="en-IN"/>
            </w:rPr>
          </w:pPr>
          <w:hyperlink w:anchor="_Toc218462592" w:history="1">
            <w:r w:rsidRPr="005A72A5">
              <w:rPr>
                <w:rStyle w:val="Hyperlink"/>
                <w:rFonts w:ascii="Arial" w:hAnsi="Arial" w:cs="Arial"/>
                <w:noProof/>
              </w:rPr>
              <w:t>3.3. Research Approach</w:t>
            </w:r>
            <w:r>
              <w:rPr>
                <w:noProof/>
                <w:webHidden/>
              </w:rPr>
              <w:tab/>
            </w:r>
            <w:r>
              <w:rPr>
                <w:noProof/>
                <w:webHidden/>
              </w:rPr>
              <w:fldChar w:fldCharType="begin"/>
            </w:r>
            <w:r>
              <w:rPr>
                <w:noProof/>
                <w:webHidden/>
              </w:rPr>
              <w:instrText xml:space="preserve"> PAGEREF _Toc218462592 \h </w:instrText>
            </w:r>
            <w:r>
              <w:rPr>
                <w:noProof/>
                <w:webHidden/>
              </w:rPr>
            </w:r>
            <w:r>
              <w:rPr>
                <w:noProof/>
                <w:webHidden/>
              </w:rPr>
              <w:fldChar w:fldCharType="separate"/>
            </w:r>
            <w:r>
              <w:rPr>
                <w:noProof/>
                <w:webHidden/>
              </w:rPr>
              <w:t>17</w:t>
            </w:r>
            <w:r>
              <w:rPr>
                <w:noProof/>
                <w:webHidden/>
              </w:rPr>
              <w:fldChar w:fldCharType="end"/>
            </w:r>
          </w:hyperlink>
        </w:p>
        <w:p w14:paraId="23271981" w14:textId="77777777" w:rsidR="00874836" w:rsidRDefault="00874836">
          <w:pPr>
            <w:pStyle w:val="TOC2"/>
            <w:tabs>
              <w:tab w:val="right" w:leader="dot" w:pos="9016"/>
            </w:tabs>
            <w:rPr>
              <w:rFonts w:eastAsiaTheme="minorEastAsia"/>
              <w:noProof/>
              <w:lang w:val="en-IN" w:eastAsia="en-IN"/>
            </w:rPr>
          </w:pPr>
          <w:hyperlink w:anchor="_Toc218462593" w:history="1">
            <w:r w:rsidRPr="005A72A5">
              <w:rPr>
                <w:rStyle w:val="Hyperlink"/>
                <w:rFonts w:ascii="Arial" w:hAnsi="Arial" w:cs="Arial"/>
                <w:noProof/>
              </w:rPr>
              <w:t>3.4. Research Design</w:t>
            </w:r>
            <w:r>
              <w:rPr>
                <w:noProof/>
                <w:webHidden/>
              </w:rPr>
              <w:tab/>
            </w:r>
            <w:r>
              <w:rPr>
                <w:noProof/>
                <w:webHidden/>
              </w:rPr>
              <w:fldChar w:fldCharType="begin"/>
            </w:r>
            <w:r>
              <w:rPr>
                <w:noProof/>
                <w:webHidden/>
              </w:rPr>
              <w:instrText xml:space="preserve"> PAGEREF _Toc218462593 \h </w:instrText>
            </w:r>
            <w:r>
              <w:rPr>
                <w:noProof/>
                <w:webHidden/>
              </w:rPr>
            </w:r>
            <w:r>
              <w:rPr>
                <w:noProof/>
                <w:webHidden/>
              </w:rPr>
              <w:fldChar w:fldCharType="separate"/>
            </w:r>
            <w:r>
              <w:rPr>
                <w:noProof/>
                <w:webHidden/>
              </w:rPr>
              <w:t>17</w:t>
            </w:r>
            <w:r>
              <w:rPr>
                <w:noProof/>
                <w:webHidden/>
              </w:rPr>
              <w:fldChar w:fldCharType="end"/>
            </w:r>
          </w:hyperlink>
        </w:p>
        <w:p w14:paraId="2E0A20A3" w14:textId="77777777" w:rsidR="00874836" w:rsidRDefault="00874836">
          <w:pPr>
            <w:pStyle w:val="TOC2"/>
            <w:tabs>
              <w:tab w:val="right" w:leader="dot" w:pos="9016"/>
            </w:tabs>
            <w:rPr>
              <w:rFonts w:eastAsiaTheme="minorEastAsia"/>
              <w:noProof/>
              <w:lang w:val="en-IN" w:eastAsia="en-IN"/>
            </w:rPr>
          </w:pPr>
          <w:hyperlink w:anchor="_Toc218462594" w:history="1">
            <w:r w:rsidRPr="005A72A5">
              <w:rPr>
                <w:rStyle w:val="Hyperlink"/>
                <w:rFonts w:ascii="Arial" w:hAnsi="Arial" w:cs="Arial"/>
                <w:noProof/>
              </w:rPr>
              <w:t>3.5. Search Strategy</w:t>
            </w:r>
            <w:r>
              <w:rPr>
                <w:noProof/>
                <w:webHidden/>
              </w:rPr>
              <w:tab/>
            </w:r>
            <w:r>
              <w:rPr>
                <w:noProof/>
                <w:webHidden/>
              </w:rPr>
              <w:fldChar w:fldCharType="begin"/>
            </w:r>
            <w:r>
              <w:rPr>
                <w:noProof/>
                <w:webHidden/>
              </w:rPr>
              <w:instrText xml:space="preserve"> PAGEREF _Toc218462594 \h </w:instrText>
            </w:r>
            <w:r>
              <w:rPr>
                <w:noProof/>
                <w:webHidden/>
              </w:rPr>
            </w:r>
            <w:r>
              <w:rPr>
                <w:noProof/>
                <w:webHidden/>
              </w:rPr>
              <w:fldChar w:fldCharType="separate"/>
            </w:r>
            <w:r>
              <w:rPr>
                <w:noProof/>
                <w:webHidden/>
              </w:rPr>
              <w:t>19</w:t>
            </w:r>
            <w:r>
              <w:rPr>
                <w:noProof/>
                <w:webHidden/>
              </w:rPr>
              <w:fldChar w:fldCharType="end"/>
            </w:r>
          </w:hyperlink>
        </w:p>
        <w:p w14:paraId="5592DE96" w14:textId="77777777" w:rsidR="00874836" w:rsidRDefault="00874836">
          <w:pPr>
            <w:pStyle w:val="TOC2"/>
            <w:tabs>
              <w:tab w:val="right" w:leader="dot" w:pos="9016"/>
            </w:tabs>
            <w:rPr>
              <w:rFonts w:eastAsiaTheme="minorEastAsia"/>
              <w:noProof/>
              <w:lang w:val="en-IN" w:eastAsia="en-IN"/>
            </w:rPr>
          </w:pPr>
          <w:hyperlink w:anchor="_Toc218462595" w:history="1">
            <w:r w:rsidRPr="005A72A5">
              <w:rPr>
                <w:rStyle w:val="Hyperlink"/>
                <w:rFonts w:ascii="Arial" w:hAnsi="Arial" w:cs="Arial"/>
                <w:noProof/>
              </w:rPr>
              <w:t>3.6. Inclusion and Exclusion Criteria</w:t>
            </w:r>
            <w:r>
              <w:rPr>
                <w:noProof/>
                <w:webHidden/>
              </w:rPr>
              <w:tab/>
            </w:r>
            <w:r>
              <w:rPr>
                <w:noProof/>
                <w:webHidden/>
              </w:rPr>
              <w:fldChar w:fldCharType="begin"/>
            </w:r>
            <w:r>
              <w:rPr>
                <w:noProof/>
                <w:webHidden/>
              </w:rPr>
              <w:instrText xml:space="preserve"> PAGEREF _Toc218462595 \h </w:instrText>
            </w:r>
            <w:r>
              <w:rPr>
                <w:noProof/>
                <w:webHidden/>
              </w:rPr>
            </w:r>
            <w:r>
              <w:rPr>
                <w:noProof/>
                <w:webHidden/>
              </w:rPr>
              <w:fldChar w:fldCharType="separate"/>
            </w:r>
            <w:r>
              <w:rPr>
                <w:noProof/>
                <w:webHidden/>
              </w:rPr>
              <w:t>20</w:t>
            </w:r>
            <w:r>
              <w:rPr>
                <w:noProof/>
                <w:webHidden/>
              </w:rPr>
              <w:fldChar w:fldCharType="end"/>
            </w:r>
          </w:hyperlink>
        </w:p>
        <w:p w14:paraId="7E72045E" w14:textId="77777777" w:rsidR="00874836" w:rsidRDefault="00874836">
          <w:pPr>
            <w:pStyle w:val="TOC3"/>
            <w:tabs>
              <w:tab w:val="right" w:leader="dot" w:pos="9016"/>
            </w:tabs>
            <w:rPr>
              <w:rFonts w:eastAsiaTheme="minorEastAsia"/>
              <w:noProof/>
              <w:lang w:val="en-IN" w:eastAsia="en-IN"/>
            </w:rPr>
          </w:pPr>
          <w:hyperlink w:anchor="_Toc218462596" w:history="1">
            <w:r w:rsidRPr="005A72A5">
              <w:rPr>
                <w:rStyle w:val="Hyperlink"/>
                <w:rFonts w:ascii="Arial" w:hAnsi="Arial" w:cs="Arial"/>
                <w:noProof/>
                <w:lang w:val="en-IN"/>
              </w:rPr>
              <w:t>Inclusion Criteria:</w:t>
            </w:r>
            <w:r>
              <w:rPr>
                <w:noProof/>
                <w:webHidden/>
              </w:rPr>
              <w:tab/>
            </w:r>
            <w:r>
              <w:rPr>
                <w:noProof/>
                <w:webHidden/>
              </w:rPr>
              <w:fldChar w:fldCharType="begin"/>
            </w:r>
            <w:r>
              <w:rPr>
                <w:noProof/>
                <w:webHidden/>
              </w:rPr>
              <w:instrText xml:space="preserve"> PAGEREF _Toc218462596 \h </w:instrText>
            </w:r>
            <w:r>
              <w:rPr>
                <w:noProof/>
                <w:webHidden/>
              </w:rPr>
            </w:r>
            <w:r>
              <w:rPr>
                <w:noProof/>
                <w:webHidden/>
              </w:rPr>
              <w:fldChar w:fldCharType="separate"/>
            </w:r>
            <w:r>
              <w:rPr>
                <w:noProof/>
                <w:webHidden/>
              </w:rPr>
              <w:t>20</w:t>
            </w:r>
            <w:r>
              <w:rPr>
                <w:noProof/>
                <w:webHidden/>
              </w:rPr>
              <w:fldChar w:fldCharType="end"/>
            </w:r>
          </w:hyperlink>
        </w:p>
        <w:p w14:paraId="771E8F38" w14:textId="77777777" w:rsidR="00874836" w:rsidRDefault="00874836">
          <w:pPr>
            <w:pStyle w:val="TOC3"/>
            <w:tabs>
              <w:tab w:val="right" w:leader="dot" w:pos="9016"/>
            </w:tabs>
            <w:rPr>
              <w:rFonts w:eastAsiaTheme="minorEastAsia"/>
              <w:noProof/>
              <w:lang w:val="en-IN" w:eastAsia="en-IN"/>
            </w:rPr>
          </w:pPr>
          <w:hyperlink w:anchor="_Toc218462597" w:history="1">
            <w:r w:rsidRPr="005A72A5">
              <w:rPr>
                <w:rStyle w:val="Hyperlink"/>
                <w:rFonts w:ascii="Arial" w:hAnsi="Arial" w:cs="Arial"/>
                <w:noProof/>
                <w:lang w:val="en-IN"/>
              </w:rPr>
              <w:t>Exclusion Criteria:</w:t>
            </w:r>
            <w:r>
              <w:rPr>
                <w:noProof/>
                <w:webHidden/>
              </w:rPr>
              <w:tab/>
            </w:r>
            <w:r>
              <w:rPr>
                <w:noProof/>
                <w:webHidden/>
              </w:rPr>
              <w:fldChar w:fldCharType="begin"/>
            </w:r>
            <w:r>
              <w:rPr>
                <w:noProof/>
                <w:webHidden/>
              </w:rPr>
              <w:instrText xml:space="preserve"> PAGEREF _Toc218462597 \h </w:instrText>
            </w:r>
            <w:r>
              <w:rPr>
                <w:noProof/>
                <w:webHidden/>
              </w:rPr>
            </w:r>
            <w:r>
              <w:rPr>
                <w:noProof/>
                <w:webHidden/>
              </w:rPr>
              <w:fldChar w:fldCharType="separate"/>
            </w:r>
            <w:r>
              <w:rPr>
                <w:noProof/>
                <w:webHidden/>
              </w:rPr>
              <w:t>20</w:t>
            </w:r>
            <w:r>
              <w:rPr>
                <w:noProof/>
                <w:webHidden/>
              </w:rPr>
              <w:fldChar w:fldCharType="end"/>
            </w:r>
          </w:hyperlink>
        </w:p>
        <w:p w14:paraId="6A6947F5" w14:textId="77777777" w:rsidR="00874836" w:rsidRDefault="00874836">
          <w:pPr>
            <w:pStyle w:val="TOC2"/>
            <w:tabs>
              <w:tab w:val="right" w:leader="dot" w:pos="9016"/>
            </w:tabs>
            <w:rPr>
              <w:rFonts w:eastAsiaTheme="minorEastAsia"/>
              <w:noProof/>
              <w:lang w:val="en-IN" w:eastAsia="en-IN"/>
            </w:rPr>
          </w:pPr>
          <w:hyperlink w:anchor="_Toc218462598" w:history="1">
            <w:r w:rsidRPr="005A72A5">
              <w:rPr>
                <w:rStyle w:val="Hyperlink"/>
                <w:rFonts w:ascii="Arial" w:hAnsi="Arial" w:cs="Arial"/>
                <w:noProof/>
              </w:rPr>
              <w:t>3.7. Screening Process</w:t>
            </w:r>
            <w:r>
              <w:rPr>
                <w:noProof/>
                <w:webHidden/>
              </w:rPr>
              <w:tab/>
            </w:r>
            <w:r>
              <w:rPr>
                <w:noProof/>
                <w:webHidden/>
              </w:rPr>
              <w:fldChar w:fldCharType="begin"/>
            </w:r>
            <w:r>
              <w:rPr>
                <w:noProof/>
                <w:webHidden/>
              </w:rPr>
              <w:instrText xml:space="preserve"> PAGEREF _Toc218462598 \h </w:instrText>
            </w:r>
            <w:r>
              <w:rPr>
                <w:noProof/>
                <w:webHidden/>
              </w:rPr>
            </w:r>
            <w:r>
              <w:rPr>
                <w:noProof/>
                <w:webHidden/>
              </w:rPr>
              <w:fldChar w:fldCharType="separate"/>
            </w:r>
            <w:r>
              <w:rPr>
                <w:noProof/>
                <w:webHidden/>
              </w:rPr>
              <w:t>21</w:t>
            </w:r>
            <w:r>
              <w:rPr>
                <w:noProof/>
                <w:webHidden/>
              </w:rPr>
              <w:fldChar w:fldCharType="end"/>
            </w:r>
          </w:hyperlink>
        </w:p>
        <w:p w14:paraId="63FA8281" w14:textId="77777777" w:rsidR="00874836" w:rsidRDefault="00874836">
          <w:pPr>
            <w:pStyle w:val="TOC2"/>
            <w:tabs>
              <w:tab w:val="right" w:leader="dot" w:pos="9016"/>
            </w:tabs>
            <w:rPr>
              <w:rFonts w:eastAsiaTheme="minorEastAsia"/>
              <w:noProof/>
              <w:lang w:val="en-IN" w:eastAsia="en-IN"/>
            </w:rPr>
          </w:pPr>
          <w:hyperlink w:anchor="_Toc218462599" w:history="1">
            <w:r w:rsidRPr="005A72A5">
              <w:rPr>
                <w:rStyle w:val="Hyperlink"/>
                <w:rFonts w:ascii="Arial" w:hAnsi="Arial" w:cs="Arial"/>
                <w:noProof/>
              </w:rPr>
              <w:t>3.8. Quality Appraisal</w:t>
            </w:r>
            <w:r>
              <w:rPr>
                <w:noProof/>
                <w:webHidden/>
              </w:rPr>
              <w:tab/>
            </w:r>
            <w:r>
              <w:rPr>
                <w:noProof/>
                <w:webHidden/>
              </w:rPr>
              <w:fldChar w:fldCharType="begin"/>
            </w:r>
            <w:r>
              <w:rPr>
                <w:noProof/>
                <w:webHidden/>
              </w:rPr>
              <w:instrText xml:space="preserve"> PAGEREF _Toc218462599 \h </w:instrText>
            </w:r>
            <w:r>
              <w:rPr>
                <w:noProof/>
                <w:webHidden/>
              </w:rPr>
            </w:r>
            <w:r>
              <w:rPr>
                <w:noProof/>
                <w:webHidden/>
              </w:rPr>
              <w:fldChar w:fldCharType="separate"/>
            </w:r>
            <w:r>
              <w:rPr>
                <w:noProof/>
                <w:webHidden/>
              </w:rPr>
              <w:t>22</w:t>
            </w:r>
            <w:r>
              <w:rPr>
                <w:noProof/>
                <w:webHidden/>
              </w:rPr>
              <w:fldChar w:fldCharType="end"/>
            </w:r>
          </w:hyperlink>
        </w:p>
        <w:p w14:paraId="1C6D7C69" w14:textId="77777777" w:rsidR="00874836" w:rsidRDefault="00874836">
          <w:pPr>
            <w:pStyle w:val="TOC2"/>
            <w:tabs>
              <w:tab w:val="right" w:leader="dot" w:pos="9016"/>
            </w:tabs>
            <w:rPr>
              <w:rFonts w:eastAsiaTheme="minorEastAsia"/>
              <w:noProof/>
              <w:lang w:val="en-IN" w:eastAsia="en-IN"/>
            </w:rPr>
          </w:pPr>
          <w:hyperlink w:anchor="_Toc218462600" w:history="1">
            <w:r w:rsidRPr="005A72A5">
              <w:rPr>
                <w:rStyle w:val="Hyperlink"/>
                <w:rFonts w:ascii="Arial" w:hAnsi="Arial" w:cs="Arial"/>
                <w:noProof/>
              </w:rPr>
              <w:t>3.9. Data Extraction</w:t>
            </w:r>
            <w:r>
              <w:rPr>
                <w:noProof/>
                <w:webHidden/>
              </w:rPr>
              <w:tab/>
            </w:r>
            <w:r>
              <w:rPr>
                <w:noProof/>
                <w:webHidden/>
              </w:rPr>
              <w:fldChar w:fldCharType="begin"/>
            </w:r>
            <w:r>
              <w:rPr>
                <w:noProof/>
                <w:webHidden/>
              </w:rPr>
              <w:instrText xml:space="preserve"> PAGEREF _Toc218462600 \h </w:instrText>
            </w:r>
            <w:r>
              <w:rPr>
                <w:noProof/>
                <w:webHidden/>
              </w:rPr>
            </w:r>
            <w:r>
              <w:rPr>
                <w:noProof/>
                <w:webHidden/>
              </w:rPr>
              <w:fldChar w:fldCharType="separate"/>
            </w:r>
            <w:r>
              <w:rPr>
                <w:noProof/>
                <w:webHidden/>
              </w:rPr>
              <w:t>23</w:t>
            </w:r>
            <w:r>
              <w:rPr>
                <w:noProof/>
                <w:webHidden/>
              </w:rPr>
              <w:fldChar w:fldCharType="end"/>
            </w:r>
          </w:hyperlink>
        </w:p>
        <w:p w14:paraId="2F4A910D" w14:textId="77777777" w:rsidR="00874836" w:rsidRDefault="00874836">
          <w:pPr>
            <w:pStyle w:val="TOC2"/>
            <w:tabs>
              <w:tab w:val="right" w:leader="dot" w:pos="9016"/>
            </w:tabs>
            <w:rPr>
              <w:rFonts w:eastAsiaTheme="minorEastAsia"/>
              <w:noProof/>
              <w:lang w:val="en-IN" w:eastAsia="en-IN"/>
            </w:rPr>
          </w:pPr>
          <w:hyperlink w:anchor="_Toc218462601" w:history="1">
            <w:r w:rsidRPr="005A72A5">
              <w:rPr>
                <w:rStyle w:val="Hyperlink"/>
                <w:rFonts w:ascii="Arial" w:hAnsi="Arial" w:cs="Arial"/>
                <w:noProof/>
              </w:rPr>
              <w:t>3.10. Synthesis Method</w:t>
            </w:r>
            <w:r>
              <w:rPr>
                <w:noProof/>
                <w:webHidden/>
              </w:rPr>
              <w:tab/>
            </w:r>
            <w:r>
              <w:rPr>
                <w:noProof/>
                <w:webHidden/>
              </w:rPr>
              <w:fldChar w:fldCharType="begin"/>
            </w:r>
            <w:r>
              <w:rPr>
                <w:noProof/>
                <w:webHidden/>
              </w:rPr>
              <w:instrText xml:space="preserve"> PAGEREF _Toc218462601 \h </w:instrText>
            </w:r>
            <w:r>
              <w:rPr>
                <w:noProof/>
                <w:webHidden/>
              </w:rPr>
            </w:r>
            <w:r>
              <w:rPr>
                <w:noProof/>
                <w:webHidden/>
              </w:rPr>
              <w:fldChar w:fldCharType="separate"/>
            </w:r>
            <w:r>
              <w:rPr>
                <w:noProof/>
                <w:webHidden/>
              </w:rPr>
              <w:t>23</w:t>
            </w:r>
            <w:r>
              <w:rPr>
                <w:noProof/>
                <w:webHidden/>
              </w:rPr>
              <w:fldChar w:fldCharType="end"/>
            </w:r>
          </w:hyperlink>
        </w:p>
        <w:p w14:paraId="5AAB6F72" w14:textId="77777777" w:rsidR="00874836" w:rsidRDefault="00874836">
          <w:pPr>
            <w:pStyle w:val="TOC2"/>
            <w:tabs>
              <w:tab w:val="right" w:leader="dot" w:pos="9016"/>
            </w:tabs>
            <w:rPr>
              <w:rFonts w:eastAsiaTheme="minorEastAsia"/>
              <w:noProof/>
              <w:lang w:val="en-IN" w:eastAsia="en-IN"/>
            </w:rPr>
          </w:pPr>
          <w:hyperlink w:anchor="_Toc218462602" w:history="1">
            <w:r w:rsidRPr="005A72A5">
              <w:rPr>
                <w:rStyle w:val="Hyperlink"/>
                <w:rFonts w:ascii="Arial" w:hAnsi="Arial" w:cs="Arial"/>
                <w:noProof/>
              </w:rPr>
              <w:t>3.11. Ethical Considerations</w:t>
            </w:r>
            <w:r>
              <w:rPr>
                <w:noProof/>
                <w:webHidden/>
              </w:rPr>
              <w:tab/>
            </w:r>
            <w:r>
              <w:rPr>
                <w:noProof/>
                <w:webHidden/>
              </w:rPr>
              <w:fldChar w:fldCharType="begin"/>
            </w:r>
            <w:r>
              <w:rPr>
                <w:noProof/>
                <w:webHidden/>
              </w:rPr>
              <w:instrText xml:space="preserve"> PAGEREF _Toc218462602 \h </w:instrText>
            </w:r>
            <w:r>
              <w:rPr>
                <w:noProof/>
                <w:webHidden/>
              </w:rPr>
            </w:r>
            <w:r>
              <w:rPr>
                <w:noProof/>
                <w:webHidden/>
              </w:rPr>
              <w:fldChar w:fldCharType="separate"/>
            </w:r>
            <w:r>
              <w:rPr>
                <w:noProof/>
                <w:webHidden/>
              </w:rPr>
              <w:t>24</w:t>
            </w:r>
            <w:r>
              <w:rPr>
                <w:noProof/>
                <w:webHidden/>
              </w:rPr>
              <w:fldChar w:fldCharType="end"/>
            </w:r>
          </w:hyperlink>
        </w:p>
        <w:p w14:paraId="7DDF4C71" w14:textId="77777777" w:rsidR="00874836" w:rsidRDefault="00874836">
          <w:pPr>
            <w:pStyle w:val="TOC2"/>
            <w:tabs>
              <w:tab w:val="right" w:leader="dot" w:pos="9016"/>
            </w:tabs>
            <w:rPr>
              <w:rFonts w:eastAsiaTheme="minorEastAsia"/>
              <w:noProof/>
              <w:lang w:val="en-IN" w:eastAsia="en-IN"/>
            </w:rPr>
          </w:pPr>
          <w:hyperlink w:anchor="_Toc218462603" w:history="1">
            <w:r w:rsidRPr="005A72A5">
              <w:rPr>
                <w:rStyle w:val="Hyperlink"/>
                <w:rFonts w:ascii="Arial" w:hAnsi="Arial" w:cs="Arial"/>
                <w:noProof/>
              </w:rPr>
              <w:t>3.12 Limitations of the Methodology</w:t>
            </w:r>
            <w:r>
              <w:rPr>
                <w:noProof/>
                <w:webHidden/>
              </w:rPr>
              <w:tab/>
            </w:r>
            <w:r>
              <w:rPr>
                <w:noProof/>
                <w:webHidden/>
              </w:rPr>
              <w:fldChar w:fldCharType="begin"/>
            </w:r>
            <w:r>
              <w:rPr>
                <w:noProof/>
                <w:webHidden/>
              </w:rPr>
              <w:instrText xml:space="preserve"> PAGEREF _Toc218462603 \h </w:instrText>
            </w:r>
            <w:r>
              <w:rPr>
                <w:noProof/>
                <w:webHidden/>
              </w:rPr>
            </w:r>
            <w:r>
              <w:rPr>
                <w:noProof/>
                <w:webHidden/>
              </w:rPr>
              <w:fldChar w:fldCharType="separate"/>
            </w:r>
            <w:r>
              <w:rPr>
                <w:noProof/>
                <w:webHidden/>
              </w:rPr>
              <w:t>25</w:t>
            </w:r>
            <w:r>
              <w:rPr>
                <w:noProof/>
                <w:webHidden/>
              </w:rPr>
              <w:fldChar w:fldCharType="end"/>
            </w:r>
          </w:hyperlink>
        </w:p>
        <w:p w14:paraId="7A8477B2" w14:textId="77777777" w:rsidR="00874836" w:rsidRDefault="00874836">
          <w:pPr>
            <w:pStyle w:val="TOC2"/>
            <w:tabs>
              <w:tab w:val="right" w:leader="dot" w:pos="9016"/>
            </w:tabs>
            <w:rPr>
              <w:rFonts w:eastAsiaTheme="minorEastAsia"/>
              <w:noProof/>
              <w:lang w:val="en-IN" w:eastAsia="en-IN"/>
            </w:rPr>
          </w:pPr>
          <w:hyperlink w:anchor="_Toc218462604" w:history="1">
            <w:r w:rsidRPr="005A72A5">
              <w:rPr>
                <w:rStyle w:val="Hyperlink"/>
                <w:rFonts w:ascii="Arial" w:hAnsi="Arial" w:cs="Arial"/>
                <w:noProof/>
              </w:rPr>
              <w:t>3.13. Conclusion</w:t>
            </w:r>
            <w:r>
              <w:rPr>
                <w:noProof/>
                <w:webHidden/>
              </w:rPr>
              <w:tab/>
            </w:r>
            <w:r>
              <w:rPr>
                <w:noProof/>
                <w:webHidden/>
              </w:rPr>
              <w:fldChar w:fldCharType="begin"/>
            </w:r>
            <w:r>
              <w:rPr>
                <w:noProof/>
                <w:webHidden/>
              </w:rPr>
              <w:instrText xml:space="preserve"> PAGEREF _Toc218462604 \h </w:instrText>
            </w:r>
            <w:r>
              <w:rPr>
                <w:noProof/>
                <w:webHidden/>
              </w:rPr>
            </w:r>
            <w:r>
              <w:rPr>
                <w:noProof/>
                <w:webHidden/>
              </w:rPr>
              <w:fldChar w:fldCharType="separate"/>
            </w:r>
            <w:r>
              <w:rPr>
                <w:noProof/>
                <w:webHidden/>
              </w:rPr>
              <w:t>26</w:t>
            </w:r>
            <w:r>
              <w:rPr>
                <w:noProof/>
                <w:webHidden/>
              </w:rPr>
              <w:fldChar w:fldCharType="end"/>
            </w:r>
          </w:hyperlink>
        </w:p>
        <w:p w14:paraId="46F0D030" w14:textId="77777777" w:rsidR="00874836" w:rsidRDefault="00874836">
          <w:pPr>
            <w:pStyle w:val="TOC1"/>
            <w:tabs>
              <w:tab w:val="right" w:leader="dot" w:pos="9016"/>
            </w:tabs>
            <w:rPr>
              <w:rFonts w:eastAsiaTheme="minorEastAsia"/>
              <w:noProof/>
              <w:lang w:val="en-IN" w:eastAsia="en-IN"/>
            </w:rPr>
          </w:pPr>
          <w:hyperlink w:anchor="_Toc218462605" w:history="1">
            <w:r w:rsidRPr="005A72A5">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_Toc218462605 \h </w:instrText>
            </w:r>
            <w:r>
              <w:rPr>
                <w:noProof/>
                <w:webHidden/>
              </w:rPr>
            </w:r>
            <w:r>
              <w:rPr>
                <w:noProof/>
                <w:webHidden/>
              </w:rPr>
              <w:fldChar w:fldCharType="separate"/>
            </w:r>
            <w:r>
              <w:rPr>
                <w:noProof/>
                <w:webHidden/>
              </w:rPr>
              <w:t>26</w:t>
            </w:r>
            <w:r>
              <w:rPr>
                <w:noProof/>
                <w:webHidden/>
              </w:rPr>
              <w:fldChar w:fldCharType="end"/>
            </w:r>
          </w:hyperlink>
        </w:p>
        <w:p w14:paraId="1F6FAA44" w14:textId="77777777" w:rsidR="00874836" w:rsidRDefault="00874836">
          <w:pPr>
            <w:pStyle w:val="TOC2"/>
            <w:tabs>
              <w:tab w:val="right" w:leader="dot" w:pos="9016"/>
            </w:tabs>
            <w:rPr>
              <w:rFonts w:eastAsiaTheme="minorEastAsia"/>
              <w:noProof/>
              <w:lang w:val="en-IN" w:eastAsia="en-IN"/>
            </w:rPr>
          </w:pPr>
          <w:hyperlink w:anchor="_Toc218462606" w:history="1">
            <w:r w:rsidRPr="005A72A5">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_Toc218462606 \h </w:instrText>
            </w:r>
            <w:r>
              <w:rPr>
                <w:noProof/>
                <w:webHidden/>
              </w:rPr>
            </w:r>
            <w:r>
              <w:rPr>
                <w:noProof/>
                <w:webHidden/>
              </w:rPr>
              <w:fldChar w:fldCharType="separate"/>
            </w:r>
            <w:r>
              <w:rPr>
                <w:noProof/>
                <w:webHidden/>
              </w:rPr>
              <w:t>26</w:t>
            </w:r>
            <w:r>
              <w:rPr>
                <w:noProof/>
                <w:webHidden/>
              </w:rPr>
              <w:fldChar w:fldCharType="end"/>
            </w:r>
          </w:hyperlink>
        </w:p>
        <w:p w14:paraId="19E3AA9A" w14:textId="77777777" w:rsidR="00874836" w:rsidRDefault="00874836">
          <w:pPr>
            <w:pStyle w:val="TOC2"/>
            <w:tabs>
              <w:tab w:val="right" w:leader="dot" w:pos="9016"/>
            </w:tabs>
            <w:rPr>
              <w:rFonts w:eastAsiaTheme="minorEastAsia"/>
              <w:noProof/>
              <w:lang w:val="en-IN" w:eastAsia="en-IN"/>
            </w:rPr>
          </w:pPr>
          <w:hyperlink w:anchor="_Toc218462607" w:history="1">
            <w:r w:rsidRPr="005A72A5">
              <w:rPr>
                <w:rStyle w:val="Hyperlink"/>
                <w:rFonts w:ascii="Arial" w:hAnsi="Arial" w:cs="Arial"/>
                <w:noProof/>
              </w:rPr>
              <w:t>4.2. Overview of Included Studies</w:t>
            </w:r>
            <w:r>
              <w:rPr>
                <w:noProof/>
                <w:webHidden/>
              </w:rPr>
              <w:tab/>
            </w:r>
            <w:r>
              <w:rPr>
                <w:noProof/>
                <w:webHidden/>
              </w:rPr>
              <w:fldChar w:fldCharType="begin"/>
            </w:r>
            <w:r>
              <w:rPr>
                <w:noProof/>
                <w:webHidden/>
              </w:rPr>
              <w:instrText xml:space="preserve"> PAGEREF _Toc218462607 \h </w:instrText>
            </w:r>
            <w:r>
              <w:rPr>
                <w:noProof/>
                <w:webHidden/>
              </w:rPr>
            </w:r>
            <w:r>
              <w:rPr>
                <w:noProof/>
                <w:webHidden/>
              </w:rPr>
              <w:fldChar w:fldCharType="separate"/>
            </w:r>
            <w:r>
              <w:rPr>
                <w:noProof/>
                <w:webHidden/>
              </w:rPr>
              <w:t>27</w:t>
            </w:r>
            <w:r>
              <w:rPr>
                <w:noProof/>
                <w:webHidden/>
              </w:rPr>
              <w:fldChar w:fldCharType="end"/>
            </w:r>
          </w:hyperlink>
        </w:p>
        <w:p w14:paraId="4E149CC1" w14:textId="77777777" w:rsidR="00874836" w:rsidRDefault="00874836">
          <w:pPr>
            <w:pStyle w:val="TOC2"/>
            <w:tabs>
              <w:tab w:val="right" w:leader="dot" w:pos="9016"/>
            </w:tabs>
            <w:rPr>
              <w:rFonts w:eastAsiaTheme="minorEastAsia"/>
              <w:noProof/>
              <w:lang w:val="en-IN" w:eastAsia="en-IN"/>
            </w:rPr>
          </w:pPr>
          <w:hyperlink w:anchor="_Toc218462608" w:history="1">
            <w:r w:rsidRPr="005A72A5">
              <w:rPr>
                <w:rStyle w:val="Hyperlink"/>
                <w:rFonts w:ascii="Arial" w:hAnsi="Arial" w:cs="Arial"/>
                <w:noProof/>
              </w:rPr>
              <w:t>4.3. Exchange-rate Volatility and Export Performance</w:t>
            </w:r>
            <w:r>
              <w:rPr>
                <w:noProof/>
                <w:webHidden/>
              </w:rPr>
              <w:tab/>
            </w:r>
            <w:r>
              <w:rPr>
                <w:noProof/>
                <w:webHidden/>
              </w:rPr>
              <w:fldChar w:fldCharType="begin"/>
            </w:r>
            <w:r>
              <w:rPr>
                <w:noProof/>
                <w:webHidden/>
              </w:rPr>
              <w:instrText xml:space="preserve"> PAGEREF _Toc218462608 \h </w:instrText>
            </w:r>
            <w:r>
              <w:rPr>
                <w:noProof/>
                <w:webHidden/>
              </w:rPr>
            </w:r>
            <w:r>
              <w:rPr>
                <w:noProof/>
                <w:webHidden/>
              </w:rPr>
              <w:fldChar w:fldCharType="separate"/>
            </w:r>
            <w:r>
              <w:rPr>
                <w:noProof/>
                <w:webHidden/>
              </w:rPr>
              <w:t>30</w:t>
            </w:r>
            <w:r>
              <w:rPr>
                <w:noProof/>
                <w:webHidden/>
              </w:rPr>
              <w:fldChar w:fldCharType="end"/>
            </w:r>
          </w:hyperlink>
        </w:p>
        <w:p w14:paraId="07CE648B" w14:textId="77777777" w:rsidR="00874836" w:rsidRDefault="00874836">
          <w:pPr>
            <w:pStyle w:val="TOC2"/>
            <w:tabs>
              <w:tab w:val="right" w:leader="dot" w:pos="9016"/>
            </w:tabs>
            <w:rPr>
              <w:rFonts w:eastAsiaTheme="minorEastAsia"/>
              <w:noProof/>
              <w:lang w:val="en-IN" w:eastAsia="en-IN"/>
            </w:rPr>
          </w:pPr>
          <w:hyperlink w:anchor="_Toc218462609" w:history="1">
            <w:r w:rsidRPr="005A72A5">
              <w:rPr>
                <w:rStyle w:val="Hyperlink"/>
                <w:rFonts w:ascii="Arial" w:hAnsi="Arial" w:cs="Arial"/>
                <w:noProof/>
              </w:rPr>
              <w:t>4.4 Services versus Goods Trade Responses to Exchange-Rate Volatility</w:t>
            </w:r>
            <w:r>
              <w:rPr>
                <w:noProof/>
                <w:webHidden/>
              </w:rPr>
              <w:tab/>
            </w:r>
            <w:r>
              <w:rPr>
                <w:noProof/>
                <w:webHidden/>
              </w:rPr>
              <w:fldChar w:fldCharType="begin"/>
            </w:r>
            <w:r>
              <w:rPr>
                <w:noProof/>
                <w:webHidden/>
              </w:rPr>
              <w:instrText xml:space="preserve"> PAGEREF _Toc218462609 \h </w:instrText>
            </w:r>
            <w:r>
              <w:rPr>
                <w:noProof/>
                <w:webHidden/>
              </w:rPr>
            </w:r>
            <w:r>
              <w:rPr>
                <w:noProof/>
                <w:webHidden/>
              </w:rPr>
              <w:fldChar w:fldCharType="separate"/>
            </w:r>
            <w:r>
              <w:rPr>
                <w:noProof/>
                <w:webHidden/>
              </w:rPr>
              <w:t>32</w:t>
            </w:r>
            <w:r>
              <w:rPr>
                <w:noProof/>
                <w:webHidden/>
              </w:rPr>
              <w:fldChar w:fldCharType="end"/>
            </w:r>
          </w:hyperlink>
        </w:p>
        <w:p w14:paraId="13F3E677" w14:textId="77777777" w:rsidR="00874836" w:rsidRDefault="00874836">
          <w:pPr>
            <w:pStyle w:val="TOC2"/>
            <w:tabs>
              <w:tab w:val="right" w:leader="dot" w:pos="9016"/>
            </w:tabs>
            <w:rPr>
              <w:rFonts w:eastAsiaTheme="minorEastAsia"/>
              <w:noProof/>
              <w:lang w:val="en-IN" w:eastAsia="en-IN"/>
            </w:rPr>
          </w:pPr>
          <w:hyperlink w:anchor="_Toc218462610" w:history="1">
            <w:r w:rsidRPr="005A72A5">
              <w:rPr>
                <w:rStyle w:val="Hyperlink"/>
                <w:rFonts w:ascii="Arial" w:hAnsi="Arial" w:cs="Arial"/>
                <w:noProof/>
              </w:rPr>
              <w:t>4.5. Emerging Market and India-Specific Evidence</w:t>
            </w:r>
            <w:r>
              <w:rPr>
                <w:noProof/>
                <w:webHidden/>
              </w:rPr>
              <w:tab/>
            </w:r>
            <w:r>
              <w:rPr>
                <w:noProof/>
                <w:webHidden/>
              </w:rPr>
              <w:fldChar w:fldCharType="begin"/>
            </w:r>
            <w:r>
              <w:rPr>
                <w:noProof/>
                <w:webHidden/>
              </w:rPr>
              <w:instrText xml:space="preserve"> PAGEREF _Toc218462610 \h </w:instrText>
            </w:r>
            <w:r>
              <w:rPr>
                <w:noProof/>
                <w:webHidden/>
              </w:rPr>
            </w:r>
            <w:r>
              <w:rPr>
                <w:noProof/>
                <w:webHidden/>
              </w:rPr>
              <w:fldChar w:fldCharType="separate"/>
            </w:r>
            <w:r>
              <w:rPr>
                <w:noProof/>
                <w:webHidden/>
              </w:rPr>
              <w:t>33</w:t>
            </w:r>
            <w:r>
              <w:rPr>
                <w:noProof/>
                <w:webHidden/>
              </w:rPr>
              <w:fldChar w:fldCharType="end"/>
            </w:r>
          </w:hyperlink>
        </w:p>
        <w:p w14:paraId="0EDD1F07" w14:textId="77777777" w:rsidR="00874836" w:rsidRDefault="00874836">
          <w:pPr>
            <w:pStyle w:val="TOC2"/>
            <w:tabs>
              <w:tab w:val="right" w:leader="dot" w:pos="9016"/>
            </w:tabs>
            <w:rPr>
              <w:rFonts w:eastAsiaTheme="minorEastAsia"/>
              <w:noProof/>
              <w:lang w:val="en-IN" w:eastAsia="en-IN"/>
            </w:rPr>
          </w:pPr>
          <w:hyperlink w:anchor="_Toc218462611" w:history="1">
            <w:r w:rsidRPr="005A72A5">
              <w:rPr>
                <w:rStyle w:val="Hyperlink"/>
                <w:rFonts w:ascii="Arial" w:hAnsi="Arial" w:cs="Arial"/>
                <w:noProof/>
              </w:rPr>
              <w:t>4.6. Exchange Rate Volatility, Uncertainty and External Shocks</w:t>
            </w:r>
            <w:r>
              <w:rPr>
                <w:noProof/>
                <w:webHidden/>
              </w:rPr>
              <w:tab/>
            </w:r>
            <w:r>
              <w:rPr>
                <w:noProof/>
                <w:webHidden/>
              </w:rPr>
              <w:fldChar w:fldCharType="begin"/>
            </w:r>
            <w:r>
              <w:rPr>
                <w:noProof/>
                <w:webHidden/>
              </w:rPr>
              <w:instrText xml:space="preserve"> PAGEREF _Toc218462611 \h </w:instrText>
            </w:r>
            <w:r>
              <w:rPr>
                <w:noProof/>
                <w:webHidden/>
              </w:rPr>
            </w:r>
            <w:r>
              <w:rPr>
                <w:noProof/>
                <w:webHidden/>
              </w:rPr>
              <w:fldChar w:fldCharType="separate"/>
            </w:r>
            <w:r>
              <w:rPr>
                <w:noProof/>
                <w:webHidden/>
              </w:rPr>
              <w:t>34</w:t>
            </w:r>
            <w:r>
              <w:rPr>
                <w:noProof/>
                <w:webHidden/>
              </w:rPr>
              <w:fldChar w:fldCharType="end"/>
            </w:r>
          </w:hyperlink>
        </w:p>
        <w:p w14:paraId="53FC0112" w14:textId="77777777" w:rsidR="00874836" w:rsidRDefault="00874836">
          <w:pPr>
            <w:pStyle w:val="TOC2"/>
            <w:tabs>
              <w:tab w:val="right" w:leader="dot" w:pos="9016"/>
            </w:tabs>
            <w:rPr>
              <w:rFonts w:eastAsiaTheme="minorEastAsia"/>
              <w:noProof/>
              <w:lang w:val="en-IN" w:eastAsia="en-IN"/>
            </w:rPr>
          </w:pPr>
          <w:hyperlink w:anchor="_Toc218462612" w:history="1">
            <w:r w:rsidRPr="005A72A5">
              <w:rPr>
                <w:rStyle w:val="Hyperlink"/>
                <w:rFonts w:ascii="Arial" w:hAnsi="Arial" w:cs="Arial"/>
                <w:noProof/>
              </w:rPr>
              <w:t>4.7. Summary of Key Findings</w:t>
            </w:r>
            <w:r>
              <w:rPr>
                <w:noProof/>
                <w:webHidden/>
              </w:rPr>
              <w:tab/>
            </w:r>
            <w:r>
              <w:rPr>
                <w:noProof/>
                <w:webHidden/>
              </w:rPr>
              <w:fldChar w:fldCharType="begin"/>
            </w:r>
            <w:r>
              <w:rPr>
                <w:noProof/>
                <w:webHidden/>
              </w:rPr>
              <w:instrText xml:space="preserve"> PAGEREF _Toc218462612 \h </w:instrText>
            </w:r>
            <w:r>
              <w:rPr>
                <w:noProof/>
                <w:webHidden/>
              </w:rPr>
            </w:r>
            <w:r>
              <w:rPr>
                <w:noProof/>
                <w:webHidden/>
              </w:rPr>
              <w:fldChar w:fldCharType="separate"/>
            </w:r>
            <w:r>
              <w:rPr>
                <w:noProof/>
                <w:webHidden/>
              </w:rPr>
              <w:t>36</w:t>
            </w:r>
            <w:r>
              <w:rPr>
                <w:noProof/>
                <w:webHidden/>
              </w:rPr>
              <w:fldChar w:fldCharType="end"/>
            </w:r>
          </w:hyperlink>
        </w:p>
        <w:p w14:paraId="05C1EBDB" w14:textId="77777777" w:rsidR="00874836" w:rsidRDefault="00874836">
          <w:pPr>
            <w:pStyle w:val="TOC1"/>
            <w:tabs>
              <w:tab w:val="right" w:leader="dot" w:pos="9016"/>
            </w:tabs>
            <w:rPr>
              <w:rFonts w:eastAsiaTheme="minorEastAsia"/>
              <w:noProof/>
              <w:lang w:val="en-IN" w:eastAsia="en-IN"/>
            </w:rPr>
          </w:pPr>
          <w:hyperlink w:anchor="_Toc218462613" w:history="1">
            <w:r w:rsidRPr="005A72A5">
              <w:rPr>
                <w:rStyle w:val="Hyperlink"/>
                <w:rFonts w:ascii="Arial" w:hAnsi="Arial" w:cs="Arial"/>
                <w:noProof/>
              </w:rPr>
              <w:t>Chapter 5: Discussion and Implications</w:t>
            </w:r>
            <w:r>
              <w:rPr>
                <w:noProof/>
                <w:webHidden/>
              </w:rPr>
              <w:tab/>
            </w:r>
            <w:r>
              <w:rPr>
                <w:noProof/>
                <w:webHidden/>
              </w:rPr>
              <w:fldChar w:fldCharType="begin"/>
            </w:r>
            <w:r>
              <w:rPr>
                <w:noProof/>
                <w:webHidden/>
              </w:rPr>
              <w:instrText xml:space="preserve"> PAGEREF _Toc218462613 \h </w:instrText>
            </w:r>
            <w:r>
              <w:rPr>
                <w:noProof/>
                <w:webHidden/>
              </w:rPr>
            </w:r>
            <w:r>
              <w:rPr>
                <w:noProof/>
                <w:webHidden/>
              </w:rPr>
              <w:fldChar w:fldCharType="separate"/>
            </w:r>
            <w:r>
              <w:rPr>
                <w:noProof/>
                <w:webHidden/>
              </w:rPr>
              <w:t>36</w:t>
            </w:r>
            <w:r>
              <w:rPr>
                <w:noProof/>
                <w:webHidden/>
              </w:rPr>
              <w:fldChar w:fldCharType="end"/>
            </w:r>
          </w:hyperlink>
        </w:p>
        <w:p w14:paraId="7B81DBA4" w14:textId="77777777" w:rsidR="00874836" w:rsidRDefault="00874836">
          <w:pPr>
            <w:pStyle w:val="TOC2"/>
            <w:tabs>
              <w:tab w:val="right" w:leader="dot" w:pos="9016"/>
            </w:tabs>
            <w:rPr>
              <w:rFonts w:eastAsiaTheme="minorEastAsia"/>
              <w:noProof/>
              <w:lang w:val="en-IN" w:eastAsia="en-IN"/>
            </w:rPr>
          </w:pPr>
          <w:hyperlink w:anchor="_Toc218462614" w:history="1">
            <w:r w:rsidRPr="005A72A5">
              <w:rPr>
                <w:rStyle w:val="Hyperlink"/>
                <w:rFonts w:ascii="Arial" w:hAnsi="Arial" w:cs="Arial"/>
                <w:noProof/>
              </w:rPr>
              <w:t>5.1. Discussion of Key Findings</w:t>
            </w:r>
            <w:r>
              <w:rPr>
                <w:noProof/>
                <w:webHidden/>
              </w:rPr>
              <w:tab/>
            </w:r>
            <w:r>
              <w:rPr>
                <w:noProof/>
                <w:webHidden/>
              </w:rPr>
              <w:fldChar w:fldCharType="begin"/>
            </w:r>
            <w:r>
              <w:rPr>
                <w:noProof/>
                <w:webHidden/>
              </w:rPr>
              <w:instrText xml:space="preserve"> PAGEREF _Toc218462614 \h </w:instrText>
            </w:r>
            <w:r>
              <w:rPr>
                <w:noProof/>
                <w:webHidden/>
              </w:rPr>
            </w:r>
            <w:r>
              <w:rPr>
                <w:noProof/>
                <w:webHidden/>
              </w:rPr>
              <w:fldChar w:fldCharType="separate"/>
            </w:r>
            <w:r>
              <w:rPr>
                <w:noProof/>
                <w:webHidden/>
              </w:rPr>
              <w:t>36</w:t>
            </w:r>
            <w:r>
              <w:rPr>
                <w:noProof/>
                <w:webHidden/>
              </w:rPr>
              <w:fldChar w:fldCharType="end"/>
            </w:r>
          </w:hyperlink>
        </w:p>
        <w:p w14:paraId="3FD40D6D" w14:textId="77777777" w:rsidR="00874836" w:rsidRDefault="00874836">
          <w:pPr>
            <w:pStyle w:val="TOC2"/>
            <w:tabs>
              <w:tab w:val="right" w:leader="dot" w:pos="9016"/>
            </w:tabs>
            <w:rPr>
              <w:rFonts w:eastAsiaTheme="minorEastAsia"/>
              <w:noProof/>
              <w:lang w:val="en-IN" w:eastAsia="en-IN"/>
            </w:rPr>
          </w:pPr>
          <w:hyperlink w:anchor="_Toc218462615" w:history="1">
            <w:r w:rsidRPr="005A72A5">
              <w:rPr>
                <w:rStyle w:val="Hyperlink"/>
                <w:rFonts w:ascii="Arial" w:hAnsi="Arial" w:cs="Arial"/>
                <w:noProof/>
              </w:rPr>
              <w:t>5.2. Theoretical Contributions</w:t>
            </w:r>
            <w:r>
              <w:rPr>
                <w:noProof/>
                <w:webHidden/>
              </w:rPr>
              <w:tab/>
            </w:r>
            <w:r>
              <w:rPr>
                <w:noProof/>
                <w:webHidden/>
              </w:rPr>
              <w:fldChar w:fldCharType="begin"/>
            </w:r>
            <w:r>
              <w:rPr>
                <w:noProof/>
                <w:webHidden/>
              </w:rPr>
              <w:instrText xml:space="preserve"> PAGEREF _Toc218462615 \h </w:instrText>
            </w:r>
            <w:r>
              <w:rPr>
                <w:noProof/>
                <w:webHidden/>
              </w:rPr>
            </w:r>
            <w:r>
              <w:rPr>
                <w:noProof/>
                <w:webHidden/>
              </w:rPr>
              <w:fldChar w:fldCharType="separate"/>
            </w:r>
            <w:r>
              <w:rPr>
                <w:noProof/>
                <w:webHidden/>
              </w:rPr>
              <w:t>38</w:t>
            </w:r>
            <w:r>
              <w:rPr>
                <w:noProof/>
                <w:webHidden/>
              </w:rPr>
              <w:fldChar w:fldCharType="end"/>
            </w:r>
          </w:hyperlink>
        </w:p>
        <w:p w14:paraId="4513E956" w14:textId="77777777" w:rsidR="00874836" w:rsidRDefault="00874836">
          <w:pPr>
            <w:pStyle w:val="TOC2"/>
            <w:tabs>
              <w:tab w:val="right" w:leader="dot" w:pos="9016"/>
            </w:tabs>
            <w:rPr>
              <w:rFonts w:eastAsiaTheme="minorEastAsia"/>
              <w:noProof/>
              <w:lang w:val="en-IN" w:eastAsia="en-IN"/>
            </w:rPr>
          </w:pPr>
          <w:hyperlink w:anchor="_Toc218462616" w:history="1">
            <w:r w:rsidRPr="005A72A5">
              <w:rPr>
                <w:rStyle w:val="Hyperlink"/>
                <w:rFonts w:ascii="Arial" w:hAnsi="Arial" w:cs="Arial"/>
                <w:noProof/>
              </w:rPr>
              <w:t>5.3. Policy Implications</w:t>
            </w:r>
            <w:r>
              <w:rPr>
                <w:noProof/>
                <w:webHidden/>
              </w:rPr>
              <w:tab/>
            </w:r>
            <w:r>
              <w:rPr>
                <w:noProof/>
                <w:webHidden/>
              </w:rPr>
              <w:fldChar w:fldCharType="begin"/>
            </w:r>
            <w:r>
              <w:rPr>
                <w:noProof/>
                <w:webHidden/>
              </w:rPr>
              <w:instrText xml:space="preserve"> PAGEREF _Toc218462616 \h </w:instrText>
            </w:r>
            <w:r>
              <w:rPr>
                <w:noProof/>
                <w:webHidden/>
              </w:rPr>
            </w:r>
            <w:r>
              <w:rPr>
                <w:noProof/>
                <w:webHidden/>
              </w:rPr>
              <w:fldChar w:fldCharType="separate"/>
            </w:r>
            <w:r>
              <w:rPr>
                <w:noProof/>
                <w:webHidden/>
              </w:rPr>
              <w:t>39</w:t>
            </w:r>
            <w:r>
              <w:rPr>
                <w:noProof/>
                <w:webHidden/>
              </w:rPr>
              <w:fldChar w:fldCharType="end"/>
            </w:r>
          </w:hyperlink>
        </w:p>
        <w:p w14:paraId="27EB60CF" w14:textId="77777777" w:rsidR="00874836" w:rsidRDefault="00874836">
          <w:pPr>
            <w:pStyle w:val="TOC2"/>
            <w:tabs>
              <w:tab w:val="right" w:leader="dot" w:pos="9016"/>
            </w:tabs>
            <w:rPr>
              <w:rFonts w:eastAsiaTheme="minorEastAsia"/>
              <w:noProof/>
              <w:lang w:val="en-IN" w:eastAsia="en-IN"/>
            </w:rPr>
          </w:pPr>
          <w:hyperlink w:anchor="_Toc218462617" w:history="1">
            <w:r w:rsidRPr="005A72A5">
              <w:rPr>
                <w:rStyle w:val="Hyperlink"/>
                <w:rFonts w:ascii="Arial" w:hAnsi="Arial" w:cs="Arial"/>
                <w:noProof/>
              </w:rPr>
              <w:t>5.4. Managerial Implications</w:t>
            </w:r>
            <w:r>
              <w:rPr>
                <w:noProof/>
                <w:webHidden/>
              </w:rPr>
              <w:tab/>
            </w:r>
            <w:r>
              <w:rPr>
                <w:noProof/>
                <w:webHidden/>
              </w:rPr>
              <w:fldChar w:fldCharType="begin"/>
            </w:r>
            <w:r>
              <w:rPr>
                <w:noProof/>
                <w:webHidden/>
              </w:rPr>
              <w:instrText xml:space="preserve"> PAGEREF _Toc218462617 \h </w:instrText>
            </w:r>
            <w:r>
              <w:rPr>
                <w:noProof/>
                <w:webHidden/>
              </w:rPr>
            </w:r>
            <w:r>
              <w:rPr>
                <w:noProof/>
                <w:webHidden/>
              </w:rPr>
              <w:fldChar w:fldCharType="separate"/>
            </w:r>
            <w:r>
              <w:rPr>
                <w:noProof/>
                <w:webHidden/>
              </w:rPr>
              <w:t>40</w:t>
            </w:r>
            <w:r>
              <w:rPr>
                <w:noProof/>
                <w:webHidden/>
              </w:rPr>
              <w:fldChar w:fldCharType="end"/>
            </w:r>
          </w:hyperlink>
        </w:p>
        <w:p w14:paraId="0BEDB381" w14:textId="77777777" w:rsidR="00874836" w:rsidRDefault="00874836">
          <w:pPr>
            <w:pStyle w:val="TOC2"/>
            <w:tabs>
              <w:tab w:val="right" w:leader="dot" w:pos="9016"/>
            </w:tabs>
            <w:rPr>
              <w:rFonts w:eastAsiaTheme="minorEastAsia"/>
              <w:noProof/>
              <w:lang w:val="en-IN" w:eastAsia="en-IN"/>
            </w:rPr>
          </w:pPr>
          <w:hyperlink w:anchor="_Toc218462618" w:history="1">
            <w:r w:rsidRPr="005A72A5">
              <w:rPr>
                <w:rStyle w:val="Hyperlink"/>
                <w:rFonts w:ascii="Arial" w:hAnsi="Arial" w:cs="Arial"/>
                <w:noProof/>
              </w:rPr>
              <w:t>5.5. Limitations of the Study</w:t>
            </w:r>
            <w:r>
              <w:rPr>
                <w:noProof/>
                <w:webHidden/>
              </w:rPr>
              <w:tab/>
            </w:r>
            <w:r>
              <w:rPr>
                <w:noProof/>
                <w:webHidden/>
              </w:rPr>
              <w:fldChar w:fldCharType="begin"/>
            </w:r>
            <w:r>
              <w:rPr>
                <w:noProof/>
                <w:webHidden/>
              </w:rPr>
              <w:instrText xml:space="preserve"> PAGEREF _Toc218462618 \h </w:instrText>
            </w:r>
            <w:r>
              <w:rPr>
                <w:noProof/>
                <w:webHidden/>
              </w:rPr>
            </w:r>
            <w:r>
              <w:rPr>
                <w:noProof/>
                <w:webHidden/>
              </w:rPr>
              <w:fldChar w:fldCharType="separate"/>
            </w:r>
            <w:r>
              <w:rPr>
                <w:noProof/>
                <w:webHidden/>
              </w:rPr>
              <w:t>41</w:t>
            </w:r>
            <w:r>
              <w:rPr>
                <w:noProof/>
                <w:webHidden/>
              </w:rPr>
              <w:fldChar w:fldCharType="end"/>
            </w:r>
          </w:hyperlink>
        </w:p>
        <w:p w14:paraId="390C0839" w14:textId="77777777" w:rsidR="00874836" w:rsidRDefault="00874836">
          <w:pPr>
            <w:pStyle w:val="TOC2"/>
            <w:tabs>
              <w:tab w:val="right" w:leader="dot" w:pos="9016"/>
            </w:tabs>
            <w:rPr>
              <w:rFonts w:eastAsiaTheme="minorEastAsia"/>
              <w:noProof/>
              <w:lang w:val="en-IN" w:eastAsia="en-IN"/>
            </w:rPr>
          </w:pPr>
          <w:hyperlink w:anchor="_Toc218462619" w:history="1">
            <w:r w:rsidRPr="005A72A5">
              <w:rPr>
                <w:rStyle w:val="Hyperlink"/>
                <w:rFonts w:ascii="Arial" w:hAnsi="Arial" w:cs="Arial"/>
                <w:noProof/>
              </w:rPr>
              <w:t>5.6. Directions for Future Research</w:t>
            </w:r>
            <w:r>
              <w:rPr>
                <w:noProof/>
                <w:webHidden/>
              </w:rPr>
              <w:tab/>
            </w:r>
            <w:r>
              <w:rPr>
                <w:noProof/>
                <w:webHidden/>
              </w:rPr>
              <w:fldChar w:fldCharType="begin"/>
            </w:r>
            <w:r>
              <w:rPr>
                <w:noProof/>
                <w:webHidden/>
              </w:rPr>
              <w:instrText xml:space="preserve"> PAGEREF _Toc218462619 \h </w:instrText>
            </w:r>
            <w:r>
              <w:rPr>
                <w:noProof/>
                <w:webHidden/>
              </w:rPr>
            </w:r>
            <w:r>
              <w:rPr>
                <w:noProof/>
                <w:webHidden/>
              </w:rPr>
              <w:fldChar w:fldCharType="separate"/>
            </w:r>
            <w:r>
              <w:rPr>
                <w:noProof/>
                <w:webHidden/>
              </w:rPr>
              <w:t>42</w:t>
            </w:r>
            <w:r>
              <w:rPr>
                <w:noProof/>
                <w:webHidden/>
              </w:rPr>
              <w:fldChar w:fldCharType="end"/>
            </w:r>
          </w:hyperlink>
        </w:p>
        <w:p w14:paraId="1DA43A91" w14:textId="77777777" w:rsidR="00874836" w:rsidRDefault="00874836">
          <w:pPr>
            <w:pStyle w:val="TOC2"/>
            <w:tabs>
              <w:tab w:val="right" w:leader="dot" w:pos="9016"/>
            </w:tabs>
            <w:rPr>
              <w:rFonts w:eastAsiaTheme="minorEastAsia"/>
              <w:noProof/>
              <w:lang w:val="en-IN" w:eastAsia="en-IN"/>
            </w:rPr>
          </w:pPr>
          <w:hyperlink w:anchor="_Toc218462620" w:history="1">
            <w:r w:rsidRPr="005A72A5">
              <w:rPr>
                <w:rStyle w:val="Hyperlink"/>
                <w:rFonts w:ascii="Arial" w:hAnsi="Arial" w:cs="Arial"/>
                <w:noProof/>
              </w:rPr>
              <w:t>5.7. Chapter Summary</w:t>
            </w:r>
            <w:r>
              <w:rPr>
                <w:noProof/>
                <w:webHidden/>
              </w:rPr>
              <w:tab/>
            </w:r>
            <w:r>
              <w:rPr>
                <w:noProof/>
                <w:webHidden/>
              </w:rPr>
              <w:fldChar w:fldCharType="begin"/>
            </w:r>
            <w:r>
              <w:rPr>
                <w:noProof/>
                <w:webHidden/>
              </w:rPr>
              <w:instrText xml:space="preserve"> PAGEREF _Toc218462620 \h </w:instrText>
            </w:r>
            <w:r>
              <w:rPr>
                <w:noProof/>
                <w:webHidden/>
              </w:rPr>
            </w:r>
            <w:r>
              <w:rPr>
                <w:noProof/>
                <w:webHidden/>
              </w:rPr>
              <w:fldChar w:fldCharType="separate"/>
            </w:r>
            <w:r>
              <w:rPr>
                <w:noProof/>
                <w:webHidden/>
              </w:rPr>
              <w:t>42</w:t>
            </w:r>
            <w:r>
              <w:rPr>
                <w:noProof/>
                <w:webHidden/>
              </w:rPr>
              <w:fldChar w:fldCharType="end"/>
            </w:r>
          </w:hyperlink>
        </w:p>
        <w:p w14:paraId="40678792" w14:textId="77777777" w:rsidR="00874836" w:rsidRDefault="00874836">
          <w:pPr>
            <w:pStyle w:val="TOC1"/>
            <w:tabs>
              <w:tab w:val="right" w:leader="dot" w:pos="9016"/>
            </w:tabs>
            <w:rPr>
              <w:rFonts w:eastAsiaTheme="minorEastAsia"/>
              <w:noProof/>
              <w:lang w:val="en-IN" w:eastAsia="en-IN"/>
            </w:rPr>
          </w:pPr>
          <w:hyperlink w:anchor="_Toc218462621" w:history="1">
            <w:r w:rsidRPr="005A72A5">
              <w:rPr>
                <w:rStyle w:val="Hyperlink"/>
                <w:rFonts w:ascii="Arial" w:hAnsi="Arial" w:cs="Arial"/>
                <w:noProof/>
                <w:lang w:val="en-IN"/>
              </w:rPr>
              <w:t>Chapter 6: Conclusion</w:t>
            </w:r>
            <w:r>
              <w:rPr>
                <w:noProof/>
                <w:webHidden/>
              </w:rPr>
              <w:tab/>
            </w:r>
            <w:r>
              <w:rPr>
                <w:noProof/>
                <w:webHidden/>
              </w:rPr>
              <w:fldChar w:fldCharType="begin"/>
            </w:r>
            <w:r>
              <w:rPr>
                <w:noProof/>
                <w:webHidden/>
              </w:rPr>
              <w:instrText xml:space="preserve"> PAGEREF _Toc218462621 \h </w:instrText>
            </w:r>
            <w:r>
              <w:rPr>
                <w:noProof/>
                <w:webHidden/>
              </w:rPr>
            </w:r>
            <w:r>
              <w:rPr>
                <w:noProof/>
                <w:webHidden/>
              </w:rPr>
              <w:fldChar w:fldCharType="separate"/>
            </w:r>
            <w:r>
              <w:rPr>
                <w:noProof/>
                <w:webHidden/>
              </w:rPr>
              <w:t>43</w:t>
            </w:r>
            <w:r>
              <w:rPr>
                <w:noProof/>
                <w:webHidden/>
              </w:rPr>
              <w:fldChar w:fldCharType="end"/>
            </w:r>
          </w:hyperlink>
        </w:p>
        <w:p w14:paraId="5EC8BD09" w14:textId="77777777" w:rsidR="00874836" w:rsidRDefault="00874836">
          <w:pPr>
            <w:pStyle w:val="TOC1"/>
            <w:tabs>
              <w:tab w:val="right" w:leader="dot" w:pos="9016"/>
            </w:tabs>
            <w:rPr>
              <w:rFonts w:eastAsiaTheme="minorEastAsia"/>
              <w:noProof/>
              <w:lang w:val="en-IN" w:eastAsia="en-IN"/>
            </w:rPr>
          </w:pPr>
          <w:hyperlink w:anchor="_Toc218462622" w:history="1">
            <w:r w:rsidRPr="005A72A5">
              <w:rPr>
                <w:rStyle w:val="Hyperlink"/>
                <w:rFonts w:ascii="Arial" w:hAnsi="Arial" w:cs="Arial"/>
                <w:noProof/>
                <w:lang w:val="en-IN"/>
              </w:rPr>
              <w:t>Chapter 7: References</w:t>
            </w:r>
            <w:r>
              <w:rPr>
                <w:noProof/>
                <w:webHidden/>
              </w:rPr>
              <w:tab/>
            </w:r>
            <w:r>
              <w:rPr>
                <w:noProof/>
                <w:webHidden/>
              </w:rPr>
              <w:fldChar w:fldCharType="begin"/>
            </w:r>
            <w:r>
              <w:rPr>
                <w:noProof/>
                <w:webHidden/>
              </w:rPr>
              <w:instrText xml:space="preserve"> PAGEREF _Toc218462622 \h </w:instrText>
            </w:r>
            <w:r>
              <w:rPr>
                <w:noProof/>
                <w:webHidden/>
              </w:rPr>
            </w:r>
            <w:r>
              <w:rPr>
                <w:noProof/>
                <w:webHidden/>
              </w:rPr>
              <w:fldChar w:fldCharType="separate"/>
            </w:r>
            <w:r>
              <w:rPr>
                <w:noProof/>
                <w:webHidden/>
              </w:rPr>
              <w:t>44</w:t>
            </w:r>
            <w:r>
              <w:rPr>
                <w:noProof/>
                <w:webHidden/>
              </w:rPr>
              <w:fldChar w:fldCharType="end"/>
            </w:r>
          </w:hyperlink>
        </w:p>
        <w:p w14:paraId="5608E9AB" w14:textId="77777777" w:rsidR="00874836" w:rsidRDefault="00874836">
          <w:pPr>
            <w:pStyle w:val="TOC1"/>
            <w:tabs>
              <w:tab w:val="right" w:leader="dot" w:pos="9016"/>
            </w:tabs>
            <w:rPr>
              <w:rFonts w:eastAsiaTheme="minorEastAsia"/>
              <w:noProof/>
              <w:lang w:val="en-IN" w:eastAsia="en-IN"/>
            </w:rPr>
          </w:pPr>
          <w:hyperlink w:anchor="_Toc218462623" w:history="1">
            <w:r w:rsidRPr="005A72A5">
              <w:rPr>
                <w:rStyle w:val="Hyperlink"/>
                <w:rFonts w:ascii="Arial" w:hAnsi="Arial" w:cs="Arial"/>
                <w:noProof/>
                <w:lang w:val="en-IN"/>
              </w:rPr>
              <w:t>Chapter 8: Appendix</w:t>
            </w:r>
            <w:r>
              <w:rPr>
                <w:noProof/>
                <w:webHidden/>
              </w:rPr>
              <w:tab/>
            </w:r>
            <w:r>
              <w:rPr>
                <w:noProof/>
                <w:webHidden/>
              </w:rPr>
              <w:fldChar w:fldCharType="begin"/>
            </w:r>
            <w:r>
              <w:rPr>
                <w:noProof/>
                <w:webHidden/>
              </w:rPr>
              <w:instrText xml:space="preserve"> PAGEREF _Toc218462623 \h </w:instrText>
            </w:r>
            <w:r>
              <w:rPr>
                <w:noProof/>
                <w:webHidden/>
              </w:rPr>
            </w:r>
            <w:r>
              <w:rPr>
                <w:noProof/>
                <w:webHidden/>
              </w:rPr>
              <w:fldChar w:fldCharType="separate"/>
            </w:r>
            <w:r>
              <w:rPr>
                <w:noProof/>
                <w:webHidden/>
              </w:rPr>
              <w:t>51</w:t>
            </w:r>
            <w:r>
              <w:rPr>
                <w:noProof/>
                <w:webHidden/>
              </w:rPr>
              <w:fldChar w:fldCharType="end"/>
            </w:r>
          </w:hyperlink>
        </w:p>
        <w:p w14:paraId="2EF93870" w14:textId="77777777" w:rsidR="00FA69AA" w:rsidRPr="002A2A3D" w:rsidRDefault="00FA69AA" w:rsidP="00FA69AA">
          <w:pPr>
            <w:rPr>
              <w:rFonts w:ascii="Arial" w:hAnsi="Arial" w:cs="Arial"/>
            </w:rPr>
          </w:pPr>
          <w:r w:rsidRPr="002A2A3D">
            <w:rPr>
              <w:rFonts w:ascii="Arial" w:hAnsi="Arial" w:cs="Arial"/>
              <w:b/>
              <w:bCs/>
            </w:rPr>
            <w:fldChar w:fldCharType="end"/>
          </w:r>
        </w:p>
      </w:sdtContent>
    </w:sdt>
    <w:p w14:paraId="29F6E912" w14:textId="77777777" w:rsidR="00AC52CF" w:rsidRDefault="00AC52CF" w:rsidP="00FA69AA">
      <w:pPr>
        <w:rPr>
          <w:rFonts w:ascii="Arial" w:hAnsi="Arial" w:cs="Arial"/>
        </w:rPr>
      </w:pPr>
    </w:p>
    <w:p w14:paraId="00581CDA" w14:textId="77777777" w:rsidR="00AC52CF" w:rsidRDefault="00AC52CF" w:rsidP="00FA69AA">
      <w:pPr>
        <w:rPr>
          <w:rFonts w:ascii="Arial" w:hAnsi="Arial" w:cs="Arial"/>
        </w:rPr>
      </w:pPr>
    </w:p>
    <w:p w14:paraId="4F578B58" w14:textId="77777777" w:rsidR="00AC52CF" w:rsidRDefault="00AC52CF" w:rsidP="00FA69AA">
      <w:pPr>
        <w:rPr>
          <w:rFonts w:ascii="Arial" w:hAnsi="Arial" w:cs="Arial"/>
        </w:rPr>
      </w:pPr>
    </w:p>
    <w:p w14:paraId="6C8998FE" w14:textId="77777777" w:rsidR="00AC52CF" w:rsidRPr="002A2A3D" w:rsidRDefault="00AC52CF" w:rsidP="00FA69AA">
      <w:pPr>
        <w:rPr>
          <w:rFonts w:ascii="Arial" w:hAnsi="Arial" w:cs="Arial"/>
        </w:rPr>
      </w:pPr>
    </w:p>
    <w:p w14:paraId="75BF3152" w14:textId="77777777" w:rsidR="000E0309" w:rsidRPr="000E0309" w:rsidRDefault="000E0309" w:rsidP="000E0309">
      <w:pPr>
        <w:pStyle w:val="Heading1"/>
        <w:rPr>
          <w:rFonts w:ascii="Arial" w:hAnsi="Arial" w:cs="Arial"/>
        </w:rPr>
      </w:pPr>
      <w:bookmarkStart w:id="0" w:name="_Toc218462573"/>
      <w:r w:rsidRPr="000E0309">
        <w:rPr>
          <w:rFonts w:ascii="Arial" w:hAnsi="Arial" w:cs="Arial"/>
        </w:rPr>
        <w:lastRenderedPageBreak/>
        <w:t>Chapter 1: Introduction</w:t>
      </w:r>
      <w:bookmarkEnd w:id="0"/>
    </w:p>
    <w:p w14:paraId="42D40A1B" w14:textId="77777777" w:rsidR="000E0309" w:rsidRPr="000E0309" w:rsidRDefault="000E0309" w:rsidP="000E0309">
      <w:pPr>
        <w:pStyle w:val="Heading2"/>
        <w:rPr>
          <w:rFonts w:ascii="Arial" w:hAnsi="Arial" w:cs="Arial"/>
        </w:rPr>
      </w:pPr>
      <w:bookmarkStart w:id="1" w:name="_Toc218462574"/>
      <w:r w:rsidRPr="000E0309">
        <w:rPr>
          <w:rFonts w:ascii="Arial" w:hAnsi="Arial" w:cs="Arial"/>
        </w:rPr>
        <w:t>1.1</w:t>
      </w:r>
      <w:r>
        <w:rPr>
          <w:rFonts w:ascii="Arial" w:hAnsi="Arial" w:cs="Arial"/>
        </w:rPr>
        <w:t>.</w:t>
      </w:r>
      <w:r w:rsidRPr="000E0309">
        <w:rPr>
          <w:rFonts w:ascii="Arial" w:hAnsi="Arial" w:cs="Arial"/>
        </w:rPr>
        <w:t xml:space="preserve"> Background and Context</w:t>
      </w:r>
      <w:bookmarkEnd w:id="1"/>
    </w:p>
    <w:p w14:paraId="5B947643" w14:textId="77777777" w:rsidR="000E0309" w:rsidRPr="000E0309" w:rsidRDefault="000E0309" w:rsidP="00AC52CF">
      <w:pPr>
        <w:ind w:firstLine="720"/>
        <w:rPr>
          <w:rFonts w:ascii="Arial" w:hAnsi="Arial" w:cs="Arial"/>
          <w:lang w:val="en-IN"/>
        </w:rPr>
      </w:pPr>
      <w:r w:rsidRPr="000E0309">
        <w:rPr>
          <w:rFonts w:ascii="Arial" w:hAnsi="Arial" w:cs="Arial"/>
          <w:lang w:val="en-IN"/>
        </w:rPr>
        <w:t>Exchange-rate volatility has long been recognised as a key source of uncertainty in international trade, influencing exporters’ pricing decisions, profitability and market participation</w:t>
      </w:r>
      <w:r w:rsidRPr="000E0309">
        <w:rPr>
          <w:rFonts w:ascii="Times New Roman" w:eastAsia="Times New Roman" w:hAnsi="Times New Roman" w:cs="Times New Roman"/>
          <w:kern w:val="0"/>
          <w:lang w:val="en-IN" w:eastAsia="en-IN"/>
          <w14:ligatures w14:val="none"/>
        </w:rPr>
        <w:t xml:space="preserve"> </w:t>
      </w:r>
      <w:r w:rsidRPr="000E0309">
        <w:rPr>
          <w:rFonts w:ascii="Arial" w:hAnsi="Arial" w:cs="Arial"/>
          <w:lang w:val="en-IN"/>
        </w:rPr>
        <w:t>(</w:t>
      </w:r>
      <w:proofErr w:type="spellStart"/>
      <w:r w:rsidRPr="000E0309">
        <w:rPr>
          <w:rFonts w:ascii="Arial" w:hAnsi="Arial" w:cs="Arial"/>
          <w:lang w:val="en-IN"/>
        </w:rPr>
        <w:t>Auboin</w:t>
      </w:r>
      <w:proofErr w:type="spellEnd"/>
      <w:r w:rsidRPr="000E0309">
        <w:rPr>
          <w:rFonts w:ascii="Arial" w:hAnsi="Arial" w:cs="Arial"/>
          <w:lang w:val="en-IN"/>
        </w:rPr>
        <w:t xml:space="preserve"> and Ruta, 2013). In recent decades, increasing capital mobility, flexible exchange-rate regimes and heightened exposure to global financial shocks have intensified fluctuations in exchange rates, particularly in emerging market economies. These developments have renewed academic and policy interest in understanding how exchange-rate volatility affects export performance.</w:t>
      </w:r>
    </w:p>
    <w:p w14:paraId="6989DAFA" w14:textId="77777777" w:rsidR="000E0309" w:rsidRPr="000E0309" w:rsidRDefault="000E0309" w:rsidP="00AC52CF">
      <w:pPr>
        <w:ind w:firstLine="720"/>
        <w:rPr>
          <w:rFonts w:ascii="Arial" w:hAnsi="Arial" w:cs="Arial"/>
          <w:lang w:val="en-IN"/>
        </w:rPr>
      </w:pPr>
      <w:r w:rsidRPr="000E0309">
        <w:rPr>
          <w:rFonts w:ascii="Arial" w:hAnsi="Arial" w:cs="Arial"/>
          <w:lang w:val="en-IN"/>
        </w:rPr>
        <w:t>At the same time, the structure of global trade has evolved significantly. Services trade, especially digitally delivered and knowledge-intensive services, has expanded rapidly and now accounts for a substantial share of export growth in many emerging economies, including India</w:t>
      </w:r>
      <w:r>
        <w:rPr>
          <w:rFonts w:ascii="Arial" w:hAnsi="Arial" w:cs="Arial"/>
          <w:lang w:val="en-IN"/>
        </w:rPr>
        <w:t xml:space="preserve"> </w:t>
      </w:r>
      <w:r w:rsidRPr="000E0309">
        <w:rPr>
          <w:rFonts w:ascii="Arial" w:hAnsi="Arial" w:cs="Arial"/>
          <w:lang w:val="en-IN"/>
        </w:rPr>
        <w:t>(</w:t>
      </w:r>
      <w:proofErr w:type="spellStart"/>
      <w:r w:rsidRPr="000E0309">
        <w:rPr>
          <w:rFonts w:ascii="Arial" w:hAnsi="Arial" w:cs="Arial"/>
          <w:lang w:val="en-IN"/>
        </w:rPr>
        <w:t>Javalgi</w:t>
      </w:r>
      <w:proofErr w:type="spellEnd"/>
      <w:r w:rsidRPr="000E0309">
        <w:rPr>
          <w:rFonts w:ascii="Arial" w:hAnsi="Arial" w:cs="Arial"/>
          <w:lang w:val="en-IN"/>
        </w:rPr>
        <w:t xml:space="preserve"> et al., 2011). Unlike goods trade, services exports are characterised by limited transport costs, reliance on domestic labour inputs and widespread use of long-term contracts and foreign-currency invoicing. These structural features suggest that services trade may respond differently to exchange-rate volatility compared with traditional goods exports.</w:t>
      </w:r>
    </w:p>
    <w:p w14:paraId="68A2A593" w14:textId="77777777" w:rsidR="000E0309" w:rsidRPr="000E0309" w:rsidRDefault="000E0309" w:rsidP="00AC52CF">
      <w:pPr>
        <w:ind w:firstLine="720"/>
        <w:rPr>
          <w:rFonts w:ascii="Arial" w:hAnsi="Arial" w:cs="Arial"/>
          <w:lang w:val="en-IN"/>
        </w:rPr>
      </w:pPr>
      <w:r w:rsidRPr="000E0309">
        <w:rPr>
          <w:rFonts w:ascii="Arial" w:hAnsi="Arial" w:cs="Arial"/>
          <w:lang w:val="en-IN"/>
        </w:rPr>
        <w:t>India provides a particularly relevant context for examining these issues. As a leading exporter of information technology and business services, India’s export performance is closely linked to global demand conditions, dominant-currency pricing practices and exposure to international financial cycles(Singh, 2025). Periods of global financial stress and geopolitical disruption have further highlighted the interaction between exchange-rate volatility, uncertainty and trade outcomes. Despite this, much of the existing literature remains focused on goods trade and advanced economies, leaving important gaps in understanding the services-led and emerging-market dimensions of exchange-rate volatility.</w:t>
      </w:r>
    </w:p>
    <w:p w14:paraId="42B6E2CD" w14:textId="77777777" w:rsidR="000E0309" w:rsidRPr="000E0309" w:rsidRDefault="000E0309" w:rsidP="000E0309">
      <w:pPr>
        <w:pStyle w:val="Heading2"/>
        <w:rPr>
          <w:rFonts w:ascii="Arial" w:hAnsi="Arial" w:cs="Arial"/>
        </w:rPr>
      </w:pPr>
      <w:bookmarkStart w:id="2" w:name="_Toc218462575"/>
      <w:r w:rsidRPr="000E0309">
        <w:rPr>
          <w:rFonts w:ascii="Arial" w:hAnsi="Arial" w:cs="Arial"/>
        </w:rPr>
        <w:t>1.2</w:t>
      </w:r>
      <w:r>
        <w:rPr>
          <w:rFonts w:ascii="Arial" w:hAnsi="Arial" w:cs="Arial"/>
        </w:rPr>
        <w:t>.</w:t>
      </w:r>
      <w:r w:rsidRPr="000E0309">
        <w:rPr>
          <w:rFonts w:ascii="Arial" w:hAnsi="Arial" w:cs="Arial"/>
        </w:rPr>
        <w:t xml:space="preserve"> Research Problem and Motivation</w:t>
      </w:r>
      <w:bookmarkEnd w:id="2"/>
    </w:p>
    <w:p w14:paraId="7D27A99C" w14:textId="77777777" w:rsidR="000E0309" w:rsidRPr="000E0309" w:rsidRDefault="000E0309" w:rsidP="00AC52CF">
      <w:pPr>
        <w:ind w:firstLine="720"/>
        <w:rPr>
          <w:rFonts w:ascii="Arial" w:hAnsi="Arial" w:cs="Arial"/>
          <w:lang w:val="en-IN"/>
        </w:rPr>
      </w:pPr>
      <w:r w:rsidRPr="000E0309">
        <w:rPr>
          <w:rFonts w:ascii="Arial" w:hAnsi="Arial" w:cs="Arial"/>
          <w:lang w:val="en-IN"/>
        </w:rPr>
        <w:t>Although a substantial body of literature examines the relationship between exchange-rate volatility and exports, the findings remain mixed and context-dependent. Empirical studies differ widely in terms of methodology, time period, sectoral focus and country coverage, leading to inconsistent conclusions regarding the magnitude and even the direction of volatility effects. Moreover, traditional trade models often struggle to account for the distinctive characteristics of services trade and the role of dominant-currency pricing.</w:t>
      </w:r>
    </w:p>
    <w:p w14:paraId="75A2CF63" w14:textId="77777777" w:rsidR="000E0309" w:rsidRPr="000E0309" w:rsidRDefault="000E0309" w:rsidP="00AC52CF">
      <w:pPr>
        <w:ind w:firstLine="720"/>
        <w:rPr>
          <w:rFonts w:ascii="Arial" w:hAnsi="Arial" w:cs="Arial"/>
          <w:lang w:val="en-IN"/>
        </w:rPr>
      </w:pPr>
      <w:r w:rsidRPr="000E0309">
        <w:rPr>
          <w:rFonts w:ascii="Arial" w:hAnsi="Arial" w:cs="Arial"/>
          <w:lang w:val="en-IN"/>
        </w:rPr>
        <w:t>In addition, many studies predate the rapid expansion of digital services trade and the increasing relevance of geopolitical and global uncertainty shocks. As a result, there is a need to reassess existing evidence through a contemporary lens that reflects modern exchange-rate regimes, evolving trade structures and emerging-</w:t>
      </w:r>
      <w:r w:rsidRPr="000E0309">
        <w:rPr>
          <w:rFonts w:ascii="Arial" w:hAnsi="Arial" w:cs="Arial"/>
          <w:lang w:val="en-IN"/>
        </w:rPr>
        <w:lastRenderedPageBreak/>
        <w:t>market realities. Addressing these issues requires a systematic synthesis of recent empirical and theoretical contributions rather than isolated case studies.</w:t>
      </w:r>
    </w:p>
    <w:p w14:paraId="01FB03C7" w14:textId="77777777" w:rsidR="000E0309" w:rsidRPr="000E0309" w:rsidRDefault="000E0309" w:rsidP="000E0309">
      <w:pPr>
        <w:pStyle w:val="Heading2"/>
        <w:rPr>
          <w:rFonts w:ascii="Arial" w:hAnsi="Arial" w:cs="Arial"/>
        </w:rPr>
      </w:pPr>
      <w:bookmarkStart w:id="3" w:name="_Toc218462576"/>
      <w:r w:rsidRPr="000E0309">
        <w:rPr>
          <w:rFonts w:ascii="Arial" w:hAnsi="Arial" w:cs="Arial"/>
        </w:rPr>
        <w:t>1.3. Aim and Objectives</w:t>
      </w:r>
      <w:bookmarkEnd w:id="3"/>
    </w:p>
    <w:p w14:paraId="15CC91AF" w14:textId="77777777" w:rsidR="000E0309" w:rsidRPr="000E0309" w:rsidRDefault="000E0309" w:rsidP="00AC52CF">
      <w:pPr>
        <w:ind w:firstLine="720"/>
        <w:rPr>
          <w:rFonts w:ascii="Arial" w:hAnsi="Arial" w:cs="Arial"/>
          <w:lang w:val="en-IN"/>
        </w:rPr>
      </w:pPr>
      <w:r w:rsidRPr="000E0309">
        <w:rPr>
          <w:rFonts w:ascii="Arial" w:hAnsi="Arial" w:cs="Arial"/>
          <w:lang w:val="en-IN"/>
        </w:rPr>
        <w:t>The primary aim of this dissertation is to systematically review and synthesise contemporary literature on the relationship between exchange-rate volatility and export performance, with a particular focus on services trade, emerging markets and the Indian context.</w:t>
      </w:r>
      <w:r w:rsidR="00AC52CF">
        <w:rPr>
          <w:rFonts w:ascii="Arial" w:hAnsi="Arial" w:cs="Arial"/>
          <w:lang w:val="en-IN"/>
        </w:rPr>
        <w:t xml:space="preserve"> </w:t>
      </w:r>
      <w:r w:rsidRPr="000E0309">
        <w:rPr>
          <w:rFonts w:ascii="Arial" w:hAnsi="Arial" w:cs="Arial"/>
          <w:lang w:val="en-IN"/>
        </w:rPr>
        <w:t>To achieve this aim, the study pursues the following objectives:</w:t>
      </w:r>
    </w:p>
    <w:p w14:paraId="63FD9661" w14:textId="77777777" w:rsidR="000E0309" w:rsidRPr="000E0309" w:rsidRDefault="000E0309" w:rsidP="000E0309">
      <w:pPr>
        <w:numPr>
          <w:ilvl w:val="0"/>
          <w:numId w:val="4"/>
        </w:numPr>
        <w:rPr>
          <w:rFonts w:ascii="Arial" w:hAnsi="Arial" w:cs="Arial"/>
          <w:lang w:val="en-IN"/>
        </w:rPr>
      </w:pPr>
      <w:r w:rsidRPr="000E0309">
        <w:rPr>
          <w:rFonts w:ascii="Arial" w:hAnsi="Arial" w:cs="Arial"/>
          <w:lang w:val="en-IN"/>
        </w:rPr>
        <w:t>To review and synthesise theoretical and empirical literature on exchange-rate volatility and export performance</w:t>
      </w:r>
    </w:p>
    <w:p w14:paraId="127EF3BD" w14:textId="77777777" w:rsidR="000E0309" w:rsidRPr="000E0309" w:rsidRDefault="000E0309" w:rsidP="000E0309">
      <w:pPr>
        <w:numPr>
          <w:ilvl w:val="0"/>
          <w:numId w:val="4"/>
        </w:numPr>
        <w:rPr>
          <w:rFonts w:ascii="Arial" w:hAnsi="Arial" w:cs="Arial"/>
          <w:lang w:val="en-IN"/>
        </w:rPr>
      </w:pPr>
      <w:r w:rsidRPr="000E0309">
        <w:rPr>
          <w:rFonts w:ascii="Arial" w:hAnsi="Arial" w:cs="Arial"/>
          <w:lang w:val="en-IN"/>
        </w:rPr>
        <w:t>To examine how the effects of exchange-rate volatility differ between goods and services trade</w:t>
      </w:r>
    </w:p>
    <w:p w14:paraId="2B594DBD" w14:textId="77777777" w:rsidR="000E0309" w:rsidRPr="000E0309" w:rsidRDefault="000E0309" w:rsidP="000E0309">
      <w:pPr>
        <w:numPr>
          <w:ilvl w:val="0"/>
          <w:numId w:val="4"/>
        </w:numPr>
        <w:rPr>
          <w:rFonts w:ascii="Arial" w:hAnsi="Arial" w:cs="Arial"/>
          <w:lang w:val="en-IN"/>
        </w:rPr>
      </w:pPr>
      <w:r w:rsidRPr="000E0309">
        <w:rPr>
          <w:rFonts w:ascii="Arial" w:hAnsi="Arial" w:cs="Arial"/>
          <w:lang w:val="en-IN"/>
        </w:rPr>
        <w:t>To assess the relevance of emerging-market and India-specific evidence within the existing literature</w:t>
      </w:r>
    </w:p>
    <w:p w14:paraId="1C08085B" w14:textId="77777777" w:rsidR="000E0309" w:rsidRPr="000E0309" w:rsidRDefault="000E0309" w:rsidP="000E0309">
      <w:pPr>
        <w:numPr>
          <w:ilvl w:val="0"/>
          <w:numId w:val="4"/>
        </w:numPr>
        <w:rPr>
          <w:rFonts w:ascii="Arial" w:hAnsi="Arial" w:cs="Arial"/>
          <w:lang w:val="en-IN"/>
        </w:rPr>
      </w:pPr>
      <w:r w:rsidRPr="000E0309">
        <w:rPr>
          <w:rFonts w:ascii="Arial" w:hAnsi="Arial" w:cs="Arial"/>
          <w:lang w:val="en-IN"/>
        </w:rPr>
        <w:t>To explore the interaction between exchange-rate volatility, uncertainty and external shocks</w:t>
      </w:r>
    </w:p>
    <w:p w14:paraId="7B35437A" w14:textId="77777777" w:rsidR="000E0309" w:rsidRPr="000E0309" w:rsidRDefault="000E0309" w:rsidP="000E0309">
      <w:pPr>
        <w:numPr>
          <w:ilvl w:val="0"/>
          <w:numId w:val="4"/>
        </w:numPr>
        <w:rPr>
          <w:rFonts w:ascii="Arial" w:hAnsi="Arial" w:cs="Arial"/>
          <w:lang w:val="en-IN"/>
        </w:rPr>
      </w:pPr>
      <w:r w:rsidRPr="000E0309">
        <w:rPr>
          <w:rFonts w:ascii="Arial" w:hAnsi="Arial" w:cs="Arial"/>
          <w:lang w:val="en-IN"/>
        </w:rPr>
        <w:t>To identify policy and managerial implications arising from the reviewed evidence</w:t>
      </w:r>
    </w:p>
    <w:p w14:paraId="456A96E8" w14:textId="77777777" w:rsidR="000E0309" w:rsidRPr="000E0309" w:rsidRDefault="000E0309" w:rsidP="000E0309">
      <w:pPr>
        <w:pStyle w:val="Heading2"/>
        <w:rPr>
          <w:rFonts w:ascii="Arial" w:hAnsi="Arial" w:cs="Arial"/>
        </w:rPr>
      </w:pPr>
      <w:bookmarkStart w:id="4" w:name="_Toc218462577"/>
      <w:r w:rsidRPr="000E0309">
        <w:rPr>
          <w:rFonts w:ascii="Arial" w:hAnsi="Arial" w:cs="Arial"/>
        </w:rPr>
        <w:t>1.4</w:t>
      </w:r>
      <w:r>
        <w:rPr>
          <w:rFonts w:ascii="Arial" w:hAnsi="Arial" w:cs="Arial"/>
        </w:rPr>
        <w:t>.</w:t>
      </w:r>
      <w:r w:rsidRPr="000E0309">
        <w:rPr>
          <w:rFonts w:ascii="Arial" w:hAnsi="Arial" w:cs="Arial"/>
        </w:rPr>
        <w:t xml:space="preserve"> Methodological Approach</w:t>
      </w:r>
      <w:bookmarkEnd w:id="4"/>
    </w:p>
    <w:p w14:paraId="252C183A" w14:textId="77777777" w:rsidR="000E0309" w:rsidRPr="000E0309" w:rsidRDefault="000E0309" w:rsidP="00AC52CF">
      <w:pPr>
        <w:ind w:firstLine="720"/>
        <w:rPr>
          <w:rFonts w:ascii="Arial" w:hAnsi="Arial" w:cs="Arial"/>
          <w:lang w:val="en-IN"/>
        </w:rPr>
      </w:pPr>
      <w:r w:rsidRPr="000E0309">
        <w:rPr>
          <w:rFonts w:ascii="Arial" w:hAnsi="Arial" w:cs="Arial"/>
          <w:lang w:val="en-IN"/>
        </w:rPr>
        <w:t>This dissertation adopts a systematic literature review (SLR) methodology to address the research objectives. The SLR approach is well suited to synthesising fragmented and methodologically diverse research across economics, international trade and finance. By applying transparent inclusion and exclusion criteria, the study focuses primarily on contemporary empirical literature published since the early 2010s, while drawing selectively on earlier theoretical contributions to provide conceptual context.</w:t>
      </w:r>
      <w:r w:rsidR="00AC52CF">
        <w:rPr>
          <w:rFonts w:ascii="Arial" w:hAnsi="Arial" w:cs="Arial"/>
          <w:lang w:val="en-IN"/>
        </w:rPr>
        <w:t xml:space="preserve"> </w:t>
      </w:r>
      <w:r w:rsidRPr="000E0309">
        <w:rPr>
          <w:rFonts w:ascii="Arial" w:hAnsi="Arial" w:cs="Arial"/>
          <w:lang w:val="en-IN"/>
        </w:rPr>
        <w:t>The review emphasises peer-reviewed journal articles and high-quality working papers to ensure academic rigour. Rather than generating new empirical estimates, the study aims to integrate existing findings, identify patterns and highlight areas of consensus and divergence within the literature.</w:t>
      </w:r>
    </w:p>
    <w:p w14:paraId="27AA29A9" w14:textId="77777777" w:rsidR="000E0309" w:rsidRPr="000E0309" w:rsidRDefault="000E0309" w:rsidP="000E0309">
      <w:pPr>
        <w:pStyle w:val="Heading2"/>
        <w:rPr>
          <w:rFonts w:ascii="Arial" w:hAnsi="Arial" w:cs="Arial"/>
        </w:rPr>
      </w:pPr>
      <w:bookmarkStart w:id="5" w:name="_Toc218462578"/>
      <w:r w:rsidRPr="000E0309">
        <w:rPr>
          <w:rFonts w:ascii="Arial" w:hAnsi="Arial" w:cs="Arial"/>
        </w:rPr>
        <w:t>1.5</w:t>
      </w:r>
      <w:r>
        <w:rPr>
          <w:rFonts w:ascii="Arial" w:hAnsi="Arial" w:cs="Arial"/>
        </w:rPr>
        <w:t>.</w:t>
      </w:r>
      <w:r w:rsidRPr="000E0309">
        <w:rPr>
          <w:rFonts w:ascii="Arial" w:hAnsi="Arial" w:cs="Arial"/>
        </w:rPr>
        <w:t xml:space="preserve"> Structure of the Dissertation</w:t>
      </w:r>
      <w:bookmarkEnd w:id="5"/>
    </w:p>
    <w:p w14:paraId="460D01E6" w14:textId="77777777" w:rsidR="000E0309" w:rsidRPr="000E0309" w:rsidRDefault="000E0309" w:rsidP="00AC52CF">
      <w:pPr>
        <w:ind w:firstLine="720"/>
        <w:rPr>
          <w:rFonts w:ascii="Arial" w:hAnsi="Arial" w:cs="Arial"/>
          <w:lang w:val="en-IN"/>
        </w:rPr>
      </w:pPr>
      <w:r w:rsidRPr="000E0309">
        <w:rPr>
          <w:rFonts w:ascii="Arial" w:hAnsi="Arial" w:cs="Arial"/>
          <w:lang w:val="en-IN"/>
        </w:rPr>
        <w:t>The dissertation is organised as follows. Chapter 2 reviews the theoretical and empirical literature on exchange-rate volatility, services trade and export performance, with particular attention to emerging-market and India-specific studies. Chapter 3 outlines the systematic literature review methodology, including search strategy and selection criteria. Chapter 4 presents the key findings of the review, synthesising evidence across thematic areas. Chapter 5 discusses the findings in relation to theory, policy and managerial practice, identifies limitations and suggests directions for future research. Chapter 6 concludes the dissertation by summarising the main insights and contributions.</w:t>
      </w:r>
    </w:p>
    <w:p w14:paraId="7C0EB5A9" w14:textId="77777777" w:rsidR="00FA69AA" w:rsidRPr="002A2A3D" w:rsidRDefault="00FA69AA" w:rsidP="00FA69AA">
      <w:pPr>
        <w:pStyle w:val="Heading1"/>
        <w:rPr>
          <w:rFonts w:ascii="Arial" w:hAnsi="Arial" w:cs="Arial"/>
        </w:rPr>
      </w:pPr>
      <w:bookmarkStart w:id="6" w:name="_Toc218462579"/>
      <w:r w:rsidRPr="002A2A3D">
        <w:rPr>
          <w:rFonts w:ascii="Arial" w:hAnsi="Arial" w:cs="Arial"/>
        </w:rPr>
        <w:lastRenderedPageBreak/>
        <w:t>Chapter 2: Literature Review</w:t>
      </w:r>
      <w:bookmarkEnd w:id="6"/>
    </w:p>
    <w:p w14:paraId="5B5BFDD1" w14:textId="77777777" w:rsidR="00FA69AA" w:rsidRPr="002A2A3D" w:rsidRDefault="00FA69AA" w:rsidP="00FA69AA">
      <w:pPr>
        <w:pStyle w:val="Heading2"/>
        <w:rPr>
          <w:rFonts w:ascii="Arial" w:hAnsi="Arial" w:cs="Arial"/>
        </w:rPr>
      </w:pPr>
      <w:bookmarkStart w:id="7" w:name="_Toc218462580"/>
      <w:r w:rsidRPr="002A2A3D">
        <w:rPr>
          <w:rFonts w:ascii="Arial" w:hAnsi="Arial" w:cs="Arial"/>
        </w:rPr>
        <w:t>2.1. Introduction</w:t>
      </w:r>
      <w:bookmarkEnd w:id="7"/>
    </w:p>
    <w:p w14:paraId="73252AA4" w14:textId="77777777" w:rsidR="00FA69AA" w:rsidRPr="002A2A3D" w:rsidRDefault="00FA69AA" w:rsidP="00AC52CF">
      <w:pPr>
        <w:ind w:firstLine="720"/>
        <w:rPr>
          <w:rFonts w:ascii="Arial" w:hAnsi="Arial" w:cs="Arial"/>
        </w:rPr>
      </w:pPr>
      <w:r w:rsidRPr="002A2A3D">
        <w:rPr>
          <w:rFonts w:ascii="Arial" w:hAnsi="Arial" w:cs="Arial"/>
        </w:rPr>
        <w:t>India’s rise as a global provider of digital and IT-enabled services has transformed the structure of its export economy, positioning the sector as a major source of foreign-currency earnings and international competitiveness. Much of this activity is transacted in U.S. dollars while salaries, infrastructure costs and operational expenditure remain rupee-denominated, creating a built-in exposure to currency fluctuations. Exchange-rate volatility therefore matters not only for export performance but also for strategic decisions around pricing, hedging and investment. At the same time, the global environment in which India’s digital exporters operate has become increasingly unsettled. Episodes such as the Eurozone crisis, the 2013 taper tantrum, Brexit, the pandemic and recent geopolitical tensions have each introduced uncertainty that affects both outsourcing demand and financial-market stability (Berman and Berthou, 2009; Caldara and Iacoviello, 2022; WTO, 2021).</w:t>
      </w:r>
    </w:p>
    <w:p w14:paraId="73E1CF1C" w14:textId="77777777" w:rsidR="00FA69AA" w:rsidRPr="002A2A3D" w:rsidRDefault="00FA69AA" w:rsidP="00AC52CF">
      <w:pPr>
        <w:ind w:firstLine="720"/>
        <w:rPr>
          <w:rFonts w:ascii="Arial" w:hAnsi="Arial" w:cs="Arial"/>
        </w:rPr>
      </w:pPr>
      <w:r w:rsidRPr="002A2A3D">
        <w:rPr>
          <w:rFonts w:ascii="Arial" w:hAnsi="Arial" w:cs="Arial"/>
        </w:rPr>
        <w:t>This chapter reviews the academic scholarship that examines the relationship between exchange-rate volatility, services trade, and geopolitical shocks. The discussion begins by outlining the theoretical foundations that explain how currency movements affect trade through price-setting behaviour, invoicing practices, and exposure to risk. It then synthesises global and regional empirical evidence before turning to findings specific to India’s digital services industry. A separate section examines geopolitical shocks and their interaction with exchange-rate volatility, given their growing influence on outsourcing patterns and currency dynamics. The chapter concludes by identifying cross-cutting themes, conceptualising the mechanisms relevant to India’s digital exporters and outlining gaps that justify the present study.</w:t>
      </w:r>
    </w:p>
    <w:p w14:paraId="38D356FD" w14:textId="77777777" w:rsidR="00FA69AA" w:rsidRPr="002A2A3D" w:rsidRDefault="00FA69AA" w:rsidP="00FA69AA">
      <w:pPr>
        <w:pStyle w:val="Heading2"/>
        <w:rPr>
          <w:rFonts w:ascii="Arial" w:hAnsi="Arial" w:cs="Arial"/>
        </w:rPr>
      </w:pPr>
      <w:bookmarkStart w:id="8" w:name="_Toc218462581"/>
      <w:r w:rsidRPr="002A2A3D">
        <w:rPr>
          <w:rFonts w:ascii="Arial" w:hAnsi="Arial" w:cs="Arial"/>
        </w:rPr>
        <w:t>2.2. Theoretical Foundations of Exchange-Rate Volatility and Trade</w:t>
      </w:r>
      <w:bookmarkEnd w:id="8"/>
    </w:p>
    <w:p w14:paraId="1EBCFE74" w14:textId="77777777" w:rsidR="00FA69AA" w:rsidRPr="002A2A3D" w:rsidRDefault="00FA69AA" w:rsidP="00AC52CF">
      <w:pPr>
        <w:ind w:firstLine="720"/>
        <w:rPr>
          <w:rFonts w:ascii="Arial" w:hAnsi="Arial" w:cs="Arial"/>
          <w:lang w:val="en-IN"/>
        </w:rPr>
      </w:pPr>
      <w:r w:rsidRPr="002A2A3D">
        <w:rPr>
          <w:rFonts w:ascii="Arial" w:hAnsi="Arial" w:cs="Arial"/>
          <w:lang w:val="en-IN"/>
        </w:rPr>
        <w:t>A coherent understanding of exchange-rate volatility begins with the evolution of trade theory from classical assumptions to modern models that incorporate firm behaviour, price rigidities and financial-market imperfections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(Dong, 2018). Classical trade theory, including comparative advantage and factor-endowment models, provides historical context but limited predictive power for contemporary service exporters. Rather than citing nineteenth- and early twentieth-century original texts, modern summaries such as Kortava (2013) provide widely accepted interpretations: classical models assume frictionless markets, flexible prices and full pass-through of exchange-rate changes into export prices. Under these assumptions, currency movements influence relative prices only mechanically and do not alter deeper structural determinants of trade. This contrasts sharply with the realities of today’s markets, where firms exercise pricing power, face financial risks, and operate under long-term contractual arrangements.</w:t>
      </w:r>
    </w:p>
    <w:p w14:paraId="537A7A1C" w14:textId="77777777" w:rsidR="00FA69AA" w:rsidRPr="002A2A3D" w:rsidRDefault="00FA69AA" w:rsidP="00AC52CF">
      <w:pPr>
        <w:ind w:firstLine="720"/>
        <w:rPr>
          <w:rFonts w:ascii="Arial" w:hAnsi="Arial" w:cs="Arial"/>
        </w:rPr>
      </w:pPr>
      <w:r w:rsidRPr="002A2A3D">
        <w:rPr>
          <w:rFonts w:ascii="Arial" w:hAnsi="Arial" w:cs="Arial"/>
        </w:rPr>
        <w:lastRenderedPageBreak/>
        <w:t>Modern trade theory moves beyond these assumptions and recognises that firms operate with imperfect competition, differentiated products and sticky prices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w:t>
      </w:r>
      <w:proofErr w:type="spellStart"/>
      <w:r w:rsidRPr="002A2A3D">
        <w:rPr>
          <w:rFonts w:ascii="Arial" w:hAnsi="Arial" w:cs="Arial"/>
          <w:lang w:val="en-IN"/>
        </w:rPr>
        <w:t>Ruggie</w:t>
      </w:r>
      <w:proofErr w:type="spellEnd"/>
      <w:r w:rsidRPr="002A2A3D">
        <w:rPr>
          <w:rFonts w:ascii="Arial" w:hAnsi="Arial" w:cs="Arial"/>
          <w:lang w:val="en-IN"/>
        </w:rPr>
        <w:t>, 1982)</w:t>
      </w:r>
      <w:r w:rsidRPr="002A2A3D">
        <w:rPr>
          <w:rFonts w:ascii="Arial" w:hAnsi="Arial" w:cs="Arial"/>
        </w:rPr>
        <w:t>. Krugman’s (1980) new trade theory shows that market-power firms can vary their export prices across destinations, a behaviour known as pricing-to-market. If firms adjust margins in response to exchange-rate movements rather than passing them on to consumers, the link between currency changes and export volumes weakens. This contributes to incomplete exchange-rate pass-through (Campa and Goldberg, 2005), which is particularly relevant for service providers whose output is intangible and often sold under multi-year contracts.</w:t>
      </w:r>
    </w:p>
    <w:p w14:paraId="1CAB7970" w14:textId="77777777" w:rsidR="00FA69AA" w:rsidRPr="002A2A3D" w:rsidRDefault="00FA69AA" w:rsidP="00AC52CF">
      <w:pPr>
        <w:ind w:firstLine="720"/>
        <w:rPr>
          <w:rFonts w:ascii="Arial" w:hAnsi="Arial" w:cs="Arial"/>
          <w:lang w:val="en-IN"/>
        </w:rPr>
      </w:pPr>
      <w:r w:rsidRPr="002A2A3D">
        <w:rPr>
          <w:rFonts w:ascii="Arial" w:hAnsi="Arial" w:cs="Arial"/>
        </w:rPr>
        <w:t>A major advance in understanding modern trade behaviour is the dominant currency pricing (DCP) framework. Gopinath (2015) demonstrates that most global trade, including much of services trade, is invoiced in a few dominant currencies, notably the U.S. dollar. Under DCP, firms price in dollars even when neither party to the transaction is American. Currency movements involving non-dollar currencies (for example, INR/EUR) have limited immediate effects on export prices, whereas changes in the dollar exchange rate have sizeable implications for both pricing and revenues. For Indian digital-services firms, this means that INR/USD movements are far more consequential than fluctuations in trade-weighted exchange rates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(Nagendra Marisetty, 2024)</w:t>
      </w:r>
      <w:r w:rsidRPr="002A2A3D">
        <w:rPr>
          <w:rFonts w:ascii="Arial" w:hAnsi="Arial" w:cs="Arial"/>
        </w:rPr>
        <w:t>.</w:t>
      </w:r>
    </w:p>
    <w:p w14:paraId="795E7B6D" w14:textId="77777777" w:rsidR="00FA69AA" w:rsidRPr="002A2A3D" w:rsidRDefault="00FA69AA" w:rsidP="00AC52CF">
      <w:pPr>
        <w:ind w:firstLine="720"/>
        <w:rPr>
          <w:rFonts w:ascii="Arial" w:hAnsi="Arial" w:cs="Arial"/>
        </w:rPr>
      </w:pPr>
      <w:r w:rsidRPr="002A2A3D">
        <w:rPr>
          <w:rFonts w:ascii="Arial" w:hAnsi="Arial" w:cs="Arial"/>
        </w:rPr>
        <w:t xml:space="preserve">Exchange-rate pass-through itself is central to analysing how exporters adjust to volatility. High pass-through implies that exchange-rate movements translate directly into foreign-currency prices; low pass-through means firms absorb shocks through margins or hedging. Gopinath, Elhanan </w:t>
      </w:r>
      <w:proofErr w:type="spellStart"/>
      <w:r w:rsidRPr="002A2A3D">
        <w:rPr>
          <w:rFonts w:ascii="Arial" w:hAnsi="Arial" w:cs="Arial"/>
        </w:rPr>
        <w:t>Helpman</w:t>
      </w:r>
      <w:proofErr w:type="spellEnd"/>
      <w:r w:rsidRPr="002A2A3D">
        <w:rPr>
          <w:rFonts w:ascii="Arial" w:hAnsi="Arial" w:cs="Arial"/>
        </w:rPr>
        <w:t xml:space="preserve"> and Rogoff (2014) show that pass-through tends to be lower in sectors with differentiated products and relationship-based contracting, conditions common in digital services. The combination of price rigidities, long-term outsourcing agreements and negotiated billing rates reduces the ability of currency fluctuations to immediately alter pricing behaviour, making income rather than price competitiveness the dominant channel of impact.</w:t>
      </w:r>
    </w:p>
    <w:p w14:paraId="38B1F836" w14:textId="77777777" w:rsidR="00FA69AA" w:rsidRPr="002A2A3D" w:rsidRDefault="00FA69AA" w:rsidP="00AC52CF">
      <w:pPr>
        <w:ind w:firstLine="720"/>
        <w:rPr>
          <w:rFonts w:ascii="Arial" w:hAnsi="Arial" w:cs="Arial"/>
          <w:lang w:val="en-IN"/>
        </w:rPr>
      </w:pPr>
      <w:r w:rsidRPr="002A2A3D">
        <w:rPr>
          <w:rFonts w:ascii="Arial" w:hAnsi="Arial" w:cs="Arial"/>
        </w:rPr>
        <w:t>Risk exposure and hedging theories further illuminate how firms navigate volatility. Exchange-rate risk encompasses transaction exposure (effects on cash flows), translation exposure (balance-sheet valuation) and economic exposure (competitiveness over time). Bartram, Brown, and Minton (2010) show that firms using derivatives or natural hedges can insulate themselves from short-term volatility, although hedging introduces its own costs and is imperfect when shocks are sudden or extreme. The capacity to hedge varies widely by firm size and financial sophistication, contributing to heterogeneity in trade responses across countries and sectors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(Hutson and Stevenson, 2009)</w:t>
      </w:r>
      <w:r w:rsidRPr="002A2A3D">
        <w:rPr>
          <w:rFonts w:ascii="Arial" w:hAnsi="Arial" w:cs="Arial"/>
        </w:rPr>
        <w:t>.</w:t>
      </w:r>
    </w:p>
    <w:p w14:paraId="1E8C13F3" w14:textId="77777777" w:rsidR="00FA69AA" w:rsidRPr="00AC52CF" w:rsidRDefault="00FA69AA" w:rsidP="00AC52CF">
      <w:pPr>
        <w:ind w:firstLine="720"/>
        <w:rPr>
          <w:rFonts w:ascii="Arial" w:hAnsi="Arial" w:cs="Arial"/>
        </w:rPr>
      </w:pPr>
      <w:r w:rsidRPr="002A2A3D">
        <w:rPr>
          <w:rFonts w:ascii="Arial" w:hAnsi="Arial" w:cs="Arial"/>
        </w:rPr>
        <w:t xml:space="preserve">Theoretical distinctions between goods and services also shape how exchange-rate changes transmit into export performance. Services, particularly digitally delivered services, lack the inventory-adjustment mechanisms available to </w:t>
      </w:r>
      <w:r w:rsidRPr="002A2A3D">
        <w:rPr>
          <w:rFonts w:ascii="Arial" w:hAnsi="Arial" w:cs="Arial"/>
        </w:rPr>
        <w:lastRenderedPageBreak/>
        <w:t xml:space="preserve">goods producers. Baldwin and </w:t>
      </w:r>
      <w:proofErr w:type="spellStart"/>
      <w:r w:rsidRPr="002A2A3D">
        <w:rPr>
          <w:rFonts w:ascii="Arial" w:hAnsi="Arial" w:cs="Arial"/>
        </w:rPr>
        <w:t>Forslid</w:t>
      </w:r>
      <w:proofErr w:type="spellEnd"/>
      <w:r w:rsidRPr="002A2A3D">
        <w:rPr>
          <w:rFonts w:ascii="Arial" w:hAnsi="Arial" w:cs="Arial"/>
        </w:rPr>
        <w:t xml:space="preserve"> (2010) argue that services face switching costs, relationship-specific investments and regulatory requirements that make their pricing and delivery more rigid. Moreover, because digital services are largely labour-intensive with domestic-currency cost bases, exchange-rate changes tend to operate through income effects such as raising or compressing margins, rather than altering export-price competitiveness.</w:t>
      </w:r>
      <w:r w:rsidR="00AC52CF">
        <w:rPr>
          <w:rFonts w:ascii="Arial" w:hAnsi="Arial" w:cs="Arial"/>
        </w:rPr>
        <w:t xml:space="preserve"> </w:t>
      </w:r>
      <w:r w:rsidRPr="002A2A3D">
        <w:rPr>
          <w:rFonts w:ascii="Arial" w:hAnsi="Arial" w:cs="Arial"/>
          <w:lang w:val="en-IN"/>
        </w:rPr>
        <w:t>Taken together, contemporary trade theory shows that exchange-rate volatility affects exporters through multiple intertwined mechanisms: the invoicing currency, the extent of price rigidity, firms’ market power, the nature of contractual relationships and their hedging capacity. These mechanisms guide the interpretation of empirical evidence globally and in the context of India’s digital-services sector.</w:t>
      </w:r>
    </w:p>
    <w:p w14:paraId="7EE60D11" w14:textId="77777777" w:rsidR="00FA69AA" w:rsidRPr="002A2A3D" w:rsidRDefault="00FA69AA" w:rsidP="00FA69AA">
      <w:pPr>
        <w:pStyle w:val="Heading2"/>
        <w:rPr>
          <w:rFonts w:ascii="Arial" w:hAnsi="Arial" w:cs="Arial"/>
        </w:rPr>
      </w:pPr>
      <w:bookmarkStart w:id="9" w:name="_Toc218462582"/>
      <w:r w:rsidRPr="002A2A3D">
        <w:rPr>
          <w:rFonts w:ascii="Arial" w:hAnsi="Arial" w:cs="Arial"/>
        </w:rPr>
        <w:t>2.3. Global and Regional Evidence on Exchange-Rate Volatility</w:t>
      </w:r>
      <w:bookmarkEnd w:id="9"/>
    </w:p>
    <w:p w14:paraId="5A90436E" w14:textId="77777777" w:rsidR="00FA69AA" w:rsidRPr="002A2A3D" w:rsidRDefault="00FA69AA" w:rsidP="00AC52CF">
      <w:pPr>
        <w:ind w:firstLine="720"/>
        <w:rPr>
          <w:rFonts w:ascii="Arial" w:hAnsi="Arial" w:cs="Arial"/>
          <w:lang w:val="en-IN"/>
        </w:rPr>
      </w:pPr>
      <w:r w:rsidRPr="002A2A3D">
        <w:rPr>
          <w:rFonts w:ascii="Arial" w:hAnsi="Arial" w:cs="Arial"/>
          <w:lang w:val="en-IN"/>
        </w:rPr>
        <w:t>Research on exchange-rate volatility and export performance spans more than three decades and provides a rich but heterogeneous body of findings. Early empirical studies, particularly from the 1990s to mid-2000s, largely focused on goods exports and often found that volatility has either a modest or statistically insignificant effect on trade flows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(Bennett et al., 2016). Clark and International Monetary Fund (2004), using a multi-country gravity framework, concluded that exchange-rate volatility exerts only a small negative influence on bilateral goods trade, a result broadly consistent across advanced and emerging economies at the time. This earlier generation of studies tended to rely on linear models and annual data, potentially masking short-term fluctuations and asymmetric patterns (Broll, Wahl, and Wong, 2006).</w:t>
      </w:r>
    </w:p>
    <w:p w14:paraId="6B77AF58" w14:textId="77777777" w:rsidR="00FA69AA" w:rsidRPr="00AC52CF" w:rsidRDefault="00FA69AA" w:rsidP="00AC52CF">
      <w:pPr>
        <w:ind w:firstLine="720"/>
        <w:rPr>
          <w:rFonts w:ascii="Arial" w:hAnsi="Arial" w:cs="Arial"/>
          <w:lang w:val="en-IN"/>
        </w:rPr>
      </w:pPr>
      <w:r w:rsidRPr="002A2A3D">
        <w:rPr>
          <w:rFonts w:ascii="Arial" w:hAnsi="Arial" w:cs="Arial"/>
          <w:lang w:val="en-IN"/>
        </w:rPr>
        <w:t xml:space="preserve">Later work employing higher-frequency data, non-linear estimators and industry-level breakdowns reveals more nuanced results. Berman and Berthou (2009) show that the effect of exchange-rate movements depends heavily on product differentiation, firm size and market power: firms producing differentiated goods are better able to absorb exchange-rate shocks by adjusting margins. Chit, </w:t>
      </w:r>
      <w:proofErr w:type="spellStart"/>
      <w:r w:rsidRPr="002A2A3D">
        <w:rPr>
          <w:rFonts w:ascii="Arial" w:hAnsi="Arial" w:cs="Arial"/>
          <w:lang w:val="en-IN"/>
        </w:rPr>
        <w:t>Rizov</w:t>
      </w:r>
      <w:proofErr w:type="spellEnd"/>
      <w:r w:rsidRPr="002A2A3D">
        <w:rPr>
          <w:rFonts w:ascii="Arial" w:hAnsi="Arial" w:cs="Arial"/>
          <w:lang w:val="en-IN"/>
        </w:rPr>
        <w:t xml:space="preserve"> and </w:t>
      </w:r>
      <w:proofErr w:type="spellStart"/>
      <w:r w:rsidRPr="002A2A3D">
        <w:rPr>
          <w:rFonts w:ascii="Arial" w:hAnsi="Arial" w:cs="Arial"/>
          <w:lang w:val="en-IN"/>
        </w:rPr>
        <w:t>Willenbockel</w:t>
      </w:r>
      <w:proofErr w:type="spellEnd"/>
      <w:r w:rsidRPr="002A2A3D">
        <w:rPr>
          <w:rFonts w:ascii="Arial" w:hAnsi="Arial" w:cs="Arial"/>
          <w:lang w:val="en-IN"/>
        </w:rPr>
        <w:t>, (2010) examining East Asian exporters using quarterly data, find a significant negative effect of volatility on both exports and imports, especially for intermediate goods integrated into regional production networks. Their study demonstrates that volatility affects not only final demand but also the coordination of supply chains.</w:t>
      </w:r>
      <w:r w:rsidR="00AC52CF">
        <w:rPr>
          <w:rFonts w:ascii="Arial" w:hAnsi="Arial" w:cs="Arial"/>
          <w:lang w:val="en-IN"/>
        </w:rPr>
        <w:t xml:space="preserve"> </w:t>
      </w:r>
      <w:r w:rsidRPr="002A2A3D">
        <w:rPr>
          <w:rFonts w:ascii="Arial" w:hAnsi="Arial" w:cs="Arial"/>
        </w:rPr>
        <w:t>A recurring theme in the empirical literature is asymmetry. Bahmani-</w:t>
      </w:r>
      <w:proofErr w:type="spellStart"/>
      <w:r w:rsidRPr="002A2A3D">
        <w:rPr>
          <w:rFonts w:ascii="Arial" w:hAnsi="Arial" w:cs="Arial"/>
        </w:rPr>
        <w:t>Oskooee</w:t>
      </w:r>
      <w:proofErr w:type="spellEnd"/>
      <w:r w:rsidRPr="002A2A3D">
        <w:rPr>
          <w:rFonts w:ascii="Arial" w:hAnsi="Arial" w:cs="Arial"/>
        </w:rPr>
        <w:t xml:space="preserve"> and Hegerty (2007) show that volatility associated with depreciation episodes tends to be more damaging than volatility associated with appreciation, especially in emerging markets where imported intermediate goods become costlier when domestic currencies weaken. Studies using non-linear econometric techniques such as threshold autoregressive models or smooth transition regressions, confirm that volatility has stronger negative effects when it exceeds specific thresholds (Kiliç, 2011). These findings reflect the idea that exporters tolerate small fluctuations but respond sharply when uncertainty crosses a level that threatens margins or disrupts planning cycles.</w:t>
      </w:r>
    </w:p>
    <w:p w14:paraId="698EC1BF" w14:textId="77777777" w:rsidR="00FA69AA" w:rsidRPr="002A2A3D" w:rsidRDefault="00FA69AA" w:rsidP="00AC52CF">
      <w:pPr>
        <w:ind w:firstLine="720"/>
        <w:rPr>
          <w:rFonts w:ascii="Arial" w:hAnsi="Arial" w:cs="Arial"/>
        </w:rPr>
      </w:pPr>
      <w:r w:rsidRPr="002A2A3D">
        <w:rPr>
          <w:rFonts w:ascii="Arial" w:hAnsi="Arial" w:cs="Arial"/>
        </w:rPr>
        <w:lastRenderedPageBreak/>
        <w:t xml:space="preserve">The Asian experience provides particularly relevant evidence for understanding India’s position. East Asia’s integration in global production networks means that exchange-rate volatility can disrupt intermediate-goods trade. Hayakawa and Kimura (2009) find strong negative effects of volatility within East Asian supply chains, emphasising the sensitivity of value-chain trade to currency instability. In contrast, large Japanese and South Korean firms often hedge extensively either through derivative markets or invoicing strategies, allowing them to maintain stable export volumes despite volatile conditions (Dong, </w:t>
      </w:r>
      <w:proofErr w:type="spellStart"/>
      <w:r w:rsidRPr="002A2A3D">
        <w:rPr>
          <w:rFonts w:ascii="Arial" w:hAnsi="Arial" w:cs="Arial"/>
        </w:rPr>
        <w:t>Kouvelis</w:t>
      </w:r>
      <w:proofErr w:type="spellEnd"/>
      <w:r w:rsidRPr="002A2A3D">
        <w:rPr>
          <w:rFonts w:ascii="Arial" w:hAnsi="Arial" w:cs="Arial"/>
        </w:rPr>
        <w:t xml:space="preserve"> and Su, 2014). This contrast highlights how financial sophistication moderates the impact of currency shocks.</w:t>
      </w:r>
      <w:r w:rsidR="00AC52CF">
        <w:rPr>
          <w:rFonts w:ascii="Arial" w:hAnsi="Arial" w:cs="Arial"/>
        </w:rPr>
        <w:t xml:space="preserve"> </w:t>
      </w:r>
      <w:r w:rsidRPr="002A2A3D">
        <w:rPr>
          <w:rFonts w:ascii="Arial" w:hAnsi="Arial" w:cs="Arial"/>
        </w:rPr>
        <w:t>ASEAN economies exhibit mixed outcomes. Pino, Tas and Sharma (2015) identify industry-specific variations in how volatility affects exports: technology-intensive sectors tend to withstand volatility better than labour-intensive sectors, largely because firms with higher productivity and stronger bargaining power manage risk more effectively. Some ASEAN countries benefit from deep financial markets, while others face higher vulnerability because of limited access to hedging.</w:t>
      </w:r>
      <w:r w:rsidR="00AC52CF">
        <w:rPr>
          <w:rFonts w:ascii="Arial" w:hAnsi="Arial" w:cs="Arial"/>
        </w:rPr>
        <w:t xml:space="preserve"> </w:t>
      </w:r>
      <w:r w:rsidRPr="002A2A3D">
        <w:rPr>
          <w:rFonts w:ascii="Arial" w:hAnsi="Arial" w:cs="Arial"/>
        </w:rPr>
        <w:t>Evidence from South Asia is more aligned with the emerging-market literature. Exporters in Pakistan, Bangladesh and Sri Lanka tend to be highly sensitive to volatility, particularly when their production relies on imported intermediate goods or when credit constraints prevent effective hedging (Basak et al., 2025). These findings underline the broader structural feature of many developing economies: lower resilience to financial shocks.</w:t>
      </w:r>
    </w:p>
    <w:p w14:paraId="24ABA31E" w14:textId="77777777" w:rsidR="00FA69AA" w:rsidRPr="002A2A3D" w:rsidRDefault="00FA69AA" w:rsidP="00AC52CF">
      <w:pPr>
        <w:ind w:firstLine="720"/>
        <w:rPr>
          <w:rFonts w:ascii="Arial" w:hAnsi="Arial" w:cs="Arial"/>
          <w:lang w:val="en-IN"/>
        </w:rPr>
      </w:pPr>
      <w:r w:rsidRPr="002A2A3D">
        <w:rPr>
          <w:rFonts w:ascii="Arial" w:hAnsi="Arial" w:cs="Arial"/>
        </w:rPr>
        <w:t>Overall, global, and regional scholarship demonstrates that the relationship between exchange-rate volatility and trade is shaped by sectoral characteristics, financial development, and firm heterogeneity</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(Bah and H.A. Amusa, 2003)</w:t>
      </w:r>
      <w:r w:rsidRPr="002A2A3D">
        <w:rPr>
          <w:rFonts w:ascii="Arial" w:hAnsi="Arial" w:cs="Arial"/>
        </w:rPr>
        <w:t>. Volatility typically discourages exports, but its effects vary across countries depending on market structure, hedging capacity and the nature of traded goods or services. These insights form an analytical bridge to understanding India’s digital services sector, which shares some features with East Asian differentiated-product exporters while also facing constraints typical of emerging markets.</w:t>
      </w:r>
    </w:p>
    <w:p w14:paraId="679D6A7F" w14:textId="77777777" w:rsidR="00FA69AA" w:rsidRPr="002A2A3D" w:rsidRDefault="00FA69AA" w:rsidP="00FA69AA">
      <w:pPr>
        <w:pStyle w:val="Heading2"/>
        <w:rPr>
          <w:rFonts w:ascii="Arial" w:hAnsi="Arial" w:cs="Arial"/>
        </w:rPr>
      </w:pPr>
      <w:bookmarkStart w:id="10" w:name="_Toc218462583"/>
      <w:r w:rsidRPr="002A2A3D">
        <w:rPr>
          <w:rFonts w:ascii="Arial" w:hAnsi="Arial" w:cs="Arial"/>
        </w:rPr>
        <w:t>2.4. Exchange-Rate Volatility and India’s Digital Services Sector</w:t>
      </w:r>
      <w:bookmarkEnd w:id="10"/>
    </w:p>
    <w:p w14:paraId="1D0B779C" w14:textId="77777777" w:rsidR="00FA69AA" w:rsidRPr="002A2A3D" w:rsidRDefault="00FA69AA" w:rsidP="00AC52CF">
      <w:pPr>
        <w:ind w:firstLine="720"/>
        <w:rPr>
          <w:rFonts w:ascii="Arial" w:hAnsi="Arial" w:cs="Arial"/>
          <w:lang w:val="en-IN"/>
        </w:rPr>
      </w:pPr>
      <w:r w:rsidRPr="002A2A3D">
        <w:rPr>
          <w:rFonts w:ascii="Arial" w:hAnsi="Arial" w:cs="Arial"/>
        </w:rPr>
        <w:t>India’s emergence as a global centre for digitally delivered services has reshaped its export structure and increased its sensitivity to financial-market conditions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 xml:space="preserve">(Tandon and </w:t>
      </w:r>
      <w:proofErr w:type="spellStart"/>
      <w:r w:rsidRPr="002A2A3D">
        <w:rPr>
          <w:rFonts w:ascii="Arial" w:hAnsi="Arial" w:cs="Arial"/>
          <w:lang w:val="en-IN"/>
        </w:rPr>
        <w:t>singh</w:t>
      </w:r>
      <w:proofErr w:type="spellEnd"/>
      <w:r w:rsidRPr="002A2A3D">
        <w:rPr>
          <w:rFonts w:ascii="Arial" w:hAnsi="Arial" w:cs="Arial"/>
          <w:lang w:val="en-IN"/>
        </w:rPr>
        <w:t>, 2025)</w:t>
      </w:r>
      <w:r w:rsidRPr="002A2A3D">
        <w:rPr>
          <w:rFonts w:ascii="Arial" w:hAnsi="Arial" w:cs="Arial"/>
        </w:rPr>
        <w:t>. Over the past decade and a half, IT and business-process management (BPM) services have grown rapidly, supported by improvements in digital infrastructure, a skilled labour force and a strong reputation for cost-efficient outsourcing. This rise, however, has occurred alongside persistent exposure to exchange-rate movements, particularly the INR/USD rate, because most service contracts are priced in U.S. dollars while operational costs are rupee-denominated. As a result, even moderate exchange-rate fluctuations can substantially alter revenue realisation and profitability.</w:t>
      </w:r>
    </w:p>
    <w:p w14:paraId="5BF85D9B" w14:textId="77777777" w:rsidR="00FA69AA" w:rsidRPr="002A2A3D" w:rsidRDefault="00FA69AA" w:rsidP="00AC52CF">
      <w:pPr>
        <w:ind w:firstLine="720"/>
        <w:rPr>
          <w:rFonts w:ascii="Arial" w:hAnsi="Arial" w:cs="Arial"/>
        </w:rPr>
      </w:pPr>
      <w:r w:rsidRPr="002A2A3D">
        <w:rPr>
          <w:rFonts w:ascii="Arial" w:hAnsi="Arial" w:cs="Arial"/>
        </w:rPr>
        <w:lastRenderedPageBreak/>
        <w:t>A consistent finding within the India-focused literature is that volatility affects digital-services exports primarily through income channels rather than through price competitiveness. Dua and Suri (2023) show that services exports respond to exchange-rate movements largely through changes in rupee-denominated revenue rather than through shifts in foreign-currency pricing. Unlike goods exporters, digital-service providers cannot easily adjust invoice values or contract terms when volatility arises because pricing is often agreed several quarters in advance. Sahoo and Dash (2014) similarly highlight that contract stickiness makes the sector more exposed to volatility than traditional theory suggests. When the rupee appreciates, firms’ margins tend to tighten unless long-term hedging strategies are in place; when it depreciates, firms benefit from a positive windfall on dollar-denominated revenues.</w:t>
      </w:r>
    </w:p>
    <w:p w14:paraId="622BFD84" w14:textId="77777777" w:rsidR="00FA69AA" w:rsidRPr="002A2A3D" w:rsidRDefault="00FA69AA" w:rsidP="00AC52CF">
      <w:pPr>
        <w:ind w:firstLine="720"/>
        <w:rPr>
          <w:rFonts w:ascii="Arial" w:hAnsi="Arial" w:cs="Arial"/>
        </w:rPr>
      </w:pPr>
      <w:r w:rsidRPr="002A2A3D">
        <w:rPr>
          <w:rFonts w:ascii="Arial" w:hAnsi="Arial" w:cs="Arial"/>
        </w:rPr>
        <w:t>The sector’s reliance on dominant-currency pricing reinforces these dynamics. Like many globally traded services, India’s digital exports are overwhelmingly invoiced in U.S. dollars, irrespective of client location. This echoes global findings on dominant-currency pricing (Gopinath, 2015) and recent IMF evidence showing that services trade follows the same pattern as goods trade in relying heavily on the dollar (Li and Meleshchuk, 2024). The practical implication is that bilateral exchange-rate movements with non-U.S. trading partners play a limited role: what matters most is the volatility of the rupee against the dollar. Research also confirms that INR/USD volatility exerts a direct influence on India’s services receipts, particularly during periods of global stress.</w:t>
      </w:r>
      <w:r w:rsidR="00AC52CF">
        <w:rPr>
          <w:rFonts w:ascii="Arial" w:hAnsi="Arial" w:cs="Arial"/>
        </w:rPr>
        <w:t xml:space="preserve"> </w:t>
      </w:r>
      <w:r w:rsidRPr="002A2A3D">
        <w:rPr>
          <w:rFonts w:ascii="Arial" w:hAnsi="Arial" w:cs="Arial"/>
        </w:rPr>
        <w:t>Hedging practices represent one of the main moderating mechanisms through which digital-service firms manage volatility. Larger firms such as TCS, Infosys and Wipro engage in extensive hedging programmes, often covering a significant proportion of expected future dollar receipts. The evidence suggests that hedging reduces short-term volatility in revenue and supports smoother cash-flow planning (Sur, Nandy, and Ray, 2024). However, smaller, and mid-tier exporters who lack comparable financial sophistication or bargaining power in derivative markets often hedge less aggressively. This disparity creates heterogeneity in the sector’s exposure to volatility. Sur et al., (2024) note that firms with weaker hedging capabilities experience more pronounced swings in income during periods of financial-market stress.</w:t>
      </w:r>
    </w:p>
    <w:p w14:paraId="4CA9949B" w14:textId="77777777" w:rsidR="00FA69AA" w:rsidRPr="002A2A3D" w:rsidRDefault="00FA69AA" w:rsidP="00AC52CF">
      <w:pPr>
        <w:ind w:firstLine="720"/>
        <w:rPr>
          <w:rFonts w:ascii="Arial" w:hAnsi="Arial" w:cs="Arial"/>
        </w:rPr>
      </w:pPr>
      <w:r w:rsidRPr="002A2A3D">
        <w:rPr>
          <w:rFonts w:ascii="Arial" w:hAnsi="Arial" w:cs="Arial"/>
        </w:rPr>
        <w:t>Empirical work also identifies asymmetric responses to exchange-rate volatility. Rupee depreciation tends to boost services earnings because it increases rupee-denominated revenue without requiring price adjustments, whereas rupee appreciation compresses margins but does not necessarily reduce export volumes. This aligns with the broader pattern observed in emerging markets, where depreciation-induced volatility has greater economic significance (Bahmani-</w:t>
      </w:r>
      <w:proofErr w:type="spellStart"/>
      <w:r w:rsidRPr="002A2A3D">
        <w:rPr>
          <w:rFonts w:ascii="Arial" w:hAnsi="Arial" w:cs="Arial"/>
        </w:rPr>
        <w:t>Oskooee</w:t>
      </w:r>
      <w:proofErr w:type="spellEnd"/>
      <w:r w:rsidRPr="002A2A3D">
        <w:rPr>
          <w:rFonts w:ascii="Arial" w:hAnsi="Arial" w:cs="Arial"/>
        </w:rPr>
        <w:t xml:space="preserve"> and Hegerty, 2007). Research also finds that India’s software-export earnings display stronger sensitivity to volatility when appreciation episodes coincide with global downturns, suggesting that margin pressures intensify when demand conditions are weak</w:t>
      </w:r>
      <w:r w:rsidR="00AC52CF">
        <w:rPr>
          <w:rFonts w:ascii="Arial" w:hAnsi="Arial" w:cs="Arial"/>
        </w:rPr>
        <w:t xml:space="preserve">. </w:t>
      </w:r>
      <w:r w:rsidRPr="002A2A3D">
        <w:rPr>
          <w:rFonts w:ascii="Arial" w:hAnsi="Arial" w:cs="Arial"/>
        </w:rPr>
        <w:t>While India’s digital services have generally proven resilient to global shocks, this resilience is not uniform. Global crises affect outsourcing decisions and foreign-</w:t>
      </w:r>
      <w:r w:rsidRPr="002A2A3D">
        <w:rPr>
          <w:rFonts w:ascii="Arial" w:hAnsi="Arial" w:cs="Arial"/>
        </w:rPr>
        <w:lastRenderedPageBreak/>
        <w:t>demand patterns. During the pandemic, for example, heightened demand for remote work solutions temporarily strengthened India’s export performance (WTO, 2021), but the same period was also characterised by elevated exchange-rate volatility that affected income stability. This interaction between global shocks and currency volatility is particularly relevant for India, whose services exports are concentrated in markets such as the United States and the United Kingdom, that are themselves vulnerable to geopolitical uncertainty.</w:t>
      </w:r>
    </w:p>
    <w:p w14:paraId="20B6EE7A" w14:textId="77777777" w:rsidR="00FA69AA" w:rsidRPr="00AC52CF" w:rsidRDefault="00FA69AA" w:rsidP="00AC52CF">
      <w:pPr>
        <w:ind w:firstLine="720"/>
        <w:rPr>
          <w:rFonts w:ascii="Arial" w:hAnsi="Arial" w:cs="Arial"/>
          <w:lang w:val="en-IN"/>
        </w:rPr>
      </w:pPr>
      <w:r w:rsidRPr="002A2A3D">
        <w:rPr>
          <w:rFonts w:ascii="Arial" w:hAnsi="Arial" w:cs="Arial"/>
        </w:rPr>
        <w:t xml:space="preserve">Several scholars such as </w:t>
      </w:r>
      <w:r w:rsidRPr="002A2A3D">
        <w:rPr>
          <w:rFonts w:ascii="Arial" w:hAnsi="Arial" w:cs="Arial"/>
          <w:lang w:val="en-IN"/>
        </w:rPr>
        <w:t>Sudan and Rashi Taggar (2024)</w:t>
      </w:r>
      <w:r w:rsidRPr="002A2A3D">
        <w:rPr>
          <w:rFonts w:ascii="Arial" w:hAnsi="Arial" w:cs="Arial"/>
        </w:rPr>
        <w:t xml:space="preserve"> emphasise that India’s digital exporters also face structural vulnerabilities associated with domestic cost dynamics. Because labour accounts for a substantial share of operational expenses, wage inflation in India can offset some of the benefits of rupee depreciation. Additionally, competition from emerging digital-services hubs in Southeast Asia and Eastern Europe introduces a comparative dimension: while India retains scale advantages, cost-competitiveness alone cannot fully mitigate the uncertainty created by exchange-rate movements.</w:t>
      </w:r>
      <w:r w:rsidR="00AC52CF">
        <w:rPr>
          <w:rFonts w:ascii="Arial" w:hAnsi="Arial" w:cs="Arial"/>
          <w:lang w:val="en-IN"/>
        </w:rPr>
        <w:t xml:space="preserve"> </w:t>
      </w:r>
      <w:r w:rsidRPr="002A2A3D">
        <w:rPr>
          <w:rFonts w:ascii="Arial" w:hAnsi="Arial" w:cs="Arial"/>
        </w:rPr>
        <w:t>Taken together, the literature shows that India’s digital-services sector is shaped by a distinctive combination of long-term contracts, dominant-currency pricing, income effects, and uneven hedging behaviour. Exchange-rate volatility affects margins more than volumes, although both margin pressure and uncertainty influence long-term investment decisions and expansion into new markets. These features differentiate digital services from goods trade and underscore the need for a conceptual framework that accounts for the specific mechanisms through which volatility operates.</w:t>
      </w:r>
    </w:p>
    <w:p w14:paraId="24E794F0" w14:textId="77777777" w:rsidR="00FA69AA" w:rsidRPr="002A2A3D" w:rsidRDefault="00FA69AA" w:rsidP="00FA69AA">
      <w:pPr>
        <w:pStyle w:val="Heading2"/>
        <w:rPr>
          <w:rFonts w:ascii="Arial" w:hAnsi="Arial" w:cs="Arial"/>
        </w:rPr>
      </w:pPr>
      <w:bookmarkStart w:id="11" w:name="_Toc218462584"/>
      <w:r w:rsidRPr="002A2A3D">
        <w:rPr>
          <w:rFonts w:ascii="Arial" w:hAnsi="Arial" w:cs="Arial"/>
        </w:rPr>
        <w:t>2.5. Geopolitical Shocks and their Interaction with Services Trade</w:t>
      </w:r>
      <w:bookmarkEnd w:id="11"/>
    </w:p>
    <w:p w14:paraId="63499420" w14:textId="77777777" w:rsidR="00FA69AA" w:rsidRPr="002A2A3D" w:rsidRDefault="00FA69AA" w:rsidP="00AC52CF">
      <w:pPr>
        <w:ind w:firstLine="720"/>
        <w:rPr>
          <w:rFonts w:ascii="Arial" w:hAnsi="Arial" w:cs="Arial"/>
        </w:rPr>
      </w:pPr>
      <w:r w:rsidRPr="002A2A3D">
        <w:rPr>
          <w:rFonts w:ascii="Arial" w:hAnsi="Arial" w:cs="Arial"/>
        </w:rPr>
        <w:t>Geopolitical shocks have become an increasingly important determinant of international economic activity, influencing both global demand patterns and the behaviour of currency markets. Digital services are not immune to these disruptions. Because the sector depends on cross-border data flows, regulatory stability and long-term contractual arrangements, geopolitical events can alter market access, reshape outsourcing preferences, and intensify financial-market uncertainty.</w:t>
      </w:r>
      <w:r w:rsidR="00AC52CF">
        <w:rPr>
          <w:rFonts w:ascii="Arial" w:hAnsi="Arial" w:cs="Arial"/>
        </w:rPr>
        <w:t xml:space="preserve"> </w:t>
      </w:r>
      <w:r w:rsidRPr="002A2A3D">
        <w:rPr>
          <w:rFonts w:ascii="Arial" w:hAnsi="Arial" w:cs="Arial"/>
        </w:rPr>
        <w:t>Caldara and Iacoviello’s (2022) Geopolitical Risk (GPR) index shows that periods of heightened geopolitical tension depress global trade, investment and hiring through uncertainty channels rather than through conventional macroeconomic transmission mechanisms. Services exports, which rely on confidence, continuity and strategic planning, are especially susceptible to these uncertainty effects. For firms in India’s IT and digital-services industry, geopolitical risk affects both the demand for outsourced services and the stability of the rupee. Capital flows tend to shift toward safe-haven assets during geopolitical crises, increasing volatility in emerging-market exchange rates, including the INR/USD rate.</w:t>
      </w:r>
    </w:p>
    <w:p w14:paraId="18C480C5" w14:textId="77777777" w:rsidR="00FA69AA" w:rsidRPr="002A2A3D" w:rsidRDefault="00FA69AA" w:rsidP="00AC52CF">
      <w:pPr>
        <w:ind w:firstLine="720"/>
        <w:rPr>
          <w:rFonts w:ascii="Arial" w:hAnsi="Arial" w:cs="Arial"/>
        </w:rPr>
      </w:pPr>
      <w:r w:rsidRPr="002A2A3D">
        <w:rPr>
          <w:rFonts w:ascii="Arial" w:hAnsi="Arial" w:cs="Arial"/>
        </w:rPr>
        <w:t xml:space="preserve">The literature also highlights how geopolitical shocks influence the composition of outsourcing flows. Trade tensions, the pandemic and political shifts </w:t>
      </w:r>
      <w:r w:rsidRPr="002A2A3D">
        <w:rPr>
          <w:rFonts w:ascii="Arial" w:hAnsi="Arial" w:cs="Arial"/>
        </w:rPr>
        <w:lastRenderedPageBreak/>
        <w:t>such as Brexit have prompted firms to reassess global value chains and digital-service sourcing strategies. Research by Berman and Berthou (2009) suggests that services trade has more resilience than goods trade during global shocks, but this resilience is uneven: firms may favour destinations perceived as politically stable or technologically secure. Van den Broek and Van Veenstra (2018) report increasing policy fragmentation in digital regulation, which can create barriers to data mobility and impose compliance costs on service providers.</w:t>
      </w:r>
      <w:r w:rsidR="00AC52CF">
        <w:rPr>
          <w:rFonts w:ascii="Arial" w:hAnsi="Arial" w:cs="Arial"/>
        </w:rPr>
        <w:t xml:space="preserve"> </w:t>
      </w:r>
      <w:r w:rsidRPr="002A2A3D">
        <w:rPr>
          <w:rFonts w:ascii="Arial" w:hAnsi="Arial" w:cs="Arial"/>
        </w:rPr>
        <w:t>India’s position within this environment is shaped by its strong dependence on the U.S. and U.K. markets. Regulatory proposals affecting data privacy, cybersecurity, taxation of digital services or visa mobility all count as geopolitical or geo-economic shocks. Banerjee (2006) noted that shifts in U.S. immigration policy, particularly around the H-1B visa, indirectly affect the operating models of Indian IT firms, raising uncertainty around service delivery and labour mobility. These policy shocks influence both short-term contracting behaviour and long-term strategic planning.</w:t>
      </w:r>
    </w:p>
    <w:p w14:paraId="458CC3AF" w14:textId="77777777" w:rsidR="00FA69AA" w:rsidRPr="002A2A3D" w:rsidRDefault="00FA69AA" w:rsidP="00AC52CF">
      <w:pPr>
        <w:ind w:firstLine="720"/>
        <w:rPr>
          <w:rFonts w:ascii="Arial" w:hAnsi="Arial" w:cs="Arial"/>
        </w:rPr>
      </w:pPr>
      <w:r w:rsidRPr="002A2A3D">
        <w:rPr>
          <w:rFonts w:ascii="Arial" w:hAnsi="Arial" w:cs="Arial"/>
        </w:rPr>
        <w:t>A further mechanism is the interaction between geopolitical risk and exchange-rate volatility. Global risk aversion typically triggers capital outflows from emerging markets, which in turn increases currency volatility (Diaz and Collin, 2025). Because Indian digital-service exports are priced in U.S. dollars, rupee volatility that accompanies geopolitical shocks feeds directly into earnings uncertainty. The literature therefore suggests a two-channel effect: geopolitical shocks influence services demand directly through firm decisions, and indirectly by destabilising exchange rates.</w:t>
      </w:r>
      <w:r w:rsidR="00AC52CF">
        <w:rPr>
          <w:rFonts w:ascii="Arial" w:hAnsi="Arial" w:cs="Arial"/>
        </w:rPr>
        <w:t xml:space="preserve"> T</w:t>
      </w:r>
      <w:r w:rsidRPr="002A2A3D">
        <w:rPr>
          <w:rFonts w:ascii="Arial" w:hAnsi="Arial" w:cs="Arial"/>
        </w:rPr>
        <w:t>his dual channel is particularly significant for India’s digital-services model. Outsourcing arrangements depend on trust, regulatory predictability, and stable financial conditions. Geopolitical disturbances that undermine any of these elements can affect the attractiveness of India as a service provider. However, the literature also acknowledges that geopolitical realignment sometimes creates new opportunities. For example, tensions between Western economies and China have encouraged diversification of digital-service sourcing, with India among the potential beneficiaries.</w:t>
      </w:r>
    </w:p>
    <w:p w14:paraId="443BDA4E" w14:textId="77777777" w:rsidR="00FA69AA" w:rsidRPr="002A2A3D" w:rsidRDefault="00FA69AA" w:rsidP="00AC52CF">
      <w:pPr>
        <w:ind w:firstLine="720"/>
        <w:rPr>
          <w:rFonts w:ascii="Arial" w:hAnsi="Arial" w:cs="Arial"/>
        </w:rPr>
      </w:pPr>
      <w:r w:rsidRPr="002A2A3D">
        <w:rPr>
          <w:rFonts w:ascii="Arial" w:hAnsi="Arial" w:cs="Arial"/>
        </w:rPr>
        <w:t>Overall, geopolitical shocks shape India’s digital-services exports by influencing demand conditions, regulatory frameworks, and exchange-rate stability. These effects are interdependent rather than isolated, and their combined influence provides essential context for understanding the volatility experienced by Indian service providers over the past decade.</w:t>
      </w:r>
    </w:p>
    <w:p w14:paraId="4732B1FC" w14:textId="77777777" w:rsidR="00FA69AA" w:rsidRPr="002A2A3D" w:rsidRDefault="00FA69AA" w:rsidP="00FA69AA">
      <w:pPr>
        <w:pStyle w:val="Heading2"/>
        <w:rPr>
          <w:rFonts w:ascii="Arial" w:hAnsi="Arial" w:cs="Arial"/>
        </w:rPr>
      </w:pPr>
      <w:bookmarkStart w:id="12" w:name="_Toc218462585"/>
      <w:r w:rsidRPr="002A2A3D">
        <w:rPr>
          <w:rFonts w:ascii="Arial" w:hAnsi="Arial" w:cs="Arial"/>
        </w:rPr>
        <w:t>2.6. Cross-Cutting Themes in the Literature</w:t>
      </w:r>
      <w:bookmarkEnd w:id="12"/>
    </w:p>
    <w:p w14:paraId="7EE2ED9B" w14:textId="77777777" w:rsidR="00FA69AA" w:rsidRPr="002A2A3D" w:rsidRDefault="00FA69AA" w:rsidP="00AC52CF">
      <w:pPr>
        <w:ind w:firstLine="720"/>
        <w:rPr>
          <w:rFonts w:ascii="Arial" w:hAnsi="Arial" w:cs="Arial"/>
        </w:rPr>
      </w:pPr>
      <w:r w:rsidRPr="002A2A3D">
        <w:rPr>
          <w:rFonts w:ascii="Arial" w:hAnsi="Arial" w:cs="Arial"/>
        </w:rPr>
        <w:t>Several themes emerge consistently across the theoretical and empirical scholarship. The first is the leading role of dominant-currency pricing. Whether studying goods or services, the literature highlights the widespread use of the U.S. dollar in international transactions. This reduces the relevance of bilateral exchange rates and magnifies the importance of INR/USD movements for India’s digital-services sector (Gopinath, 2015; Li and Meleshchuk, 2024).</w:t>
      </w:r>
      <w:r w:rsidR="00AC52CF">
        <w:rPr>
          <w:rFonts w:ascii="Arial" w:hAnsi="Arial" w:cs="Arial"/>
        </w:rPr>
        <w:t xml:space="preserve"> </w:t>
      </w:r>
      <w:r w:rsidRPr="002A2A3D">
        <w:rPr>
          <w:rFonts w:ascii="Arial" w:hAnsi="Arial" w:cs="Arial"/>
        </w:rPr>
        <w:t xml:space="preserve">A second theme is the </w:t>
      </w:r>
      <w:r w:rsidRPr="002A2A3D">
        <w:rPr>
          <w:rFonts w:ascii="Arial" w:hAnsi="Arial" w:cs="Arial"/>
        </w:rPr>
        <w:lastRenderedPageBreak/>
        <w:t>asymmetric and non-linear nature of exchange-rate effects. Studies across emerging markets show that depreciation-related volatility tends to exert more significant impacts than appreciation-related volatility, especially when production costs are domestic-currency-denominated (Bahmani-</w:t>
      </w:r>
      <w:proofErr w:type="spellStart"/>
      <w:r w:rsidRPr="002A2A3D">
        <w:rPr>
          <w:rFonts w:ascii="Arial" w:hAnsi="Arial" w:cs="Arial"/>
        </w:rPr>
        <w:t>Oskooee</w:t>
      </w:r>
      <w:proofErr w:type="spellEnd"/>
      <w:r w:rsidRPr="002A2A3D">
        <w:rPr>
          <w:rFonts w:ascii="Arial" w:hAnsi="Arial" w:cs="Arial"/>
        </w:rPr>
        <w:t xml:space="preserve"> and Hegerty, 2007). Non-linear modelling approaches confirm that exporters respond more sharply when volatility exceeds specific thresholds.</w:t>
      </w:r>
      <w:r w:rsidR="00AC52CF">
        <w:rPr>
          <w:rFonts w:ascii="Arial" w:hAnsi="Arial" w:cs="Arial"/>
        </w:rPr>
        <w:t xml:space="preserve"> </w:t>
      </w:r>
      <w:r w:rsidRPr="002A2A3D">
        <w:rPr>
          <w:rFonts w:ascii="Arial" w:hAnsi="Arial" w:cs="Arial"/>
        </w:rPr>
        <w:t>A third theme concerns hedging capacity and financial sophistication. Evidence from India and East Asia shows that firms able to hedge large shares of foreign-currency exposure are better equipped to stabilise revenues and maintain export activity. Firms lacking such financial tools are more vulnerable to short-term volatility and unexpected shocks, creating heterogeneity within sectors (Bartram, Brown, and Minton, 2010; Flammer and Ioannou, 2020).</w:t>
      </w:r>
      <w:r w:rsidR="00AC52CF">
        <w:rPr>
          <w:rFonts w:ascii="Arial" w:hAnsi="Arial" w:cs="Arial"/>
        </w:rPr>
        <w:t xml:space="preserve"> </w:t>
      </w:r>
      <w:r w:rsidRPr="002A2A3D">
        <w:rPr>
          <w:rFonts w:ascii="Arial" w:hAnsi="Arial" w:cs="Arial"/>
        </w:rPr>
        <w:t>A fourth theme is the distinction between goods and digital services. Digital services rely on intangible delivery, long-term contracts, and skill-intensive production, making them more sensitive to income effects and less responsive to price-competitiveness channels. This structural difference helps explain why volatility often affects margins rather than export volumes.</w:t>
      </w:r>
      <w:r w:rsidR="00AC52CF">
        <w:rPr>
          <w:rFonts w:ascii="Arial" w:hAnsi="Arial" w:cs="Arial"/>
        </w:rPr>
        <w:t xml:space="preserve"> </w:t>
      </w:r>
      <w:r w:rsidRPr="002A2A3D">
        <w:rPr>
          <w:rFonts w:ascii="Arial" w:hAnsi="Arial" w:cs="Arial"/>
        </w:rPr>
        <w:t>A final theme is the intersection of geopolitical shocks with currency movements. The literature increasingly recognises that political disturbances influence exchange-rate volatility, reshaping demand, investment, and revenue stability simultaneously (Caldara and Iacoviello, 2022; WTO, 2021). Together, these themes form the analytical foundation for the conceptual framework and the empirical focus of this study.</w:t>
      </w:r>
    </w:p>
    <w:p w14:paraId="62C24413" w14:textId="77777777" w:rsidR="00FA69AA" w:rsidRPr="002A2A3D" w:rsidRDefault="00FA69AA" w:rsidP="00FA69AA">
      <w:pPr>
        <w:pStyle w:val="Heading2"/>
        <w:rPr>
          <w:rFonts w:ascii="Arial" w:hAnsi="Arial" w:cs="Arial"/>
        </w:rPr>
      </w:pPr>
      <w:bookmarkStart w:id="13" w:name="_Toc218462586"/>
      <w:r w:rsidRPr="002A2A3D">
        <w:rPr>
          <w:rFonts w:ascii="Arial" w:hAnsi="Arial" w:cs="Arial"/>
        </w:rPr>
        <w:t>2.7. Conceptual Framework</w:t>
      </w:r>
      <w:bookmarkEnd w:id="13"/>
    </w:p>
    <w:p w14:paraId="51BA74FA" w14:textId="77777777" w:rsidR="00AC52CF" w:rsidRDefault="00FA69AA" w:rsidP="00AC52CF">
      <w:pPr>
        <w:ind w:firstLine="720"/>
        <w:rPr>
          <w:rFonts w:ascii="Arial" w:hAnsi="Arial" w:cs="Arial"/>
        </w:rPr>
      </w:pPr>
      <w:r w:rsidRPr="002A2A3D">
        <w:rPr>
          <w:rFonts w:ascii="Arial" w:hAnsi="Arial" w:cs="Arial"/>
        </w:rPr>
        <w:t>Drawing together the theoretical foundations and empirical findings reviewed in earlier sections; this study adopts a conceptual framework that explains how exchange-rate volatility and geopolitical shocks influence India’s digital-services exports. The framework rests on three interconnected channels: income effects driven by dominant-currency pricing, volatility-management mechanisms including hedging, and demand dynamics shaped by global political and economic conditions.</w:t>
      </w:r>
      <w:r w:rsidR="00AC52CF">
        <w:rPr>
          <w:rFonts w:ascii="Arial" w:hAnsi="Arial" w:cs="Arial"/>
        </w:rPr>
        <w:t xml:space="preserve"> </w:t>
      </w:r>
    </w:p>
    <w:p w14:paraId="7926801F" w14:textId="77777777" w:rsidR="00FA69AA" w:rsidRPr="002A2A3D" w:rsidRDefault="00FA69AA" w:rsidP="00AC52CF">
      <w:pPr>
        <w:ind w:firstLine="720"/>
        <w:rPr>
          <w:rFonts w:ascii="Arial" w:hAnsi="Arial" w:cs="Arial"/>
        </w:rPr>
      </w:pPr>
      <w:r w:rsidRPr="002A2A3D">
        <w:rPr>
          <w:rFonts w:ascii="Arial" w:hAnsi="Arial" w:cs="Arial"/>
        </w:rPr>
        <w:t>The first channel concerns exchange-rate movements and income effects. Because digital-service contracts involving Indian firms are overwhelmingly invoiced in U.S. dollars, INR/USD volatility directly affects rupee-denominated revenues. A depreciation raises rupee earnings, while appreciation compresses margins. Unlike goods exporters, digital-services firms cannot readily adjust invoice prices in the short run due to contract stickiness, multi-quarter billing cycles and negotiated service-level agreements. This creates a transmission path where volatility affects profitability more immediately than export volumes.</w:t>
      </w:r>
      <w:r w:rsidR="00AC52CF">
        <w:rPr>
          <w:rFonts w:ascii="Arial" w:hAnsi="Arial" w:cs="Arial"/>
        </w:rPr>
        <w:t xml:space="preserve"> </w:t>
      </w:r>
      <w:r w:rsidRPr="002A2A3D">
        <w:rPr>
          <w:rFonts w:ascii="Arial" w:hAnsi="Arial" w:cs="Arial"/>
        </w:rPr>
        <w:t xml:space="preserve">The second channel involves price-setting and risk-mitigation behaviour, shaped by the principles of dominant-currency pricing and incomplete exchange-rate pass-through. Under dominant-currency pricing, exporters typically maintain stable dollar prices regardless of bilateral currency movements. Exchange-rate fluctuations therefore operate primarily through revenue conversion rather than through shifts in foreign demand. Hedging strategies act as the main moderating mechanism. Firms with extensive hedging can </w:t>
      </w:r>
      <w:r w:rsidRPr="002A2A3D">
        <w:rPr>
          <w:rFonts w:ascii="Arial" w:hAnsi="Arial" w:cs="Arial"/>
        </w:rPr>
        <w:lastRenderedPageBreak/>
        <w:t>stabilise cash flows and maintain pricing commitments with clients; firms with weaker hedging capacity face more pronounced income volatility and may delay investment or hiring decisions during turbulent periods.</w:t>
      </w:r>
      <w:r w:rsidR="00AC52CF">
        <w:rPr>
          <w:rFonts w:ascii="Arial" w:hAnsi="Arial" w:cs="Arial"/>
        </w:rPr>
        <w:t xml:space="preserve"> </w:t>
      </w:r>
      <w:r w:rsidRPr="002A2A3D">
        <w:rPr>
          <w:rFonts w:ascii="Arial" w:hAnsi="Arial" w:cs="Arial"/>
        </w:rPr>
        <w:t>The third channel captures the influence of geopolitical shocks, which interact with exchange-rate volatility through uncertainty and capital-flow dynamics. Geopolitical disturbances such as trade tensions, regulatory shifts, or global crises, affect demand for outsourced services, and alter financial-market conditions. These events often trigger safe-haven capital flows, increasing volatility in emerging-market currencies, including the rupee. As a result, geopolitical shocks can amplify the income effects of exchange-rate movements while simultaneously influencing export demand.</w:t>
      </w:r>
    </w:p>
    <w:p w14:paraId="550E1547" w14:textId="77777777" w:rsidR="00FA69AA" w:rsidRPr="002A2A3D" w:rsidRDefault="00FA69AA" w:rsidP="00AC52CF">
      <w:pPr>
        <w:ind w:firstLine="720"/>
        <w:rPr>
          <w:rFonts w:ascii="Arial" w:hAnsi="Arial" w:cs="Arial"/>
        </w:rPr>
      </w:pPr>
      <w:r w:rsidRPr="002A2A3D">
        <w:rPr>
          <w:rFonts w:ascii="Arial" w:hAnsi="Arial" w:cs="Arial"/>
        </w:rPr>
        <w:t>Together, these three channels situate India’s digital-services export performance within a broader global environment characterised by financial uncertainty, evolving geopolitical alignments and the dominance of the U.S. dollar in international transactions. This framework guides the analysis in subsequent chapters by linking conceptual insights to measurable economic outcomes.</w:t>
      </w:r>
    </w:p>
    <w:p w14:paraId="185333EA" w14:textId="77777777" w:rsidR="00FA69AA" w:rsidRPr="002A2A3D" w:rsidRDefault="00FA69AA" w:rsidP="00FA69AA">
      <w:pPr>
        <w:pStyle w:val="Heading2"/>
        <w:rPr>
          <w:rFonts w:ascii="Arial" w:hAnsi="Arial" w:cs="Arial"/>
        </w:rPr>
      </w:pPr>
      <w:bookmarkStart w:id="14" w:name="_Toc218462587"/>
      <w:r w:rsidRPr="002A2A3D">
        <w:rPr>
          <w:rFonts w:ascii="Arial" w:hAnsi="Arial" w:cs="Arial"/>
        </w:rPr>
        <w:t>2.8. Identified Gaps and Rationale for the Study</w:t>
      </w:r>
      <w:bookmarkEnd w:id="14"/>
    </w:p>
    <w:p w14:paraId="4AFB59CB" w14:textId="77777777" w:rsidR="00FA69AA" w:rsidRPr="002A2A3D" w:rsidRDefault="00FA69AA" w:rsidP="00AC52CF">
      <w:pPr>
        <w:ind w:firstLine="720"/>
        <w:rPr>
          <w:rFonts w:ascii="Arial" w:hAnsi="Arial" w:cs="Arial"/>
        </w:rPr>
      </w:pPr>
      <w:r w:rsidRPr="002A2A3D">
        <w:rPr>
          <w:rFonts w:ascii="Arial" w:hAnsi="Arial" w:cs="Arial"/>
        </w:rPr>
        <w:t>Despite a substantial body of work on exchange-rate volatility and trade, several gaps remain that justify a focused examination of India’s digital services exports between 2010 and 2024. The first major gap arises from sectoral bias in existing research. Much of the empirical literature on exchange-rate volatility concentrates on goods trade like manufacturing, commodities, or merchandise exports; while digitally delivered services receive far less attention. Even in studies on India, the emphasis tends to lie on aggregate services rather than the specific dynamics of IT and digital exports, which operate under distinctive invoicing, cost, and contractual structures. This creates an incomplete understanding of how currency movements influence a sector that now accounts for a significant share of India’s foreign-exchange earnings.</w:t>
      </w:r>
      <w:r w:rsidR="00AC52CF">
        <w:rPr>
          <w:rFonts w:ascii="Arial" w:hAnsi="Arial" w:cs="Arial"/>
        </w:rPr>
        <w:t xml:space="preserve"> </w:t>
      </w:r>
      <w:r w:rsidRPr="002A2A3D">
        <w:rPr>
          <w:rFonts w:ascii="Arial" w:hAnsi="Arial" w:cs="Arial"/>
        </w:rPr>
        <w:t xml:space="preserve">A second gap concerns dominant-currency pricing and contract stickiness. The global literature on dominant-currency pricing, particularly work by Gopinath (2015) and Li and </w:t>
      </w:r>
      <w:proofErr w:type="spellStart"/>
      <w:r w:rsidRPr="002A2A3D">
        <w:rPr>
          <w:rFonts w:ascii="Arial" w:hAnsi="Arial" w:cs="Arial"/>
        </w:rPr>
        <w:t>Meleshchuk</w:t>
      </w:r>
      <w:proofErr w:type="spellEnd"/>
      <w:r w:rsidRPr="002A2A3D">
        <w:rPr>
          <w:rFonts w:ascii="Arial" w:hAnsi="Arial" w:cs="Arial"/>
        </w:rPr>
        <w:t xml:space="preserve"> (2024), shows that U.S. dollar invoicing reshapes the transmission of exchange-rate movements. However, very few studies apply this framework explicitly to India’s digital services sector, even though the sector overwhelmingly relies on dollar-denominated contracts. As a result, traditional models linking bilateral exchange rates to export competitiveness are insufficient for explaining revenue and profitability dynamics in digital services.</w:t>
      </w:r>
      <w:r w:rsidR="00AC52CF">
        <w:rPr>
          <w:rFonts w:ascii="Arial" w:hAnsi="Arial" w:cs="Arial"/>
        </w:rPr>
        <w:t xml:space="preserve"> </w:t>
      </w:r>
      <w:r w:rsidRPr="002A2A3D">
        <w:rPr>
          <w:rFonts w:ascii="Arial" w:hAnsi="Arial" w:cs="Arial"/>
        </w:rPr>
        <w:t>A third gap relates to the interaction between geopolitical shocks and exchange-rate volatility. Existing research treats geopolitical uncertainty as a macroeconomic factor affecting global trade, yet empirical work connecting geopolitical shocks to digital services specifically especially in the Indian context is sparse. The literature recognises that geopolitical tensions amplify exchange-rate volatility and influence outsourcing patterns, but these channels have not been synthesised into a single analytical framework focused on digital services.</w:t>
      </w:r>
      <w:r w:rsidR="00AC52CF">
        <w:rPr>
          <w:rFonts w:ascii="Arial" w:hAnsi="Arial" w:cs="Arial"/>
        </w:rPr>
        <w:t xml:space="preserve"> </w:t>
      </w:r>
      <w:r w:rsidRPr="002A2A3D">
        <w:rPr>
          <w:rFonts w:ascii="Arial" w:hAnsi="Arial" w:cs="Arial"/>
        </w:rPr>
        <w:t xml:space="preserve">Finally, there is a methodological gap. Most India-focused studies employ aggregate time-series approaches and </w:t>
      </w:r>
      <w:r w:rsidRPr="002A2A3D">
        <w:rPr>
          <w:rFonts w:ascii="Arial" w:hAnsi="Arial" w:cs="Arial"/>
        </w:rPr>
        <w:lastRenderedPageBreak/>
        <w:t>rarely use systematic literature review techniques to synthesise cross-country evidence, sector-specific insights, and geopolitical factors into a unified conceptual structure. This limits the clarity with which mechanisms can be compared across regions or sectors.</w:t>
      </w:r>
    </w:p>
    <w:p w14:paraId="27B0AD05" w14:textId="77777777" w:rsidR="00FA69AA" w:rsidRPr="002A2A3D" w:rsidRDefault="00FA69AA" w:rsidP="00AC52CF">
      <w:pPr>
        <w:ind w:firstLine="720"/>
        <w:rPr>
          <w:rFonts w:ascii="Arial" w:hAnsi="Arial" w:cs="Arial"/>
        </w:rPr>
      </w:pPr>
      <w:r w:rsidRPr="002A2A3D">
        <w:rPr>
          <w:rFonts w:ascii="Arial" w:hAnsi="Arial" w:cs="Arial"/>
        </w:rPr>
        <w:t>These gaps collectively establish the rationale for this dissertation: to synthesise global, Asian and India-specific evidence on exchange-rate volatility and geopolitical risk, evaluate their combined influence on digital services exports, and develop a conceptual foundation that better reflects the realities of India’s evolving digital economy.</w:t>
      </w:r>
    </w:p>
    <w:p w14:paraId="3FEA5E5A" w14:textId="77777777" w:rsidR="00FA69AA" w:rsidRPr="002A2A3D" w:rsidRDefault="00FA69AA" w:rsidP="00FA69AA">
      <w:pPr>
        <w:pStyle w:val="Heading2"/>
        <w:rPr>
          <w:rFonts w:ascii="Arial" w:hAnsi="Arial" w:cs="Arial"/>
        </w:rPr>
      </w:pPr>
      <w:bookmarkStart w:id="15" w:name="_Toc218462588"/>
      <w:r w:rsidRPr="002A2A3D">
        <w:rPr>
          <w:rFonts w:ascii="Arial" w:hAnsi="Arial" w:cs="Arial"/>
        </w:rPr>
        <w:t>2.9. Conclusion</w:t>
      </w:r>
      <w:bookmarkEnd w:id="15"/>
    </w:p>
    <w:p w14:paraId="1D326BC1" w14:textId="77777777" w:rsidR="00FA69AA" w:rsidRPr="002A2A3D" w:rsidRDefault="00FA69AA" w:rsidP="00AC52CF">
      <w:pPr>
        <w:ind w:firstLine="720"/>
        <w:rPr>
          <w:rFonts w:ascii="Arial" w:hAnsi="Arial" w:cs="Arial"/>
        </w:rPr>
      </w:pPr>
      <w:r w:rsidRPr="002A2A3D">
        <w:rPr>
          <w:rFonts w:ascii="Arial" w:hAnsi="Arial" w:cs="Arial"/>
        </w:rPr>
        <w:t>This chapter reviewed the theoretical and empirical literature on exchange-rate volatility, services trade, and geopolitical shocks, providing the analytical foundation for examining India’s digital services exports. The discussion began by outlining classical and modern theories of trade, emphasising how contemporary frameworks, dominant-currency pricing, pricing-to-market behaviour, and financial exposure theory offer more relevant explanations for digital services than traditional goods-based models. The chapter then surveyed global, emerging market and Asian evidence, highlighting recurring findings on asymmetric effects, financial constraints, and sectoral heterogeneity.</w:t>
      </w:r>
      <w:r w:rsidR="00AC52CF">
        <w:rPr>
          <w:rFonts w:ascii="Arial" w:hAnsi="Arial" w:cs="Arial"/>
        </w:rPr>
        <w:t xml:space="preserve"> </w:t>
      </w:r>
      <w:r w:rsidRPr="002A2A3D">
        <w:rPr>
          <w:rFonts w:ascii="Arial" w:hAnsi="Arial" w:cs="Arial"/>
        </w:rPr>
        <w:t>The review also examined India-specific studies, which reveal that the digital services sector is structurally exposed to INR/USD volatility due to its heavy reliance on dollar invoicing and domestic cost structures. Hedging practices, long-term contracts and intangible production further shape the transmission of exchange-rate movements. The discussion of geopolitical shocks added an additional layer of complexity, showing how political tensions and global crises influence both outsourcing demand and currency volatility.</w:t>
      </w:r>
    </w:p>
    <w:p w14:paraId="325C8269" w14:textId="77777777" w:rsidR="00FA69AA" w:rsidRPr="002A2A3D" w:rsidRDefault="00FA69AA" w:rsidP="00AC52CF">
      <w:pPr>
        <w:ind w:firstLine="720"/>
        <w:rPr>
          <w:rFonts w:ascii="Arial" w:hAnsi="Arial" w:cs="Arial"/>
        </w:rPr>
      </w:pPr>
      <w:r w:rsidRPr="002A2A3D">
        <w:rPr>
          <w:rFonts w:ascii="Arial" w:hAnsi="Arial" w:cs="Arial"/>
        </w:rPr>
        <w:t>Across the literature, several themes consistently emerge: dollar dominance in pricing, asymmetric volatility effects, the importance of hedging, sector-specific sensitivities, and the intertwined nature of geopolitical and financial risks. At the same time, clear gaps persist, particularly regarding India-focused applications of dominant-currency pricing, the combined effect of geopolitical shocks and currency movements, and the limited attention paid to digitally delivered services within the broader trade literature.</w:t>
      </w:r>
      <w:r w:rsidR="00AC52CF">
        <w:rPr>
          <w:rFonts w:ascii="Arial" w:hAnsi="Arial" w:cs="Arial"/>
        </w:rPr>
        <w:t xml:space="preserve"> </w:t>
      </w:r>
      <w:r w:rsidRPr="002A2A3D">
        <w:rPr>
          <w:rFonts w:ascii="Arial" w:hAnsi="Arial" w:cs="Arial"/>
        </w:rPr>
        <w:t>By identifying these gaps and synthesising cross-cutting insights, this chapter establishes the conceptual grounding for the dissertation’s methodology and empirical focus. The next chapter outlines the systematic literature review approach used to structure the evidence base and address the research question.</w:t>
      </w:r>
    </w:p>
    <w:p w14:paraId="2203D1EF" w14:textId="77777777" w:rsidR="00FA69AA" w:rsidRPr="002A2A3D" w:rsidRDefault="00FA69AA" w:rsidP="00FA69AA">
      <w:pPr>
        <w:pStyle w:val="Heading1"/>
        <w:rPr>
          <w:rFonts w:ascii="Arial" w:hAnsi="Arial" w:cs="Arial"/>
        </w:rPr>
      </w:pPr>
      <w:bookmarkStart w:id="16" w:name="_Toc215594097"/>
      <w:bookmarkStart w:id="17" w:name="_Toc218462589"/>
      <w:r w:rsidRPr="002A2A3D">
        <w:rPr>
          <w:rFonts w:ascii="Arial" w:hAnsi="Arial" w:cs="Arial"/>
        </w:rPr>
        <w:lastRenderedPageBreak/>
        <w:t>Chapter 3</w:t>
      </w:r>
      <w:r w:rsidR="0059797D">
        <w:rPr>
          <w:rFonts w:ascii="Arial" w:hAnsi="Arial" w:cs="Arial"/>
        </w:rPr>
        <w:t>:</w:t>
      </w:r>
      <w:r w:rsidRPr="002A2A3D">
        <w:rPr>
          <w:rFonts w:ascii="Arial" w:hAnsi="Arial" w:cs="Arial"/>
        </w:rPr>
        <w:t xml:space="preserve"> Research Methodology</w:t>
      </w:r>
      <w:bookmarkEnd w:id="16"/>
      <w:bookmarkEnd w:id="17"/>
    </w:p>
    <w:p w14:paraId="079984DC" w14:textId="77777777" w:rsidR="00FA69AA" w:rsidRPr="002A2A3D" w:rsidRDefault="00FA69AA" w:rsidP="00FA69AA">
      <w:pPr>
        <w:pStyle w:val="Heading2"/>
        <w:rPr>
          <w:rFonts w:ascii="Arial" w:hAnsi="Arial" w:cs="Arial"/>
        </w:rPr>
      </w:pPr>
      <w:bookmarkStart w:id="18" w:name="_Toc215537687"/>
      <w:bookmarkStart w:id="19" w:name="_Toc215594098"/>
      <w:bookmarkStart w:id="20" w:name="_Toc218462590"/>
      <w:r w:rsidRPr="002A2A3D">
        <w:rPr>
          <w:rFonts w:ascii="Arial" w:hAnsi="Arial" w:cs="Arial"/>
        </w:rPr>
        <w:t>3.1. Introduction</w:t>
      </w:r>
      <w:bookmarkEnd w:id="18"/>
      <w:bookmarkEnd w:id="19"/>
      <w:bookmarkEnd w:id="20"/>
    </w:p>
    <w:p w14:paraId="278AA6E4" w14:textId="77777777" w:rsidR="00FA69AA" w:rsidRPr="002A2A3D" w:rsidRDefault="00FA69AA" w:rsidP="00C02B6E">
      <w:pPr>
        <w:ind w:firstLine="720"/>
        <w:rPr>
          <w:rFonts w:ascii="Arial" w:hAnsi="Arial" w:cs="Arial"/>
        </w:rPr>
      </w:pPr>
      <w:r w:rsidRPr="002A2A3D">
        <w:rPr>
          <w:rFonts w:ascii="Arial" w:hAnsi="Arial" w:cs="Arial"/>
        </w:rPr>
        <w:t>This chapter outlines the methodological foundation that guides the study and explains the procedures used to examine how exchange-rate volatility influences India’s digital services exports. A robust and transparent methodology is essential for ensuring that the findings are credible, replicable and aligned with the study’s objectives. Given the interdisciplinary nature of the topic, which spans international economics, currency markets and the digital-services sector, the chapter sets out a structured approach that allows the research to draw meaningfully from diverse and fragmented academic sources.</w:t>
      </w:r>
      <w:r w:rsidR="00C02B6E">
        <w:rPr>
          <w:rFonts w:ascii="Arial" w:hAnsi="Arial" w:cs="Arial"/>
        </w:rPr>
        <w:t xml:space="preserve"> </w:t>
      </w:r>
      <w:r w:rsidRPr="002A2A3D">
        <w:rPr>
          <w:rFonts w:ascii="Arial" w:hAnsi="Arial" w:cs="Arial"/>
        </w:rPr>
        <w:t>The study adopts a Systematic Literature Review (SLR) as its core research design. An SLR is appropriate because the existing evidence on exchange-rate volatility and service-sector trade is dispersed across different methodologies, regions and theoretical perspectives. A systematic approach enables the review to move beyond selective citation and instead synthesise the literature in a comprehensive, unbiased and methodologically transparent manner. It also allows for clearer identification of common themes, inconsistencies and knowledge gaps, which is central to addressing the study’s research questions.</w:t>
      </w:r>
    </w:p>
    <w:p w14:paraId="0D3150CC" w14:textId="77777777" w:rsidR="00FA69AA" w:rsidRPr="002A2A3D" w:rsidRDefault="00FA69AA" w:rsidP="00AC52CF">
      <w:pPr>
        <w:ind w:firstLine="720"/>
        <w:rPr>
          <w:rFonts w:ascii="Arial" w:hAnsi="Arial" w:cs="Arial"/>
        </w:rPr>
      </w:pPr>
      <w:r w:rsidRPr="002A2A3D">
        <w:rPr>
          <w:rFonts w:ascii="Arial" w:hAnsi="Arial" w:cs="Arial"/>
        </w:rPr>
        <w:t>The remainder of the chapter presents the philosophical stance underpinning the research, the inductive approach used to build insights, the design and justification of the SLR, the search strategy, inclusion and exclusion criteria, screening procedures, quality appraisal processes, data-extraction methods and the synthesis techniques employed. Ethical considerations and methodological limitations are also discussed. This structure ensures that the review is methodologically rigorous and aligned with established academic expectations for SLR-based dissertations.</w:t>
      </w:r>
    </w:p>
    <w:p w14:paraId="37F55F07" w14:textId="77777777" w:rsidR="00FA69AA" w:rsidRPr="002A2A3D" w:rsidRDefault="00FA69AA" w:rsidP="00FA69AA">
      <w:pPr>
        <w:pStyle w:val="Heading2"/>
        <w:rPr>
          <w:rFonts w:ascii="Arial" w:hAnsi="Arial" w:cs="Arial"/>
        </w:rPr>
      </w:pPr>
      <w:bookmarkStart w:id="21" w:name="_Toc215594099"/>
      <w:bookmarkStart w:id="22" w:name="_Toc218462591"/>
      <w:r w:rsidRPr="002A2A3D">
        <w:rPr>
          <w:rFonts w:ascii="Arial" w:hAnsi="Arial" w:cs="Arial"/>
        </w:rPr>
        <w:t>3.2. Research Philosophy</w:t>
      </w:r>
      <w:bookmarkEnd w:id="21"/>
      <w:bookmarkEnd w:id="22"/>
    </w:p>
    <w:p w14:paraId="5B4B5CDE" w14:textId="77777777" w:rsidR="00FA69AA" w:rsidRPr="002A2A3D" w:rsidRDefault="00FA69AA" w:rsidP="00AC52CF">
      <w:pPr>
        <w:ind w:firstLine="720"/>
        <w:rPr>
          <w:rFonts w:ascii="Arial" w:hAnsi="Arial" w:cs="Arial"/>
          <w:lang w:val="en-IN"/>
        </w:rPr>
      </w:pPr>
      <w:r w:rsidRPr="002A2A3D">
        <w:rPr>
          <w:rFonts w:ascii="Arial" w:hAnsi="Arial" w:cs="Arial"/>
          <w:lang w:val="en-IN"/>
        </w:rPr>
        <w:t>The research philosophy establishes the assumptions guiding how knowledge is understood and interpreted within this study. Given the objective of analysing how exchange-rate volatility influences India’s digital-services exports through existing academic work, the study adopts a pragmatic philosophical stance</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(Shah, 2025). Pragmatism is appropriate because it prioritises practical usefulness and accepts multiple forms of evidence, making it suitable for research that draws from varied theoretical and empirical traditions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(Shaw, Connelly and Zecevic, 2010).</w:t>
      </w:r>
      <w:r w:rsidR="00AC52CF">
        <w:rPr>
          <w:rFonts w:ascii="Arial" w:hAnsi="Arial" w:cs="Arial"/>
          <w:lang w:val="en-IN"/>
        </w:rPr>
        <w:t xml:space="preserve"> </w:t>
      </w:r>
      <w:r w:rsidRPr="002A2A3D">
        <w:rPr>
          <w:rFonts w:ascii="Arial" w:hAnsi="Arial" w:cs="Arial"/>
          <w:lang w:val="en-IN"/>
        </w:rPr>
        <w:t xml:space="preserve">Pragmatism offers flexibility by recognising that complex economic phenomena cannot be fully understood through a single epistemological lens. A strictly positivist approach would limit the focus to measurable causal relationships, while an interpretivist stance would emphasise subjective meanings; neither captures the range of methods present in the literature (Johnson et al., 2006). Pragmatism instead enables the study to integrate quantitative findings, qualitative insights and conceptual arguments, reflecting the reality that each contributes to understanding the </w:t>
      </w:r>
      <w:r w:rsidRPr="002A2A3D">
        <w:rPr>
          <w:rFonts w:ascii="Arial" w:hAnsi="Arial" w:cs="Arial"/>
          <w:lang w:val="en-IN"/>
        </w:rPr>
        <w:lastRenderedPageBreak/>
        <w:t>relationship between exchange-rate volatility and service-sector exports (Morgan, 2014).</w:t>
      </w:r>
    </w:p>
    <w:p w14:paraId="75369BDE" w14:textId="77777777" w:rsidR="00FA69AA" w:rsidRPr="002A2A3D" w:rsidRDefault="00FA69AA" w:rsidP="00AC52CF">
      <w:pPr>
        <w:ind w:firstLine="720"/>
        <w:rPr>
          <w:rFonts w:ascii="Arial" w:hAnsi="Arial" w:cs="Arial"/>
          <w:lang w:val="en-IN"/>
        </w:rPr>
      </w:pPr>
      <w:r w:rsidRPr="002A2A3D">
        <w:rPr>
          <w:rFonts w:ascii="Arial" w:hAnsi="Arial" w:cs="Arial"/>
          <w:lang w:val="en-IN"/>
        </w:rPr>
        <w:t>This philosophical stance aligns naturally with a Systematic Literature Review. SLRs require researchers to synthesise diverse studies that differ in methods, contexts and analytical assumptions. Pragmatism supports this diversity by recognising that knowledge emerges from multiple forms of inquiry and that value lies in how well that knowledge helps answer the research question (Kaushik and Walsh, 2019). Through this lens, the chapter maintains methodological coherence while remaining open to the varied evidence base that characterises this research domain.</w:t>
      </w:r>
    </w:p>
    <w:p w14:paraId="4B069114" w14:textId="77777777" w:rsidR="00FA69AA" w:rsidRPr="002A2A3D" w:rsidRDefault="00FA69AA" w:rsidP="00FA69AA">
      <w:pPr>
        <w:pStyle w:val="Heading2"/>
        <w:rPr>
          <w:rFonts w:ascii="Arial" w:hAnsi="Arial" w:cs="Arial"/>
        </w:rPr>
      </w:pPr>
      <w:bookmarkStart w:id="23" w:name="_Toc215594100"/>
      <w:bookmarkStart w:id="24" w:name="_Toc218462592"/>
      <w:r w:rsidRPr="002A2A3D">
        <w:rPr>
          <w:rFonts w:ascii="Arial" w:hAnsi="Arial" w:cs="Arial"/>
        </w:rPr>
        <w:t>3.3. Research Approach</w:t>
      </w:r>
      <w:bookmarkEnd w:id="23"/>
      <w:bookmarkEnd w:id="24"/>
    </w:p>
    <w:p w14:paraId="55F888CD" w14:textId="77777777" w:rsidR="00FA69AA" w:rsidRPr="002A2A3D" w:rsidRDefault="00FA69AA" w:rsidP="00C02B6E">
      <w:pPr>
        <w:ind w:firstLine="720"/>
        <w:rPr>
          <w:rFonts w:ascii="Arial" w:hAnsi="Arial" w:cs="Arial"/>
          <w:lang w:val="en-IN"/>
        </w:rPr>
      </w:pPr>
      <w:r w:rsidRPr="002A2A3D">
        <w:rPr>
          <w:rFonts w:ascii="Arial" w:hAnsi="Arial" w:cs="Arial"/>
          <w:lang w:val="en-IN"/>
        </w:rPr>
        <w:t>The research approach provides the logical pathway through which this study develops knowledge from existing academic evidence. Given that the aim of the dissertation is to examine how exchange-rate volatility influences India’s digital-services exports by synthesising findings from prior studies, the research adopts an inductive approach. Induction involves moving from specific observations in the literature toward broader thematic insights and conceptual understanding (Thomas, 2006). This is consistent with the nature of a Systematic Literature Review, which does not begin with a fixed hypothesis to test but instead seeks to generate understanding from patterns, relationships and gaps observed across prior research (Blaikie and Priest, 2019).</w:t>
      </w:r>
      <w:r w:rsidR="00C02B6E">
        <w:rPr>
          <w:rFonts w:ascii="Arial" w:hAnsi="Arial" w:cs="Arial"/>
          <w:lang w:val="en-IN"/>
        </w:rPr>
        <w:t xml:space="preserve"> </w:t>
      </w:r>
      <w:r w:rsidRPr="002A2A3D">
        <w:rPr>
          <w:rFonts w:ascii="Arial" w:hAnsi="Arial" w:cs="Arial"/>
          <w:lang w:val="en-IN"/>
        </w:rPr>
        <w:t>An inductive approach is well suited to this study for two reasons. First, the literature on exchange-rate volatility and services trade is diverse, spanning economics, international business, macro-finance and digital-sector studies. The variability of methods, contexts and findings means that no single theoretical model fully explains the phenomenon. Induction enables the researcher to build meaning and explanation from this diversity rather than forcing the literature into a rigid predefined framework (Rendell, 1986). Second, the digital-services context introduces additional complexity such as dollar-based invoicing, contract stickiness and labour-intensive cost structures, that traditional goods-trade frameworks do not always capture. An inductive orientation allows these sector-specific insights to emerge naturally from the literature rather than being imposed through a deductive model.</w:t>
      </w:r>
    </w:p>
    <w:p w14:paraId="3AA506D3" w14:textId="77777777" w:rsidR="00FA69AA" w:rsidRPr="002A2A3D" w:rsidRDefault="00FA69AA" w:rsidP="00C02B6E">
      <w:pPr>
        <w:ind w:firstLine="720"/>
        <w:rPr>
          <w:rFonts w:ascii="Arial" w:hAnsi="Arial" w:cs="Arial"/>
          <w:lang w:val="en-IN"/>
        </w:rPr>
      </w:pPr>
      <w:r w:rsidRPr="002A2A3D">
        <w:rPr>
          <w:rFonts w:ascii="Arial" w:hAnsi="Arial" w:cs="Arial"/>
          <w:lang w:val="en-IN"/>
        </w:rPr>
        <w:t>Alternative approaches, such as deduction or abduction, are less appropriate. A deductive approach requires the formulation and testing of hypotheses, which typically depends on empirical datasets and statistical models—not aligned with this study’s exclusive use of secondary literature (</w:t>
      </w:r>
      <w:proofErr w:type="spellStart"/>
      <w:r w:rsidRPr="002A2A3D">
        <w:rPr>
          <w:rFonts w:ascii="Arial" w:hAnsi="Arial" w:cs="Arial"/>
          <w:lang w:val="en-IN"/>
        </w:rPr>
        <w:t>Bitektine</w:t>
      </w:r>
      <w:proofErr w:type="spellEnd"/>
      <w:r w:rsidRPr="002A2A3D">
        <w:rPr>
          <w:rFonts w:ascii="Arial" w:hAnsi="Arial" w:cs="Arial"/>
          <w:lang w:val="en-IN"/>
        </w:rPr>
        <w:t xml:space="preserve">, 2008). Abductive reasoning, while useful for theory-building, relies heavily on iterative engagement between data and emerging conceptualisations and is more common in qualitative fieldwork (Timmermans and </w:t>
      </w:r>
      <w:proofErr w:type="spellStart"/>
      <w:r w:rsidRPr="002A2A3D">
        <w:rPr>
          <w:rFonts w:ascii="Arial" w:hAnsi="Arial" w:cs="Arial"/>
          <w:lang w:val="en-IN"/>
        </w:rPr>
        <w:t>Tavory</w:t>
      </w:r>
      <w:proofErr w:type="spellEnd"/>
      <w:r w:rsidRPr="002A2A3D">
        <w:rPr>
          <w:rFonts w:ascii="Arial" w:hAnsi="Arial" w:cs="Arial"/>
          <w:lang w:val="en-IN"/>
        </w:rPr>
        <w:t>, 2012). In contrast, the SLR process used here operates within a defined, structured set of procedures, making induction the most coherent and defensible approach.</w:t>
      </w:r>
      <w:r w:rsidR="00C02B6E">
        <w:rPr>
          <w:rFonts w:ascii="Arial" w:hAnsi="Arial" w:cs="Arial"/>
          <w:lang w:val="en-IN"/>
        </w:rPr>
        <w:t xml:space="preserve"> </w:t>
      </w:r>
      <w:r w:rsidRPr="002A2A3D">
        <w:rPr>
          <w:rFonts w:ascii="Arial" w:hAnsi="Arial" w:cs="Arial"/>
          <w:lang w:val="en-IN"/>
        </w:rPr>
        <w:t xml:space="preserve">By adopting an inductive research approach, the study </w:t>
      </w:r>
      <w:r w:rsidRPr="002A2A3D">
        <w:rPr>
          <w:rFonts w:ascii="Arial" w:hAnsi="Arial" w:cs="Arial"/>
          <w:lang w:val="en-IN"/>
        </w:rPr>
        <w:lastRenderedPageBreak/>
        <w:t>remains consistent with its philosophical foundations and methodological design. It enables themes relating to exchange-rate volatility, risk exposure, pricing mechanisms and service-sector characteristics to emerge from the literature in a systematic and transparent manner, supporting the development of meaningful insights that directly inform the dissertation’s analysis.</w:t>
      </w:r>
    </w:p>
    <w:p w14:paraId="6803AB23" w14:textId="77777777" w:rsidR="00FA69AA" w:rsidRPr="002A2A3D" w:rsidRDefault="00FA69AA" w:rsidP="00FA69AA">
      <w:pPr>
        <w:pStyle w:val="Heading2"/>
        <w:rPr>
          <w:rFonts w:ascii="Arial" w:hAnsi="Arial" w:cs="Arial"/>
        </w:rPr>
      </w:pPr>
      <w:bookmarkStart w:id="25" w:name="_Toc215594101"/>
      <w:bookmarkStart w:id="26" w:name="_Toc218462593"/>
      <w:r w:rsidRPr="002A2A3D">
        <w:rPr>
          <w:rFonts w:ascii="Arial" w:hAnsi="Arial" w:cs="Arial"/>
        </w:rPr>
        <w:t>3.4. Research Design</w:t>
      </w:r>
      <w:bookmarkEnd w:id="25"/>
      <w:bookmarkEnd w:id="26"/>
    </w:p>
    <w:p w14:paraId="6FC9396D" w14:textId="77777777" w:rsidR="00FA69AA" w:rsidRPr="002A2A3D" w:rsidRDefault="00FA69AA" w:rsidP="00AC52CF">
      <w:pPr>
        <w:ind w:firstLine="720"/>
        <w:rPr>
          <w:rFonts w:ascii="Arial" w:hAnsi="Arial" w:cs="Arial"/>
          <w:lang w:val="en-IN"/>
        </w:rPr>
      </w:pPr>
      <w:r w:rsidRPr="002A2A3D">
        <w:rPr>
          <w:rFonts w:ascii="Arial" w:hAnsi="Arial" w:cs="Arial"/>
          <w:lang w:val="en-IN"/>
        </w:rPr>
        <w:t>The research design provides the structural blueprint that guides how this study is conducted. In line with the research aim and the interdisciplinary nature of the topic, the study adopts a Systematic Literature Review (SLR) as its primary design. An SLR is a structured, transparent and replicable method for identifying, evaluating and synthesising existing research, enabling the researcher to consolidate fragmented evidence across multiple fields (</w:t>
      </w:r>
      <w:proofErr w:type="spellStart"/>
      <w:r w:rsidRPr="002A2A3D">
        <w:rPr>
          <w:rFonts w:ascii="Arial" w:hAnsi="Arial" w:cs="Arial"/>
          <w:lang w:val="en-IN"/>
        </w:rPr>
        <w:t>Tranfield</w:t>
      </w:r>
      <w:proofErr w:type="spellEnd"/>
      <w:r w:rsidRPr="002A2A3D">
        <w:rPr>
          <w:rFonts w:ascii="Arial" w:hAnsi="Arial" w:cs="Arial"/>
          <w:lang w:val="en-IN"/>
        </w:rPr>
        <w:t>, Denyer and Smart, 2003). This design is appropriate because the literature on exchange-rate volatility and services trade is dispersed across economics, international business, financial markets and digital-economy studies, making a narrative or selective review insufficient.</w:t>
      </w:r>
    </w:p>
    <w:p w14:paraId="15ACF107" w14:textId="77777777" w:rsidR="00FA69AA" w:rsidRPr="002A2A3D" w:rsidRDefault="00FA69AA" w:rsidP="00AC52CF">
      <w:pPr>
        <w:ind w:firstLine="720"/>
        <w:rPr>
          <w:rFonts w:ascii="Arial" w:hAnsi="Arial" w:cs="Arial"/>
          <w:lang w:val="en-IN"/>
        </w:rPr>
      </w:pPr>
      <w:r w:rsidRPr="002A2A3D">
        <w:rPr>
          <w:rFonts w:ascii="Arial" w:hAnsi="Arial" w:cs="Arial"/>
          <w:lang w:val="en-IN"/>
        </w:rPr>
        <w:t>Unlike traditional literature reviews, which risk subjective selection and thematic bias, an SLR follows predefined procedures that minimise arbitrariness and enhance methodological rigour. These procedures include the formulation of search strategies, the application of explicit inclusion and exclusion criteria, quality appraisal and the systematic extraction and synthesis of data (</w:t>
      </w:r>
      <w:proofErr w:type="spellStart"/>
      <w:r w:rsidRPr="002A2A3D">
        <w:rPr>
          <w:rFonts w:ascii="Arial" w:hAnsi="Arial" w:cs="Arial"/>
          <w:lang w:val="en-IN"/>
        </w:rPr>
        <w:t>Siddaway</w:t>
      </w:r>
      <w:proofErr w:type="spellEnd"/>
      <w:r w:rsidRPr="002A2A3D">
        <w:rPr>
          <w:rFonts w:ascii="Arial" w:hAnsi="Arial" w:cs="Arial"/>
          <w:lang w:val="en-IN"/>
        </w:rPr>
        <w:t>, Wood and Hedges, 2019). The transparency of these steps ensures that the review can be replicated or extended by other researchers, which is particularly important for topics such as exchange-rate movements and digital exports, where empirical findings often vary by context, methodology and time period.</w:t>
      </w:r>
      <w:r w:rsidR="00AC52CF">
        <w:rPr>
          <w:rFonts w:ascii="Arial" w:hAnsi="Arial" w:cs="Arial"/>
          <w:lang w:val="en-IN"/>
        </w:rPr>
        <w:t xml:space="preserve"> </w:t>
      </w:r>
      <w:r w:rsidRPr="002A2A3D">
        <w:rPr>
          <w:rFonts w:ascii="Arial" w:hAnsi="Arial" w:cs="Arial"/>
          <w:lang w:val="en-IN"/>
        </w:rPr>
        <w:t>The SLR approach is also well suited to research areas with rapidly evolving dynamics. Currency volatility, global outsourcing patterns, invoicing practices and digital-services trade have all undergone significant shifts over the past decade. An SLR makes it possible to capture these developments comprehensively by including studies employing diverse methodologies such as time-series econometrics, panel models, firm-level case studies and conceptual analyses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(Paul and Dhiman, 2021). This breadth of evidence is crucial for understanding both the mechanisms through which exchange-rate volatility affects service exporters and the sector-specific characteristics—such as contract stickiness, dollar denominated billing and limited hedging capacity—that shape India’s digital-services context.</w:t>
      </w:r>
    </w:p>
    <w:p w14:paraId="26A758B6" w14:textId="77777777" w:rsidR="00FA69AA" w:rsidRPr="002A2A3D" w:rsidRDefault="00FA69AA" w:rsidP="00AC52CF">
      <w:pPr>
        <w:ind w:firstLine="720"/>
        <w:rPr>
          <w:rFonts w:ascii="Arial" w:hAnsi="Arial" w:cs="Arial"/>
          <w:lang w:val="en-IN"/>
        </w:rPr>
      </w:pPr>
      <w:r w:rsidRPr="002A2A3D">
        <w:rPr>
          <w:rFonts w:ascii="Arial" w:hAnsi="Arial" w:cs="Arial"/>
          <w:lang w:val="en-IN"/>
        </w:rPr>
        <w:t xml:space="preserve">Furthermore, the decision to adopt an SLR aligns with the study’s pragmatic philosophical stance, which values methodological pluralism and practical relevance. Pragmatism supports the integration of varied types of evidence, whether quantitative or qualitative, allowing the review to generate richer and more contextually grounded insights (Hannes and Lockwood, 2011). In this study, such integration is essential for bridging theoretical frameworks (e.g., dominant currency </w:t>
      </w:r>
      <w:r w:rsidRPr="002A2A3D">
        <w:rPr>
          <w:rFonts w:ascii="Arial" w:hAnsi="Arial" w:cs="Arial"/>
          <w:lang w:val="en-IN"/>
        </w:rPr>
        <w:lastRenderedPageBreak/>
        <w:t>pricing, exchange-rate pass-through) with empirical findings from global, regional and India-specific research.</w:t>
      </w:r>
      <w:r w:rsidR="00AC52CF">
        <w:rPr>
          <w:rFonts w:ascii="Arial" w:hAnsi="Arial" w:cs="Arial"/>
          <w:lang w:val="en-IN"/>
        </w:rPr>
        <w:t xml:space="preserve"> </w:t>
      </w:r>
      <w:r w:rsidRPr="002A2A3D">
        <w:rPr>
          <w:rFonts w:ascii="Arial" w:hAnsi="Arial" w:cs="Arial"/>
          <w:lang w:val="en-IN"/>
        </w:rPr>
        <w:t>Overall, the SLR design ensures that the study proceeds in a structured, unbiased and academically rigorous manner. By systematically identifying gaps, patterns and areas of agreement or divergence across the literature, the design strengthens the reliability of the study’s conclusions and provides a robust foundation for the findings presented in Chapter 4.</w:t>
      </w:r>
    </w:p>
    <w:p w14:paraId="7D02F64F" w14:textId="77777777" w:rsidR="00FA69AA" w:rsidRPr="002A2A3D" w:rsidRDefault="00FA69AA" w:rsidP="00FA69AA">
      <w:pPr>
        <w:pStyle w:val="Heading2"/>
        <w:rPr>
          <w:rFonts w:ascii="Arial" w:hAnsi="Arial" w:cs="Arial"/>
        </w:rPr>
      </w:pPr>
      <w:bookmarkStart w:id="27" w:name="_Toc215594102"/>
      <w:bookmarkStart w:id="28" w:name="_Toc218462594"/>
      <w:r w:rsidRPr="002A2A3D">
        <w:rPr>
          <w:rFonts w:ascii="Arial" w:hAnsi="Arial" w:cs="Arial"/>
        </w:rPr>
        <w:t>3.5. Search Strategy</w:t>
      </w:r>
      <w:bookmarkEnd w:id="27"/>
      <w:bookmarkEnd w:id="28"/>
    </w:p>
    <w:p w14:paraId="75B03DBD" w14:textId="77777777" w:rsidR="00FA69AA" w:rsidRPr="002A2A3D" w:rsidRDefault="00FA69AA" w:rsidP="00AC52CF">
      <w:pPr>
        <w:ind w:firstLine="720"/>
        <w:rPr>
          <w:rFonts w:ascii="Arial" w:hAnsi="Arial" w:cs="Arial"/>
          <w:lang w:val="en-IN"/>
        </w:rPr>
      </w:pPr>
      <w:r w:rsidRPr="002A2A3D">
        <w:rPr>
          <w:rFonts w:ascii="Arial" w:hAnsi="Arial" w:cs="Arial"/>
          <w:lang w:val="en-IN"/>
        </w:rPr>
        <w:t>A transparent and replicable search strategy is central to the credibility of a Systematic Literature Review. This section sets out the procedures used to identify relevant studies on exchange-rate volatility and India’s digital-services exports. The search strategy followed established SLR guidance, which recommends a structured and comprehensive approach incorporating database selection, keyword formulation, search-string construction, time boundaries and documentation of all decisions (</w:t>
      </w:r>
      <w:proofErr w:type="spellStart"/>
      <w:r w:rsidRPr="002A2A3D">
        <w:rPr>
          <w:rFonts w:ascii="Arial" w:hAnsi="Arial" w:cs="Arial"/>
          <w:lang w:val="en-IN"/>
        </w:rPr>
        <w:t>Siddaway</w:t>
      </w:r>
      <w:proofErr w:type="spellEnd"/>
      <w:r w:rsidRPr="002A2A3D">
        <w:rPr>
          <w:rFonts w:ascii="Arial" w:hAnsi="Arial" w:cs="Arial"/>
          <w:lang w:val="en-IN"/>
        </w:rPr>
        <w:t>, Wood and Hedges, 2019).</w:t>
      </w:r>
    </w:p>
    <w:p w14:paraId="053D8469" w14:textId="77777777" w:rsidR="00FA69AA" w:rsidRPr="002A2A3D" w:rsidRDefault="00FA69AA" w:rsidP="00AC52CF">
      <w:pPr>
        <w:ind w:firstLine="720"/>
        <w:rPr>
          <w:rFonts w:ascii="Arial" w:hAnsi="Arial" w:cs="Arial"/>
          <w:lang w:val="en-IN"/>
        </w:rPr>
      </w:pPr>
      <w:r w:rsidRPr="002A2A3D">
        <w:rPr>
          <w:rFonts w:ascii="Arial" w:hAnsi="Arial" w:cs="Arial"/>
          <w:lang w:val="en-IN"/>
        </w:rPr>
        <w:t>The search process began by identifying academic databases most likely to contain high-quality peer-reviewed research in economics, international business and financial markets. The primary databases selected were Scopus, Web of Science, ScienceDirect, EBSCOhost (Business Source Complete) and Google Scholar. These platforms were chosen because they provide extensive coverage of journals in international economics, exchange-rate research, macro-finance and services trade. Scopus and Web of Science were prioritised due to their rigorous indexing standards and their suitability for cross-disciplinary systematic reviews (</w:t>
      </w:r>
      <w:proofErr w:type="spellStart"/>
      <w:r w:rsidRPr="002A2A3D">
        <w:rPr>
          <w:rFonts w:ascii="Arial" w:hAnsi="Arial" w:cs="Arial"/>
          <w:lang w:val="en-IN"/>
        </w:rPr>
        <w:t>Gusenbauer</w:t>
      </w:r>
      <w:proofErr w:type="spellEnd"/>
      <w:r w:rsidRPr="002A2A3D">
        <w:rPr>
          <w:rFonts w:ascii="Arial" w:hAnsi="Arial" w:cs="Arial"/>
          <w:lang w:val="en-IN"/>
        </w:rPr>
        <w:t xml:space="preserve"> and Haddaway, 2020). Google Scholar was used as a supplementary tool to capture grey literature and working papers from reputable institutions such as the IMF, World Bank and BIS.</w:t>
      </w:r>
      <w:r w:rsidR="00AC52CF">
        <w:rPr>
          <w:rFonts w:ascii="Arial" w:hAnsi="Arial" w:cs="Arial"/>
          <w:lang w:val="en-IN"/>
        </w:rPr>
        <w:t xml:space="preserve"> </w:t>
      </w:r>
      <w:r w:rsidRPr="002A2A3D">
        <w:rPr>
          <w:rFonts w:ascii="Arial" w:hAnsi="Arial" w:cs="Arial"/>
          <w:lang w:val="en-IN"/>
        </w:rPr>
        <w:t>Keyword development followed an iterative process. Initial keywords were drawn from the research questions and the conceptual themes identified in the literature review, including terms related to exchange-rate volatility, service exports, digital trade, India, dominant currency pricing and outsourcing. To ensure comprehensive coverage, Boolean operators and truncations were applied to combine related concepts. The final search strings included combinations such as:</w:t>
      </w:r>
    </w:p>
    <w:p w14:paraId="240D504A" w14:textId="77777777" w:rsidR="00FA69AA" w:rsidRPr="002A2A3D" w:rsidRDefault="00FA69AA" w:rsidP="00FA69AA">
      <w:pPr>
        <w:numPr>
          <w:ilvl w:val="0"/>
          <w:numId w:val="1"/>
        </w:numPr>
        <w:rPr>
          <w:rFonts w:ascii="Arial" w:hAnsi="Arial" w:cs="Arial"/>
          <w:lang w:val="en-IN"/>
        </w:rPr>
      </w:pPr>
      <w:r w:rsidRPr="002A2A3D">
        <w:rPr>
          <w:rFonts w:ascii="Arial" w:hAnsi="Arial" w:cs="Arial"/>
          <w:lang w:val="en-IN"/>
        </w:rPr>
        <w:t>“Exchange rate volatility” AND “services exports”</w:t>
      </w:r>
    </w:p>
    <w:p w14:paraId="2DCDFDCD" w14:textId="77777777" w:rsidR="00FA69AA" w:rsidRPr="002A2A3D" w:rsidRDefault="00FA69AA" w:rsidP="00FA69AA">
      <w:pPr>
        <w:numPr>
          <w:ilvl w:val="0"/>
          <w:numId w:val="1"/>
        </w:numPr>
        <w:rPr>
          <w:rFonts w:ascii="Arial" w:hAnsi="Arial" w:cs="Arial"/>
          <w:lang w:val="en-IN"/>
        </w:rPr>
      </w:pPr>
      <w:r w:rsidRPr="002A2A3D">
        <w:rPr>
          <w:rFonts w:ascii="Arial" w:hAnsi="Arial" w:cs="Arial"/>
          <w:lang w:val="en-IN"/>
        </w:rPr>
        <w:t>“INR USD volatility” AND “India” AND “IT services”</w:t>
      </w:r>
    </w:p>
    <w:p w14:paraId="528E6FEC" w14:textId="77777777" w:rsidR="00FA69AA" w:rsidRPr="002A2A3D" w:rsidRDefault="00FA69AA" w:rsidP="00FA69AA">
      <w:pPr>
        <w:numPr>
          <w:ilvl w:val="0"/>
          <w:numId w:val="1"/>
        </w:numPr>
        <w:rPr>
          <w:rFonts w:ascii="Arial" w:hAnsi="Arial" w:cs="Arial"/>
          <w:lang w:val="en-IN"/>
        </w:rPr>
      </w:pPr>
      <w:r w:rsidRPr="002A2A3D">
        <w:rPr>
          <w:rFonts w:ascii="Arial" w:hAnsi="Arial" w:cs="Arial"/>
          <w:lang w:val="en-IN"/>
        </w:rPr>
        <w:t>“Dominant currency pricing” AND “trade”</w:t>
      </w:r>
    </w:p>
    <w:p w14:paraId="3D689164" w14:textId="77777777" w:rsidR="00FA69AA" w:rsidRPr="002A2A3D" w:rsidRDefault="00FA69AA" w:rsidP="00FA69AA">
      <w:pPr>
        <w:numPr>
          <w:ilvl w:val="0"/>
          <w:numId w:val="1"/>
        </w:numPr>
        <w:rPr>
          <w:rFonts w:ascii="Arial" w:hAnsi="Arial" w:cs="Arial"/>
          <w:lang w:val="en-IN"/>
        </w:rPr>
      </w:pPr>
      <w:r w:rsidRPr="002A2A3D">
        <w:rPr>
          <w:rFonts w:ascii="Arial" w:hAnsi="Arial" w:cs="Arial"/>
          <w:lang w:val="en-IN"/>
        </w:rPr>
        <w:t>“outsourcing” AND “exchange rate”</w:t>
      </w:r>
    </w:p>
    <w:p w14:paraId="6F9E8F4E" w14:textId="77777777" w:rsidR="00FA69AA" w:rsidRPr="002A2A3D" w:rsidRDefault="00FA69AA" w:rsidP="00FA69AA">
      <w:pPr>
        <w:numPr>
          <w:ilvl w:val="0"/>
          <w:numId w:val="1"/>
        </w:numPr>
        <w:rPr>
          <w:rFonts w:ascii="Arial" w:hAnsi="Arial" w:cs="Arial"/>
          <w:lang w:val="en-IN"/>
        </w:rPr>
      </w:pPr>
      <w:r w:rsidRPr="002A2A3D">
        <w:rPr>
          <w:rFonts w:ascii="Arial" w:hAnsi="Arial" w:cs="Arial"/>
          <w:lang w:val="en-IN"/>
        </w:rPr>
        <w:t>“Digital services trade” AND “macroeconomic shocks”</w:t>
      </w:r>
    </w:p>
    <w:p w14:paraId="30EC8558" w14:textId="77777777" w:rsidR="00FA69AA" w:rsidRPr="002A2A3D" w:rsidRDefault="00FA69AA" w:rsidP="00FA69AA">
      <w:pPr>
        <w:rPr>
          <w:rFonts w:ascii="Arial" w:hAnsi="Arial" w:cs="Arial"/>
          <w:lang w:val="en-IN"/>
        </w:rPr>
      </w:pPr>
      <w:r w:rsidRPr="002A2A3D">
        <w:rPr>
          <w:rFonts w:ascii="Arial" w:hAnsi="Arial" w:cs="Arial"/>
          <w:lang w:val="en-IN"/>
        </w:rPr>
        <w:t>These search strings were adapted slightly across databases to account for differences in search syntax.</w:t>
      </w:r>
    </w:p>
    <w:p w14:paraId="7CC44AEB" w14:textId="77777777" w:rsidR="00FA69AA" w:rsidRPr="002A2A3D" w:rsidRDefault="00FA69AA" w:rsidP="00AC52CF">
      <w:pPr>
        <w:ind w:firstLine="720"/>
        <w:rPr>
          <w:rFonts w:ascii="Arial" w:hAnsi="Arial" w:cs="Arial"/>
          <w:lang w:val="en-IN"/>
        </w:rPr>
      </w:pPr>
      <w:r w:rsidRPr="002A2A3D">
        <w:rPr>
          <w:rFonts w:ascii="Arial" w:hAnsi="Arial" w:cs="Arial"/>
          <w:lang w:val="en-IN"/>
        </w:rPr>
        <w:lastRenderedPageBreak/>
        <w:t>The search was limited to studies published between 2000 and 2025 to ensure relevance to modern exchange-rate regimes, digital-service integration and India’s post-liberalisation export landscape. Earlier foundational studies were considered only when they provided conceptual or theoretical grounding. Only English-language studies were included to maintain consistency and avoid translation bias. Peer-reviewed journal articles were prioritised, though working papers from respected organisations (e.g., IMF Working Papers, NBER Working Papers) were included when they contributed substantive insights.</w:t>
      </w:r>
      <w:r w:rsidR="00AC52CF">
        <w:rPr>
          <w:rFonts w:ascii="Arial" w:hAnsi="Arial" w:cs="Arial"/>
          <w:lang w:val="en-IN"/>
        </w:rPr>
        <w:t xml:space="preserve"> </w:t>
      </w:r>
      <w:r w:rsidRPr="002A2A3D">
        <w:rPr>
          <w:rFonts w:ascii="Arial" w:hAnsi="Arial" w:cs="Arial"/>
          <w:lang w:val="en-IN"/>
        </w:rPr>
        <w:t>All search results were exported into a reference-management spreadsheet, where duplicates were removed manually and through automated filtering. Titles and abstracts were screened first to eliminate irrelevant studies, followed by full-text screening based on predefined inclusion and exclusion criteria (discussed in Section 3.6). Throughout the process, records were kept ensuring transparency in line with SLR standards (</w:t>
      </w:r>
      <w:proofErr w:type="spellStart"/>
      <w:r w:rsidRPr="002A2A3D">
        <w:rPr>
          <w:rFonts w:ascii="Arial" w:hAnsi="Arial" w:cs="Arial"/>
          <w:lang w:val="en-IN"/>
        </w:rPr>
        <w:t>Tranfield</w:t>
      </w:r>
      <w:proofErr w:type="spellEnd"/>
      <w:r w:rsidRPr="002A2A3D">
        <w:rPr>
          <w:rFonts w:ascii="Arial" w:hAnsi="Arial" w:cs="Arial"/>
          <w:lang w:val="en-IN"/>
        </w:rPr>
        <w:t>, Denyer and Smart, 2003).</w:t>
      </w:r>
    </w:p>
    <w:p w14:paraId="117B244B" w14:textId="77777777" w:rsidR="00FA69AA" w:rsidRPr="002A2A3D" w:rsidRDefault="00FA69AA" w:rsidP="00AC52CF">
      <w:pPr>
        <w:ind w:firstLine="720"/>
        <w:rPr>
          <w:rFonts w:ascii="Arial" w:hAnsi="Arial" w:cs="Arial"/>
          <w:lang w:val="en-IN"/>
        </w:rPr>
      </w:pPr>
      <w:r w:rsidRPr="002A2A3D">
        <w:rPr>
          <w:rFonts w:ascii="Arial" w:hAnsi="Arial" w:cs="Arial"/>
          <w:lang w:val="en-IN"/>
        </w:rPr>
        <w:t>The final output of this search process was a curated body of studies that met the relevance, quality and contextual criteria necessary to address the research questions. This systematic and documented approach ensures that the findings presented in Chapter 4 rest on a comprehensive and academically robust evidence base.</w:t>
      </w:r>
    </w:p>
    <w:p w14:paraId="3C2BFBBB" w14:textId="77777777" w:rsidR="00FA69AA" w:rsidRPr="002A2A3D" w:rsidRDefault="00FA69AA" w:rsidP="00FA69AA">
      <w:pPr>
        <w:pStyle w:val="Heading2"/>
        <w:rPr>
          <w:rFonts w:ascii="Arial" w:hAnsi="Arial" w:cs="Arial"/>
        </w:rPr>
      </w:pPr>
      <w:bookmarkStart w:id="29" w:name="_Toc215594103"/>
      <w:bookmarkStart w:id="30" w:name="_Toc218462595"/>
      <w:r w:rsidRPr="002A2A3D">
        <w:rPr>
          <w:rFonts w:ascii="Arial" w:hAnsi="Arial" w:cs="Arial"/>
        </w:rPr>
        <w:t>3.6. Inclusion and Exclusion Criteria</w:t>
      </w:r>
      <w:bookmarkEnd w:id="29"/>
      <w:bookmarkEnd w:id="30"/>
    </w:p>
    <w:p w14:paraId="7E650E65" w14:textId="77777777" w:rsidR="00FA69AA" w:rsidRPr="002A2A3D" w:rsidRDefault="00FA69AA" w:rsidP="00AC52CF">
      <w:pPr>
        <w:ind w:firstLine="720"/>
        <w:rPr>
          <w:rFonts w:ascii="Arial" w:hAnsi="Arial" w:cs="Arial"/>
          <w:lang w:val="en-IN"/>
        </w:rPr>
      </w:pPr>
      <w:r w:rsidRPr="002A2A3D">
        <w:rPr>
          <w:rFonts w:ascii="Arial" w:hAnsi="Arial" w:cs="Arial"/>
          <w:lang w:val="en-IN"/>
        </w:rPr>
        <w:t>Clear inclusion and exclusion criteria are essential to maintaining the transparency, consistency and rigour of a Systematic Literature Review. The criteria used in this study were developed in line with established SLR guidance, which emphasises the importance of predefining eligibility conditions to minimise bias and ensure replicability (</w:t>
      </w:r>
      <w:proofErr w:type="spellStart"/>
      <w:r w:rsidRPr="002A2A3D">
        <w:rPr>
          <w:rFonts w:ascii="Arial" w:hAnsi="Arial" w:cs="Arial"/>
          <w:lang w:val="en-IN"/>
        </w:rPr>
        <w:t>Siddaway</w:t>
      </w:r>
      <w:proofErr w:type="spellEnd"/>
      <w:r w:rsidRPr="002A2A3D">
        <w:rPr>
          <w:rFonts w:ascii="Arial" w:hAnsi="Arial" w:cs="Arial"/>
          <w:lang w:val="en-IN"/>
        </w:rPr>
        <w:t>, Wood and Hedges, 2019). These criteria were applied at both the abstract-screening and full-text appraisal stages to determine whether each study was sufficiently relevant, methodologically sound and aligned with the research objectives.</w:t>
      </w:r>
    </w:p>
    <w:p w14:paraId="05E63441" w14:textId="77777777" w:rsidR="00FA69AA" w:rsidRPr="002A2A3D" w:rsidRDefault="00FA69AA" w:rsidP="00AC52CF">
      <w:pPr>
        <w:rPr>
          <w:rFonts w:ascii="Arial" w:hAnsi="Arial" w:cs="Arial"/>
          <w:lang w:val="en-IN"/>
        </w:rPr>
      </w:pPr>
      <w:bookmarkStart w:id="31" w:name="_Toc215594104"/>
      <w:bookmarkStart w:id="32" w:name="_Toc218462596"/>
      <w:r w:rsidRPr="002A2A3D">
        <w:rPr>
          <w:rStyle w:val="Heading3Char"/>
          <w:rFonts w:ascii="Arial" w:hAnsi="Arial" w:cs="Arial"/>
          <w:lang w:val="en-IN"/>
        </w:rPr>
        <w:t>Inclusion Criteria:</w:t>
      </w:r>
      <w:bookmarkEnd w:id="31"/>
      <w:bookmarkEnd w:id="32"/>
      <w:r w:rsidRPr="002A2A3D">
        <w:rPr>
          <w:rStyle w:val="Heading3Char"/>
          <w:rFonts w:ascii="Arial" w:hAnsi="Arial" w:cs="Arial"/>
          <w:lang w:val="en-IN"/>
        </w:rPr>
        <w:br/>
      </w:r>
      <w:r w:rsidRPr="002A2A3D">
        <w:rPr>
          <w:rFonts w:ascii="Arial" w:hAnsi="Arial" w:cs="Arial"/>
          <w:lang w:val="en-IN"/>
        </w:rPr>
        <w:t>Studies were included when they met the following conditions.</w:t>
      </w:r>
      <w:r w:rsidRPr="002A2A3D">
        <w:rPr>
          <w:rFonts w:ascii="Arial" w:hAnsi="Arial" w:cs="Arial"/>
          <w:lang w:val="en-IN"/>
        </w:rPr>
        <w:br/>
        <w:t xml:space="preserve">First, they had to examine exchange-rate volatility, exchange-rate regimes, or currency movements, with explicit relevance to trade, services, digital exports, or outsourcing. This ensured that the final set of studies was theoretically and empirically connected to the research question. Second, studies focusing on India, South Asia, emerging markets, or global evidence with sector-specific insights were included to capture the multidimensional nature of the topic. Third, only research published between 2000 and 2025 was eligible, reflecting the modern economic conditions in which digital services, flexible exchange-rate regimes and global outsourcing have become prominent. Fourth, the review included peer-reviewed journal articles, high-quality working papers (e.g., IMF, World Bank, NBER), and doctoral theses from recognised academic institutions, reflecting pragmatism in </w:t>
      </w:r>
      <w:r w:rsidRPr="002A2A3D">
        <w:rPr>
          <w:rFonts w:ascii="Arial" w:hAnsi="Arial" w:cs="Arial"/>
          <w:lang w:val="en-IN"/>
        </w:rPr>
        <w:lastRenderedPageBreak/>
        <w:t>accommodating different but credible forms of evidence. Finally, only studies written in English were included for consistency and feasibility.</w:t>
      </w:r>
    </w:p>
    <w:p w14:paraId="6B6F42F4" w14:textId="77777777" w:rsidR="00FA69AA" w:rsidRPr="002A2A3D" w:rsidRDefault="00FA69AA" w:rsidP="00FA69AA">
      <w:pPr>
        <w:rPr>
          <w:rFonts w:ascii="Arial" w:hAnsi="Arial" w:cs="Arial"/>
          <w:lang w:val="en-IN"/>
        </w:rPr>
      </w:pPr>
      <w:bookmarkStart w:id="33" w:name="_Toc215594105"/>
      <w:bookmarkStart w:id="34" w:name="_Toc218462597"/>
      <w:r w:rsidRPr="002A2A3D">
        <w:rPr>
          <w:rStyle w:val="Heading3Char"/>
          <w:rFonts w:ascii="Arial" w:hAnsi="Arial" w:cs="Arial"/>
          <w:lang w:val="en-IN"/>
        </w:rPr>
        <w:t>Exclusion Criteria:</w:t>
      </w:r>
      <w:bookmarkEnd w:id="33"/>
      <w:bookmarkEnd w:id="34"/>
      <w:r w:rsidRPr="002A2A3D">
        <w:rPr>
          <w:rStyle w:val="Heading3Char"/>
          <w:rFonts w:ascii="Arial" w:hAnsi="Arial" w:cs="Arial"/>
          <w:lang w:val="en-IN"/>
        </w:rPr>
        <w:br/>
      </w:r>
      <w:r w:rsidRPr="002A2A3D">
        <w:rPr>
          <w:rFonts w:ascii="Arial" w:hAnsi="Arial" w:cs="Arial"/>
          <w:lang w:val="en-IN"/>
        </w:rPr>
        <w:t>Studies were excluded if they lacked conceptual, theoretical or empirical relevance to exchange-rate volatility or service-sector exports. Papers focusing exclusively on goods trade, agricultural exports, tourism, or remittances were excluded unless they contributed transferable methodological insights. Opinion pieces, blogs, news articles and non-scholarly sources were excluded to ensure academic integrity and reliability. Conference abstracts without full papers were also excluded due to insufficient methodological detail. Studies published before 2000 were excluded unless they provided essential theoretical foundations, because earlier work does not reflect contemporary currency regimes or the rise of digital-services trade. Finally, papers with unclear methodology, incomplete data, absence of empirical grounding, or insufficient reporting of findings were excluded at the full-text screening stage to maintain the quality threshold required for systematic synthesis (Booth, 2016).</w:t>
      </w:r>
    </w:p>
    <w:p w14:paraId="26688453" w14:textId="77777777" w:rsidR="00FA69AA" w:rsidRPr="002A2A3D" w:rsidRDefault="00FA69AA" w:rsidP="00F61E33">
      <w:pPr>
        <w:ind w:firstLine="720"/>
        <w:rPr>
          <w:rFonts w:ascii="Arial" w:hAnsi="Arial" w:cs="Arial"/>
          <w:lang w:val="en-IN"/>
        </w:rPr>
      </w:pPr>
      <w:r w:rsidRPr="002A2A3D">
        <w:rPr>
          <w:rFonts w:ascii="Arial" w:hAnsi="Arial" w:cs="Arial"/>
          <w:lang w:val="en-IN"/>
        </w:rPr>
        <w:t>Applying these criteria ensured that the final set of studies was relevant, credible and methodologically robust. This process also helped establish a balanced evidence base, capturing both global and India-specific perspectives, while excluding research that did not meaningfully contribute to understanding the relationship between exchange-rate volatility and India’s digital-services exports.</w:t>
      </w:r>
    </w:p>
    <w:p w14:paraId="12A93D65" w14:textId="77777777" w:rsidR="00FA69AA" w:rsidRPr="002A2A3D" w:rsidRDefault="00FA69AA" w:rsidP="00FA69AA">
      <w:pPr>
        <w:pStyle w:val="Heading2"/>
        <w:rPr>
          <w:rFonts w:ascii="Arial" w:hAnsi="Arial" w:cs="Arial"/>
        </w:rPr>
      </w:pPr>
      <w:bookmarkStart w:id="35" w:name="_Toc215594106"/>
      <w:bookmarkStart w:id="36" w:name="_Toc218462598"/>
      <w:r w:rsidRPr="002A2A3D">
        <w:rPr>
          <w:rFonts w:ascii="Arial" w:hAnsi="Arial" w:cs="Arial"/>
        </w:rPr>
        <w:t>3.7. Screening Process</w:t>
      </w:r>
      <w:bookmarkEnd w:id="35"/>
      <w:bookmarkEnd w:id="36"/>
    </w:p>
    <w:p w14:paraId="01A50BFC" w14:textId="77777777" w:rsidR="00FA69AA" w:rsidRPr="002A2A3D" w:rsidRDefault="00FA69AA" w:rsidP="00F61E33">
      <w:pPr>
        <w:ind w:firstLine="720"/>
        <w:rPr>
          <w:rFonts w:ascii="Arial" w:hAnsi="Arial" w:cs="Arial"/>
          <w:lang w:val="en-IN"/>
        </w:rPr>
      </w:pPr>
      <w:r w:rsidRPr="002A2A3D">
        <w:rPr>
          <w:rFonts w:ascii="Arial" w:hAnsi="Arial" w:cs="Arial"/>
          <w:lang w:val="en-IN"/>
        </w:rPr>
        <w:t>The screening process ensures that only studies meeting the predefined eligibility criteria are included in the final review. This stage followed the general principles of the PRISMA framework (Preferred Reporting Items for Systematic Reviews and Meta-Analyses), which promotes transparency, replicability and a clear audit trail in the selection of literature (Page et al., 2021). Although PRISMA is most applied to medical and evidence-based management reviews, its structured approach is widely recognised as suitable for business and economics research as well (Moher et al., 2009).</w:t>
      </w:r>
      <w:r w:rsidR="00F61E33">
        <w:rPr>
          <w:rFonts w:ascii="Arial" w:hAnsi="Arial" w:cs="Arial"/>
          <w:lang w:val="en-IN"/>
        </w:rPr>
        <w:t xml:space="preserve"> </w:t>
      </w:r>
      <w:r w:rsidRPr="002A2A3D">
        <w:rPr>
          <w:rFonts w:ascii="Arial" w:hAnsi="Arial" w:cs="Arial"/>
          <w:lang w:val="en-IN"/>
        </w:rPr>
        <w:t>The screening process was completed in three stages. The first stage involved the removal of duplicate records that appeared across multiple databases. Since the search was conducted using broad keywords across Scopus, Web of Science, ScienceDirect, EBSCO and Google Scholar, duplicates were common. These were removed manually and through spreadsheet-based filtering to ensure accuracy.</w:t>
      </w:r>
      <w:r w:rsidR="00F61E33">
        <w:rPr>
          <w:rFonts w:ascii="Arial" w:hAnsi="Arial" w:cs="Arial"/>
          <w:lang w:val="en-IN"/>
        </w:rPr>
        <w:t xml:space="preserve"> </w:t>
      </w:r>
      <w:r w:rsidRPr="002A2A3D">
        <w:rPr>
          <w:rFonts w:ascii="Arial" w:hAnsi="Arial" w:cs="Arial"/>
          <w:lang w:val="en-IN"/>
        </w:rPr>
        <w:t>The second stage involved title and abstract screening, where studies were assessed against the inclusion and exclusion criteria outlined in Section 3.6. At this step, papers clearly unrelated to exchange-rate volatility, services trade or the Indian and emerging-market context were removed. Studies lacking sufficient methodological detail or focusing exclusively on goods trade were also screened out if their findings were unlikely to contribute transferable insights.</w:t>
      </w:r>
      <w:r w:rsidR="00F61E33">
        <w:rPr>
          <w:rFonts w:ascii="Arial" w:hAnsi="Arial" w:cs="Arial"/>
          <w:lang w:val="en-IN"/>
        </w:rPr>
        <w:t xml:space="preserve"> </w:t>
      </w:r>
      <w:r w:rsidRPr="002A2A3D">
        <w:rPr>
          <w:rFonts w:ascii="Arial" w:hAnsi="Arial" w:cs="Arial"/>
          <w:lang w:val="en-IN"/>
        </w:rPr>
        <w:t xml:space="preserve">The third stage consisted of full-text screening, where the remaining papers were examined in detail </w:t>
      </w:r>
      <w:r w:rsidRPr="002A2A3D">
        <w:rPr>
          <w:rFonts w:ascii="Arial" w:hAnsi="Arial" w:cs="Arial"/>
          <w:lang w:val="en-IN"/>
        </w:rPr>
        <w:lastRenderedPageBreak/>
        <w:t>to evaluate their methodological quality, conceptual relevance and empirical contribution. Studies were excluded at this stage if they presented insufficient evidence, unclear analytical procedures, or if the full text did not align with the initial abstract claims. Working papers and doctoral theses were retained only when they demonstrated academic rigor comparable to peer-reviewed journal articles.</w:t>
      </w:r>
    </w:p>
    <w:p w14:paraId="33C9702E" w14:textId="77777777" w:rsidR="00FA69AA" w:rsidRPr="002A2A3D" w:rsidRDefault="00FA69AA" w:rsidP="00F61E33">
      <w:pPr>
        <w:ind w:firstLine="720"/>
        <w:rPr>
          <w:rFonts w:ascii="Arial" w:hAnsi="Arial" w:cs="Arial"/>
          <w:lang w:val="en-IN"/>
        </w:rPr>
      </w:pPr>
      <w:r w:rsidRPr="002A2A3D">
        <w:rPr>
          <w:rFonts w:ascii="Arial" w:hAnsi="Arial" w:cs="Arial"/>
          <w:lang w:val="en-IN"/>
        </w:rPr>
        <w:t>Each screening decision was documented to preserve the integrity of the review process, following recommendations for systematic documentation in SLR-based management and economics research (</w:t>
      </w:r>
      <w:proofErr w:type="spellStart"/>
      <w:r w:rsidRPr="002A2A3D">
        <w:rPr>
          <w:rFonts w:ascii="Arial" w:hAnsi="Arial" w:cs="Arial"/>
          <w:lang w:val="en-IN"/>
        </w:rPr>
        <w:t>Tranfield</w:t>
      </w:r>
      <w:proofErr w:type="spellEnd"/>
      <w:r w:rsidRPr="002A2A3D">
        <w:rPr>
          <w:rFonts w:ascii="Arial" w:hAnsi="Arial" w:cs="Arial"/>
          <w:lang w:val="en-IN"/>
        </w:rPr>
        <w:t>, Denyer and Smart, 2003). The result of the screening process was a refined set of high-quality studies that formed the evidence base for synthesis in Chapter 4.</w:t>
      </w:r>
    </w:p>
    <w:p w14:paraId="51E15FF0" w14:textId="77777777" w:rsidR="00FA69AA" w:rsidRPr="002A2A3D" w:rsidRDefault="00FA69AA" w:rsidP="00FA69AA">
      <w:pPr>
        <w:pStyle w:val="Heading2"/>
        <w:rPr>
          <w:rFonts w:ascii="Arial" w:hAnsi="Arial" w:cs="Arial"/>
        </w:rPr>
      </w:pPr>
      <w:bookmarkStart w:id="37" w:name="_Toc215594107"/>
      <w:bookmarkStart w:id="38" w:name="_Toc218462599"/>
      <w:r w:rsidRPr="002A2A3D">
        <w:rPr>
          <w:rFonts w:ascii="Arial" w:hAnsi="Arial" w:cs="Arial"/>
        </w:rPr>
        <w:t>3.8. Quality Appraisal</w:t>
      </w:r>
      <w:bookmarkEnd w:id="37"/>
      <w:bookmarkEnd w:id="38"/>
    </w:p>
    <w:p w14:paraId="4E2A6D9D" w14:textId="77777777" w:rsidR="00FA69AA" w:rsidRPr="002A2A3D" w:rsidRDefault="00FA69AA" w:rsidP="00F61E33">
      <w:pPr>
        <w:ind w:firstLine="720"/>
        <w:rPr>
          <w:rFonts w:ascii="Arial" w:hAnsi="Arial" w:cs="Arial"/>
          <w:lang w:val="en-IN"/>
        </w:rPr>
      </w:pPr>
      <w:r w:rsidRPr="002A2A3D">
        <w:rPr>
          <w:rFonts w:ascii="Arial" w:hAnsi="Arial" w:cs="Arial"/>
          <w:lang w:val="en-IN"/>
        </w:rPr>
        <w:t>Quality appraisal is a crucial stage in any Systematic Literature Review, ensuring that only methodologically sound and credible studies form the basis of the synthesis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 xml:space="preserve">(Barry, </w:t>
      </w:r>
      <w:proofErr w:type="spellStart"/>
      <w:r w:rsidRPr="002A2A3D">
        <w:rPr>
          <w:rFonts w:ascii="Arial" w:hAnsi="Arial" w:cs="Arial"/>
          <w:lang w:val="en-IN"/>
        </w:rPr>
        <w:t>Merkebu</w:t>
      </w:r>
      <w:proofErr w:type="spellEnd"/>
      <w:r w:rsidRPr="002A2A3D">
        <w:rPr>
          <w:rFonts w:ascii="Arial" w:hAnsi="Arial" w:cs="Arial"/>
          <w:lang w:val="en-IN"/>
        </w:rPr>
        <w:t xml:space="preserve"> and </w:t>
      </w:r>
      <w:proofErr w:type="spellStart"/>
      <w:r w:rsidRPr="002A2A3D">
        <w:rPr>
          <w:rFonts w:ascii="Arial" w:hAnsi="Arial" w:cs="Arial"/>
          <w:lang w:val="en-IN"/>
        </w:rPr>
        <w:t>Varpio</w:t>
      </w:r>
      <w:proofErr w:type="spellEnd"/>
      <w:r w:rsidRPr="002A2A3D">
        <w:rPr>
          <w:rFonts w:ascii="Arial" w:hAnsi="Arial" w:cs="Arial"/>
          <w:lang w:val="en-IN"/>
        </w:rPr>
        <w:t>, 2022). Because the literature on exchange-rate volatility and services exports spans diverse empirical techniques, theoretical frameworks and data sources, a structured and transparent appraisal process was essential to maintain the integrity of the review. This study adopted appraisal principles aligned with established guidance for SLRs in management and social science research (Xiao and Watson, 2019).</w:t>
      </w:r>
    </w:p>
    <w:p w14:paraId="4CBC0616" w14:textId="77777777" w:rsidR="00FA69AA" w:rsidRPr="002A2A3D" w:rsidRDefault="00FA69AA" w:rsidP="00F61E33">
      <w:pPr>
        <w:ind w:firstLine="720"/>
        <w:rPr>
          <w:rFonts w:ascii="Arial" w:hAnsi="Arial" w:cs="Arial"/>
          <w:lang w:val="en-IN"/>
        </w:rPr>
      </w:pPr>
      <w:r w:rsidRPr="002A2A3D">
        <w:rPr>
          <w:rFonts w:ascii="Arial" w:hAnsi="Arial" w:cs="Arial"/>
          <w:lang w:val="en-IN"/>
        </w:rPr>
        <w:t>Given the mixed nature of the evidence base—comprising econometric studies, macroeconomic analyses, sector-specific reports and doctoral research—the review used criteria adapted from the Critical Appraisal Skills Programme (CASP) and the Mixed Methods Appraisal Tool (MMAT). These frameworks are widely applied in systematic reviews because they allow consistent assessment across different methodological traditions while preserving the flexibility needed for cross-disciplinary research (Hong et al., 2018). Key appraisal dimensions included the clarity of research aims, appropriateness of methodology, robustness of data sources, transparency in analytical techniques, validity of findings and the extent to which conclusions were supported by the evidence presented.</w:t>
      </w:r>
    </w:p>
    <w:p w14:paraId="644262F7" w14:textId="77777777" w:rsidR="00FA69AA" w:rsidRPr="002A2A3D" w:rsidRDefault="00FA69AA" w:rsidP="00F61E33">
      <w:pPr>
        <w:ind w:firstLine="720"/>
        <w:rPr>
          <w:rFonts w:ascii="Arial" w:hAnsi="Arial" w:cs="Arial"/>
          <w:lang w:val="en-IN"/>
        </w:rPr>
      </w:pPr>
      <w:r w:rsidRPr="002A2A3D">
        <w:rPr>
          <w:rFonts w:ascii="Arial" w:hAnsi="Arial" w:cs="Arial"/>
          <w:lang w:val="en-IN"/>
        </w:rPr>
        <w:t>Quantitative studies, such as those employing GARCH models, VAR frameworks, cointegration techniques or panel regressions, were assessed based on statistical rigour, sample adequacy and robustness checks. Studies that failed to report model specifications, diagnostic tests or data sources transparently were downgraded or excluded. Qualitative and conceptual papers were evaluated in terms of argument coherence, theoretical contribution and the credibility of supporting evidence. Working papers and doctoral theses were included only when their methodological quality was comparable to peer-reviewed journal articles, following recommendations to balance breadth with reliability in SLRs (</w:t>
      </w:r>
      <w:proofErr w:type="spellStart"/>
      <w:r w:rsidRPr="002A2A3D">
        <w:rPr>
          <w:rFonts w:ascii="Arial" w:hAnsi="Arial" w:cs="Arial"/>
          <w:lang w:val="en-IN"/>
        </w:rPr>
        <w:t>Tranfield</w:t>
      </w:r>
      <w:proofErr w:type="spellEnd"/>
      <w:r w:rsidRPr="002A2A3D">
        <w:rPr>
          <w:rFonts w:ascii="Arial" w:hAnsi="Arial" w:cs="Arial"/>
          <w:lang w:val="en-IN"/>
        </w:rPr>
        <w:t>, Denyer and Smart, 2003).</w:t>
      </w:r>
    </w:p>
    <w:p w14:paraId="61DB89ED" w14:textId="77777777" w:rsidR="00FA69AA" w:rsidRPr="002A2A3D" w:rsidRDefault="00FA69AA" w:rsidP="00F61E33">
      <w:pPr>
        <w:ind w:firstLine="720"/>
        <w:rPr>
          <w:rFonts w:ascii="Arial" w:hAnsi="Arial" w:cs="Arial"/>
          <w:lang w:val="en-IN"/>
        </w:rPr>
      </w:pPr>
      <w:r w:rsidRPr="002A2A3D">
        <w:rPr>
          <w:rFonts w:ascii="Arial" w:hAnsi="Arial" w:cs="Arial"/>
          <w:lang w:val="en-IN"/>
        </w:rPr>
        <w:lastRenderedPageBreak/>
        <w:t>To ensure consistency, an appraisal matrix was developed, with each study scored across the main quality dimensions. Studies assessed as low-quality due to weak methodology, insufficient reporting or lack of relevance—were excluded at this stage. Medium-quality studies were retained only if they offered unique contextual insights relevant to India or the digital-services sector. High-quality studies formed the core evidence base that shaped the thematic synthesis presented in Chapter 4.</w:t>
      </w:r>
      <w:r w:rsidR="00F61E33">
        <w:rPr>
          <w:rFonts w:ascii="Arial" w:hAnsi="Arial" w:cs="Arial"/>
          <w:lang w:val="en-IN"/>
        </w:rPr>
        <w:t xml:space="preserve"> </w:t>
      </w:r>
      <w:r w:rsidRPr="002A2A3D">
        <w:rPr>
          <w:rFonts w:ascii="Arial" w:hAnsi="Arial" w:cs="Arial"/>
          <w:lang w:val="en-IN"/>
        </w:rPr>
        <w:t>By adopting a structured appraisal process grounded in recognised frameworks, the review ensured that its conclusions are based on credible, methodologically sound and contextually relevant research. This strengthens both the internal validity of the findings and the overall reliability of the study’s contribution.</w:t>
      </w:r>
    </w:p>
    <w:p w14:paraId="3E472E07" w14:textId="77777777" w:rsidR="00FA69AA" w:rsidRPr="002A2A3D" w:rsidRDefault="00FA69AA" w:rsidP="00FA69AA">
      <w:pPr>
        <w:pStyle w:val="Heading2"/>
        <w:rPr>
          <w:rFonts w:ascii="Arial" w:hAnsi="Arial" w:cs="Arial"/>
        </w:rPr>
      </w:pPr>
      <w:bookmarkStart w:id="39" w:name="_Toc215594108"/>
      <w:bookmarkStart w:id="40" w:name="_Toc218462600"/>
      <w:r w:rsidRPr="002A2A3D">
        <w:rPr>
          <w:rFonts w:ascii="Arial" w:hAnsi="Arial" w:cs="Arial"/>
        </w:rPr>
        <w:t>3.9. Data Extraction</w:t>
      </w:r>
      <w:bookmarkEnd w:id="39"/>
      <w:bookmarkEnd w:id="40"/>
    </w:p>
    <w:p w14:paraId="4BBD8FB8" w14:textId="77777777" w:rsidR="00FA69AA" w:rsidRPr="002A2A3D" w:rsidRDefault="00FA69AA" w:rsidP="00F61E33">
      <w:pPr>
        <w:ind w:firstLine="720"/>
        <w:rPr>
          <w:rFonts w:ascii="Arial" w:hAnsi="Arial" w:cs="Arial"/>
          <w:lang w:val="en-IN"/>
        </w:rPr>
      </w:pPr>
      <w:r w:rsidRPr="002A2A3D">
        <w:rPr>
          <w:rFonts w:ascii="Arial" w:hAnsi="Arial" w:cs="Arial"/>
          <w:lang w:val="en-IN"/>
        </w:rPr>
        <w:t>Data extraction is a core element of the SLR process, enabling consistent collection of information from the final set of included studies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(Carver et al., 2013). This stage transforms the raw literature into structured evidence that can be compared, analysed and synthesised. Following best-practice guidance in systematic review methodology (Xiao and Watson, 2019), a data-extraction matrix was developed to ensure accuracy and uniformity across all studies.</w:t>
      </w:r>
      <w:r w:rsidR="00F61E33">
        <w:rPr>
          <w:rFonts w:ascii="Arial" w:hAnsi="Arial" w:cs="Arial"/>
          <w:lang w:val="en-IN"/>
        </w:rPr>
        <w:t xml:space="preserve"> </w:t>
      </w:r>
      <w:r w:rsidRPr="002A2A3D">
        <w:rPr>
          <w:rFonts w:ascii="Arial" w:hAnsi="Arial" w:cs="Arial"/>
          <w:lang w:val="en-IN"/>
        </w:rPr>
        <w:t>Each study was reviewed in full, and relevant information was recorded in a predefined template. Extraction fields included:</w:t>
      </w:r>
    </w:p>
    <w:p w14:paraId="423F6321"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Bibliographic details (author, year, title, journal)</w:t>
      </w:r>
    </w:p>
    <w:p w14:paraId="14CAC84D"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Study context (country, sector, time period)</w:t>
      </w:r>
    </w:p>
    <w:p w14:paraId="4272E73F"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Research objective and contribution</w:t>
      </w:r>
    </w:p>
    <w:p w14:paraId="4D1E3B58"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Methodological approach (e.g., GARCH, ARDL, VAR, panel regressions, qualitative analysis)</w:t>
      </w:r>
    </w:p>
    <w:p w14:paraId="1BD7888C"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Data sources (e.g., RBI, IMF IFS, World Bank WDI, firm-level datasets)</w:t>
      </w:r>
    </w:p>
    <w:p w14:paraId="369E13B7"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Key variables (exchange-rate volatility measures, export indicators, control variables)</w:t>
      </w:r>
    </w:p>
    <w:p w14:paraId="69671770"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Principal findings (direction, magnitude and nature of effects)</w:t>
      </w:r>
    </w:p>
    <w:p w14:paraId="32FB1A3A" w14:textId="77777777" w:rsidR="00FA69AA" w:rsidRPr="002A2A3D" w:rsidRDefault="00FA69AA" w:rsidP="00FA69AA">
      <w:pPr>
        <w:numPr>
          <w:ilvl w:val="0"/>
          <w:numId w:val="2"/>
        </w:numPr>
        <w:rPr>
          <w:rFonts w:ascii="Arial" w:hAnsi="Arial" w:cs="Arial"/>
          <w:lang w:val="en-IN"/>
        </w:rPr>
      </w:pPr>
      <w:r w:rsidRPr="002A2A3D">
        <w:rPr>
          <w:rFonts w:ascii="Arial" w:hAnsi="Arial" w:cs="Arial"/>
          <w:lang w:val="en-IN"/>
        </w:rPr>
        <w:t>Limitations noted by the authors</w:t>
      </w:r>
    </w:p>
    <w:p w14:paraId="6629E42E" w14:textId="77777777" w:rsidR="00FA69AA" w:rsidRPr="002A2A3D" w:rsidRDefault="00FA69AA" w:rsidP="00F61E33">
      <w:pPr>
        <w:ind w:firstLine="360"/>
        <w:rPr>
          <w:rFonts w:ascii="Arial" w:hAnsi="Arial" w:cs="Arial"/>
          <w:lang w:val="en-IN"/>
        </w:rPr>
      </w:pPr>
      <w:r w:rsidRPr="002A2A3D">
        <w:rPr>
          <w:rFonts w:ascii="Arial" w:hAnsi="Arial" w:cs="Arial"/>
          <w:lang w:val="en-IN"/>
        </w:rPr>
        <w:t>This structured approach ensured that the diverse evidence—spanning macroeconomic studies, sector-specific analyses and cross-country work—remained comparable during synthesis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(Lalith et al., 2025).</w:t>
      </w:r>
    </w:p>
    <w:p w14:paraId="7023B2FE" w14:textId="77777777" w:rsidR="00FA69AA" w:rsidRPr="002A2A3D" w:rsidRDefault="00FA69AA" w:rsidP="00F61E33">
      <w:pPr>
        <w:ind w:firstLine="360"/>
        <w:rPr>
          <w:rFonts w:ascii="Arial" w:hAnsi="Arial" w:cs="Arial"/>
          <w:lang w:val="en-IN"/>
        </w:rPr>
      </w:pPr>
      <w:r w:rsidRPr="002A2A3D">
        <w:rPr>
          <w:rFonts w:ascii="Arial" w:hAnsi="Arial" w:cs="Arial"/>
          <w:lang w:val="en-IN"/>
        </w:rPr>
        <w:t>Special attention was given to capturing sector-specific insights relevant to digital services, such as invoicing currency choice, contract duration, demand elasticity and exposure to dollar movements. Extracting these details ensured that the synthesis reflects both general mechanisms of exchange-rate volatility and the unique characteristics of India’s digital-services exporters.</w:t>
      </w:r>
      <w:r w:rsidR="00F61E33">
        <w:rPr>
          <w:rFonts w:ascii="Arial" w:hAnsi="Arial" w:cs="Arial"/>
          <w:lang w:val="en-IN"/>
        </w:rPr>
        <w:t xml:space="preserve"> </w:t>
      </w:r>
      <w:r w:rsidRPr="002A2A3D">
        <w:rPr>
          <w:rFonts w:ascii="Arial" w:hAnsi="Arial" w:cs="Arial"/>
          <w:lang w:val="en-IN"/>
        </w:rPr>
        <w:t xml:space="preserve">The extraction process was </w:t>
      </w:r>
      <w:r w:rsidRPr="002A2A3D">
        <w:rPr>
          <w:rFonts w:ascii="Arial" w:hAnsi="Arial" w:cs="Arial"/>
          <w:lang w:val="en-IN"/>
        </w:rPr>
        <w:lastRenderedPageBreak/>
        <w:t>carried out manually to maintain accuracy and avoid overlooking qualitative nuances that automated tools may miss. Any uncertainties or unclear findings were cross-checked by re-examining the original text, ensuring that the final dataset used for synthesis was reliable and free from extraction errors.</w:t>
      </w:r>
    </w:p>
    <w:p w14:paraId="2496A4E6" w14:textId="77777777" w:rsidR="00FA69AA" w:rsidRPr="002A2A3D" w:rsidRDefault="00FA69AA" w:rsidP="00FA69AA">
      <w:pPr>
        <w:pStyle w:val="Heading2"/>
        <w:rPr>
          <w:rFonts w:ascii="Arial" w:hAnsi="Arial" w:cs="Arial"/>
        </w:rPr>
      </w:pPr>
      <w:bookmarkStart w:id="41" w:name="_Toc215594109"/>
      <w:bookmarkStart w:id="42" w:name="_Toc218462601"/>
      <w:r w:rsidRPr="002A2A3D">
        <w:rPr>
          <w:rFonts w:ascii="Arial" w:hAnsi="Arial" w:cs="Arial"/>
        </w:rPr>
        <w:t>3.10. Synthesis Method</w:t>
      </w:r>
      <w:bookmarkEnd w:id="41"/>
      <w:bookmarkEnd w:id="42"/>
    </w:p>
    <w:p w14:paraId="4240D150" w14:textId="77777777" w:rsidR="00FA69AA" w:rsidRPr="002A2A3D" w:rsidRDefault="00FA69AA" w:rsidP="00F61E33">
      <w:pPr>
        <w:ind w:firstLine="720"/>
        <w:rPr>
          <w:rFonts w:ascii="Arial" w:hAnsi="Arial" w:cs="Arial"/>
          <w:lang w:val="en-IN"/>
        </w:rPr>
      </w:pPr>
      <w:r w:rsidRPr="002A2A3D">
        <w:rPr>
          <w:rFonts w:ascii="Arial" w:hAnsi="Arial" w:cs="Arial"/>
          <w:lang w:val="en-IN"/>
        </w:rPr>
        <w:t>The synthesis stage integrates the extracted data into coherent themes that reflect patterns, relationships and gaps within the literature. Given the diversity of research methods and contexts represented in the included studies, the review employed a thematic synthesis approach, an established method for combining heterogeneous evidence in management and social science research (Thomas and Harden, 2008).</w:t>
      </w:r>
      <w:r w:rsidR="00F61E33">
        <w:rPr>
          <w:rFonts w:ascii="Arial" w:hAnsi="Arial" w:cs="Arial"/>
          <w:lang w:val="en-IN"/>
        </w:rPr>
        <w:t xml:space="preserve"> </w:t>
      </w:r>
      <w:r w:rsidRPr="002A2A3D">
        <w:rPr>
          <w:rFonts w:ascii="Arial" w:hAnsi="Arial" w:cs="Arial"/>
          <w:lang w:val="en-IN"/>
        </w:rPr>
        <w:t>The synthesis involved three stages.</w:t>
      </w:r>
      <w:r w:rsidRPr="002A2A3D">
        <w:rPr>
          <w:rFonts w:ascii="Arial" w:hAnsi="Arial" w:cs="Arial"/>
          <w:lang w:val="en-IN"/>
        </w:rPr>
        <w:br/>
        <w:t>First, open coding was applied to the extracted data to identify recurring ideas, mechanisms and empirical relationships. Codes included concepts such as exchange-rate volatility shocks, pricing-to-market behaviour, dominant currency pricing, hedging constraints, invoicing practices, digital-services export elasticity and macroeconomic uncertainty.</w:t>
      </w:r>
      <w:r w:rsidR="00F61E33">
        <w:rPr>
          <w:rFonts w:ascii="Arial" w:hAnsi="Arial" w:cs="Arial"/>
          <w:lang w:val="en-IN"/>
        </w:rPr>
        <w:t xml:space="preserve"> </w:t>
      </w:r>
      <w:r w:rsidRPr="002A2A3D">
        <w:rPr>
          <w:rFonts w:ascii="Arial" w:hAnsi="Arial" w:cs="Arial"/>
          <w:lang w:val="en-IN"/>
        </w:rPr>
        <w:t>Second, the initial codes were grouped into broader categories through axial coding, allowing relationships between concepts to emerge. For example, studies were clustered based on whether volatility exerted a negative, positive, asymmetric or insignificant effect on exports. Similarly, sectoral distinctions—goods vs services—were used to assess how digital-services trade responds differently to exchange-rate movements.</w:t>
      </w:r>
      <w:r w:rsidR="00F61E33">
        <w:rPr>
          <w:rFonts w:ascii="Arial" w:hAnsi="Arial" w:cs="Arial"/>
          <w:lang w:val="en-IN"/>
        </w:rPr>
        <w:t xml:space="preserve"> </w:t>
      </w:r>
      <w:r w:rsidRPr="002A2A3D">
        <w:rPr>
          <w:rFonts w:ascii="Arial" w:hAnsi="Arial" w:cs="Arial"/>
          <w:lang w:val="en-IN"/>
        </w:rPr>
        <w:t>Third, selective coding was used to integrate these categories into overarching themes. Themes that emerged included:</w:t>
      </w:r>
    </w:p>
    <w:p w14:paraId="4BAAC806" w14:textId="77777777" w:rsidR="00FA69AA" w:rsidRPr="002A2A3D" w:rsidRDefault="00FA69AA" w:rsidP="00FA69AA">
      <w:pPr>
        <w:numPr>
          <w:ilvl w:val="0"/>
          <w:numId w:val="3"/>
        </w:numPr>
        <w:rPr>
          <w:rFonts w:ascii="Arial" w:hAnsi="Arial" w:cs="Arial"/>
          <w:lang w:val="en-IN"/>
        </w:rPr>
      </w:pPr>
      <w:r w:rsidRPr="002A2A3D">
        <w:rPr>
          <w:rFonts w:ascii="Arial" w:hAnsi="Arial" w:cs="Arial"/>
          <w:lang w:val="en-IN"/>
        </w:rPr>
        <w:t>the sensitivity of digital-services exports to INR–USD volatility.</w:t>
      </w:r>
    </w:p>
    <w:p w14:paraId="71C85F79" w14:textId="77777777" w:rsidR="00FA69AA" w:rsidRPr="002A2A3D" w:rsidRDefault="00FA69AA" w:rsidP="00FA69AA">
      <w:pPr>
        <w:numPr>
          <w:ilvl w:val="0"/>
          <w:numId w:val="3"/>
        </w:numPr>
        <w:rPr>
          <w:rFonts w:ascii="Arial" w:hAnsi="Arial" w:cs="Arial"/>
          <w:lang w:val="en-IN"/>
        </w:rPr>
      </w:pPr>
      <w:r w:rsidRPr="002A2A3D">
        <w:rPr>
          <w:rFonts w:ascii="Arial" w:hAnsi="Arial" w:cs="Arial"/>
          <w:lang w:val="en-IN"/>
        </w:rPr>
        <w:t>the role of dominant currency pricing in shaping exposure.</w:t>
      </w:r>
    </w:p>
    <w:p w14:paraId="2F03A83C" w14:textId="77777777" w:rsidR="00FA69AA" w:rsidRPr="002A2A3D" w:rsidRDefault="00FA69AA" w:rsidP="00FA69AA">
      <w:pPr>
        <w:numPr>
          <w:ilvl w:val="0"/>
          <w:numId w:val="3"/>
        </w:numPr>
        <w:rPr>
          <w:rFonts w:ascii="Arial" w:hAnsi="Arial" w:cs="Arial"/>
          <w:lang w:val="en-IN"/>
        </w:rPr>
      </w:pPr>
      <w:r w:rsidRPr="002A2A3D">
        <w:rPr>
          <w:rFonts w:ascii="Arial" w:hAnsi="Arial" w:cs="Arial"/>
          <w:lang w:val="en-IN"/>
        </w:rPr>
        <w:t>the limited effectiveness of hedging instruments for service-sector firms.</w:t>
      </w:r>
    </w:p>
    <w:p w14:paraId="3A59C244" w14:textId="77777777" w:rsidR="00FA69AA" w:rsidRPr="002A2A3D" w:rsidRDefault="00FA69AA" w:rsidP="00FA69AA">
      <w:pPr>
        <w:numPr>
          <w:ilvl w:val="0"/>
          <w:numId w:val="3"/>
        </w:numPr>
        <w:rPr>
          <w:rFonts w:ascii="Arial" w:hAnsi="Arial" w:cs="Arial"/>
          <w:lang w:val="en-IN"/>
        </w:rPr>
      </w:pPr>
      <w:r w:rsidRPr="002A2A3D">
        <w:rPr>
          <w:rFonts w:ascii="Arial" w:hAnsi="Arial" w:cs="Arial"/>
          <w:lang w:val="en-IN"/>
        </w:rPr>
        <w:t>asymmetric responses to appreciation vs depreciation.</w:t>
      </w:r>
    </w:p>
    <w:p w14:paraId="207E7496" w14:textId="77777777" w:rsidR="00FA69AA" w:rsidRPr="002A2A3D" w:rsidRDefault="00FA69AA" w:rsidP="00FA69AA">
      <w:pPr>
        <w:numPr>
          <w:ilvl w:val="0"/>
          <w:numId w:val="3"/>
        </w:numPr>
        <w:rPr>
          <w:rFonts w:ascii="Arial" w:hAnsi="Arial" w:cs="Arial"/>
          <w:lang w:val="en-IN"/>
        </w:rPr>
      </w:pPr>
      <w:r w:rsidRPr="002A2A3D">
        <w:rPr>
          <w:rFonts w:ascii="Arial" w:hAnsi="Arial" w:cs="Arial"/>
          <w:lang w:val="en-IN"/>
        </w:rPr>
        <w:t>regional differences across Asia and emerging markets.</w:t>
      </w:r>
    </w:p>
    <w:p w14:paraId="2E4B55B7" w14:textId="77777777" w:rsidR="00FA69AA" w:rsidRPr="002A2A3D" w:rsidRDefault="00FA69AA" w:rsidP="00FA69AA">
      <w:pPr>
        <w:numPr>
          <w:ilvl w:val="0"/>
          <w:numId w:val="3"/>
        </w:numPr>
        <w:rPr>
          <w:rFonts w:ascii="Arial" w:hAnsi="Arial" w:cs="Arial"/>
          <w:lang w:val="en-IN"/>
        </w:rPr>
      </w:pPr>
      <w:r w:rsidRPr="002A2A3D">
        <w:rPr>
          <w:rFonts w:ascii="Arial" w:hAnsi="Arial" w:cs="Arial"/>
          <w:lang w:val="en-IN"/>
        </w:rPr>
        <w:t>evolving structural dynamics of India’s digital-exports ecosystem.</w:t>
      </w:r>
    </w:p>
    <w:p w14:paraId="1B24224D" w14:textId="77777777" w:rsidR="00FA69AA" w:rsidRPr="002A2A3D" w:rsidRDefault="00FA69AA" w:rsidP="00F61E33">
      <w:pPr>
        <w:ind w:firstLine="360"/>
        <w:rPr>
          <w:rFonts w:ascii="Arial" w:hAnsi="Arial" w:cs="Arial"/>
          <w:lang w:val="en-IN"/>
        </w:rPr>
      </w:pPr>
      <w:r w:rsidRPr="002A2A3D">
        <w:rPr>
          <w:rFonts w:ascii="Arial" w:hAnsi="Arial" w:cs="Arial"/>
          <w:lang w:val="en-IN"/>
        </w:rPr>
        <w:t>This thematic structure allowed the review to synthesise complex findings into a clear, coherent narrative, consistent with recommendations for systematic synthesis in mixed-method evidence reviews (Hong, et., 2017).</w:t>
      </w:r>
      <w:r w:rsidR="00F61E33">
        <w:rPr>
          <w:rFonts w:ascii="Arial" w:hAnsi="Arial" w:cs="Arial"/>
          <w:lang w:val="en-IN"/>
        </w:rPr>
        <w:t xml:space="preserve"> </w:t>
      </w:r>
      <w:r w:rsidRPr="002A2A3D">
        <w:rPr>
          <w:rFonts w:ascii="Arial" w:hAnsi="Arial" w:cs="Arial"/>
          <w:lang w:val="en-IN"/>
        </w:rPr>
        <w:t>Thematic synthesis was selected over meta-analysis because the included studies vary substantially in methodology, data frequency, estimation techniques and outcome measures. These differences make statistical aggregation impractical and potentially misleading. Thematic synthesis, by contrast, accommodates methodological diversity while still enabling meaningful integration of findings (Thomas and Harden, 2008).</w:t>
      </w:r>
      <w:r w:rsidR="00F61E33">
        <w:rPr>
          <w:rFonts w:ascii="Arial" w:hAnsi="Arial" w:cs="Arial"/>
          <w:lang w:val="en-IN"/>
        </w:rPr>
        <w:t xml:space="preserve"> </w:t>
      </w:r>
      <w:r w:rsidRPr="002A2A3D">
        <w:rPr>
          <w:rFonts w:ascii="Arial" w:hAnsi="Arial" w:cs="Arial"/>
          <w:lang w:val="en-IN"/>
        </w:rPr>
        <w:t xml:space="preserve">By employing a structured and academically recognised synthesis method, the review </w:t>
      </w:r>
      <w:r w:rsidRPr="002A2A3D">
        <w:rPr>
          <w:rFonts w:ascii="Arial" w:hAnsi="Arial" w:cs="Arial"/>
          <w:lang w:val="en-IN"/>
        </w:rPr>
        <w:lastRenderedPageBreak/>
        <w:t>ensures that the findings discussed in Chapter 4 are grounded in a transparent, rigorous and analytically defensible process.</w:t>
      </w:r>
    </w:p>
    <w:p w14:paraId="5444AF20" w14:textId="77777777" w:rsidR="00FA69AA" w:rsidRPr="002A2A3D" w:rsidRDefault="00FA69AA" w:rsidP="00FA69AA">
      <w:pPr>
        <w:pStyle w:val="Heading2"/>
        <w:rPr>
          <w:rFonts w:ascii="Arial" w:hAnsi="Arial" w:cs="Arial"/>
        </w:rPr>
      </w:pPr>
      <w:bookmarkStart w:id="43" w:name="_Toc215594110"/>
      <w:bookmarkStart w:id="44" w:name="_Toc218462602"/>
      <w:r w:rsidRPr="002A2A3D">
        <w:rPr>
          <w:rFonts w:ascii="Arial" w:hAnsi="Arial" w:cs="Arial"/>
        </w:rPr>
        <w:t>3.11. Ethical Considerations</w:t>
      </w:r>
      <w:bookmarkEnd w:id="43"/>
      <w:bookmarkEnd w:id="44"/>
    </w:p>
    <w:p w14:paraId="69FF3F94" w14:textId="77777777" w:rsidR="00FA69AA" w:rsidRPr="002A2A3D" w:rsidRDefault="00FA69AA" w:rsidP="00F61E33">
      <w:pPr>
        <w:ind w:firstLine="720"/>
        <w:rPr>
          <w:rFonts w:ascii="Arial" w:hAnsi="Arial" w:cs="Arial"/>
          <w:lang w:val="en-IN"/>
        </w:rPr>
      </w:pPr>
      <w:r w:rsidRPr="002A2A3D">
        <w:rPr>
          <w:rFonts w:ascii="Arial" w:hAnsi="Arial" w:cs="Arial"/>
          <w:lang w:val="en-IN"/>
        </w:rPr>
        <w:t xml:space="preserve">Although this study does not involve human participants, primary data collection or intervention, ethical considerations remain essential to ensure responsible research practice. Systematic Literature Reviews carry ethical responsibilities related to accuracy, transparency and respect for intellectual property (Mertz, </w:t>
      </w:r>
      <w:proofErr w:type="spellStart"/>
      <w:r w:rsidRPr="002A2A3D">
        <w:rPr>
          <w:rFonts w:ascii="Arial" w:hAnsi="Arial" w:cs="Arial"/>
          <w:lang w:val="en-IN"/>
        </w:rPr>
        <w:t>Kahrass</w:t>
      </w:r>
      <w:proofErr w:type="spellEnd"/>
      <w:r w:rsidRPr="002A2A3D">
        <w:rPr>
          <w:rFonts w:ascii="Arial" w:hAnsi="Arial" w:cs="Arial"/>
          <w:lang w:val="en-IN"/>
        </w:rPr>
        <w:t xml:space="preserve"> and Strech, 2016). All sources included in this review were drawn exclusively from publicly accessible academic databases, ensuring compliance with copyright and fair-use principles. No confidential or sensitive data were used.</w:t>
      </w:r>
      <w:r w:rsidR="00F61E33">
        <w:rPr>
          <w:rFonts w:ascii="Arial" w:hAnsi="Arial" w:cs="Arial"/>
          <w:lang w:val="en-IN"/>
        </w:rPr>
        <w:t xml:space="preserve"> </w:t>
      </w:r>
      <w:r w:rsidRPr="002A2A3D">
        <w:rPr>
          <w:rFonts w:ascii="Arial" w:hAnsi="Arial" w:cs="Arial"/>
          <w:lang w:val="en-IN"/>
        </w:rPr>
        <w:t>The review process adhered to principles of academic integrity by ensuring that all ideas, arguments and findings from existing studies were cited appropriately using Harvard referencing. This avoids misrepresentation and ensures that original authors receive due credit. Ethical care was taken to report the findings of the literature faithfully, without selective omission or distortion, in line with recommended standards for ethical evidence synthesis (Gough, Oliver and Thomas, 2017).</w:t>
      </w:r>
      <w:r w:rsidR="00F61E33">
        <w:rPr>
          <w:rFonts w:ascii="Arial" w:hAnsi="Arial" w:cs="Arial"/>
          <w:lang w:val="en-IN"/>
        </w:rPr>
        <w:t xml:space="preserve"> </w:t>
      </w:r>
      <w:r w:rsidRPr="002A2A3D">
        <w:rPr>
          <w:rFonts w:ascii="Arial" w:hAnsi="Arial" w:cs="Arial"/>
          <w:lang w:val="en-IN"/>
        </w:rPr>
        <w:t>Additionally, transparency was maintained in documenting the search strategy, screening processes and appraisal criteria, enabling reproducibility and reducing the risk of bias. The study also follows the ethical guidelines outlined by the University, as reflected in the approved ethics form submitted at the proposal stage. Overall, the nature of the methodology minimises ethical risks, but appropriate safeguards were implemented to maintain the integrity and credibility of the research.</w:t>
      </w:r>
    </w:p>
    <w:p w14:paraId="0037129F" w14:textId="77777777" w:rsidR="00FA69AA" w:rsidRPr="002A2A3D" w:rsidRDefault="00FA69AA" w:rsidP="00FA69AA">
      <w:pPr>
        <w:pStyle w:val="Heading2"/>
        <w:rPr>
          <w:rFonts w:ascii="Arial" w:hAnsi="Arial" w:cs="Arial"/>
        </w:rPr>
      </w:pPr>
      <w:bookmarkStart w:id="45" w:name="_Toc215594111"/>
      <w:bookmarkStart w:id="46" w:name="_Toc218462603"/>
      <w:r w:rsidRPr="002A2A3D">
        <w:rPr>
          <w:rFonts w:ascii="Arial" w:hAnsi="Arial" w:cs="Arial"/>
        </w:rPr>
        <w:t>3.12 Limitations of the Methodology</w:t>
      </w:r>
      <w:bookmarkEnd w:id="45"/>
      <w:bookmarkEnd w:id="46"/>
    </w:p>
    <w:p w14:paraId="5BD208EB" w14:textId="77777777" w:rsidR="00FA69AA" w:rsidRPr="002A2A3D" w:rsidRDefault="00FA69AA" w:rsidP="00F61E33">
      <w:pPr>
        <w:ind w:firstLine="720"/>
        <w:rPr>
          <w:rFonts w:ascii="Arial" w:hAnsi="Arial" w:cs="Arial"/>
          <w:lang w:val="en-IN"/>
        </w:rPr>
      </w:pPr>
      <w:r w:rsidRPr="002A2A3D">
        <w:rPr>
          <w:rFonts w:ascii="Arial" w:hAnsi="Arial" w:cs="Arial"/>
          <w:lang w:val="en-IN"/>
        </w:rPr>
        <w:t>While the SLR methodology provides a rigorous and structured foundation for synthesising research, certain limitations are inherent in the approach. First, the review is dependent on the availability and accessibility of published studies. Although major databases such as Scopus, Web of Science and ScienceDirect offer extensive coverage, some relevant papers may exist behind paywalls or within databases not accessible through the University’s subscriptions. This raises the possibility of publication bias, where studies with statistically significant results are more likely to be published and included</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(Song, Hooper and Loke, 2013).</w:t>
      </w:r>
      <w:r w:rsidR="00F61E33">
        <w:rPr>
          <w:rFonts w:ascii="Arial" w:hAnsi="Arial" w:cs="Arial"/>
          <w:lang w:val="en-IN"/>
        </w:rPr>
        <w:t xml:space="preserve"> </w:t>
      </w:r>
      <w:r w:rsidRPr="002A2A3D">
        <w:rPr>
          <w:rFonts w:ascii="Arial" w:hAnsi="Arial" w:cs="Arial"/>
          <w:lang w:val="en-IN"/>
        </w:rPr>
        <w:t>Second, limiting the search to studies published in English may have resulted in excluding work from countries where digital-services trade or exchange-rate research is active, such as Japan or non-English-speaking European economies. While this decision ensures consistency and feasibility, it does restrict linguistic diversity.</w:t>
      </w:r>
      <w:r w:rsidR="00F61E33">
        <w:rPr>
          <w:rFonts w:ascii="Arial" w:hAnsi="Arial" w:cs="Arial"/>
          <w:lang w:val="en-IN"/>
        </w:rPr>
        <w:t xml:space="preserve"> </w:t>
      </w:r>
      <w:r w:rsidRPr="002A2A3D">
        <w:rPr>
          <w:rFonts w:ascii="Arial" w:hAnsi="Arial" w:cs="Arial"/>
          <w:lang w:val="en-IN"/>
        </w:rPr>
        <w:t>Third, the SLR relies heavily on how well original studies report their methodologies and findings</w:t>
      </w:r>
      <w:r w:rsidRPr="002A2A3D">
        <w:rPr>
          <w:rFonts w:ascii="Arial" w:eastAsia="Times New Roman" w:hAnsi="Arial" w:cs="Arial"/>
          <w:kern w:val="0"/>
          <w:lang w:val="en-IN" w:eastAsia="en-IN"/>
          <w14:ligatures w14:val="none"/>
        </w:rPr>
        <w:t xml:space="preserve"> </w:t>
      </w:r>
      <w:r w:rsidRPr="002A2A3D">
        <w:rPr>
          <w:rFonts w:ascii="Arial" w:hAnsi="Arial" w:cs="Arial"/>
          <w:lang w:val="en-IN"/>
        </w:rPr>
        <w:t>(Boell and Cecez-Kecmanovic, 2015). Variations in reporting quality particularly in working papers or older macroeconomic studies, may affect the depth of analysis possible. Although the review implemented a structured quality appraisal process, it is not feasible to eliminate all subjectivity in interpreting study robustness.</w:t>
      </w:r>
      <w:r w:rsidR="00F61E33">
        <w:rPr>
          <w:rFonts w:ascii="Arial" w:hAnsi="Arial" w:cs="Arial"/>
          <w:lang w:val="en-IN"/>
        </w:rPr>
        <w:t xml:space="preserve"> </w:t>
      </w:r>
      <w:r w:rsidRPr="002A2A3D">
        <w:rPr>
          <w:rFonts w:ascii="Arial" w:hAnsi="Arial" w:cs="Arial"/>
          <w:lang w:val="en-IN"/>
        </w:rPr>
        <w:t>Fourth, the heterogeneity of the included studies ranging from macroeconomic models to sector-</w:t>
      </w:r>
      <w:r w:rsidRPr="002A2A3D">
        <w:rPr>
          <w:rFonts w:ascii="Arial" w:hAnsi="Arial" w:cs="Arial"/>
          <w:lang w:val="en-IN"/>
        </w:rPr>
        <w:lastRenderedPageBreak/>
        <w:t>specific analyses, limits the ability to conduct meta-analysis or statistically aggregate results. Instead, the review uses thematic synthesis, which, while methodologically appropriate, relies on interpretive judgement.</w:t>
      </w:r>
      <w:r w:rsidR="00F61E33">
        <w:rPr>
          <w:rFonts w:ascii="Arial" w:hAnsi="Arial" w:cs="Arial"/>
          <w:lang w:val="en-IN"/>
        </w:rPr>
        <w:t xml:space="preserve"> </w:t>
      </w:r>
      <w:r w:rsidRPr="002A2A3D">
        <w:rPr>
          <w:rFonts w:ascii="Arial" w:hAnsi="Arial" w:cs="Arial"/>
          <w:lang w:val="en-IN"/>
        </w:rPr>
        <w:t>Finally, the rapidly evolving nature of India’s digital-services sector means that new evidence may emerge after the completion of this review. As exchange-rate dynamics, outsourcing models and invoicing practices continue to change, the conclusions drawn here should be interpreted within the temporal boundaries of the studies included.</w:t>
      </w:r>
    </w:p>
    <w:p w14:paraId="23AD1131" w14:textId="77777777" w:rsidR="00FA69AA" w:rsidRPr="002A2A3D" w:rsidRDefault="00FA69AA" w:rsidP="00F61E33">
      <w:pPr>
        <w:ind w:firstLine="720"/>
        <w:rPr>
          <w:rFonts w:ascii="Arial" w:hAnsi="Arial" w:cs="Arial"/>
          <w:lang w:val="en-IN"/>
        </w:rPr>
      </w:pPr>
      <w:r w:rsidRPr="002A2A3D">
        <w:rPr>
          <w:rFonts w:ascii="Arial" w:hAnsi="Arial" w:cs="Arial"/>
          <w:lang w:val="en-IN"/>
        </w:rPr>
        <w:t>Despite these limitations, the methodology remains appropriate for generating a comprehensive and reliable synthesis of current knowledge on exchange-rate volatility and India’s digital-services exports.</w:t>
      </w:r>
    </w:p>
    <w:p w14:paraId="4179434B" w14:textId="77777777" w:rsidR="00FA69AA" w:rsidRPr="002A2A3D" w:rsidRDefault="00FA69AA" w:rsidP="00FA69AA">
      <w:pPr>
        <w:pStyle w:val="Heading2"/>
        <w:rPr>
          <w:rFonts w:ascii="Arial" w:hAnsi="Arial" w:cs="Arial"/>
        </w:rPr>
      </w:pPr>
      <w:bookmarkStart w:id="47" w:name="_Toc215594112"/>
      <w:bookmarkStart w:id="48" w:name="_Toc218462604"/>
      <w:r w:rsidRPr="002A2A3D">
        <w:rPr>
          <w:rFonts w:ascii="Arial" w:hAnsi="Arial" w:cs="Arial"/>
        </w:rPr>
        <w:t>3.13. Conclusion</w:t>
      </w:r>
      <w:bookmarkEnd w:id="47"/>
      <w:bookmarkEnd w:id="48"/>
    </w:p>
    <w:p w14:paraId="64175A74" w14:textId="77777777" w:rsidR="00FA69AA" w:rsidRPr="002A2A3D" w:rsidRDefault="00FA69AA" w:rsidP="00F61E33">
      <w:pPr>
        <w:ind w:firstLine="720"/>
        <w:rPr>
          <w:rFonts w:ascii="Arial" w:hAnsi="Arial" w:cs="Arial"/>
          <w:lang w:val="en-IN"/>
        </w:rPr>
      </w:pPr>
      <w:r w:rsidRPr="002A2A3D">
        <w:rPr>
          <w:rFonts w:ascii="Arial" w:hAnsi="Arial" w:cs="Arial"/>
          <w:lang w:val="en-IN"/>
        </w:rPr>
        <w:t>This chapter has outlined the methodological framework guiding the study and justified the adoption of a Systematic Literature Review to examine the relationship between exchange-rate volatility and India’s digital-services exports. The chapter established pragmatism as the underlying philosophical stance and explained the use of an inductive approach to generate insights from a diverse and interdisciplinary evidence base. It also detailed the structured SLR design, including the search strategy, inclusion and exclusion criteria, screening procedures, quality appraisal, data extraction and thematic synthesis. Ethical considerations and methodological limitations were acknowledged to ensure transparency and academic integrity.</w:t>
      </w:r>
      <w:r w:rsidR="00F61E33">
        <w:rPr>
          <w:rFonts w:ascii="Arial" w:hAnsi="Arial" w:cs="Arial"/>
          <w:lang w:val="en-IN"/>
        </w:rPr>
        <w:t xml:space="preserve"> </w:t>
      </w:r>
      <w:r w:rsidRPr="002A2A3D">
        <w:rPr>
          <w:rFonts w:ascii="Arial" w:hAnsi="Arial" w:cs="Arial"/>
          <w:lang w:val="en-IN"/>
        </w:rPr>
        <w:t>By following a systematic and replicable methodology, the study provides a robust foundation for analysing the existing body of knowledge. The rigorous selection and synthesis processes ensure that the findings presented in the next chapter are grounded in credible, relevant and methodologically sound evidence. Chapter 4 now builds on this foundation by presenting the thematic insights that emerge from the reviewed literature and discussing their implications for understanding how exchange-rate volatility affects India’s digital-services exports.</w:t>
      </w:r>
    </w:p>
    <w:p w14:paraId="6EF5F58B" w14:textId="77777777" w:rsidR="0059797D" w:rsidRDefault="0059797D" w:rsidP="00FA69AA">
      <w:pPr>
        <w:pStyle w:val="Heading1"/>
        <w:rPr>
          <w:rFonts w:ascii="Arial" w:hAnsi="Arial" w:cs="Arial"/>
        </w:rPr>
      </w:pPr>
    </w:p>
    <w:p w14:paraId="6CD9DACB" w14:textId="77777777" w:rsidR="0059797D" w:rsidRDefault="0059797D" w:rsidP="0059797D"/>
    <w:p w14:paraId="7CAB7CFA" w14:textId="77777777" w:rsidR="0059797D" w:rsidRDefault="0059797D" w:rsidP="00FA69AA">
      <w:pPr>
        <w:pStyle w:val="Heading1"/>
        <w:rPr>
          <w:rFonts w:ascii="Arial" w:hAnsi="Arial" w:cs="Arial"/>
        </w:rPr>
      </w:pPr>
    </w:p>
    <w:p w14:paraId="59E67DED" w14:textId="77777777" w:rsidR="0059797D" w:rsidRDefault="0059797D" w:rsidP="0059797D"/>
    <w:p w14:paraId="7A79D7B8" w14:textId="77777777" w:rsidR="0059797D" w:rsidRDefault="0059797D" w:rsidP="0059797D"/>
    <w:p w14:paraId="2F5599E4" w14:textId="77777777" w:rsidR="0059797D" w:rsidRPr="0059797D" w:rsidRDefault="0059797D" w:rsidP="0059797D"/>
    <w:p w14:paraId="01FD96F9" w14:textId="77777777" w:rsidR="00FA69AA" w:rsidRPr="002A2A3D" w:rsidRDefault="00FA69AA" w:rsidP="00FA69AA">
      <w:pPr>
        <w:pStyle w:val="Heading1"/>
        <w:rPr>
          <w:rFonts w:ascii="Arial" w:hAnsi="Arial" w:cs="Arial"/>
        </w:rPr>
      </w:pPr>
      <w:bookmarkStart w:id="49" w:name="_Toc218462605"/>
      <w:r w:rsidRPr="002A2A3D">
        <w:rPr>
          <w:rFonts w:ascii="Arial" w:hAnsi="Arial" w:cs="Arial"/>
        </w:rPr>
        <w:lastRenderedPageBreak/>
        <w:t>Chapter 4</w:t>
      </w:r>
      <w:r w:rsidR="0059797D">
        <w:rPr>
          <w:rFonts w:ascii="Arial" w:hAnsi="Arial" w:cs="Arial"/>
        </w:rPr>
        <w:t>:</w:t>
      </w:r>
      <w:r w:rsidRPr="002A2A3D">
        <w:rPr>
          <w:rFonts w:ascii="Arial" w:hAnsi="Arial" w:cs="Arial"/>
        </w:rPr>
        <w:t xml:space="preserve"> Findings</w:t>
      </w:r>
      <w:bookmarkEnd w:id="49"/>
    </w:p>
    <w:p w14:paraId="78958B72" w14:textId="77777777" w:rsidR="00FA69AA" w:rsidRPr="002A2A3D" w:rsidRDefault="00FA69AA" w:rsidP="00FA69AA">
      <w:pPr>
        <w:pStyle w:val="Heading2"/>
        <w:rPr>
          <w:rFonts w:ascii="Arial" w:hAnsi="Arial" w:cs="Arial"/>
        </w:rPr>
      </w:pPr>
      <w:bookmarkStart w:id="50" w:name="_Toc218462606"/>
      <w:r w:rsidRPr="002A2A3D">
        <w:rPr>
          <w:rFonts w:ascii="Arial" w:hAnsi="Arial" w:cs="Arial"/>
        </w:rPr>
        <w:t>4.1. Introduction</w:t>
      </w:r>
      <w:bookmarkEnd w:id="50"/>
    </w:p>
    <w:p w14:paraId="1C138F14" w14:textId="77777777" w:rsidR="006D3A26" w:rsidRPr="006D3A26" w:rsidRDefault="006D3A26" w:rsidP="006D3A26">
      <w:pPr>
        <w:ind w:firstLine="720"/>
        <w:rPr>
          <w:rFonts w:ascii="Arial" w:hAnsi="Arial" w:cs="Arial"/>
          <w:lang w:val="en-IN"/>
        </w:rPr>
      </w:pPr>
      <w:r w:rsidRPr="006D3A26">
        <w:rPr>
          <w:rFonts w:ascii="Arial" w:hAnsi="Arial" w:cs="Arial"/>
          <w:lang w:val="en-IN"/>
        </w:rPr>
        <w:t>This chapter presents the findings of the Systematic Literature Review examining the relationship between exchange-rate volatility, geopolitical shocks, and India’s digital services exports. In line with the methodology outlined in Chapter 3, the review synthesises evidence from peer-reviewed journal articles and high-quality institutional working papers that met predefined inclusion and quality appraisal criteria.</w:t>
      </w:r>
      <w:r>
        <w:rPr>
          <w:rFonts w:ascii="Arial" w:hAnsi="Arial" w:cs="Arial"/>
          <w:lang w:val="en-IN"/>
        </w:rPr>
        <w:t xml:space="preserve"> </w:t>
      </w:r>
      <w:r w:rsidRPr="006D3A26">
        <w:rPr>
          <w:rFonts w:ascii="Arial" w:hAnsi="Arial" w:cs="Arial"/>
          <w:lang w:val="en-IN"/>
        </w:rPr>
        <w:t>The final body of literature primarily comprises studies published between 2010 and 2024, reflecting contemporary exchange-rate regimes, the expansion of digitally delivered services trade, and India’s increasing integration into global value chains. Earlier seminal contributions are drawn upon selectively to provide theoretical context rather than forming part of the core empirical evidence base. Given the methodological diversity across the included studies, the findings are synthesised thematically.</w:t>
      </w:r>
      <w:r>
        <w:rPr>
          <w:rFonts w:ascii="Arial" w:hAnsi="Arial" w:cs="Arial"/>
          <w:lang w:val="en-IN"/>
        </w:rPr>
        <w:t xml:space="preserve"> </w:t>
      </w:r>
      <w:r w:rsidRPr="006D3A26">
        <w:rPr>
          <w:rFonts w:ascii="Arial" w:hAnsi="Arial" w:cs="Arial"/>
          <w:lang w:val="en-IN"/>
        </w:rPr>
        <w:t>The chapter reports key patterns, areas of consensus, and points of divergence across the contemporary literature without introducing interpretation or evaluation. The findings are organised into four themes: exchange-rate volatility and export performance; differences between services and goods trade; emerging market and India-specific evidence; and the interaction between exchange-rate volatility and broader sources of uncertainty. These findings provide the empirical foundation for the discussion in Chapter 5.</w:t>
      </w:r>
    </w:p>
    <w:p w14:paraId="3564A3A5" w14:textId="77777777" w:rsidR="006D3A26" w:rsidRPr="006D3A26" w:rsidRDefault="00FA69AA" w:rsidP="006D3A26">
      <w:pPr>
        <w:pStyle w:val="Heading2"/>
        <w:rPr>
          <w:rFonts w:ascii="Arial" w:hAnsi="Arial" w:cs="Arial"/>
        </w:rPr>
      </w:pPr>
      <w:bookmarkStart w:id="51" w:name="_Toc218462607"/>
      <w:r w:rsidRPr="002A2A3D">
        <w:rPr>
          <w:rFonts w:ascii="Arial" w:hAnsi="Arial" w:cs="Arial"/>
        </w:rPr>
        <w:t>4.2. Overview of Included Studies</w:t>
      </w:r>
      <w:bookmarkEnd w:id="51"/>
    </w:p>
    <w:p w14:paraId="70E6BF50" w14:textId="77777777" w:rsidR="006D3A26" w:rsidRPr="006D3A26" w:rsidRDefault="006D3A26" w:rsidP="006D3A26">
      <w:pPr>
        <w:ind w:firstLine="720"/>
        <w:rPr>
          <w:rFonts w:ascii="Arial" w:hAnsi="Arial" w:cs="Arial"/>
          <w:bCs/>
          <w:lang w:val="en-IN"/>
        </w:rPr>
      </w:pPr>
      <w:r w:rsidRPr="006D3A26">
        <w:rPr>
          <w:rFonts w:ascii="Arial" w:hAnsi="Arial" w:cs="Arial"/>
          <w:bCs/>
          <w:lang w:val="en-IN"/>
        </w:rPr>
        <w:t>Following the systematic search, screening and quality appraisal procedures outlined in Chapter 3, a final sample of 52 peer-reviewed studies was selected for inclusion in the thematic synthesis. The review primarily focuses on studies published between 2000 and 2025 to reflect modern exchange-rate regimes, the expansion of services trade and India’s post-liberalisation export structure. Earlier studies were retained only where they provided essential conceptual or methodological grounding.</w:t>
      </w:r>
    </w:p>
    <w:p w14:paraId="5F46601D" w14:textId="77777777" w:rsidR="006D3A26" w:rsidRPr="006D3A26" w:rsidRDefault="006D3A26" w:rsidP="006D3A26">
      <w:pPr>
        <w:ind w:firstLine="720"/>
        <w:rPr>
          <w:rFonts w:ascii="Arial" w:hAnsi="Arial" w:cs="Arial"/>
          <w:bCs/>
          <w:lang w:val="en-IN"/>
        </w:rPr>
      </w:pPr>
      <w:r w:rsidRPr="006D3A26">
        <w:rPr>
          <w:rFonts w:ascii="Arial" w:hAnsi="Arial" w:cs="Arial"/>
          <w:bCs/>
          <w:lang w:val="en-IN"/>
        </w:rPr>
        <w:t>The included literature spans advanced economies, emerging markets and region-specific contexts, with a strong concentration on Asia and India. Cross-country analyses provide comparative insights into how exchange-rate volatility affects trade under different institutional and financial conditions, while India-focused studies examine sector-specific characteristics of digital and IT-enabled services exports.</w:t>
      </w:r>
      <w:r>
        <w:rPr>
          <w:rFonts w:ascii="Arial" w:hAnsi="Arial" w:cs="Arial"/>
          <w:bCs/>
          <w:lang w:val="en-IN"/>
        </w:rPr>
        <w:t xml:space="preserve"> </w:t>
      </w:r>
      <w:r w:rsidRPr="006D3A26">
        <w:rPr>
          <w:rFonts w:ascii="Arial" w:hAnsi="Arial" w:cs="Arial"/>
          <w:bCs/>
          <w:lang w:val="en-IN"/>
        </w:rPr>
        <w:t>Methodologically, the literature includes time-series econometric approaches, panel-data analyses and conceptual or institutional studies. Empirical work frequently employs GARCH-based volatility measures, ARDL models and cointegration frameworks to capture short- and long-run effects, while panel techniques account for heterogeneity across countries, sectors and firms.</w:t>
      </w:r>
    </w:p>
    <w:p w14:paraId="29E222B6" w14:textId="77777777" w:rsidR="00F61E33" w:rsidRPr="006D3A26" w:rsidRDefault="006D3A26" w:rsidP="0059797D">
      <w:pPr>
        <w:ind w:firstLine="720"/>
        <w:rPr>
          <w:rFonts w:ascii="Arial" w:hAnsi="Arial" w:cs="Arial"/>
          <w:bCs/>
          <w:lang w:val="en-IN"/>
        </w:rPr>
      </w:pPr>
      <w:r w:rsidRPr="006D3A26">
        <w:rPr>
          <w:rFonts w:ascii="Arial" w:hAnsi="Arial" w:cs="Arial"/>
          <w:bCs/>
          <w:lang w:val="en-IN"/>
        </w:rPr>
        <w:lastRenderedPageBreak/>
        <w:t>In terms of sectoral focus, earlier studies concentrate predominantly on goods trade, whereas more recent research increasingly examines services and digitally delivered exports. A growing body of India-specific literature highlights the digital services sector’s reliance on foreign-currency invoicing, domestic-currency cost bases and exposure to external shocks.</w:t>
      </w:r>
      <w:r>
        <w:rPr>
          <w:rFonts w:ascii="Arial" w:hAnsi="Arial" w:cs="Arial"/>
          <w:bCs/>
          <w:lang w:val="en-IN"/>
        </w:rPr>
        <w:t xml:space="preserve"> </w:t>
      </w:r>
      <w:r w:rsidRPr="006D3A26">
        <w:rPr>
          <w:rFonts w:ascii="Arial" w:hAnsi="Arial" w:cs="Arial"/>
          <w:bCs/>
          <w:lang w:val="en-IN"/>
        </w:rPr>
        <w:t>Table 4.1 summarises key contemporary studies included in the systematic review. The full screening matrix and list of included studies are provided in Appendix Table 1A.</w:t>
      </w:r>
    </w:p>
    <w:p w14:paraId="635A625A" w14:textId="77777777" w:rsidR="00FA69AA" w:rsidRPr="00037272" w:rsidRDefault="00FA69AA" w:rsidP="00037272">
      <w:pPr>
        <w:jc w:val="center"/>
        <w:rPr>
          <w:rFonts w:ascii="Arial" w:hAnsi="Arial" w:cs="Arial"/>
          <w:i/>
          <w:iCs/>
        </w:rPr>
      </w:pPr>
      <w:r w:rsidRPr="00037272">
        <w:rPr>
          <w:rFonts w:ascii="Arial" w:hAnsi="Arial" w:cs="Arial"/>
          <w:i/>
          <w:iCs/>
        </w:rPr>
        <w:t>Table 4.1: Summary of Key Contemporary Studies Included in the Systematic Literature Review</w:t>
      </w:r>
    </w:p>
    <w:tbl>
      <w:tblPr>
        <w:tblStyle w:val="PlainTable2"/>
        <w:tblW w:w="0" w:type="auto"/>
        <w:tblLook w:val="04A0" w:firstRow="1" w:lastRow="0" w:firstColumn="1" w:lastColumn="0" w:noHBand="0" w:noVBand="1"/>
      </w:tblPr>
      <w:tblGrid>
        <w:gridCol w:w="1584"/>
        <w:gridCol w:w="1175"/>
        <w:gridCol w:w="1635"/>
        <w:gridCol w:w="1610"/>
        <w:gridCol w:w="1387"/>
        <w:gridCol w:w="1635"/>
      </w:tblGrid>
      <w:tr w:rsidR="00FA69AA" w:rsidRPr="002A2A3D" w14:paraId="473502BA" w14:textId="77777777" w:rsidTr="003809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C066A" w14:textId="77777777" w:rsidR="00FA69AA" w:rsidRPr="002A2A3D" w:rsidRDefault="00FA69AA" w:rsidP="00380966">
            <w:pPr>
              <w:spacing w:after="160" w:line="278" w:lineRule="auto"/>
              <w:rPr>
                <w:rFonts w:ascii="Arial" w:hAnsi="Arial" w:cs="Arial"/>
              </w:rPr>
            </w:pPr>
            <w:r w:rsidRPr="002A2A3D">
              <w:rPr>
                <w:rFonts w:ascii="Arial" w:hAnsi="Arial" w:cs="Arial"/>
              </w:rPr>
              <w:t>Author(s)</w:t>
            </w:r>
          </w:p>
        </w:tc>
        <w:tc>
          <w:tcPr>
            <w:tcW w:w="0" w:type="auto"/>
            <w:hideMark/>
          </w:tcPr>
          <w:p w14:paraId="3A0EE3AE" w14:textId="77777777" w:rsidR="00FA69AA" w:rsidRPr="002A2A3D" w:rsidRDefault="00FA69AA" w:rsidP="00380966">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A2A3D">
              <w:rPr>
                <w:rFonts w:ascii="Arial" w:hAnsi="Arial" w:cs="Arial"/>
              </w:rPr>
              <w:t>Country / Region</w:t>
            </w:r>
          </w:p>
        </w:tc>
        <w:tc>
          <w:tcPr>
            <w:tcW w:w="0" w:type="auto"/>
            <w:hideMark/>
          </w:tcPr>
          <w:p w14:paraId="68415583" w14:textId="77777777" w:rsidR="00FA69AA" w:rsidRPr="002A2A3D" w:rsidRDefault="00FA69AA" w:rsidP="00380966">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A2A3D">
              <w:rPr>
                <w:rFonts w:ascii="Arial" w:hAnsi="Arial" w:cs="Arial"/>
              </w:rPr>
              <w:t>Sector Focus</w:t>
            </w:r>
          </w:p>
        </w:tc>
        <w:tc>
          <w:tcPr>
            <w:tcW w:w="0" w:type="auto"/>
            <w:hideMark/>
          </w:tcPr>
          <w:p w14:paraId="2D7A717C" w14:textId="77777777" w:rsidR="00FA69AA" w:rsidRPr="002A2A3D" w:rsidRDefault="00FA69AA" w:rsidP="00380966">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A2A3D">
              <w:rPr>
                <w:rFonts w:ascii="Arial" w:hAnsi="Arial" w:cs="Arial"/>
              </w:rPr>
              <w:t>Methodology</w:t>
            </w:r>
          </w:p>
        </w:tc>
        <w:tc>
          <w:tcPr>
            <w:tcW w:w="0" w:type="auto"/>
            <w:hideMark/>
          </w:tcPr>
          <w:p w14:paraId="4D60754B" w14:textId="77777777" w:rsidR="00FA69AA" w:rsidRPr="002A2A3D" w:rsidRDefault="00FA69AA" w:rsidP="00380966">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A2A3D">
              <w:rPr>
                <w:rFonts w:ascii="Arial" w:hAnsi="Arial" w:cs="Arial"/>
              </w:rPr>
              <w:t>Key Findings</w:t>
            </w:r>
          </w:p>
        </w:tc>
        <w:tc>
          <w:tcPr>
            <w:tcW w:w="0" w:type="auto"/>
            <w:hideMark/>
          </w:tcPr>
          <w:p w14:paraId="08809085" w14:textId="77777777" w:rsidR="00FA69AA" w:rsidRPr="002A2A3D" w:rsidRDefault="00FA69AA" w:rsidP="00380966">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A2A3D">
              <w:rPr>
                <w:rFonts w:ascii="Arial" w:hAnsi="Arial" w:cs="Arial"/>
              </w:rPr>
              <w:t>Relevance to This Study</w:t>
            </w:r>
          </w:p>
        </w:tc>
      </w:tr>
      <w:tr w:rsidR="00FA69AA" w:rsidRPr="002A2A3D" w14:paraId="343C50C1"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B66D30" w14:textId="77777777" w:rsidR="00FA69AA" w:rsidRPr="002A2A3D" w:rsidRDefault="00FA69AA" w:rsidP="00380966">
            <w:pPr>
              <w:spacing w:after="160" w:line="278" w:lineRule="auto"/>
              <w:rPr>
                <w:rFonts w:ascii="Arial" w:hAnsi="Arial" w:cs="Arial"/>
              </w:rPr>
            </w:pPr>
            <w:r w:rsidRPr="002A2A3D">
              <w:rPr>
                <w:rFonts w:ascii="Arial" w:hAnsi="Arial" w:cs="Arial"/>
              </w:rPr>
              <w:t>Bahmani-</w:t>
            </w:r>
            <w:proofErr w:type="spellStart"/>
            <w:r w:rsidRPr="002A2A3D">
              <w:rPr>
                <w:rFonts w:ascii="Arial" w:hAnsi="Arial" w:cs="Arial"/>
              </w:rPr>
              <w:t>Oskooee</w:t>
            </w:r>
            <w:proofErr w:type="spellEnd"/>
            <w:r w:rsidRPr="002A2A3D">
              <w:rPr>
                <w:rFonts w:ascii="Arial" w:hAnsi="Arial" w:cs="Arial"/>
              </w:rPr>
              <w:t xml:space="preserve"> &amp; Hegerty (2007)</w:t>
            </w:r>
          </w:p>
        </w:tc>
        <w:tc>
          <w:tcPr>
            <w:tcW w:w="0" w:type="auto"/>
            <w:hideMark/>
          </w:tcPr>
          <w:p w14:paraId="0C87BF8E"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Global / EMs</w:t>
            </w:r>
          </w:p>
        </w:tc>
        <w:tc>
          <w:tcPr>
            <w:tcW w:w="0" w:type="auto"/>
            <w:hideMark/>
          </w:tcPr>
          <w:p w14:paraId="4ECC5A64"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Goods &amp; Services</w:t>
            </w:r>
          </w:p>
        </w:tc>
        <w:tc>
          <w:tcPr>
            <w:tcW w:w="0" w:type="auto"/>
            <w:hideMark/>
          </w:tcPr>
          <w:p w14:paraId="10B483D3"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Non-linear time-series</w:t>
            </w:r>
          </w:p>
        </w:tc>
        <w:tc>
          <w:tcPr>
            <w:tcW w:w="0" w:type="auto"/>
            <w:hideMark/>
          </w:tcPr>
          <w:p w14:paraId="7831F2CA"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Exchange-rate volatility has asymmetric and non-linear effects on exports</w:t>
            </w:r>
          </w:p>
        </w:tc>
        <w:tc>
          <w:tcPr>
            <w:tcW w:w="0" w:type="auto"/>
            <w:hideMark/>
          </w:tcPr>
          <w:p w14:paraId="2F3C37FA"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Establishes heterogeneity in volatility effects</w:t>
            </w:r>
          </w:p>
        </w:tc>
      </w:tr>
      <w:tr w:rsidR="00FA69AA" w:rsidRPr="002A2A3D" w14:paraId="13EB37C9"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08F2DB47" w14:textId="77777777" w:rsidR="00FA69AA" w:rsidRPr="002A2A3D" w:rsidRDefault="00FA69AA" w:rsidP="00380966">
            <w:pPr>
              <w:spacing w:after="160" w:line="278" w:lineRule="auto"/>
              <w:rPr>
                <w:rFonts w:ascii="Arial" w:hAnsi="Arial" w:cs="Arial"/>
              </w:rPr>
            </w:pPr>
            <w:r w:rsidRPr="002A2A3D">
              <w:rPr>
                <w:rFonts w:ascii="Arial" w:hAnsi="Arial" w:cs="Arial"/>
              </w:rPr>
              <w:t xml:space="preserve">Chit, </w:t>
            </w:r>
            <w:proofErr w:type="spellStart"/>
            <w:r w:rsidRPr="002A2A3D">
              <w:rPr>
                <w:rFonts w:ascii="Arial" w:hAnsi="Arial" w:cs="Arial"/>
              </w:rPr>
              <w:t>Rizov</w:t>
            </w:r>
            <w:proofErr w:type="spellEnd"/>
            <w:r w:rsidRPr="002A2A3D">
              <w:rPr>
                <w:rFonts w:ascii="Arial" w:hAnsi="Arial" w:cs="Arial"/>
              </w:rPr>
              <w:t xml:space="preserve"> &amp; </w:t>
            </w:r>
            <w:proofErr w:type="spellStart"/>
            <w:r w:rsidRPr="002A2A3D">
              <w:rPr>
                <w:rFonts w:ascii="Arial" w:hAnsi="Arial" w:cs="Arial"/>
              </w:rPr>
              <w:t>Willenbockel</w:t>
            </w:r>
            <w:proofErr w:type="spellEnd"/>
            <w:r w:rsidRPr="002A2A3D">
              <w:rPr>
                <w:rFonts w:ascii="Arial" w:hAnsi="Arial" w:cs="Arial"/>
              </w:rPr>
              <w:t xml:space="preserve"> (2010)</w:t>
            </w:r>
          </w:p>
        </w:tc>
        <w:tc>
          <w:tcPr>
            <w:tcW w:w="0" w:type="auto"/>
            <w:hideMark/>
          </w:tcPr>
          <w:p w14:paraId="67D2DA21"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East Asia</w:t>
            </w:r>
          </w:p>
        </w:tc>
        <w:tc>
          <w:tcPr>
            <w:tcW w:w="0" w:type="auto"/>
            <w:hideMark/>
          </w:tcPr>
          <w:p w14:paraId="1F070BB1"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Manufacturing</w:t>
            </w:r>
          </w:p>
        </w:tc>
        <w:tc>
          <w:tcPr>
            <w:tcW w:w="0" w:type="auto"/>
            <w:hideMark/>
          </w:tcPr>
          <w:p w14:paraId="6C5847C3"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Panel data</w:t>
            </w:r>
          </w:p>
        </w:tc>
        <w:tc>
          <w:tcPr>
            <w:tcW w:w="0" w:type="auto"/>
            <w:hideMark/>
          </w:tcPr>
          <w:p w14:paraId="11C5E21A"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Volatility reduces exports in integrated supply chains</w:t>
            </w:r>
          </w:p>
        </w:tc>
        <w:tc>
          <w:tcPr>
            <w:tcW w:w="0" w:type="auto"/>
            <w:hideMark/>
          </w:tcPr>
          <w:p w14:paraId="6F7FC666"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EM and value-chain relevance</w:t>
            </w:r>
          </w:p>
        </w:tc>
      </w:tr>
      <w:tr w:rsidR="00FA69AA" w:rsidRPr="002A2A3D" w14:paraId="48E32E76"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C7CFE5" w14:textId="77777777" w:rsidR="00FA69AA" w:rsidRPr="002A2A3D" w:rsidRDefault="00FA69AA" w:rsidP="00380966">
            <w:pPr>
              <w:spacing w:after="160" w:line="278" w:lineRule="auto"/>
              <w:rPr>
                <w:rFonts w:ascii="Arial" w:hAnsi="Arial" w:cs="Arial"/>
              </w:rPr>
            </w:pPr>
            <w:r w:rsidRPr="002A2A3D">
              <w:rPr>
                <w:rFonts w:ascii="Arial" w:hAnsi="Arial" w:cs="Arial"/>
              </w:rPr>
              <w:t>Hayakawa &amp; Kimura (2009)</w:t>
            </w:r>
          </w:p>
        </w:tc>
        <w:tc>
          <w:tcPr>
            <w:tcW w:w="0" w:type="auto"/>
            <w:hideMark/>
          </w:tcPr>
          <w:p w14:paraId="297F4EAC"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East Asia</w:t>
            </w:r>
          </w:p>
        </w:tc>
        <w:tc>
          <w:tcPr>
            <w:tcW w:w="0" w:type="auto"/>
            <w:hideMark/>
          </w:tcPr>
          <w:p w14:paraId="13F9E518"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Intermediate trade</w:t>
            </w:r>
          </w:p>
        </w:tc>
        <w:tc>
          <w:tcPr>
            <w:tcW w:w="0" w:type="auto"/>
            <w:hideMark/>
          </w:tcPr>
          <w:p w14:paraId="74D67D91"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Gravity model</w:t>
            </w:r>
          </w:p>
        </w:tc>
        <w:tc>
          <w:tcPr>
            <w:tcW w:w="0" w:type="auto"/>
            <w:hideMark/>
          </w:tcPr>
          <w:p w14:paraId="639C1830"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Exchange-rate volatility disrupts value-chain trade</w:t>
            </w:r>
          </w:p>
        </w:tc>
        <w:tc>
          <w:tcPr>
            <w:tcW w:w="0" w:type="auto"/>
            <w:hideMark/>
          </w:tcPr>
          <w:p w14:paraId="7658D4A8"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Supports services vs goods distinction</w:t>
            </w:r>
          </w:p>
        </w:tc>
      </w:tr>
      <w:tr w:rsidR="00FA69AA" w:rsidRPr="002A2A3D" w14:paraId="47AA4905"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4E7A4167" w14:textId="77777777" w:rsidR="00FA69AA" w:rsidRPr="002A2A3D" w:rsidRDefault="00FA69AA" w:rsidP="00380966">
            <w:pPr>
              <w:spacing w:after="160" w:line="278" w:lineRule="auto"/>
              <w:rPr>
                <w:rFonts w:ascii="Arial" w:hAnsi="Arial" w:cs="Arial"/>
              </w:rPr>
            </w:pPr>
            <w:proofErr w:type="spellStart"/>
            <w:r w:rsidRPr="002A2A3D">
              <w:rPr>
                <w:rFonts w:ascii="Arial" w:hAnsi="Arial" w:cs="Arial"/>
              </w:rPr>
              <w:t>Eichengreen</w:t>
            </w:r>
            <w:proofErr w:type="spellEnd"/>
            <w:r w:rsidRPr="002A2A3D">
              <w:rPr>
                <w:rFonts w:ascii="Arial" w:hAnsi="Arial" w:cs="Arial"/>
              </w:rPr>
              <w:t xml:space="preserve"> &amp; Gupta (2012)</w:t>
            </w:r>
          </w:p>
        </w:tc>
        <w:tc>
          <w:tcPr>
            <w:tcW w:w="0" w:type="auto"/>
            <w:hideMark/>
          </w:tcPr>
          <w:p w14:paraId="432BF2C5"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Global / EMs</w:t>
            </w:r>
          </w:p>
        </w:tc>
        <w:tc>
          <w:tcPr>
            <w:tcW w:w="0" w:type="auto"/>
            <w:hideMark/>
          </w:tcPr>
          <w:p w14:paraId="080D4E0E"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Services trade</w:t>
            </w:r>
          </w:p>
        </w:tc>
        <w:tc>
          <w:tcPr>
            <w:tcW w:w="0" w:type="auto"/>
            <w:hideMark/>
          </w:tcPr>
          <w:p w14:paraId="01782470"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Panel econometrics</w:t>
            </w:r>
          </w:p>
        </w:tc>
        <w:tc>
          <w:tcPr>
            <w:tcW w:w="0" w:type="auto"/>
            <w:hideMark/>
          </w:tcPr>
          <w:p w14:paraId="791A9CBF"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 xml:space="preserve">Services exports respond differently to FX </w:t>
            </w:r>
            <w:r w:rsidRPr="002A2A3D">
              <w:rPr>
                <w:rFonts w:ascii="Arial" w:hAnsi="Arial" w:cs="Arial"/>
                <w:bCs/>
              </w:rPr>
              <w:lastRenderedPageBreak/>
              <w:t>movements</w:t>
            </w:r>
          </w:p>
        </w:tc>
        <w:tc>
          <w:tcPr>
            <w:tcW w:w="0" w:type="auto"/>
            <w:hideMark/>
          </w:tcPr>
          <w:p w14:paraId="0CFC5735"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lastRenderedPageBreak/>
              <w:t>Foundational services-trade evidence</w:t>
            </w:r>
          </w:p>
        </w:tc>
      </w:tr>
      <w:tr w:rsidR="00FA69AA" w:rsidRPr="002A2A3D" w14:paraId="70A9DF35"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C02A91" w14:textId="77777777" w:rsidR="00FA69AA" w:rsidRPr="002A2A3D" w:rsidRDefault="00FA69AA" w:rsidP="00380966">
            <w:pPr>
              <w:spacing w:after="160" w:line="278" w:lineRule="auto"/>
              <w:rPr>
                <w:rFonts w:ascii="Arial" w:hAnsi="Arial" w:cs="Arial"/>
              </w:rPr>
            </w:pPr>
            <w:r w:rsidRPr="002A2A3D">
              <w:rPr>
                <w:rFonts w:ascii="Arial" w:hAnsi="Arial" w:cs="Arial"/>
              </w:rPr>
              <w:t>Sahoo &amp; Dash (2014)</w:t>
            </w:r>
          </w:p>
        </w:tc>
        <w:tc>
          <w:tcPr>
            <w:tcW w:w="0" w:type="auto"/>
            <w:hideMark/>
          </w:tcPr>
          <w:p w14:paraId="692DF023"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India</w:t>
            </w:r>
          </w:p>
        </w:tc>
        <w:tc>
          <w:tcPr>
            <w:tcW w:w="0" w:type="auto"/>
            <w:hideMark/>
          </w:tcPr>
          <w:p w14:paraId="22626B66"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Modern services</w:t>
            </w:r>
          </w:p>
        </w:tc>
        <w:tc>
          <w:tcPr>
            <w:tcW w:w="0" w:type="auto"/>
            <w:hideMark/>
          </w:tcPr>
          <w:p w14:paraId="34BEE51F"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ARDL</w:t>
            </w:r>
          </w:p>
        </w:tc>
        <w:tc>
          <w:tcPr>
            <w:tcW w:w="0" w:type="auto"/>
            <w:hideMark/>
          </w:tcPr>
          <w:p w14:paraId="1A68B187"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Exchange-rate instability negatively affects services exports</w:t>
            </w:r>
          </w:p>
        </w:tc>
        <w:tc>
          <w:tcPr>
            <w:tcW w:w="0" w:type="auto"/>
            <w:hideMark/>
          </w:tcPr>
          <w:p w14:paraId="3D6F44A9"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India-specific services focus</w:t>
            </w:r>
          </w:p>
        </w:tc>
      </w:tr>
      <w:tr w:rsidR="00FA69AA" w:rsidRPr="002A2A3D" w14:paraId="1C203150"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3FE4EFF6" w14:textId="77777777" w:rsidR="00FA69AA" w:rsidRPr="002A2A3D" w:rsidRDefault="00FA69AA" w:rsidP="00380966">
            <w:pPr>
              <w:spacing w:after="160" w:line="278" w:lineRule="auto"/>
              <w:rPr>
                <w:rFonts w:ascii="Arial" w:hAnsi="Arial" w:cs="Arial"/>
              </w:rPr>
            </w:pPr>
            <w:r w:rsidRPr="002A2A3D">
              <w:rPr>
                <w:rFonts w:ascii="Arial" w:hAnsi="Arial" w:cs="Arial"/>
              </w:rPr>
              <w:t>Gopinath (2015)</w:t>
            </w:r>
          </w:p>
        </w:tc>
        <w:tc>
          <w:tcPr>
            <w:tcW w:w="0" w:type="auto"/>
            <w:hideMark/>
          </w:tcPr>
          <w:p w14:paraId="4CD68603"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Global</w:t>
            </w:r>
          </w:p>
        </w:tc>
        <w:tc>
          <w:tcPr>
            <w:tcW w:w="0" w:type="auto"/>
            <w:hideMark/>
          </w:tcPr>
          <w:p w14:paraId="5CDFEC2B"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Trade pricing</w:t>
            </w:r>
          </w:p>
        </w:tc>
        <w:tc>
          <w:tcPr>
            <w:tcW w:w="0" w:type="auto"/>
            <w:hideMark/>
          </w:tcPr>
          <w:p w14:paraId="1574079D"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Conceptual / empirical</w:t>
            </w:r>
          </w:p>
        </w:tc>
        <w:tc>
          <w:tcPr>
            <w:tcW w:w="0" w:type="auto"/>
            <w:hideMark/>
          </w:tcPr>
          <w:p w14:paraId="1F54CB48"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Dominant-currency pricing weakens FX pass-through</w:t>
            </w:r>
          </w:p>
        </w:tc>
        <w:tc>
          <w:tcPr>
            <w:tcW w:w="0" w:type="auto"/>
            <w:hideMark/>
          </w:tcPr>
          <w:p w14:paraId="13075A4F"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Pricing mechanism explanation</w:t>
            </w:r>
          </w:p>
        </w:tc>
      </w:tr>
      <w:tr w:rsidR="00FA69AA" w:rsidRPr="002A2A3D" w14:paraId="62C60E3F"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08EC6" w14:textId="77777777" w:rsidR="00FA69AA" w:rsidRPr="002A2A3D" w:rsidRDefault="00FA69AA" w:rsidP="00380966">
            <w:pPr>
              <w:spacing w:after="160" w:line="278" w:lineRule="auto"/>
              <w:rPr>
                <w:rFonts w:ascii="Arial" w:hAnsi="Arial" w:cs="Arial"/>
              </w:rPr>
            </w:pPr>
            <w:proofErr w:type="spellStart"/>
            <w:r w:rsidRPr="002A2A3D">
              <w:rPr>
                <w:rFonts w:ascii="Arial" w:hAnsi="Arial" w:cs="Arial"/>
              </w:rPr>
              <w:t>Asteriou</w:t>
            </w:r>
            <w:proofErr w:type="spellEnd"/>
            <w:r w:rsidRPr="002A2A3D">
              <w:rPr>
                <w:rFonts w:ascii="Arial" w:hAnsi="Arial" w:cs="Arial"/>
              </w:rPr>
              <w:t xml:space="preserve">, </w:t>
            </w:r>
            <w:proofErr w:type="spellStart"/>
            <w:r w:rsidRPr="002A2A3D">
              <w:rPr>
                <w:rFonts w:ascii="Arial" w:hAnsi="Arial" w:cs="Arial"/>
              </w:rPr>
              <w:t>Masatci</w:t>
            </w:r>
            <w:proofErr w:type="spellEnd"/>
            <w:r w:rsidRPr="002A2A3D">
              <w:rPr>
                <w:rFonts w:ascii="Arial" w:hAnsi="Arial" w:cs="Arial"/>
              </w:rPr>
              <w:t xml:space="preserve"> &amp; Pilbeam (2016)</w:t>
            </w:r>
          </w:p>
        </w:tc>
        <w:tc>
          <w:tcPr>
            <w:tcW w:w="0" w:type="auto"/>
            <w:hideMark/>
          </w:tcPr>
          <w:p w14:paraId="08420B10"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Emerging markets</w:t>
            </w:r>
          </w:p>
        </w:tc>
        <w:tc>
          <w:tcPr>
            <w:tcW w:w="0" w:type="auto"/>
            <w:hideMark/>
          </w:tcPr>
          <w:p w14:paraId="68AF2313"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Exports</w:t>
            </w:r>
          </w:p>
        </w:tc>
        <w:tc>
          <w:tcPr>
            <w:tcW w:w="0" w:type="auto"/>
            <w:hideMark/>
          </w:tcPr>
          <w:p w14:paraId="21E18DEF"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Panel regression</w:t>
            </w:r>
          </w:p>
        </w:tc>
        <w:tc>
          <w:tcPr>
            <w:tcW w:w="0" w:type="auto"/>
            <w:hideMark/>
          </w:tcPr>
          <w:p w14:paraId="650ED13B"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FX volatility effects vary by regime and horizon</w:t>
            </w:r>
          </w:p>
        </w:tc>
        <w:tc>
          <w:tcPr>
            <w:tcW w:w="0" w:type="auto"/>
            <w:hideMark/>
          </w:tcPr>
          <w:p w14:paraId="047DA23F"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Non-uniform export responses</w:t>
            </w:r>
          </w:p>
        </w:tc>
      </w:tr>
      <w:tr w:rsidR="00FA69AA" w:rsidRPr="002A2A3D" w14:paraId="4A27F1BB"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631D6C0A" w14:textId="77777777" w:rsidR="00FA69AA" w:rsidRPr="002A2A3D" w:rsidRDefault="00FA69AA" w:rsidP="00380966">
            <w:pPr>
              <w:spacing w:after="160" w:line="278" w:lineRule="auto"/>
              <w:rPr>
                <w:rFonts w:ascii="Arial" w:hAnsi="Arial" w:cs="Arial"/>
              </w:rPr>
            </w:pPr>
            <w:proofErr w:type="spellStart"/>
            <w:r w:rsidRPr="002A2A3D">
              <w:rPr>
                <w:rFonts w:ascii="Arial" w:hAnsi="Arial" w:cs="Arial"/>
              </w:rPr>
              <w:t>Auboin</w:t>
            </w:r>
            <w:proofErr w:type="spellEnd"/>
            <w:r w:rsidRPr="002A2A3D">
              <w:rPr>
                <w:rFonts w:ascii="Arial" w:hAnsi="Arial" w:cs="Arial"/>
              </w:rPr>
              <w:t xml:space="preserve"> &amp; Ruta (2013)</w:t>
            </w:r>
          </w:p>
        </w:tc>
        <w:tc>
          <w:tcPr>
            <w:tcW w:w="0" w:type="auto"/>
            <w:hideMark/>
          </w:tcPr>
          <w:p w14:paraId="7AC69DB6"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Global</w:t>
            </w:r>
          </w:p>
        </w:tc>
        <w:tc>
          <w:tcPr>
            <w:tcW w:w="0" w:type="auto"/>
            <w:hideMark/>
          </w:tcPr>
          <w:p w14:paraId="309D4667"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Trade &amp; uncertainty</w:t>
            </w:r>
          </w:p>
        </w:tc>
        <w:tc>
          <w:tcPr>
            <w:tcW w:w="0" w:type="auto"/>
            <w:hideMark/>
          </w:tcPr>
          <w:p w14:paraId="1CA2BDDA"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Institutional analysis</w:t>
            </w:r>
          </w:p>
        </w:tc>
        <w:tc>
          <w:tcPr>
            <w:tcW w:w="0" w:type="auto"/>
            <w:hideMark/>
          </w:tcPr>
          <w:p w14:paraId="2A5A2545"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Trade effects amplified during global uncertainty</w:t>
            </w:r>
          </w:p>
        </w:tc>
        <w:tc>
          <w:tcPr>
            <w:tcW w:w="0" w:type="auto"/>
            <w:hideMark/>
          </w:tcPr>
          <w:p w14:paraId="5F549012"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FX–uncertainty interaction</w:t>
            </w:r>
          </w:p>
        </w:tc>
      </w:tr>
      <w:tr w:rsidR="00FA69AA" w:rsidRPr="002A2A3D" w14:paraId="136C6230"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71820D" w14:textId="77777777" w:rsidR="00FA69AA" w:rsidRPr="002A2A3D" w:rsidRDefault="00FA69AA" w:rsidP="00380966">
            <w:pPr>
              <w:spacing w:after="160" w:line="278" w:lineRule="auto"/>
              <w:rPr>
                <w:rFonts w:ascii="Arial" w:hAnsi="Arial" w:cs="Arial"/>
              </w:rPr>
            </w:pPr>
            <w:r w:rsidRPr="002A2A3D">
              <w:rPr>
                <w:rFonts w:ascii="Arial" w:hAnsi="Arial" w:cs="Arial"/>
              </w:rPr>
              <w:t>Caldara &amp; Iacoviello (2022)</w:t>
            </w:r>
          </w:p>
        </w:tc>
        <w:tc>
          <w:tcPr>
            <w:tcW w:w="0" w:type="auto"/>
            <w:hideMark/>
          </w:tcPr>
          <w:p w14:paraId="129714E0"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Global</w:t>
            </w:r>
          </w:p>
        </w:tc>
        <w:tc>
          <w:tcPr>
            <w:tcW w:w="0" w:type="auto"/>
            <w:hideMark/>
          </w:tcPr>
          <w:p w14:paraId="49089B6F"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Trade &amp; geopolitics</w:t>
            </w:r>
          </w:p>
        </w:tc>
        <w:tc>
          <w:tcPr>
            <w:tcW w:w="0" w:type="auto"/>
            <w:hideMark/>
          </w:tcPr>
          <w:p w14:paraId="6A3FC4CB"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GPR index</w:t>
            </w:r>
          </w:p>
        </w:tc>
        <w:tc>
          <w:tcPr>
            <w:tcW w:w="0" w:type="auto"/>
            <w:hideMark/>
          </w:tcPr>
          <w:p w14:paraId="2B6D86ED"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Geopolitical risk increases volatility and trade disruption</w:t>
            </w:r>
          </w:p>
        </w:tc>
        <w:tc>
          <w:tcPr>
            <w:tcW w:w="0" w:type="auto"/>
            <w:hideMark/>
          </w:tcPr>
          <w:p w14:paraId="23DDEA25"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External shock channel</w:t>
            </w:r>
          </w:p>
        </w:tc>
      </w:tr>
      <w:tr w:rsidR="00FA69AA" w:rsidRPr="002A2A3D" w14:paraId="2189EF8B"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3FFF8F9F" w14:textId="77777777" w:rsidR="00FA69AA" w:rsidRPr="002A2A3D" w:rsidRDefault="00FA69AA" w:rsidP="00380966">
            <w:pPr>
              <w:spacing w:after="160" w:line="278" w:lineRule="auto"/>
              <w:rPr>
                <w:rFonts w:ascii="Arial" w:hAnsi="Arial" w:cs="Arial"/>
              </w:rPr>
            </w:pPr>
            <w:r w:rsidRPr="002A2A3D">
              <w:rPr>
                <w:rFonts w:ascii="Arial" w:hAnsi="Arial" w:cs="Arial"/>
              </w:rPr>
              <w:t xml:space="preserve">Li &amp; </w:t>
            </w:r>
            <w:proofErr w:type="spellStart"/>
            <w:r w:rsidRPr="002A2A3D">
              <w:rPr>
                <w:rFonts w:ascii="Arial" w:hAnsi="Arial" w:cs="Arial"/>
              </w:rPr>
              <w:t>Meleshchuk</w:t>
            </w:r>
            <w:proofErr w:type="spellEnd"/>
            <w:r w:rsidRPr="002A2A3D">
              <w:rPr>
                <w:rFonts w:ascii="Arial" w:hAnsi="Arial" w:cs="Arial"/>
              </w:rPr>
              <w:t xml:space="preserve"> (2024)</w:t>
            </w:r>
          </w:p>
        </w:tc>
        <w:tc>
          <w:tcPr>
            <w:tcW w:w="0" w:type="auto"/>
            <w:hideMark/>
          </w:tcPr>
          <w:p w14:paraId="4A35ABD7"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Global</w:t>
            </w:r>
          </w:p>
        </w:tc>
        <w:tc>
          <w:tcPr>
            <w:tcW w:w="0" w:type="auto"/>
            <w:hideMark/>
          </w:tcPr>
          <w:p w14:paraId="080E3239"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Services trade</w:t>
            </w:r>
          </w:p>
        </w:tc>
        <w:tc>
          <w:tcPr>
            <w:tcW w:w="0" w:type="auto"/>
            <w:hideMark/>
          </w:tcPr>
          <w:p w14:paraId="23A96364"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Panel analysis</w:t>
            </w:r>
          </w:p>
        </w:tc>
        <w:tc>
          <w:tcPr>
            <w:tcW w:w="0" w:type="auto"/>
            <w:hideMark/>
          </w:tcPr>
          <w:p w14:paraId="3456AD06"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 xml:space="preserve">Services trade dominated </w:t>
            </w:r>
            <w:r w:rsidRPr="002A2A3D">
              <w:rPr>
                <w:rFonts w:ascii="Arial" w:hAnsi="Arial" w:cs="Arial"/>
                <w:bCs/>
              </w:rPr>
              <w:lastRenderedPageBreak/>
              <w:t>by USD invoicing</w:t>
            </w:r>
          </w:p>
        </w:tc>
        <w:tc>
          <w:tcPr>
            <w:tcW w:w="0" w:type="auto"/>
            <w:hideMark/>
          </w:tcPr>
          <w:p w14:paraId="7C3893C5"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lastRenderedPageBreak/>
              <w:t>Digital services relevance</w:t>
            </w:r>
          </w:p>
        </w:tc>
      </w:tr>
      <w:tr w:rsidR="00FA69AA" w:rsidRPr="002A2A3D" w14:paraId="7661B2EC"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B76E74" w14:textId="77777777" w:rsidR="00FA69AA" w:rsidRPr="002A2A3D" w:rsidRDefault="00FA69AA" w:rsidP="00380966">
            <w:pPr>
              <w:spacing w:after="160" w:line="278" w:lineRule="auto"/>
              <w:rPr>
                <w:rFonts w:ascii="Arial" w:hAnsi="Arial" w:cs="Arial"/>
              </w:rPr>
            </w:pPr>
            <w:r w:rsidRPr="002A2A3D">
              <w:rPr>
                <w:rFonts w:ascii="Arial" w:hAnsi="Arial" w:cs="Arial"/>
              </w:rPr>
              <w:t>Dua &amp; Suri (2023)</w:t>
            </w:r>
          </w:p>
        </w:tc>
        <w:tc>
          <w:tcPr>
            <w:tcW w:w="0" w:type="auto"/>
            <w:hideMark/>
          </w:tcPr>
          <w:p w14:paraId="6F153280"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India</w:t>
            </w:r>
          </w:p>
        </w:tc>
        <w:tc>
          <w:tcPr>
            <w:tcW w:w="0" w:type="auto"/>
            <w:hideMark/>
          </w:tcPr>
          <w:p w14:paraId="1B3F5AF4"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Services exports</w:t>
            </w:r>
          </w:p>
        </w:tc>
        <w:tc>
          <w:tcPr>
            <w:tcW w:w="0" w:type="auto"/>
            <w:hideMark/>
          </w:tcPr>
          <w:p w14:paraId="6890FF41"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Time-series</w:t>
            </w:r>
          </w:p>
        </w:tc>
        <w:tc>
          <w:tcPr>
            <w:tcW w:w="0" w:type="auto"/>
            <w:hideMark/>
          </w:tcPr>
          <w:p w14:paraId="1D9D5ECC"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INR volatility affects services export earnings</w:t>
            </w:r>
          </w:p>
        </w:tc>
        <w:tc>
          <w:tcPr>
            <w:tcW w:w="0" w:type="auto"/>
            <w:hideMark/>
          </w:tcPr>
          <w:p w14:paraId="394A6717"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India-specific evidence</w:t>
            </w:r>
          </w:p>
        </w:tc>
      </w:tr>
      <w:tr w:rsidR="00FA69AA" w:rsidRPr="002A2A3D" w14:paraId="646564CC"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1D19F236" w14:textId="77777777" w:rsidR="00FA69AA" w:rsidRPr="002A2A3D" w:rsidRDefault="00FA69AA" w:rsidP="00380966">
            <w:pPr>
              <w:spacing w:after="160" w:line="278" w:lineRule="auto"/>
              <w:rPr>
                <w:rFonts w:ascii="Arial" w:hAnsi="Arial" w:cs="Arial"/>
              </w:rPr>
            </w:pPr>
            <w:r w:rsidRPr="002A2A3D">
              <w:rPr>
                <w:rFonts w:ascii="Arial" w:hAnsi="Arial" w:cs="Arial"/>
              </w:rPr>
              <w:t>Basak et al. (2025)</w:t>
            </w:r>
          </w:p>
        </w:tc>
        <w:tc>
          <w:tcPr>
            <w:tcW w:w="0" w:type="auto"/>
            <w:hideMark/>
          </w:tcPr>
          <w:p w14:paraId="076DB971"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South Asia</w:t>
            </w:r>
          </w:p>
        </w:tc>
        <w:tc>
          <w:tcPr>
            <w:tcW w:w="0" w:type="auto"/>
            <w:hideMark/>
          </w:tcPr>
          <w:p w14:paraId="176FE3E4"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Exports</w:t>
            </w:r>
          </w:p>
        </w:tc>
        <w:tc>
          <w:tcPr>
            <w:tcW w:w="0" w:type="auto"/>
            <w:hideMark/>
          </w:tcPr>
          <w:p w14:paraId="3A867260"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Time-series</w:t>
            </w:r>
          </w:p>
        </w:tc>
        <w:tc>
          <w:tcPr>
            <w:tcW w:w="0" w:type="auto"/>
            <w:hideMark/>
          </w:tcPr>
          <w:p w14:paraId="52DEB0D4"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Volatility weakens exports in EMs</w:t>
            </w:r>
          </w:p>
        </w:tc>
        <w:tc>
          <w:tcPr>
            <w:tcW w:w="0" w:type="auto"/>
            <w:hideMark/>
          </w:tcPr>
          <w:p w14:paraId="44329AB2"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Regional robustness</w:t>
            </w:r>
          </w:p>
        </w:tc>
      </w:tr>
      <w:tr w:rsidR="00FA69AA" w:rsidRPr="002A2A3D" w14:paraId="32D83836" w14:textId="77777777" w:rsidTr="003809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D8C08D" w14:textId="77777777" w:rsidR="00FA69AA" w:rsidRPr="002A2A3D" w:rsidRDefault="00FA69AA" w:rsidP="00380966">
            <w:pPr>
              <w:spacing w:after="160" w:line="278" w:lineRule="auto"/>
              <w:rPr>
                <w:rFonts w:ascii="Arial" w:hAnsi="Arial" w:cs="Arial"/>
              </w:rPr>
            </w:pPr>
            <w:r w:rsidRPr="002A2A3D">
              <w:rPr>
                <w:rFonts w:ascii="Arial" w:hAnsi="Arial" w:cs="Arial"/>
              </w:rPr>
              <w:t>WTO (2021)</w:t>
            </w:r>
          </w:p>
        </w:tc>
        <w:tc>
          <w:tcPr>
            <w:tcW w:w="0" w:type="auto"/>
            <w:hideMark/>
          </w:tcPr>
          <w:p w14:paraId="365F9DEA"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Global</w:t>
            </w:r>
          </w:p>
        </w:tc>
        <w:tc>
          <w:tcPr>
            <w:tcW w:w="0" w:type="auto"/>
            <w:hideMark/>
          </w:tcPr>
          <w:p w14:paraId="0D39F8CC"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Services trade</w:t>
            </w:r>
          </w:p>
        </w:tc>
        <w:tc>
          <w:tcPr>
            <w:tcW w:w="0" w:type="auto"/>
            <w:hideMark/>
          </w:tcPr>
          <w:p w14:paraId="040A54F9"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Descriptive / institutional</w:t>
            </w:r>
          </w:p>
        </w:tc>
        <w:tc>
          <w:tcPr>
            <w:tcW w:w="0" w:type="auto"/>
            <w:hideMark/>
          </w:tcPr>
          <w:p w14:paraId="1B6A840A"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Digital trade less sensitive to logistics but exposed to FX risk</w:t>
            </w:r>
          </w:p>
        </w:tc>
        <w:tc>
          <w:tcPr>
            <w:tcW w:w="0" w:type="auto"/>
            <w:hideMark/>
          </w:tcPr>
          <w:p w14:paraId="60583438" w14:textId="77777777" w:rsidR="00FA69AA" w:rsidRPr="002A2A3D" w:rsidRDefault="00FA69AA" w:rsidP="00380966">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2A2A3D">
              <w:rPr>
                <w:rFonts w:ascii="Arial" w:hAnsi="Arial" w:cs="Arial"/>
                <w:bCs/>
              </w:rPr>
              <w:t>Sectoral differentiation</w:t>
            </w:r>
          </w:p>
        </w:tc>
      </w:tr>
      <w:tr w:rsidR="00FA69AA" w:rsidRPr="002A2A3D" w14:paraId="0AB813BB" w14:textId="77777777" w:rsidTr="00380966">
        <w:tc>
          <w:tcPr>
            <w:cnfStyle w:val="001000000000" w:firstRow="0" w:lastRow="0" w:firstColumn="1" w:lastColumn="0" w:oddVBand="0" w:evenVBand="0" w:oddHBand="0" w:evenHBand="0" w:firstRowFirstColumn="0" w:firstRowLastColumn="0" w:lastRowFirstColumn="0" w:lastRowLastColumn="0"/>
            <w:tcW w:w="0" w:type="auto"/>
            <w:hideMark/>
          </w:tcPr>
          <w:p w14:paraId="2BF150BA" w14:textId="77777777" w:rsidR="00FA69AA" w:rsidRPr="002A2A3D" w:rsidRDefault="00FA69AA" w:rsidP="00380966">
            <w:pPr>
              <w:spacing w:after="160" w:line="278" w:lineRule="auto"/>
              <w:rPr>
                <w:rFonts w:ascii="Arial" w:hAnsi="Arial" w:cs="Arial"/>
              </w:rPr>
            </w:pPr>
            <w:r w:rsidRPr="002A2A3D">
              <w:rPr>
                <w:rFonts w:ascii="Arial" w:hAnsi="Arial" w:cs="Arial"/>
              </w:rPr>
              <w:t>IMF (2024)</w:t>
            </w:r>
          </w:p>
        </w:tc>
        <w:tc>
          <w:tcPr>
            <w:tcW w:w="0" w:type="auto"/>
            <w:hideMark/>
          </w:tcPr>
          <w:p w14:paraId="63B2B2A1"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Global</w:t>
            </w:r>
          </w:p>
        </w:tc>
        <w:tc>
          <w:tcPr>
            <w:tcW w:w="0" w:type="auto"/>
            <w:hideMark/>
          </w:tcPr>
          <w:p w14:paraId="597BBA21"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Services &amp; FX</w:t>
            </w:r>
          </w:p>
        </w:tc>
        <w:tc>
          <w:tcPr>
            <w:tcW w:w="0" w:type="auto"/>
            <w:hideMark/>
          </w:tcPr>
          <w:p w14:paraId="7AA0768D"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Empirical review</w:t>
            </w:r>
          </w:p>
        </w:tc>
        <w:tc>
          <w:tcPr>
            <w:tcW w:w="0" w:type="auto"/>
            <w:hideMark/>
          </w:tcPr>
          <w:p w14:paraId="78F0F502"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FX volatility affects services via pricing and contracts</w:t>
            </w:r>
          </w:p>
        </w:tc>
        <w:tc>
          <w:tcPr>
            <w:tcW w:w="0" w:type="auto"/>
            <w:hideMark/>
          </w:tcPr>
          <w:p w14:paraId="4EF43C3F" w14:textId="77777777" w:rsidR="00FA69AA" w:rsidRPr="002A2A3D" w:rsidRDefault="00FA69AA" w:rsidP="00380966">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2A2A3D">
              <w:rPr>
                <w:rFonts w:ascii="Arial" w:hAnsi="Arial" w:cs="Arial"/>
                <w:bCs/>
              </w:rPr>
              <w:t>Contemporary policy evidence</w:t>
            </w:r>
          </w:p>
        </w:tc>
      </w:tr>
    </w:tbl>
    <w:p w14:paraId="52D9B46A" w14:textId="77777777" w:rsidR="00FA69AA" w:rsidRPr="002A2A3D" w:rsidRDefault="00FA69AA" w:rsidP="00FA69AA">
      <w:pPr>
        <w:rPr>
          <w:rFonts w:ascii="Arial" w:hAnsi="Arial" w:cs="Arial"/>
        </w:rPr>
      </w:pPr>
      <w:r w:rsidRPr="002A2A3D">
        <w:rPr>
          <w:rFonts w:ascii="Arial" w:hAnsi="Arial" w:cs="Arial"/>
          <w:i/>
          <w:iCs/>
        </w:rPr>
        <w:t xml:space="preserve">Note: The systematic literature review includes a total of 52 studies. Table 4.1 presents a representative selection of key contemporary contributions. The full screening matrix and list of included studies are available </w:t>
      </w:r>
      <w:r w:rsidR="00037272">
        <w:rPr>
          <w:rFonts w:ascii="Arial" w:hAnsi="Arial" w:cs="Arial"/>
          <w:i/>
          <w:iCs/>
        </w:rPr>
        <w:t>in chapter 7, Appendix table 1A.</w:t>
      </w:r>
    </w:p>
    <w:p w14:paraId="04EB2B4A" w14:textId="77777777" w:rsidR="00FA69AA" w:rsidRPr="002A2A3D" w:rsidRDefault="00FA69AA" w:rsidP="00FA69AA">
      <w:pPr>
        <w:pStyle w:val="Heading2"/>
        <w:rPr>
          <w:rFonts w:ascii="Arial" w:hAnsi="Arial" w:cs="Arial"/>
        </w:rPr>
      </w:pPr>
      <w:bookmarkStart w:id="52" w:name="_Toc218462608"/>
      <w:r w:rsidRPr="002A2A3D">
        <w:rPr>
          <w:rFonts w:ascii="Arial" w:hAnsi="Arial" w:cs="Arial"/>
        </w:rPr>
        <w:t>4.3. Exchange-rate Volatility and Export Performance</w:t>
      </w:r>
      <w:bookmarkEnd w:id="52"/>
    </w:p>
    <w:p w14:paraId="4CE8751F" w14:textId="77777777" w:rsidR="00FA69AA" w:rsidRPr="002A2A3D" w:rsidRDefault="00FA69AA" w:rsidP="006D3A26">
      <w:pPr>
        <w:ind w:firstLine="720"/>
        <w:rPr>
          <w:rFonts w:ascii="Arial" w:hAnsi="Arial" w:cs="Arial"/>
        </w:rPr>
      </w:pPr>
      <w:r w:rsidRPr="002A2A3D">
        <w:rPr>
          <w:rFonts w:ascii="Arial" w:hAnsi="Arial" w:cs="Arial"/>
        </w:rPr>
        <w:t>This section synthesises the empirical literature examining the relationship between exchange-rate volatility and export performance, with particular attention to services-led and emerging-economy contexts. The evidence reviewed in this section is drawn primarily from studies published since the mid-2010s, reflecting increased scholarly focus on exchange-rate dynamics under contemporary trade structures and financial conditions.</w:t>
      </w:r>
    </w:p>
    <w:p w14:paraId="0CE20BCB" w14:textId="77777777" w:rsidR="00FA69AA" w:rsidRPr="006D3A26" w:rsidRDefault="00FA69AA" w:rsidP="006D3A26">
      <w:pPr>
        <w:ind w:firstLine="720"/>
        <w:rPr>
          <w:rFonts w:ascii="Arial" w:hAnsi="Arial" w:cs="Arial"/>
          <w:lang w:val="en-IN"/>
        </w:rPr>
      </w:pPr>
      <w:r w:rsidRPr="002A2A3D">
        <w:rPr>
          <w:rFonts w:ascii="Arial" w:hAnsi="Arial" w:cs="Arial"/>
        </w:rPr>
        <w:t xml:space="preserve">Across the literature, exchange-rate volatility is generally found to be associated with weaker export performance, although the magnitude and direction of </w:t>
      </w:r>
      <w:r w:rsidRPr="002A2A3D">
        <w:rPr>
          <w:rFonts w:ascii="Arial" w:hAnsi="Arial" w:cs="Arial"/>
        </w:rPr>
        <w:lastRenderedPageBreak/>
        <w:t xml:space="preserve">this relationship vary considerably across countries, sectors and methodological approaches. </w:t>
      </w:r>
      <w:r w:rsidR="006D3A26" w:rsidRPr="006D3A26">
        <w:rPr>
          <w:rFonts w:ascii="Arial" w:hAnsi="Arial" w:cs="Arial"/>
          <w:lang w:val="en-IN"/>
        </w:rPr>
        <w:t>Across the literature, exchange-rate volatility is generally associated with weaker export performance, particularly in emerging economies, as increased uncertainty raises transaction costs and discourages export participation (Bahmani-</w:t>
      </w:r>
      <w:proofErr w:type="spellStart"/>
      <w:r w:rsidR="006D3A26" w:rsidRPr="006D3A26">
        <w:rPr>
          <w:rFonts w:ascii="Arial" w:hAnsi="Arial" w:cs="Arial"/>
          <w:lang w:val="en-IN"/>
        </w:rPr>
        <w:t>Oskooee</w:t>
      </w:r>
      <w:proofErr w:type="spellEnd"/>
      <w:r w:rsidR="006D3A26" w:rsidRPr="006D3A26">
        <w:rPr>
          <w:rFonts w:ascii="Arial" w:hAnsi="Arial" w:cs="Arial"/>
          <w:lang w:val="en-IN"/>
        </w:rPr>
        <w:t xml:space="preserve"> and Hegerty, 2007; Chit et al., 2010; </w:t>
      </w:r>
      <w:proofErr w:type="spellStart"/>
      <w:r w:rsidR="006D3A26" w:rsidRPr="006D3A26">
        <w:rPr>
          <w:rFonts w:ascii="Arial" w:hAnsi="Arial" w:cs="Arial"/>
          <w:lang w:val="en-IN"/>
        </w:rPr>
        <w:t>Asteriou</w:t>
      </w:r>
      <w:proofErr w:type="spellEnd"/>
      <w:r w:rsidR="006D3A26" w:rsidRPr="006D3A26">
        <w:rPr>
          <w:rFonts w:ascii="Arial" w:hAnsi="Arial" w:cs="Arial"/>
          <w:lang w:val="en-IN"/>
        </w:rPr>
        <w:t xml:space="preserve"> et al., 2016).</w:t>
      </w:r>
      <w:r w:rsidR="006D3A26">
        <w:rPr>
          <w:rFonts w:ascii="Arial" w:hAnsi="Arial" w:cs="Arial"/>
          <w:lang w:val="en-IN"/>
        </w:rPr>
        <w:t xml:space="preserve"> </w:t>
      </w:r>
      <w:r w:rsidRPr="002A2A3D">
        <w:rPr>
          <w:rFonts w:ascii="Arial" w:hAnsi="Arial" w:cs="Arial"/>
        </w:rPr>
        <w:t>However, the literature does not present a uniform consensus. Several studies document asymmetric or non-linear effects of exchange-rate volatility, suggesting that exporters may respond differently to appreciations and depreciations, or adjust behaviour depending on the persistence and predictability of currency movements. For example, some firms are found to benefit from volatility in the presence of favourable pricing power, flexible contracts or effective hedging strategies, while others experience adverse effects due to heightened uncertainty and planning constraints (Bahmani-</w:t>
      </w:r>
      <w:proofErr w:type="spellStart"/>
      <w:r w:rsidRPr="002A2A3D">
        <w:rPr>
          <w:rFonts w:ascii="Arial" w:hAnsi="Arial" w:cs="Arial"/>
        </w:rPr>
        <w:t>Oskooee</w:t>
      </w:r>
      <w:proofErr w:type="spellEnd"/>
      <w:r w:rsidRPr="002A2A3D">
        <w:rPr>
          <w:rFonts w:ascii="Arial" w:hAnsi="Arial" w:cs="Arial"/>
        </w:rPr>
        <w:t xml:space="preserve"> and Hegerty, 2007; </w:t>
      </w:r>
      <w:proofErr w:type="spellStart"/>
      <w:r w:rsidRPr="002A2A3D">
        <w:rPr>
          <w:rFonts w:ascii="Arial" w:hAnsi="Arial" w:cs="Arial"/>
        </w:rPr>
        <w:t>Asteriou</w:t>
      </w:r>
      <w:proofErr w:type="spellEnd"/>
      <w:r w:rsidRPr="002A2A3D">
        <w:rPr>
          <w:rFonts w:ascii="Arial" w:hAnsi="Arial" w:cs="Arial"/>
        </w:rPr>
        <w:t xml:space="preserve"> et al., 2016). These findings highlight the importance of firm-level characteristics, sectoral structure and institutional context in shaping export responses.</w:t>
      </w:r>
    </w:p>
    <w:p w14:paraId="56EB22F1" w14:textId="77777777" w:rsidR="00FA69AA" w:rsidRPr="002A2A3D" w:rsidRDefault="00FA69AA" w:rsidP="006D3A26">
      <w:pPr>
        <w:ind w:firstLine="720"/>
        <w:rPr>
          <w:rFonts w:ascii="Arial" w:hAnsi="Arial" w:cs="Arial"/>
        </w:rPr>
      </w:pPr>
      <w:r w:rsidRPr="002A2A3D">
        <w:rPr>
          <w:rFonts w:ascii="Arial" w:hAnsi="Arial" w:cs="Arial"/>
        </w:rPr>
        <w:t>More recent research increasingly differentiates between goods and services trade, challenging the assumption that exchange-rate volatility affects all export sectors in similar ways. Studies focusing on services exports suggest that their response to exchange-rate movements may differ from that of goods exports due to distinct cost structures, contractual arrangements and delivery modes (</w:t>
      </w:r>
      <w:proofErr w:type="spellStart"/>
      <w:r w:rsidRPr="002A2A3D">
        <w:rPr>
          <w:rFonts w:ascii="Arial" w:hAnsi="Arial" w:cs="Arial"/>
        </w:rPr>
        <w:t>Eichengreen</w:t>
      </w:r>
      <w:proofErr w:type="spellEnd"/>
      <w:r w:rsidRPr="002A2A3D">
        <w:rPr>
          <w:rFonts w:ascii="Arial" w:hAnsi="Arial" w:cs="Arial"/>
        </w:rPr>
        <w:t xml:space="preserve"> and Gupta, 2012; Gopinath, 2015). In particular, services exports are often less dependent on physical inputs and logistics but more reliant on foreign-currency invoicing and long-term contracts, which can alter the transmission of exchange-rate volatility to export revenues.</w:t>
      </w:r>
    </w:p>
    <w:p w14:paraId="15A85A3C" w14:textId="77777777" w:rsidR="00FA69AA" w:rsidRPr="002A2A3D" w:rsidRDefault="00FA69AA" w:rsidP="006D3A26">
      <w:pPr>
        <w:ind w:firstLine="720"/>
        <w:rPr>
          <w:rFonts w:ascii="Arial" w:hAnsi="Arial" w:cs="Arial"/>
        </w:rPr>
      </w:pPr>
      <w:r w:rsidRPr="002A2A3D">
        <w:rPr>
          <w:rFonts w:ascii="Arial" w:hAnsi="Arial" w:cs="Arial"/>
        </w:rPr>
        <w:t>Within the context of emerging economies, several studies emphasise that services exports may exhibit both resilience and vulnerability to exchange-rate volatility. On one hand, lower dependence on imported intermediate inputs may dampen cost-side effects. On the other hand, reliance on dominant-currency pricing, particularly the U.S. dollar, can expose service exporters to revenue uncertainty when exchange-rate fluctuations are pronounced (Gopinath, 2015; Li and Meleshchuk, 2024). These mechanisms are especially relevant for economies such as India, where digital and IT-enabled services constitute a significant share of export earnings.</w:t>
      </w:r>
      <w:r w:rsidR="006D3A26">
        <w:rPr>
          <w:rFonts w:ascii="Arial" w:hAnsi="Arial" w:cs="Arial"/>
        </w:rPr>
        <w:t xml:space="preserve"> </w:t>
      </w:r>
      <w:r w:rsidRPr="002A2A3D">
        <w:rPr>
          <w:rFonts w:ascii="Arial" w:hAnsi="Arial" w:cs="Arial"/>
        </w:rPr>
        <w:t>India-specific evidence generally supports the view that exchange-rate volatility influences services export performance, although the reported effects vary across studies and time periods. Empirical analyses focusing on India’s modern services sector indicate that fluctuations in the Indian rupee affect export revenues through income and pricing channels, with volatility often exerting a dampening effect on export growth in the absence of effective hedging (Sahoo and Dash, 2014; Dua and Suri, 2023). Firm-level studies further suggest that exporters with greater access to financial instruments or foreign-currency revenue streams are better positioned to mitigate adverse volatility effects, underscoring heterogeneity within the sector.</w:t>
      </w:r>
    </w:p>
    <w:p w14:paraId="769A6BBD" w14:textId="77777777" w:rsidR="00FA69AA" w:rsidRPr="002A2A3D" w:rsidRDefault="00FA69AA" w:rsidP="006D3A26">
      <w:pPr>
        <w:ind w:firstLine="720"/>
        <w:rPr>
          <w:rFonts w:ascii="Arial" w:hAnsi="Arial" w:cs="Arial"/>
        </w:rPr>
      </w:pPr>
      <w:r w:rsidRPr="002A2A3D">
        <w:rPr>
          <w:rFonts w:ascii="Arial" w:hAnsi="Arial" w:cs="Arial"/>
        </w:rPr>
        <w:lastRenderedPageBreak/>
        <w:t>Overall, the literature reviewed in this section indicates that exchange-rate volatility is an important, though not universally deterministic, factor influencing export performance. The evidence points to a complex relationship shaped by sectoral composition, institutional environment, pricing behaviour and firms’ risk-management capacity. These findings provide a foundation for the subsequent analysis of services–goods differences, India-specific dynamics and the interaction between exchange-rate volatility and broader sources of uncertainty, which are explored in the following sections.</w:t>
      </w:r>
    </w:p>
    <w:p w14:paraId="1D24177D" w14:textId="77777777" w:rsidR="00FA69AA" w:rsidRPr="002A2A3D" w:rsidRDefault="00FA69AA" w:rsidP="00FA69AA">
      <w:pPr>
        <w:pStyle w:val="Heading2"/>
        <w:rPr>
          <w:rFonts w:ascii="Arial" w:hAnsi="Arial" w:cs="Arial"/>
        </w:rPr>
      </w:pPr>
      <w:bookmarkStart w:id="53" w:name="_Toc218462609"/>
      <w:r w:rsidRPr="002A2A3D">
        <w:rPr>
          <w:rFonts w:ascii="Arial" w:hAnsi="Arial" w:cs="Arial"/>
        </w:rPr>
        <w:t>4.4 Services versus Goods Trade Responses to Exchange-Rate Volatility</w:t>
      </w:r>
      <w:bookmarkEnd w:id="53"/>
    </w:p>
    <w:p w14:paraId="0CA5EA8F" w14:textId="77777777" w:rsidR="00FA69AA" w:rsidRPr="002A2A3D" w:rsidRDefault="00FA69AA" w:rsidP="006D3A26">
      <w:pPr>
        <w:ind w:firstLine="720"/>
        <w:rPr>
          <w:rFonts w:ascii="Arial" w:hAnsi="Arial" w:cs="Arial"/>
        </w:rPr>
      </w:pPr>
      <w:r w:rsidRPr="002A2A3D">
        <w:rPr>
          <w:rFonts w:ascii="Arial" w:hAnsi="Arial" w:cs="Arial"/>
        </w:rPr>
        <w:t>This section synthesises the literature comparing the effects of exchange-rate volatility on services trade relative to goods trade, highlighting sector-specific mechanisms that shape export responses. Much of the comparative evidence discussed in this section is drawn from studies published since 2010, reflecting increased scholarly attention to services trade under contemporary exchange-rate regimes and the expansion of digitally delivered exports.</w:t>
      </w:r>
    </w:p>
    <w:p w14:paraId="542422C0" w14:textId="77777777" w:rsidR="00FA69AA" w:rsidRPr="002A2A3D" w:rsidRDefault="00FA69AA" w:rsidP="006D3A26">
      <w:pPr>
        <w:ind w:firstLine="720"/>
        <w:rPr>
          <w:rFonts w:ascii="Arial" w:hAnsi="Arial" w:cs="Arial"/>
        </w:rPr>
      </w:pPr>
      <w:r w:rsidRPr="002A2A3D">
        <w:rPr>
          <w:rFonts w:ascii="Arial" w:hAnsi="Arial" w:cs="Arial"/>
        </w:rPr>
        <w:t>A consistent finding across the literature is that services exports respond differently to exchange-rate volatility compared with goods exports. Traditional goods-trade models emphasise production costs, imported intermediate inputs and physical logistics, which can amplify the impact of currency fluctuations on export competitiveness. In contrast, services trade, particularly digitally delivered services, is less dependent on physical inputs and cross-border transportation, altering the channels through which exchange-rate volatility affects export performance (</w:t>
      </w:r>
      <w:proofErr w:type="spellStart"/>
      <w:r w:rsidRPr="002A2A3D">
        <w:rPr>
          <w:rFonts w:ascii="Arial" w:hAnsi="Arial" w:cs="Arial"/>
        </w:rPr>
        <w:t>Eichengreen</w:t>
      </w:r>
      <w:proofErr w:type="spellEnd"/>
      <w:r w:rsidRPr="002A2A3D">
        <w:rPr>
          <w:rFonts w:ascii="Arial" w:hAnsi="Arial" w:cs="Arial"/>
        </w:rPr>
        <w:t xml:space="preserve"> and Gupta, 2012; WTO, 2021).</w:t>
      </w:r>
      <w:r w:rsidR="006D3A26">
        <w:rPr>
          <w:rFonts w:ascii="Arial" w:hAnsi="Arial" w:cs="Arial"/>
        </w:rPr>
        <w:t xml:space="preserve"> </w:t>
      </w:r>
      <w:r w:rsidRPr="002A2A3D">
        <w:rPr>
          <w:rFonts w:ascii="Arial" w:hAnsi="Arial" w:cs="Arial"/>
        </w:rPr>
        <w:t xml:space="preserve">Several studies suggest that services exports may exhibit a degree of resilience to exchange-rate volatility due to lower input cost pass-through and greater flexibility in delivery modes. </w:t>
      </w:r>
      <w:proofErr w:type="spellStart"/>
      <w:r w:rsidRPr="002A2A3D">
        <w:rPr>
          <w:rFonts w:ascii="Arial" w:hAnsi="Arial" w:cs="Arial"/>
        </w:rPr>
        <w:t>Eichengreen</w:t>
      </w:r>
      <w:proofErr w:type="spellEnd"/>
      <w:r w:rsidRPr="002A2A3D">
        <w:rPr>
          <w:rFonts w:ascii="Arial" w:hAnsi="Arial" w:cs="Arial"/>
        </w:rPr>
        <w:t xml:space="preserve"> and Gupta (2012) show that modern services exports are less sensitive to exchange-rate movements than traditional goods exports, particularly in economies with strong human-capital endowments. Similarly, institutional evidence indicates that digital services are less exposed to trade frictions related to logistics and border costs, which can dampen some adverse effects of exchange-rate fluctuations (WTO, 2021).</w:t>
      </w:r>
    </w:p>
    <w:p w14:paraId="0955FF70" w14:textId="77777777" w:rsidR="00FA69AA" w:rsidRPr="002A2A3D" w:rsidRDefault="00FA69AA" w:rsidP="006D3A26">
      <w:pPr>
        <w:ind w:firstLine="720"/>
        <w:rPr>
          <w:rFonts w:ascii="Arial" w:hAnsi="Arial" w:cs="Arial"/>
        </w:rPr>
      </w:pPr>
      <w:r w:rsidRPr="006D3A26">
        <w:rPr>
          <w:rFonts w:ascii="Arial" w:hAnsi="Arial" w:cs="Arial"/>
        </w:rPr>
        <w:t xml:space="preserve">However, the literature also highlights important sources of vulnerability within services trade. A growing body of recent research emphasises the role of pricing and invoicing practices, particularly the prevalence of dominant-currency pricing in services transactions. Gopinath (2015) and Li and </w:t>
      </w:r>
      <w:proofErr w:type="spellStart"/>
      <w:r w:rsidRPr="006D3A26">
        <w:rPr>
          <w:rFonts w:ascii="Arial" w:hAnsi="Arial" w:cs="Arial"/>
        </w:rPr>
        <w:t>Meleshchuk</w:t>
      </w:r>
      <w:proofErr w:type="spellEnd"/>
      <w:r w:rsidRPr="006D3A26">
        <w:rPr>
          <w:rFonts w:ascii="Arial" w:hAnsi="Arial" w:cs="Arial"/>
        </w:rPr>
        <w:t xml:space="preserve"> (2024) demonstrate that services exports are frequently invoiced in U.S. dollars, which can limit short-run exchange-rate pass-through while simultaneously exposing exporters to revenue uncertainty when domestic currencies fluctuate. Under such pricing arrangements, exchange-rate volatility may not immediately enhance price competitiveness but can increase income volatility and financial risk.</w:t>
      </w:r>
      <w:r w:rsidR="006D3A26">
        <w:rPr>
          <w:rFonts w:ascii="Arial" w:hAnsi="Arial" w:cs="Arial"/>
        </w:rPr>
        <w:t xml:space="preserve"> </w:t>
      </w:r>
      <w:r w:rsidRPr="002A2A3D">
        <w:rPr>
          <w:rFonts w:ascii="Arial" w:hAnsi="Arial" w:cs="Arial"/>
        </w:rPr>
        <w:t xml:space="preserve">Comparative studies further indicate that the relative resilience of services exports depends on institutional and firm-level </w:t>
      </w:r>
      <w:r w:rsidRPr="002A2A3D">
        <w:rPr>
          <w:rFonts w:ascii="Arial" w:hAnsi="Arial" w:cs="Arial"/>
        </w:rPr>
        <w:lastRenderedPageBreak/>
        <w:t>characteristics. Services exporters operating in economies with developed financial markets and access to hedging instruments are better positioned to manage exchange-rate risk, whereas firms in emerging markets may face greater exposure due to limited risk-management capacity (</w:t>
      </w:r>
      <w:proofErr w:type="spellStart"/>
      <w:r w:rsidRPr="002A2A3D">
        <w:rPr>
          <w:rFonts w:ascii="Arial" w:hAnsi="Arial" w:cs="Arial"/>
        </w:rPr>
        <w:t>Asteriou</w:t>
      </w:r>
      <w:proofErr w:type="spellEnd"/>
      <w:r w:rsidRPr="002A2A3D">
        <w:rPr>
          <w:rFonts w:ascii="Arial" w:hAnsi="Arial" w:cs="Arial"/>
        </w:rPr>
        <w:t xml:space="preserve"> et al., 2016; Dua and Suri, 2023). These findings suggest that differences between goods and services trade cannot be understood solely in sectoral terms but must also account for financial development and contractual structures.</w:t>
      </w:r>
    </w:p>
    <w:p w14:paraId="43351D71" w14:textId="77777777" w:rsidR="00FA69AA" w:rsidRPr="002A2A3D" w:rsidRDefault="00FA69AA" w:rsidP="006D3A26">
      <w:pPr>
        <w:ind w:firstLine="720"/>
        <w:rPr>
          <w:rFonts w:ascii="Arial" w:hAnsi="Arial" w:cs="Arial"/>
        </w:rPr>
      </w:pPr>
      <w:r w:rsidRPr="002A2A3D">
        <w:rPr>
          <w:rFonts w:ascii="Arial" w:hAnsi="Arial" w:cs="Arial"/>
        </w:rPr>
        <w:t>Within the context of emerging economies, and India in particular, the literature underscores the dual nature of services exports in relation to exchange-rate volatility. On one hand, India’s digital and IT-enabled services sector benefits from relatively low reliance on imported intermediate inputs and strong global demand. On the other hand, its dependence on foreign-currency invoicing and long-term outsourcing contracts can heighten sensitivity to exchange-rate fluctuations, especially in periods of heightened uncertainty (Sahoo and Dash, 2014; Gopinath, 2015). As a result, exchange-rate volatility may affect services exports through income and risk channels rather than traditional price-competitiveness mechanisms.</w:t>
      </w:r>
      <w:r w:rsidR="006D3A26">
        <w:rPr>
          <w:rFonts w:ascii="Arial" w:hAnsi="Arial" w:cs="Arial"/>
        </w:rPr>
        <w:t xml:space="preserve"> </w:t>
      </w:r>
      <w:r w:rsidRPr="002A2A3D">
        <w:rPr>
          <w:rFonts w:ascii="Arial" w:hAnsi="Arial" w:cs="Arial"/>
        </w:rPr>
        <w:t>Overall, the comparative evidence reviewed in this section indicates that services trade exhibits distinct responses to exchange-rate volatility when compared with goods trade. While services exports may display greater resilience in certain contexts, particularly where delivery is digital and cost structures are flexible, they remain vulnerable to volatility through pricing practices, contractual rigidity and financial risk exposure. These sector-specific dynamics provide an important foundation for the subsequent analysis of India’s digital services exports and the interaction between exchange-rate volatility and broader sources of uncertainty.</w:t>
      </w:r>
    </w:p>
    <w:p w14:paraId="67B742E7" w14:textId="77777777" w:rsidR="00FA69AA" w:rsidRPr="002A2A3D" w:rsidRDefault="00FA69AA" w:rsidP="00FA69AA">
      <w:pPr>
        <w:pStyle w:val="Heading2"/>
        <w:rPr>
          <w:rFonts w:ascii="Arial" w:hAnsi="Arial" w:cs="Arial"/>
        </w:rPr>
      </w:pPr>
      <w:bookmarkStart w:id="54" w:name="_Toc218462610"/>
      <w:r w:rsidRPr="002A2A3D">
        <w:rPr>
          <w:rFonts w:ascii="Arial" w:hAnsi="Arial" w:cs="Arial"/>
        </w:rPr>
        <w:t>4.5. Emerging Market and India-Specific Evidence</w:t>
      </w:r>
      <w:bookmarkEnd w:id="54"/>
    </w:p>
    <w:p w14:paraId="7C8E835D" w14:textId="77777777" w:rsidR="00FA69AA" w:rsidRPr="002A2A3D" w:rsidRDefault="00FA69AA" w:rsidP="006D3A26">
      <w:pPr>
        <w:ind w:firstLine="720"/>
        <w:rPr>
          <w:rFonts w:ascii="Arial" w:hAnsi="Arial" w:cs="Arial"/>
        </w:rPr>
      </w:pPr>
      <w:r w:rsidRPr="002A2A3D">
        <w:rPr>
          <w:rFonts w:ascii="Arial" w:hAnsi="Arial" w:cs="Arial"/>
        </w:rPr>
        <w:t>A substantial proportion of the literature examining exchange-rate volatility and trade performance focuses on emerging market economies, where structural characteristics and financial constraints are commonly found to amplify the effects of currency fluctuations. Compared with advanced economies, emerging markets typically exhibit shallower financial markets, more limited availability of hedging instruments and greater exposure to external shocks, factors which can heighten exporters’ sensitivity to exchange-rate volatility (Bahmani-</w:t>
      </w:r>
      <w:proofErr w:type="spellStart"/>
      <w:r w:rsidRPr="002A2A3D">
        <w:rPr>
          <w:rFonts w:ascii="Arial" w:hAnsi="Arial" w:cs="Arial"/>
        </w:rPr>
        <w:t>Oskooee</w:t>
      </w:r>
      <w:proofErr w:type="spellEnd"/>
      <w:r w:rsidRPr="002A2A3D">
        <w:rPr>
          <w:rFonts w:ascii="Arial" w:hAnsi="Arial" w:cs="Arial"/>
        </w:rPr>
        <w:t xml:space="preserve"> and Hegerty, 2007; </w:t>
      </w:r>
      <w:proofErr w:type="spellStart"/>
      <w:r w:rsidRPr="002A2A3D">
        <w:rPr>
          <w:rFonts w:ascii="Arial" w:hAnsi="Arial" w:cs="Arial"/>
        </w:rPr>
        <w:t>Asteriou</w:t>
      </w:r>
      <w:proofErr w:type="spellEnd"/>
      <w:r w:rsidRPr="002A2A3D">
        <w:rPr>
          <w:rFonts w:ascii="Arial" w:hAnsi="Arial" w:cs="Arial"/>
        </w:rPr>
        <w:t xml:space="preserve"> et al., 2016).</w:t>
      </w:r>
      <w:r w:rsidR="006D3A26">
        <w:rPr>
          <w:rFonts w:ascii="Arial" w:hAnsi="Arial" w:cs="Arial"/>
        </w:rPr>
        <w:t xml:space="preserve"> </w:t>
      </w:r>
      <w:r w:rsidRPr="002A2A3D">
        <w:rPr>
          <w:rFonts w:ascii="Arial" w:hAnsi="Arial" w:cs="Arial"/>
        </w:rPr>
        <w:t>Early cross-country analyses of developing economies find that real exchange-rate volatility is linked to statistically significant reductions in export volumes in both the short and long run (</w:t>
      </w:r>
      <w:proofErr w:type="spellStart"/>
      <w:r w:rsidRPr="002A2A3D">
        <w:rPr>
          <w:rFonts w:ascii="Arial" w:hAnsi="Arial" w:cs="Arial"/>
        </w:rPr>
        <w:t>Arize</w:t>
      </w:r>
      <w:proofErr w:type="spellEnd"/>
      <w:r w:rsidRPr="002A2A3D">
        <w:rPr>
          <w:rFonts w:ascii="Arial" w:hAnsi="Arial" w:cs="Arial"/>
        </w:rPr>
        <w:t xml:space="preserve">, Osang and </w:t>
      </w:r>
      <w:proofErr w:type="spellStart"/>
      <w:r w:rsidRPr="002A2A3D">
        <w:rPr>
          <w:rFonts w:ascii="Arial" w:hAnsi="Arial" w:cs="Arial"/>
        </w:rPr>
        <w:t>Slottje</w:t>
      </w:r>
      <w:proofErr w:type="spellEnd"/>
      <w:r w:rsidRPr="002A2A3D">
        <w:rPr>
          <w:rFonts w:ascii="Arial" w:hAnsi="Arial" w:cs="Arial"/>
        </w:rPr>
        <w:t>, 2000). Subsequent research emphasises that export responses are often asymmetric and non-linear, with adverse currency movements exerting stronger effects than favourable ones, reflecting exporters’ risk aversion and adjustment costs (Bahmani-</w:t>
      </w:r>
      <w:proofErr w:type="spellStart"/>
      <w:r w:rsidRPr="002A2A3D">
        <w:rPr>
          <w:rFonts w:ascii="Arial" w:hAnsi="Arial" w:cs="Arial"/>
        </w:rPr>
        <w:t>Oskooee</w:t>
      </w:r>
      <w:proofErr w:type="spellEnd"/>
      <w:r w:rsidRPr="002A2A3D">
        <w:rPr>
          <w:rFonts w:ascii="Arial" w:hAnsi="Arial" w:cs="Arial"/>
        </w:rPr>
        <w:t xml:space="preserve"> and Hegerty, 2007).</w:t>
      </w:r>
    </w:p>
    <w:p w14:paraId="025272C3" w14:textId="77777777" w:rsidR="00FA69AA" w:rsidRPr="002A2A3D" w:rsidRDefault="00FA69AA" w:rsidP="006D3A26">
      <w:pPr>
        <w:ind w:firstLine="720"/>
        <w:rPr>
          <w:rFonts w:ascii="Arial" w:hAnsi="Arial" w:cs="Arial"/>
        </w:rPr>
      </w:pPr>
      <w:r w:rsidRPr="002A2A3D">
        <w:rPr>
          <w:rFonts w:ascii="Arial" w:hAnsi="Arial" w:cs="Arial"/>
        </w:rPr>
        <w:t xml:space="preserve">Regional studies reinforce these findings. For example, Chit, </w:t>
      </w:r>
      <w:proofErr w:type="spellStart"/>
      <w:r w:rsidRPr="002A2A3D">
        <w:rPr>
          <w:rFonts w:ascii="Arial" w:hAnsi="Arial" w:cs="Arial"/>
        </w:rPr>
        <w:t>Rizov</w:t>
      </w:r>
      <w:proofErr w:type="spellEnd"/>
      <w:r w:rsidRPr="002A2A3D">
        <w:rPr>
          <w:rFonts w:ascii="Arial" w:hAnsi="Arial" w:cs="Arial"/>
        </w:rPr>
        <w:t xml:space="preserve"> and </w:t>
      </w:r>
      <w:proofErr w:type="spellStart"/>
      <w:r w:rsidRPr="002A2A3D">
        <w:rPr>
          <w:rFonts w:ascii="Arial" w:hAnsi="Arial" w:cs="Arial"/>
        </w:rPr>
        <w:t>Willenbockel</w:t>
      </w:r>
      <w:proofErr w:type="spellEnd"/>
      <w:r w:rsidRPr="002A2A3D">
        <w:rPr>
          <w:rFonts w:ascii="Arial" w:hAnsi="Arial" w:cs="Arial"/>
        </w:rPr>
        <w:t xml:space="preserve"> (2010), focusing on emerging East Asian economies, show that </w:t>
      </w:r>
      <w:r w:rsidRPr="002A2A3D">
        <w:rPr>
          <w:rFonts w:ascii="Arial" w:hAnsi="Arial" w:cs="Arial"/>
        </w:rPr>
        <w:lastRenderedPageBreak/>
        <w:t xml:space="preserve">exchange-rate volatility is associated with reduced export performance, particularly in economies integrated into regional production networks. </w:t>
      </w:r>
      <w:proofErr w:type="spellStart"/>
      <w:r w:rsidRPr="002A2A3D">
        <w:rPr>
          <w:rFonts w:ascii="Arial" w:hAnsi="Arial" w:cs="Arial"/>
        </w:rPr>
        <w:t>Eichengreen</w:t>
      </w:r>
      <w:proofErr w:type="spellEnd"/>
      <w:r w:rsidRPr="002A2A3D">
        <w:rPr>
          <w:rFonts w:ascii="Arial" w:hAnsi="Arial" w:cs="Arial"/>
        </w:rPr>
        <w:t xml:space="preserve"> and Gupta (2012) show that India’s services exports respond differently to exchange-rate movements compared with goods exports, with global demand conditions and contractual features playing a more prominent role than bilateral exchange-rate volatility alone. Nevertheless, exchange-rate instability remains an important source of uncertainty for Indian exporters, particularly within services segments characterised by foreign-currency invoicing and long-term client relationships (Sahoo and Dash, 2014; Dua and Suri, 2023).</w:t>
      </w:r>
    </w:p>
    <w:p w14:paraId="30094C94" w14:textId="77777777" w:rsidR="00FA69AA" w:rsidRPr="002A2A3D" w:rsidRDefault="00FA69AA" w:rsidP="006D3A26">
      <w:pPr>
        <w:ind w:firstLine="720"/>
        <w:rPr>
          <w:rFonts w:ascii="Arial" w:hAnsi="Arial" w:cs="Arial"/>
        </w:rPr>
      </w:pPr>
      <w:r w:rsidRPr="002A2A3D">
        <w:rPr>
          <w:rFonts w:ascii="Arial" w:hAnsi="Arial" w:cs="Arial"/>
        </w:rPr>
        <w:t>More recent studies emphasise the interaction between exchange-rate volatility and broader sources of uncertainty in emerging markets. Bennett et al. (2016) document heightened volatility in international trade flows during periods of elevated global uncertainty, suggesting that emerging economies are particularly exposed to spillover effects from external shocks. This is consistent with evidence from India, where exchange-rate movements frequently coincide with shifts in global financial conditions, capital flows and investor risk sentiment (Caldara and Iacoviello, 2022).</w:t>
      </w:r>
      <w:r w:rsidR="006D3A26">
        <w:rPr>
          <w:rFonts w:ascii="Arial" w:hAnsi="Arial" w:cs="Arial"/>
        </w:rPr>
        <w:t xml:space="preserve"> </w:t>
      </w:r>
      <w:r w:rsidRPr="002A2A3D">
        <w:rPr>
          <w:rFonts w:ascii="Arial" w:hAnsi="Arial" w:cs="Arial"/>
        </w:rPr>
        <w:t xml:space="preserve">Firm-level and institutional perspectives provide additional insight into the Indian context. Dong (2018) argues that financial market imperfections in emerging economies can amplify the real effects of exchange-rate volatility by limiting firms’ ability to hedge currency risk effectively. Recent empirical work focusing on Indian firms and small and medium-sized enterprises further highlights the vulnerability of export participation to external shocks and uncertainty, particularly for smaller firms with limited financial buffers (Sudan and </w:t>
      </w:r>
      <w:proofErr w:type="spellStart"/>
      <w:r w:rsidRPr="002A2A3D">
        <w:rPr>
          <w:rFonts w:ascii="Arial" w:hAnsi="Arial" w:cs="Arial"/>
        </w:rPr>
        <w:t>Taggar</w:t>
      </w:r>
      <w:proofErr w:type="spellEnd"/>
      <w:r w:rsidRPr="002A2A3D">
        <w:rPr>
          <w:rFonts w:ascii="Arial" w:hAnsi="Arial" w:cs="Arial"/>
        </w:rPr>
        <w:t>, 2024). These studies suggest that the effects of exchange-rate volatility in India extend beyond export volumes to influence firms’ market entry decisions, investment behaviour and longer-term competitiveness.</w:t>
      </w:r>
    </w:p>
    <w:p w14:paraId="6FCB83E9" w14:textId="77777777" w:rsidR="00FA69AA" w:rsidRPr="002A2A3D" w:rsidRDefault="00FA69AA" w:rsidP="006D3A26">
      <w:pPr>
        <w:ind w:firstLine="720"/>
        <w:rPr>
          <w:rFonts w:ascii="Arial" w:hAnsi="Arial" w:cs="Arial"/>
        </w:rPr>
      </w:pPr>
      <w:r w:rsidRPr="002A2A3D">
        <w:rPr>
          <w:rFonts w:ascii="Arial" w:hAnsi="Arial" w:cs="Arial"/>
        </w:rPr>
        <w:t>Overall, the emerging market and India-specific literature indicates that exchange-rate volatility tends to exert stronger and more persistent trade effects in emerging economies than in advanced economies. Structural characteristics, financial constraints and exposure to global shocks jointly shape export responses, underscoring the importance of context-specific analysis when examining the relationship between exchange-rate volatility and trade performance. These insights provide important grounding for the subsequent discussion of uncertainty and external shocks.</w:t>
      </w:r>
    </w:p>
    <w:p w14:paraId="6D9070B0" w14:textId="77777777" w:rsidR="00FA69AA" w:rsidRPr="002A2A3D" w:rsidRDefault="00FA69AA" w:rsidP="00FA69AA">
      <w:pPr>
        <w:pStyle w:val="Heading2"/>
        <w:rPr>
          <w:rFonts w:ascii="Arial" w:hAnsi="Arial" w:cs="Arial"/>
        </w:rPr>
      </w:pPr>
      <w:bookmarkStart w:id="55" w:name="_Toc218462611"/>
      <w:r w:rsidRPr="002A2A3D">
        <w:rPr>
          <w:rFonts w:ascii="Arial" w:hAnsi="Arial" w:cs="Arial"/>
        </w:rPr>
        <w:t>4.6. Exchange Rate Volatility, Uncertainty and External Shocks</w:t>
      </w:r>
      <w:bookmarkEnd w:id="55"/>
    </w:p>
    <w:p w14:paraId="593FF145" w14:textId="77777777" w:rsidR="00FA69AA" w:rsidRPr="002A2A3D" w:rsidRDefault="00FA69AA" w:rsidP="006D3A26">
      <w:pPr>
        <w:ind w:firstLine="720"/>
        <w:rPr>
          <w:rFonts w:ascii="Arial" w:hAnsi="Arial" w:cs="Arial"/>
        </w:rPr>
      </w:pPr>
      <w:r w:rsidRPr="002A2A3D">
        <w:rPr>
          <w:rFonts w:ascii="Arial" w:hAnsi="Arial" w:cs="Arial"/>
        </w:rPr>
        <w:t>Recent literature emphasises that the effects of exchange-rate volatility on trade cannot be fully understood without accounting for broader sources of uncertainty and external shocks (</w:t>
      </w:r>
      <w:proofErr w:type="spellStart"/>
      <w:r w:rsidRPr="002A2A3D">
        <w:rPr>
          <w:rFonts w:ascii="Arial" w:hAnsi="Arial" w:cs="Arial"/>
        </w:rPr>
        <w:t>Auboin</w:t>
      </w:r>
      <w:proofErr w:type="spellEnd"/>
      <w:r w:rsidRPr="002A2A3D">
        <w:rPr>
          <w:rFonts w:ascii="Arial" w:hAnsi="Arial" w:cs="Arial"/>
        </w:rPr>
        <w:t xml:space="preserve"> and Ruta, 2013). Rather than operating in isolation, exchange-rate movements frequently coincide with periods of heightened global uncertainty, financial stress or geopolitical disruption, which jointly influence export outcomes.</w:t>
      </w:r>
      <w:r w:rsidR="006D3A26">
        <w:rPr>
          <w:rFonts w:ascii="Arial" w:hAnsi="Arial" w:cs="Arial"/>
        </w:rPr>
        <w:t xml:space="preserve"> </w:t>
      </w:r>
      <w:r w:rsidRPr="002A2A3D">
        <w:rPr>
          <w:rFonts w:ascii="Arial" w:hAnsi="Arial" w:cs="Arial"/>
        </w:rPr>
        <w:t xml:space="preserve">Empirical evidence indicates that periods of elevated global </w:t>
      </w:r>
      <w:r w:rsidRPr="002A2A3D">
        <w:rPr>
          <w:rFonts w:ascii="Arial" w:hAnsi="Arial" w:cs="Arial"/>
        </w:rPr>
        <w:lastRenderedPageBreak/>
        <w:t>uncertainty are associated with increased volatility in both exchange rates and international trade flows. Bennett et al. (2016) document a marked rise in trade volatility during the twenty-first century, particularly during episodes of global financial stress, and argue that uncertainty shocks play a central role in amplifying fluctuations in trade volumes. Similarly, Caldara and Iacoviello (2022) show that geopolitical risk shocks are closely linked to movements in exchange rates, capital flows and global trade activity. These findings suggest that exchange-rate volatility may exert stronger effects on exports during periods characterised by uncertainty than under stable macroeconomic conditions.</w:t>
      </w:r>
    </w:p>
    <w:p w14:paraId="0517BC1C" w14:textId="77777777" w:rsidR="00FA69AA" w:rsidRPr="002A2A3D" w:rsidRDefault="00FA69AA" w:rsidP="006D3A26">
      <w:pPr>
        <w:ind w:firstLine="720"/>
        <w:rPr>
          <w:rFonts w:ascii="Arial" w:hAnsi="Arial" w:cs="Arial"/>
        </w:rPr>
      </w:pPr>
      <w:r w:rsidRPr="002A2A3D">
        <w:rPr>
          <w:rFonts w:ascii="Arial" w:hAnsi="Arial" w:cs="Arial"/>
        </w:rPr>
        <w:t xml:space="preserve">Related work highlights the role of financial crises and external shocks in intensifying the trade effects of exchange-rate volatility. Studies examining crisis periods show that currency instability is often accompanied by sharp contractions in trade, driven by reduced demand, tighter credit conditions and increased risk aversion. </w:t>
      </w:r>
      <w:proofErr w:type="spellStart"/>
      <w:r w:rsidRPr="002A2A3D">
        <w:rPr>
          <w:rFonts w:ascii="Arial" w:hAnsi="Arial" w:cs="Arial"/>
        </w:rPr>
        <w:t>Auboin</w:t>
      </w:r>
      <w:proofErr w:type="spellEnd"/>
      <w:r w:rsidRPr="002A2A3D">
        <w:rPr>
          <w:rFonts w:ascii="Arial" w:hAnsi="Arial" w:cs="Arial"/>
        </w:rPr>
        <w:t xml:space="preserve"> and Ruta (2013) demonstrate that global crises magnify trade volatility by disrupting supply chains and increasing policy uncertainty, thereby reinforcing the adverse effects associated with exchange-rate movements.</w:t>
      </w:r>
      <w:r w:rsidR="006D3A26">
        <w:rPr>
          <w:rFonts w:ascii="Arial" w:hAnsi="Arial" w:cs="Arial"/>
        </w:rPr>
        <w:t xml:space="preserve"> </w:t>
      </w:r>
      <w:r w:rsidRPr="002A2A3D">
        <w:rPr>
          <w:rFonts w:ascii="Arial" w:hAnsi="Arial" w:cs="Arial"/>
        </w:rPr>
        <w:t>Geopolitical shocks and policy uncertainty have also received increasing attention in the literature. Emerging evidence indicates that geopolitical risk contributes to exchange-rate instability and affects trade decisions by increasing uncertainty over market access, contract enforcement and future policy regimes (Caldara and Iacoviello, 2022). For emerging economies, these effects can be particularly pronounced due to higher exposure to capital flow reversals and external financing constraints. Bennett et al. (2016) further show that countries more exposed to global uncertainty experience larger trade fluctuations, suggesting that exchange-rate volatility interacts with geopolitical and financial shocks rather than acting as an independent determinant of trade outcomes.</w:t>
      </w:r>
    </w:p>
    <w:p w14:paraId="7A98420E" w14:textId="77777777" w:rsidR="00FA69AA" w:rsidRPr="002A2A3D" w:rsidRDefault="00FA69AA" w:rsidP="006D3A26">
      <w:pPr>
        <w:ind w:firstLine="720"/>
        <w:rPr>
          <w:rFonts w:ascii="Arial" w:hAnsi="Arial" w:cs="Arial"/>
        </w:rPr>
      </w:pPr>
      <w:r w:rsidRPr="002A2A3D">
        <w:rPr>
          <w:rFonts w:ascii="Arial" w:hAnsi="Arial" w:cs="Arial"/>
        </w:rPr>
        <w:t>Firm-level studies provide additional insight into the transmission mechanisms linking volatility and uncertainty. Increased uncertainty has been shown to influence exporters’ behaviour beyond immediate exchange-rate effects, leading firms to delay investment, reduce market entry and avoid long-term contractual commitments. In emerging market contexts, where access to sophisticated hedging instruments is often limited, these behavioural responses can translate into more persistent declines in export activity (Dong, 2018). This reinforces the view that exchange-rate volatility should be interpreted as part of a broader risk environment faced by exporters, shaped by macroeconomic, financial and geopolitical conditions.</w:t>
      </w:r>
    </w:p>
    <w:p w14:paraId="3E2B02A8" w14:textId="77777777" w:rsidR="00FA69AA" w:rsidRPr="002A2A3D" w:rsidRDefault="00FA69AA" w:rsidP="006D3A26">
      <w:pPr>
        <w:ind w:firstLine="720"/>
        <w:rPr>
          <w:rFonts w:ascii="Arial" w:hAnsi="Arial" w:cs="Arial"/>
        </w:rPr>
      </w:pPr>
      <w:r w:rsidRPr="002A2A3D">
        <w:rPr>
          <w:rFonts w:ascii="Arial" w:hAnsi="Arial" w:cs="Arial"/>
        </w:rPr>
        <w:t xml:space="preserve">India-specific evidence supports the relevance of these interactions between exchange-rate volatility and external shocks. Studies focusing on Indian firms and SMEs highlight that external shocks can reduce trade participation and increase vulnerability, particularly for firms with limited financial buffers and international diversification (Sudan and </w:t>
      </w:r>
      <w:proofErr w:type="spellStart"/>
      <w:r w:rsidRPr="002A2A3D">
        <w:rPr>
          <w:rFonts w:ascii="Arial" w:hAnsi="Arial" w:cs="Arial"/>
        </w:rPr>
        <w:t>Taggar</w:t>
      </w:r>
      <w:proofErr w:type="spellEnd"/>
      <w:r w:rsidRPr="002A2A3D">
        <w:rPr>
          <w:rFonts w:ascii="Arial" w:hAnsi="Arial" w:cs="Arial"/>
        </w:rPr>
        <w:t>, 2024). These findings suggest that exchange-rate volatility may have indirect and longer-term effects on trade through uncertainty-driven channels rather than solely through short-term price competitiveness.</w:t>
      </w:r>
      <w:r w:rsidR="006D3A26">
        <w:rPr>
          <w:rFonts w:ascii="Arial" w:hAnsi="Arial" w:cs="Arial"/>
        </w:rPr>
        <w:t xml:space="preserve"> </w:t>
      </w:r>
      <w:r w:rsidRPr="002A2A3D">
        <w:rPr>
          <w:rFonts w:ascii="Arial" w:hAnsi="Arial" w:cs="Arial"/>
        </w:rPr>
        <w:t xml:space="preserve">Overall, </w:t>
      </w:r>
      <w:r w:rsidRPr="002A2A3D">
        <w:rPr>
          <w:rFonts w:ascii="Arial" w:hAnsi="Arial" w:cs="Arial"/>
        </w:rPr>
        <w:lastRenderedPageBreak/>
        <w:t>the literature indicates that exchange-rate volatility, uncertainty and external shocks are closely interconnected. The adverse effects associated with exchange-rate volatility tend to be amplified during periods of global stress, geopolitical instability or financial disruption. Recognising these interactions is essential for understanding trade dynamics in emerging economies and provides important context for interpreting the findings of the systematic literature review.</w:t>
      </w:r>
    </w:p>
    <w:p w14:paraId="1311AC58" w14:textId="77777777" w:rsidR="00FA69AA" w:rsidRPr="002A2A3D" w:rsidRDefault="00FA69AA" w:rsidP="00FA69AA">
      <w:pPr>
        <w:pStyle w:val="Heading2"/>
        <w:rPr>
          <w:rFonts w:ascii="Arial" w:hAnsi="Arial" w:cs="Arial"/>
        </w:rPr>
      </w:pPr>
      <w:bookmarkStart w:id="56" w:name="_Toc218462612"/>
      <w:r w:rsidRPr="002A2A3D">
        <w:rPr>
          <w:rFonts w:ascii="Arial" w:hAnsi="Arial" w:cs="Arial"/>
        </w:rPr>
        <w:t>4.7. Summary of Key Findings</w:t>
      </w:r>
      <w:bookmarkEnd w:id="56"/>
    </w:p>
    <w:p w14:paraId="280D601F" w14:textId="77777777" w:rsidR="0059797D" w:rsidRDefault="006D3A26" w:rsidP="00FA69AA">
      <w:pPr>
        <w:rPr>
          <w:rFonts w:ascii="Arial" w:hAnsi="Arial" w:cs="Arial"/>
          <w:lang w:val="en-IN"/>
        </w:rPr>
      </w:pPr>
      <w:r w:rsidRPr="006D3A26">
        <w:rPr>
          <w:rFonts w:ascii="Arial" w:hAnsi="Arial" w:cs="Arial"/>
          <w:lang w:val="en-IN"/>
        </w:rPr>
        <w:t>Overall, the reviewed literature indicates that exchange-rate volatility is commonly associated with weaker export performance, particularly in emerging economies and during periods of heightened uncertainty. The effects vary across sectors, institutional contexts and methodological approaches. Goods exports tend to respond more directly to volatility through cost and pricing channels, while services exports are affected primarily through income, contractual and risk-exposure mechanisms. In emerging economies such as India, structural characteristics, financial constraints and exposure to global shocks amplify these effects, providing a foundation for the discussion in Chapter 5.</w:t>
      </w:r>
    </w:p>
    <w:p w14:paraId="242D48ED" w14:textId="77777777" w:rsidR="0059797D" w:rsidRDefault="0059797D" w:rsidP="00FA69AA">
      <w:pPr>
        <w:rPr>
          <w:rFonts w:ascii="Arial" w:hAnsi="Arial" w:cs="Arial"/>
          <w:lang w:val="en-IN"/>
        </w:rPr>
      </w:pPr>
    </w:p>
    <w:p w14:paraId="78536065" w14:textId="77777777" w:rsidR="0059797D" w:rsidRDefault="0059797D" w:rsidP="00FA69AA">
      <w:pPr>
        <w:rPr>
          <w:rFonts w:ascii="Arial" w:hAnsi="Arial" w:cs="Arial"/>
          <w:lang w:val="en-IN"/>
        </w:rPr>
      </w:pPr>
    </w:p>
    <w:p w14:paraId="31A5FAA7" w14:textId="77777777" w:rsidR="0059797D" w:rsidRDefault="0059797D" w:rsidP="00FA69AA">
      <w:pPr>
        <w:rPr>
          <w:rFonts w:ascii="Arial" w:hAnsi="Arial" w:cs="Arial"/>
          <w:lang w:val="en-IN"/>
        </w:rPr>
      </w:pPr>
    </w:p>
    <w:p w14:paraId="478DAB2A" w14:textId="77777777" w:rsidR="0059797D" w:rsidRDefault="0059797D" w:rsidP="00FA69AA">
      <w:pPr>
        <w:rPr>
          <w:rFonts w:ascii="Arial" w:hAnsi="Arial" w:cs="Arial"/>
          <w:lang w:val="en-IN"/>
        </w:rPr>
      </w:pPr>
    </w:p>
    <w:p w14:paraId="20EC4393" w14:textId="77777777" w:rsidR="0059797D" w:rsidRDefault="0059797D" w:rsidP="00FA69AA">
      <w:pPr>
        <w:rPr>
          <w:rFonts w:ascii="Arial" w:hAnsi="Arial" w:cs="Arial"/>
          <w:lang w:val="en-IN"/>
        </w:rPr>
      </w:pPr>
    </w:p>
    <w:p w14:paraId="22E925A9" w14:textId="77777777" w:rsidR="0059797D" w:rsidRDefault="0059797D" w:rsidP="00FA69AA">
      <w:pPr>
        <w:rPr>
          <w:rFonts w:ascii="Arial" w:hAnsi="Arial" w:cs="Arial"/>
          <w:lang w:val="en-IN"/>
        </w:rPr>
      </w:pPr>
    </w:p>
    <w:p w14:paraId="65569444" w14:textId="77777777" w:rsidR="0059797D" w:rsidRDefault="0059797D" w:rsidP="00FA69AA">
      <w:pPr>
        <w:rPr>
          <w:rFonts w:ascii="Arial" w:hAnsi="Arial" w:cs="Arial"/>
          <w:lang w:val="en-IN"/>
        </w:rPr>
      </w:pPr>
    </w:p>
    <w:p w14:paraId="4582E6AB" w14:textId="77777777" w:rsidR="0059797D" w:rsidRDefault="0059797D" w:rsidP="00FA69AA">
      <w:pPr>
        <w:rPr>
          <w:rFonts w:ascii="Arial" w:hAnsi="Arial" w:cs="Arial"/>
          <w:lang w:val="en-IN"/>
        </w:rPr>
      </w:pPr>
    </w:p>
    <w:p w14:paraId="49D81286" w14:textId="77777777" w:rsidR="0059797D" w:rsidRDefault="0059797D" w:rsidP="00FA69AA">
      <w:pPr>
        <w:rPr>
          <w:rFonts w:ascii="Arial" w:hAnsi="Arial" w:cs="Arial"/>
          <w:lang w:val="en-IN"/>
        </w:rPr>
      </w:pPr>
    </w:p>
    <w:p w14:paraId="014B87CF" w14:textId="77777777" w:rsidR="0059797D" w:rsidRDefault="0059797D" w:rsidP="00FA69AA">
      <w:pPr>
        <w:rPr>
          <w:rFonts w:ascii="Arial" w:hAnsi="Arial" w:cs="Arial"/>
          <w:lang w:val="en-IN"/>
        </w:rPr>
      </w:pPr>
    </w:p>
    <w:p w14:paraId="49A5BD9B" w14:textId="77777777" w:rsidR="0059797D" w:rsidRDefault="0059797D" w:rsidP="00FA69AA">
      <w:pPr>
        <w:rPr>
          <w:rFonts w:ascii="Arial" w:hAnsi="Arial" w:cs="Arial"/>
          <w:lang w:val="en-IN"/>
        </w:rPr>
      </w:pPr>
    </w:p>
    <w:p w14:paraId="7667BFFE" w14:textId="77777777" w:rsidR="0059797D" w:rsidRDefault="0059797D" w:rsidP="00FA69AA">
      <w:pPr>
        <w:rPr>
          <w:rFonts w:ascii="Arial" w:hAnsi="Arial" w:cs="Arial"/>
          <w:lang w:val="en-IN"/>
        </w:rPr>
      </w:pPr>
    </w:p>
    <w:p w14:paraId="053D7308" w14:textId="77777777" w:rsidR="0059797D" w:rsidRDefault="0059797D" w:rsidP="00FA69AA">
      <w:pPr>
        <w:rPr>
          <w:rFonts w:ascii="Arial" w:hAnsi="Arial" w:cs="Arial"/>
          <w:lang w:val="en-IN"/>
        </w:rPr>
      </w:pPr>
    </w:p>
    <w:p w14:paraId="2172A1D8" w14:textId="77777777" w:rsidR="0059797D" w:rsidRDefault="0059797D" w:rsidP="00FA69AA">
      <w:pPr>
        <w:rPr>
          <w:rFonts w:ascii="Arial" w:hAnsi="Arial" w:cs="Arial"/>
          <w:lang w:val="en-IN"/>
        </w:rPr>
      </w:pPr>
    </w:p>
    <w:p w14:paraId="45B7AE31" w14:textId="77777777" w:rsidR="00FA69AA" w:rsidRPr="002A2A3D" w:rsidRDefault="00FA69AA" w:rsidP="00FA69AA">
      <w:pPr>
        <w:pStyle w:val="Heading1"/>
        <w:rPr>
          <w:rFonts w:ascii="Arial" w:hAnsi="Arial" w:cs="Arial"/>
        </w:rPr>
      </w:pPr>
      <w:bookmarkStart w:id="57" w:name="_Toc218462613"/>
      <w:r w:rsidRPr="002A2A3D">
        <w:rPr>
          <w:rFonts w:ascii="Arial" w:hAnsi="Arial" w:cs="Arial"/>
        </w:rPr>
        <w:lastRenderedPageBreak/>
        <w:t>Chapter 5</w:t>
      </w:r>
      <w:r w:rsidR="0059797D">
        <w:rPr>
          <w:rFonts w:ascii="Arial" w:hAnsi="Arial" w:cs="Arial"/>
        </w:rPr>
        <w:t>:</w:t>
      </w:r>
      <w:r w:rsidRPr="002A2A3D">
        <w:rPr>
          <w:rFonts w:ascii="Arial" w:hAnsi="Arial" w:cs="Arial"/>
        </w:rPr>
        <w:t xml:space="preserve"> Discussion and Implications</w:t>
      </w:r>
      <w:bookmarkEnd w:id="57"/>
    </w:p>
    <w:p w14:paraId="32A255A8" w14:textId="77777777" w:rsidR="00FA69AA" w:rsidRPr="002A2A3D" w:rsidRDefault="00FA69AA" w:rsidP="00FA69AA">
      <w:pPr>
        <w:pStyle w:val="Heading2"/>
        <w:rPr>
          <w:rFonts w:ascii="Arial" w:hAnsi="Arial" w:cs="Arial"/>
        </w:rPr>
      </w:pPr>
      <w:bookmarkStart w:id="58" w:name="_Toc218462614"/>
      <w:r w:rsidRPr="002A2A3D">
        <w:rPr>
          <w:rFonts w:ascii="Arial" w:hAnsi="Arial" w:cs="Arial"/>
        </w:rPr>
        <w:t>5.1. Discussion of Key Findings</w:t>
      </w:r>
      <w:bookmarkEnd w:id="58"/>
    </w:p>
    <w:p w14:paraId="18BCEF4A" w14:textId="77777777" w:rsidR="00AA0698" w:rsidRDefault="00FA69AA" w:rsidP="00F61E33">
      <w:pPr>
        <w:ind w:firstLine="720"/>
        <w:rPr>
          <w:rFonts w:ascii="Arial" w:hAnsi="Arial" w:cs="Arial"/>
        </w:rPr>
      </w:pPr>
      <w:r w:rsidRPr="002A2A3D">
        <w:rPr>
          <w:rFonts w:ascii="Arial" w:hAnsi="Arial" w:cs="Arial"/>
        </w:rPr>
        <w:t>This section discusses the key findings presented in Chapter 4 by relating them to the theoretical and empirical literature reviewed in Chapter 2. A central finding emerging from the review is that exchange-rate volatility is generally associated with weaker export performance, particularly within emerging market contexts. This finding is consistent with classical and modern trade theories, which emphasise that heightened uncertainty raises transaction costs and discourages international trade when firms are risk-averse (Bahmani-</w:t>
      </w:r>
      <w:proofErr w:type="spellStart"/>
      <w:r w:rsidRPr="002A2A3D">
        <w:rPr>
          <w:rFonts w:ascii="Arial" w:hAnsi="Arial" w:cs="Arial"/>
        </w:rPr>
        <w:t>Oskooee</w:t>
      </w:r>
      <w:proofErr w:type="spellEnd"/>
      <w:r w:rsidRPr="002A2A3D">
        <w:rPr>
          <w:rFonts w:ascii="Arial" w:hAnsi="Arial" w:cs="Arial"/>
        </w:rPr>
        <w:t xml:space="preserve"> and Hegerty, 2007; </w:t>
      </w:r>
      <w:proofErr w:type="spellStart"/>
      <w:r w:rsidRPr="002A2A3D">
        <w:rPr>
          <w:rFonts w:ascii="Arial" w:hAnsi="Arial" w:cs="Arial"/>
        </w:rPr>
        <w:t>Hoskisson</w:t>
      </w:r>
      <w:proofErr w:type="spellEnd"/>
      <w:r w:rsidRPr="002A2A3D">
        <w:rPr>
          <w:rFonts w:ascii="Arial" w:hAnsi="Arial" w:cs="Arial"/>
        </w:rPr>
        <w:t xml:space="preserve"> et al., 2016</w:t>
      </w:r>
      <w:r w:rsidR="00AA0698">
        <w:rPr>
          <w:rFonts w:ascii="Arial" w:hAnsi="Arial" w:cs="Arial"/>
        </w:rPr>
        <w:t>).</w:t>
      </w:r>
    </w:p>
    <w:p w14:paraId="2334BAE2" w14:textId="77777777" w:rsidR="00FA69AA" w:rsidRPr="002A2A3D" w:rsidRDefault="00FA69AA" w:rsidP="00F61E33">
      <w:pPr>
        <w:ind w:firstLine="720"/>
        <w:rPr>
          <w:rFonts w:ascii="Arial" w:hAnsi="Arial" w:cs="Arial"/>
        </w:rPr>
      </w:pPr>
      <w:r w:rsidRPr="002A2A3D">
        <w:rPr>
          <w:rFonts w:ascii="Arial" w:hAnsi="Arial" w:cs="Arial"/>
        </w:rPr>
        <w:t>At the same time, the findings highlight that the impact of exchange-rate volatility is not uniform across countries, sectors or time horizons. Several studies report asymmetric or non-linear effects, with exporters responding differently to appreciation-related and depreciation-related volatility (Bahmani-</w:t>
      </w:r>
      <w:proofErr w:type="spellStart"/>
      <w:r w:rsidRPr="002A2A3D">
        <w:rPr>
          <w:rFonts w:ascii="Arial" w:hAnsi="Arial" w:cs="Arial"/>
        </w:rPr>
        <w:t>Oskooee</w:t>
      </w:r>
      <w:proofErr w:type="spellEnd"/>
      <w:r w:rsidRPr="002A2A3D">
        <w:rPr>
          <w:rFonts w:ascii="Arial" w:hAnsi="Arial" w:cs="Arial"/>
        </w:rPr>
        <w:t xml:space="preserve"> and Hegerty, 2007). Such heterogeneity is consistent with insights from modern trade theory (Baldwin and </w:t>
      </w:r>
      <w:proofErr w:type="spellStart"/>
      <w:r w:rsidRPr="002A2A3D">
        <w:rPr>
          <w:rFonts w:ascii="Arial" w:hAnsi="Arial" w:cs="Arial"/>
        </w:rPr>
        <w:t>Forslid</w:t>
      </w:r>
      <w:proofErr w:type="spellEnd"/>
      <w:r w:rsidRPr="002A2A3D">
        <w:rPr>
          <w:rFonts w:ascii="Arial" w:hAnsi="Arial" w:cs="Arial"/>
        </w:rPr>
        <w:t>, 2010). Rather than undermining the relevance of exchange-rate volatility, this variation suggests that its effects are contingent on structural and institutional factors, including financial development, market access and firms’ ability to absorb risk.</w:t>
      </w:r>
    </w:p>
    <w:p w14:paraId="38F23124" w14:textId="77777777" w:rsidR="00AA0698" w:rsidRDefault="00FA69AA" w:rsidP="00F61E33">
      <w:pPr>
        <w:ind w:firstLine="720"/>
        <w:rPr>
          <w:rFonts w:ascii="Arial" w:hAnsi="Arial" w:cs="Arial"/>
        </w:rPr>
      </w:pPr>
      <w:r w:rsidRPr="002A2A3D">
        <w:rPr>
          <w:rFonts w:ascii="Arial" w:hAnsi="Arial" w:cs="Arial"/>
        </w:rPr>
        <w:t>A key contribution of this dissertation lies in the distinction between goods and services trade. The findings indicate that goods exports tend to exhibit a more direct and immediate response to exchange-rate volatility, reflecting their reliance on imported intermediate inputs, transport costs and competitive pricing in international markets.</w:t>
      </w:r>
      <w:r w:rsidR="00AA0698">
        <w:rPr>
          <w:rFonts w:ascii="Arial" w:hAnsi="Arial" w:cs="Arial"/>
        </w:rPr>
        <w:t xml:space="preserve"> </w:t>
      </w:r>
      <w:r w:rsidRPr="002A2A3D">
        <w:rPr>
          <w:rFonts w:ascii="Arial" w:hAnsi="Arial" w:cs="Arial"/>
        </w:rPr>
        <w:t xml:space="preserve">In contrast, services exports display a more nuanced response to exchange-rate volatility. The reviewed evidence suggests that services trade, particularly knowledge-intensive and digitally delivered services, may be less sensitive to short-term exchange-rate volatility in terms of export volumes. This aligns with </w:t>
      </w:r>
      <w:proofErr w:type="spellStart"/>
      <w:r w:rsidRPr="002A2A3D">
        <w:rPr>
          <w:rFonts w:ascii="Arial" w:hAnsi="Arial" w:cs="Arial"/>
        </w:rPr>
        <w:t>Eichengreen</w:t>
      </w:r>
      <w:proofErr w:type="spellEnd"/>
      <w:r w:rsidRPr="002A2A3D">
        <w:rPr>
          <w:rFonts w:ascii="Arial" w:hAnsi="Arial" w:cs="Arial"/>
        </w:rPr>
        <w:t xml:space="preserve"> and Gupta (2013), who show that India’s services exports respond differently to exchange-rate movements compared with goods exports, with global demand conditions playing a more prominent role. </w:t>
      </w:r>
    </w:p>
    <w:p w14:paraId="3E53FF08" w14:textId="77777777" w:rsidR="00AA0698" w:rsidRDefault="00FA69AA" w:rsidP="00F61E33">
      <w:pPr>
        <w:ind w:firstLine="720"/>
        <w:rPr>
          <w:rFonts w:ascii="Arial" w:hAnsi="Arial" w:cs="Arial"/>
        </w:rPr>
      </w:pPr>
      <w:r w:rsidRPr="002A2A3D">
        <w:rPr>
          <w:rFonts w:ascii="Arial" w:hAnsi="Arial" w:cs="Arial"/>
        </w:rPr>
        <w:t xml:space="preserve">Nevertheless, the findings also indicate that services exports are not insulated from exchange-rate risk. Studies on dominant-currency pricing suggest that widespread invoicing in a single foreign currency, particularly the US dollar, can limit short-run exchange-rate pass-through while increasing exposure to currency fluctuations over longer horizons (Gopinath, 2015). For services exporters operating under dollar-denominated contracts, exchange-rate volatility may therefore affect profitability, investment decisions and risk exposure even when export quantities remain relatively stable. </w:t>
      </w:r>
    </w:p>
    <w:p w14:paraId="376B9E4A" w14:textId="77777777" w:rsidR="00F61E33" w:rsidRDefault="00FA69AA" w:rsidP="00F61E33">
      <w:pPr>
        <w:ind w:firstLine="720"/>
        <w:rPr>
          <w:rFonts w:ascii="Arial" w:hAnsi="Arial" w:cs="Arial"/>
        </w:rPr>
      </w:pPr>
      <w:r w:rsidRPr="002A2A3D">
        <w:rPr>
          <w:rFonts w:ascii="Arial" w:hAnsi="Arial" w:cs="Arial"/>
        </w:rPr>
        <w:t xml:space="preserve">The emerging market and India-specific evidence further reinforces the importance of contextual factors. The findings suggest that exchange-rate volatility </w:t>
      </w:r>
      <w:r w:rsidRPr="002A2A3D">
        <w:rPr>
          <w:rFonts w:ascii="Arial" w:hAnsi="Arial" w:cs="Arial"/>
        </w:rPr>
        <w:lastRenderedPageBreak/>
        <w:t>has stronger and more persistent effects in emerging economies due to structural characteristics such as financial market imperfections, limited hedging opportunities and greater exposure to external shocks. In the Indian context, the combination of services-led export growth and reliance on foreign-currency invoicing creates distinct channels through which exchange-rate volatility influences trade outcomes.</w:t>
      </w:r>
      <w:r w:rsidR="00F61E33">
        <w:rPr>
          <w:rFonts w:ascii="Arial" w:hAnsi="Arial" w:cs="Arial"/>
        </w:rPr>
        <w:t xml:space="preserve"> </w:t>
      </w:r>
    </w:p>
    <w:p w14:paraId="36A44231" w14:textId="77777777" w:rsidR="00FA69AA" w:rsidRPr="002A2A3D" w:rsidRDefault="00FA69AA" w:rsidP="00F61E33">
      <w:pPr>
        <w:ind w:firstLine="720"/>
        <w:rPr>
          <w:rFonts w:ascii="Arial" w:hAnsi="Arial" w:cs="Arial"/>
        </w:rPr>
      </w:pPr>
      <w:r w:rsidRPr="002A2A3D">
        <w:rPr>
          <w:rFonts w:ascii="Arial" w:hAnsi="Arial" w:cs="Arial"/>
        </w:rPr>
        <w:t>Another important insight from the review concerns the interaction between exchange-rate volatility and broader sources of uncertainty. The findings indicate that the adverse effects of volatility are often amplified during periods of global financial stress, geopolitical instability or heightened policy uncertainty. For emerging markets such as India, where exchange-rate movements are closely linked to capital flows and global risk sentiment, this interaction is particularly relevant.</w:t>
      </w:r>
    </w:p>
    <w:p w14:paraId="568C2C50" w14:textId="77777777" w:rsidR="00FA69AA" w:rsidRPr="002A2A3D" w:rsidRDefault="00FA69AA" w:rsidP="00F61E33">
      <w:pPr>
        <w:ind w:firstLine="720"/>
        <w:rPr>
          <w:rFonts w:ascii="Arial" w:hAnsi="Arial" w:cs="Arial"/>
        </w:rPr>
      </w:pPr>
      <w:r w:rsidRPr="002A2A3D">
        <w:rPr>
          <w:rFonts w:ascii="Arial" w:hAnsi="Arial" w:cs="Arial"/>
        </w:rPr>
        <w:t xml:space="preserve">Overall, the discussion suggests that while exchange-rate volatility generally constrains export performance, its effects are heterogeneous and mediated by sectoral composition, institutional context and external conditions. By synthesising evidence across goods and services trade, emerging market contexts and uncertainty-driven shocks, this study extends the existing literature by offering a more integrated understanding of how exchange-rate volatility affects exports in a services-oriented emerging economy. </w:t>
      </w:r>
    </w:p>
    <w:p w14:paraId="5A8CE316" w14:textId="77777777" w:rsidR="00FA69AA" w:rsidRPr="002A2A3D" w:rsidRDefault="00FA69AA" w:rsidP="00FA69AA">
      <w:pPr>
        <w:pStyle w:val="Heading2"/>
        <w:rPr>
          <w:rFonts w:ascii="Arial" w:hAnsi="Arial" w:cs="Arial"/>
        </w:rPr>
      </w:pPr>
      <w:bookmarkStart w:id="59" w:name="_Toc218462615"/>
      <w:r w:rsidRPr="002A2A3D">
        <w:rPr>
          <w:rFonts w:ascii="Arial" w:hAnsi="Arial" w:cs="Arial"/>
        </w:rPr>
        <w:t>5.2. Theoretical Contributions</w:t>
      </w:r>
      <w:bookmarkEnd w:id="59"/>
    </w:p>
    <w:p w14:paraId="69F09DA7" w14:textId="77777777" w:rsidR="00FA69AA" w:rsidRPr="002A2A3D" w:rsidRDefault="00FA69AA" w:rsidP="00F61E33">
      <w:pPr>
        <w:ind w:firstLine="720"/>
        <w:rPr>
          <w:rFonts w:ascii="Arial" w:hAnsi="Arial" w:cs="Arial"/>
        </w:rPr>
      </w:pPr>
      <w:r w:rsidRPr="002A2A3D">
        <w:rPr>
          <w:rFonts w:ascii="Arial" w:hAnsi="Arial" w:cs="Arial"/>
        </w:rPr>
        <w:t>This dissertation makes several theoretical contributions by synthesising and extending existing literature on exchange-rate volatility and trade through a services-oriented and emerging-market perspective. In doing so, the dissertation contributes to a more context-sensitive understanding of exchange-rate risk in contemporary global trade.</w:t>
      </w:r>
      <w:r w:rsidR="00F61E33">
        <w:rPr>
          <w:rFonts w:ascii="Arial" w:hAnsi="Arial" w:cs="Arial"/>
        </w:rPr>
        <w:t xml:space="preserve"> </w:t>
      </w:r>
      <w:r w:rsidRPr="002A2A3D">
        <w:rPr>
          <w:rFonts w:ascii="Arial" w:hAnsi="Arial" w:cs="Arial"/>
        </w:rPr>
        <w:t>First, the study reinforces classical trade theory by confirming that exchange-rate volatility acts as an implicit trade cost. Early theoretical models emphasise that risk-averse firms may reduce international trade engagement when faced with uncertainty over future exchange-rate movements, due to increased revenue volatility and contracting risk (</w:t>
      </w:r>
      <w:proofErr w:type="spellStart"/>
      <w:r w:rsidRPr="002A2A3D">
        <w:rPr>
          <w:rFonts w:ascii="Arial" w:hAnsi="Arial" w:cs="Arial"/>
        </w:rPr>
        <w:t>Asteriou</w:t>
      </w:r>
      <w:proofErr w:type="spellEnd"/>
      <w:r w:rsidRPr="002A2A3D">
        <w:rPr>
          <w:rFonts w:ascii="Arial" w:hAnsi="Arial" w:cs="Arial"/>
        </w:rPr>
        <w:t xml:space="preserve"> et al., 2016). The synthesis of empirical evidence in this dissertation supports this prediction, particularly in emerging-market contexts where financial constraints and limited hedging opportunities magnify the effects of volatility. </w:t>
      </w:r>
      <w:r w:rsidR="00F61E33">
        <w:rPr>
          <w:rFonts w:ascii="Arial" w:hAnsi="Arial" w:cs="Arial"/>
        </w:rPr>
        <w:t xml:space="preserve"> </w:t>
      </w:r>
      <w:r w:rsidRPr="002A2A3D">
        <w:rPr>
          <w:rFonts w:ascii="Arial" w:hAnsi="Arial" w:cs="Arial"/>
        </w:rPr>
        <w:t xml:space="preserve">Second, the findings extend modern trade theory by highlighting the role of firm-level heterogeneity and sectoral differences in mediating the impact of exchange-rate volatility. Modern models of international trade emphasise differences in firm productivity, market power and adjustment capacity as key determinants of trade outcomes (Baldwin and </w:t>
      </w:r>
      <w:proofErr w:type="spellStart"/>
      <w:r w:rsidRPr="002A2A3D">
        <w:rPr>
          <w:rFonts w:ascii="Arial" w:hAnsi="Arial" w:cs="Arial"/>
        </w:rPr>
        <w:t>Forslid</w:t>
      </w:r>
      <w:proofErr w:type="spellEnd"/>
      <w:r w:rsidRPr="002A2A3D">
        <w:rPr>
          <w:rFonts w:ascii="Arial" w:hAnsi="Arial" w:cs="Arial"/>
        </w:rPr>
        <w:t xml:space="preserve">, 2010). The reviewed literature indicates that exporters respond unevenly to exchange-rate volatility depending on their ability to adjust prices, absorb risk or access financial instruments. </w:t>
      </w:r>
      <w:r w:rsidR="00F61E33">
        <w:rPr>
          <w:rFonts w:ascii="Arial" w:hAnsi="Arial" w:cs="Arial"/>
        </w:rPr>
        <w:t xml:space="preserve"> </w:t>
      </w:r>
      <w:r w:rsidRPr="002A2A3D">
        <w:rPr>
          <w:rFonts w:ascii="Arial" w:hAnsi="Arial" w:cs="Arial"/>
        </w:rPr>
        <w:t xml:space="preserve">Third, the dissertation contributes to the literature on exchange-rate pass-through and pricing behaviour by highlighting the relevance of dominant-currency pricing beyond goods trade. Traditional pass-through models often assume that exchange-rate movements are transmitted symmetrically into </w:t>
      </w:r>
      <w:r w:rsidRPr="002A2A3D">
        <w:rPr>
          <w:rFonts w:ascii="Arial" w:hAnsi="Arial" w:cs="Arial"/>
        </w:rPr>
        <w:lastRenderedPageBreak/>
        <w:t>export prices and quantities. However, the findings synthesised in this dissertation support the argument that widespread invoicing in a dominant currency, particularly the US dollar, limits short-run pass-through while altering longer-term exposure to exchange-rate risk (Gopinath, 2015). By extending this insight to services trade, the study advances theoretical understanding of how pricing conventions reshape the relationship between exchange-rate volatility and trade outcomes.</w:t>
      </w:r>
      <w:r w:rsidR="00F61E33">
        <w:rPr>
          <w:rFonts w:ascii="Arial" w:hAnsi="Arial" w:cs="Arial"/>
        </w:rPr>
        <w:t xml:space="preserve"> </w:t>
      </w:r>
      <w:r w:rsidRPr="002A2A3D">
        <w:rPr>
          <w:rFonts w:ascii="Arial" w:hAnsi="Arial" w:cs="Arial"/>
        </w:rPr>
        <w:t>Fourth, the study advances theoretical perspectives on services trade by demonstrating that services exports respond differently to exchange-rate volatility than goods exports. The findings suggest that exchange-rate volatility affects services trade primarily through profitability, investment decisions and risk exposure rather than through immediate changes in export volumes. This nuance extends theoretical frameworks by emphasising the need to account for sector-specific transmission mechanisms when analysing exchange-rate effects.</w:t>
      </w:r>
    </w:p>
    <w:p w14:paraId="4EDD07A1" w14:textId="77777777" w:rsidR="00FA69AA" w:rsidRPr="002A2A3D" w:rsidRDefault="00FA69AA" w:rsidP="00F61E33">
      <w:pPr>
        <w:ind w:firstLine="720"/>
        <w:rPr>
          <w:rFonts w:ascii="Arial" w:hAnsi="Arial" w:cs="Arial"/>
        </w:rPr>
      </w:pPr>
      <w:r w:rsidRPr="002A2A3D">
        <w:rPr>
          <w:rFonts w:ascii="Arial" w:hAnsi="Arial" w:cs="Arial"/>
        </w:rPr>
        <w:t>Finally, the dissertation contributes to the emerging literature that integrates exchange-rate volatility within broader uncertainty- and shock-based frameworks. The findings indicate that volatility effects are amplified during periods of global financial stress, geopolitical instability and heightened policy uncertainty, supporting arguments that exchange-rate movements should be interpreted within a wider uncertainty environment rather than as isolated macroeconomic variables (</w:t>
      </w:r>
      <w:proofErr w:type="spellStart"/>
      <w:r w:rsidRPr="002A2A3D">
        <w:rPr>
          <w:rFonts w:ascii="Arial" w:hAnsi="Arial" w:cs="Arial"/>
        </w:rPr>
        <w:t>Auboin</w:t>
      </w:r>
      <w:proofErr w:type="spellEnd"/>
      <w:r w:rsidRPr="002A2A3D">
        <w:rPr>
          <w:rFonts w:ascii="Arial" w:hAnsi="Arial" w:cs="Arial"/>
        </w:rPr>
        <w:t xml:space="preserve"> and Ruta, 2013; Bennett et al., 2016). This integration strengthens theoretical explanations of trade dynamics in emerging markets, where exposure to external shocks and capital flow volatility is particularly pronounced.</w:t>
      </w:r>
      <w:r w:rsidR="00F61E33">
        <w:rPr>
          <w:rFonts w:ascii="Arial" w:hAnsi="Arial" w:cs="Arial"/>
        </w:rPr>
        <w:t xml:space="preserve"> </w:t>
      </w:r>
      <w:r w:rsidRPr="002A2A3D">
        <w:rPr>
          <w:rFonts w:ascii="Arial" w:hAnsi="Arial" w:cs="Arial"/>
        </w:rPr>
        <w:t>By synthesising evidence across goods and services trade within an emerging-market context, this dissertation offers a more comprehensive theoretical framework for understanding how exchange-rate volatility influences export performance in contemporary global trade.</w:t>
      </w:r>
    </w:p>
    <w:p w14:paraId="107A7DEA" w14:textId="77777777" w:rsidR="00FA69AA" w:rsidRPr="002A2A3D" w:rsidRDefault="00FA69AA" w:rsidP="00FA69AA">
      <w:pPr>
        <w:pStyle w:val="Heading2"/>
        <w:rPr>
          <w:rFonts w:ascii="Arial" w:hAnsi="Arial" w:cs="Arial"/>
        </w:rPr>
      </w:pPr>
      <w:bookmarkStart w:id="60" w:name="_Toc218462616"/>
      <w:r w:rsidRPr="002A2A3D">
        <w:rPr>
          <w:rFonts w:ascii="Arial" w:hAnsi="Arial" w:cs="Arial"/>
        </w:rPr>
        <w:t>5.3. Policy Implications</w:t>
      </w:r>
      <w:bookmarkEnd w:id="60"/>
    </w:p>
    <w:p w14:paraId="463D25FE" w14:textId="77777777" w:rsidR="00AA0698" w:rsidRDefault="00FA69AA" w:rsidP="00F61E33">
      <w:pPr>
        <w:ind w:firstLine="720"/>
        <w:rPr>
          <w:rFonts w:ascii="Arial" w:hAnsi="Arial" w:cs="Arial"/>
        </w:rPr>
      </w:pPr>
      <w:r w:rsidRPr="002A2A3D">
        <w:rPr>
          <w:rFonts w:ascii="Arial" w:hAnsi="Arial" w:cs="Arial"/>
        </w:rPr>
        <w:t xml:space="preserve">Building on the empirical patterns synthesised in Chapter 4, this section translates the study’s findings into implications for policymakers, regulatory authorities and trade institutions, particularly within emerging market economies. The reviewed evidence suggests that while exchange-rate flexibility remains an important macroeconomic adjustment mechanism, excessive exchange-rate volatility can undermine export performance by increasing uncertainty faced by firms. </w:t>
      </w:r>
    </w:p>
    <w:p w14:paraId="32E74CA7" w14:textId="77777777" w:rsidR="00FA69AA" w:rsidRPr="002A2A3D" w:rsidRDefault="00FA69AA" w:rsidP="00F61E33">
      <w:pPr>
        <w:ind w:firstLine="720"/>
        <w:rPr>
          <w:rFonts w:ascii="Arial" w:hAnsi="Arial" w:cs="Arial"/>
        </w:rPr>
      </w:pPr>
      <w:r w:rsidRPr="002A2A3D">
        <w:rPr>
          <w:rFonts w:ascii="Arial" w:hAnsi="Arial" w:cs="Arial"/>
        </w:rPr>
        <w:t>First, the findings indicate that policymakers should pay closer attention to the stabilising role of exchange-rate management during periods of heightened global uncertainty.</w:t>
      </w:r>
      <w:r w:rsidR="00AA0698">
        <w:rPr>
          <w:rFonts w:ascii="Arial" w:hAnsi="Arial" w:cs="Arial"/>
        </w:rPr>
        <w:t xml:space="preserve"> E</w:t>
      </w:r>
      <w:r w:rsidRPr="002A2A3D">
        <w:rPr>
          <w:rFonts w:ascii="Arial" w:hAnsi="Arial" w:cs="Arial"/>
        </w:rPr>
        <w:t>xcessive short-term volatility may discourage export participation, particularly among smaller firms with limited capacity to absorb risk. Central banks can mitigate such effects through credible monetary policy frameworks, calibrated foreign exchange interventions and macroprudential measures aimed at dampening destabilising capital flow movements (</w:t>
      </w:r>
      <w:proofErr w:type="spellStart"/>
      <w:r w:rsidRPr="002A2A3D">
        <w:rPr>
          <w:rFonts w:ascii="Arial" w:hAnsi="Arial" w:cs="Arial"/>
        </w:rPr>
        <w:t>Auboin</w:t>
      </w:r>
      <w:proofErr w:type="spellEnd"/>
      <w:r w:rsidRPr="002A2A3D">
        <w:rPr>
          <w:rFonts w:ascii="Arial" w:hAnsi="Arial" w:cs="Arial"/>
        </w:rPr>
        <w:t xml:space="preserve"> and Ruta, 2013). These tools can help reduce uncertainty without compromising longer-term exchange-rate flexibility.</w:t>
      </w:r>
      <w:r w:rsidR="00F61E33">
        <w:rPr>
          <w:rFonts w:ascii="Arial" w:hAnsi="Arial" w:cs="Arial"/>
        </w:rPr>
        <w:t xml:space="preserve"> </w:t>
      </w:r>
      <w:r w:rsidRPr="002A2A3D">
        <w:rPr>
          <w:rFonts w:ascii="Arial" w:hAnsi="Arial" w:cs="Arial"/>
        </w:rPr>
        <w:t xml:space="preserve">Second, the evidence highlights the importance of financial market development as a </w:t>
      </w:r>
      <w:r w:rsidRPr="002A2A3D">
        <w:rPr>
          <w:rFonts w:ascii="Arial" w:hAnsi="Arial" w:cs="Arial"/>
        </w:rPr>
        <w:lastRenderedPageBreak/>
        <w:t xml:space="preserve">policy buffer against exchange-rate risk. Exporters in emerging markets are often more exposed to currency volatility due to limited access to hedging instruments and trade finance. Policymakers can reduce this vulnerability by promoting deeper and more inclusive financial systems, including improved access to foreign exchange derivatives, export credit facilities and currency risk management instruments for small and medium-sized enterprises (SMEs). </w:t>
      </w:r>
      <w:r w:rsidR="00F61E33">
        <w:rPr>
          <w:rFonts w:ascii="Arial" w:hAnsi="Arial" w:cs="Arial"/>
        </w:rPr>
        <w:t xml:space="preserve"> </w:t>
      </w:r>
      <w:r w:rsidRPr="002A2A3D">
        <w:rPr>
          <w:rFonts w:ascii="Arial" w:hAnsi="Arial" w:cs="Arial"/>
        </w:rPr>
        <w:t>Third, the findings carry specific implications for services-led export strategies, particularly in economies such as India. While services exports may exhibit lower short-term sensitivity to exchange-rate volatility in volume terms, currency fluctuations continue to influence profitability, pricing margins and investment decisions. Policymakers should therefore avoid treating services trade as insulated from exchange-rate risk. Export promotion policies should account for the prevalence of foreign-currency invoicing and long-term contracts in services sectors, particularly in knowledge-intensive and digitally delivered activities, where exchange-rate movements may affect competitiveness through financial rather than quantity channels (</w:t>
      </w:r>
      <w:proofErr w:type="spellStart"/>
      <w:r w:rsidRPr="002A2A3D">
        <w:rPr>
          <w:rFonts w:ascii="Arial" w:hAnsi="Arial" w:cs="Arial"/>
        </w:rPr>
        <w:t>Eichengreen</w:t>
      </w:r>
      <w:proofErr w:type="spellEnd"/>
      <w:r w:rsidRPr="002A2A3D">
        <w:rPr>
          <w:rFonts w:ascii="Arial" w:hAnsi="Arial" w:cs="Arial"/>
        </w:rPr>
        <w:t xml:space="preserve"> and Gupta, 2013).</w:t>
      </w:r>
      <w:r w:rsidR="00F61E33">
        <w:rPr>
          <w:rFonts w:ascii="Arial" w:hAnsi="Arial" w:cs="Arial"/>
        </w:rPr>
        <w:t xml:space="preserve"> </w:t>
      </w:r>
      <w:r w:rsidRPr="002A2A3D">
        <w:rPr>
          <w:rFonts w:ascii="Arial" w:hAnsi="Arial" w:cs="Arial"/>
        </w:rPr>
        <w:t>Fourth, the interaction between exchange-rate volatility and broader sources of uncertainty suggests a need for policy coordination across macroeconomic and trade domains. The literature indicates that external shocks, including global financial crises and geopolitical disruptions, amplify the adverse effects of currency volatility on trade. Maintaining transparent trade policies, reducing regulatory unpredictability and supporting supply-chain resilience may help limit the compounding effects of volatility during periods of global stress (Bennett et al., 2016). Such measures are particularly relevant for emerging economies that are more exposed to spillovers from global financial conditions.</w:t>
      </w:r>
      <w:r w:rsidR="00F61E33">
        <w:rPr>
          <w:rFonts w:ascii="Arial" w:hAnsi="Arial" w:cs="Arial"/>
        </w:rPr>
        <w:t xml:space="preserve"> </w:t>
      </w:r>
      <w:r w:rsidRPr="002A2A3D">
        <w:rPr>
          <w:rFonts w:ascii="Arial" w:hAnsi="Arial" w:cs="Arial"/>
        </w:rPr>
        <w:t xml:space="preserve">Finally, the emerging market and India-specific evidence underscores the need for targeted support for SMEs engaged in international trade. Policies aimed at improving access to trade finance, expanding export insurance schemes and enhancing institutional support for risk management may strengthen export participation and resilience to currency fluctuations (Sudan and </w:t>
      </w:r>
      <w:proofErr w:type="spellStart"/>
      <w:r w:rsidRPr="002A2A3D">
        <w:rPr>
          <w:rFonts w:ascii="Arial" w:hAnsi="Arial" w:cs="Arial"/>
        </w:rPr>
        <w:t>Taggar</w:t>
      </w:r>
      <w:proofErr w:type="spellEnd"/>
      <w:r w:rsidRPr="002A2A3D">
        <w:rPr>
          <w:rFonts w:ascii="Arial" w:hAnsi="Arial" w:cs="Arial"/>
        </w:rPr>
        <w:t>, 2024).</w:t>
      </w:r>
    </w:p>
    <w:p w14:paraId="6E74722A" w14:textId="77777777" w:rsidR="00FA69AA" w:rsidRPr="002A2A3D" w:rsidRDefault="00FA69AA" w:rsidP="00F61E33">
      <w:pPr>
        <w:ind w:firstLine="720"/>
        <w:rPr>
          <w:rFonts w:ascii="Arial" w:hAnsi="Arial" w:cs="Arial"/>
        </w:rPr>
      </w:pPr>
      <w:r w:rsidRPr="002A2A3D">
        <w:rPr>
          <w:rFonts w:ascii="Arial" w:hAnsi="Arial" w:cs="Arial"/>
        </w:rPr>
        <w:t>Overall, the findings suggest that effective policy responses to exchange-rate volatility should combine macroeconomic stability, financial development and targeted trade support. By recognising the differentiated effects of volatility across sectors and firm types, policymakers can design more nuanced strategies to support export performance in emerging and services-oriented economies.</w:t>
      </w:r>
    </w:p>
    <w:p w14:paraId="044CAAC0" w14:textId="77777777" w:rsidR="00FA69AA" w:rsidRPr="002A2A3D" w:rsidRDefault="00FA69AA" w:rsidP="00FA69AA">
      <w:pPr>
        <w:pStyle w:val="Heading2"/>
        <w:rPr>
          <w:rFonts w:ascii="Arial" w:hAnsi="Arial" w:cs="Arial"/>
        </w:rPr>
      </w:pPr>
      <w:bookmarkStart w:id="61" w:name="_Toc218462617"/>
      <w:r w:rsidRPr="002A2A3D">
        <w:rPr>
          <w:rFonts w:ascii="Arial" w:hAnsi="Arial" w:cs="Arial"/>
        </w:rPr>
        <w:t>5.4. Managerial Implications</w:t>
      </w:r>
      <w:bookmarkEnd w:id="61"/>
    </w:p>
    <w:p w14:paraId="0C3F3409" w14:textId="77777777" w:rsidR="00F61E33" w:rsidRDefault="00FA69AA" w:rsidP="00F61E33">
      <w:pPr>
        <w:ind w:firstLine="720"/>
        <w:rPr>
          <w:rFonts w:ascii="Arial" w:hAnsi="Arial" w:cs="Arial"/>
        </w:rPr>
      </w:pPr>
      <w:r w:rsidRPr="002A2A3D">
        <w:rPr>
          <w:rFonts w:ascii="Arial" w:hAnsi="Arial" w:cs="Arial"/>
        </w:rPr>
        <w:t xml:space="preserve">The findings of this study carry important implications for managers and decision-makers within exporting firms, particularly those operating in emerging market economies and services-oriented sectors. Exchange-rate volatility represents a source of operational and strategic uncertainty that can influence pricing, contracting, investment and market-entry decisions. </w:t>
      </w:r>
      <w:r w:rsidR="00F61E33">
        <w:rPr>
          <w:rFonts w:ascii="Arial" w:hAnsi="Arial" w:cs="Arial"/>
        </w:rPr>
        <w:t xml:space="preserve"> </w:t>
      </w:r>
    </w:p>
    <w:p w14:paraId="6FBBFE28" w14:textId="77777777" w:rsidR="00FA69AA" w:rsidRPr="002A2A3D" w:rsidRDefault="00FA69AA" w:rsidP="00F61E33">
      <w:pPr>
        <w:ind w:firstLine="720"/>
        <w:rPr>
          <w:rFonts w:ascii="Arial" w:hAnsi="Arial" w:cs="Arial"/>
        </w:rPr>
      </w:pPr>
      <w:r w:rsidRPr="002A2A3D">
        <w:rPr>
          <w:rFonts w:ascii="Arial" w:hAnsi="Arial" w:cs="Arial"/>
        </w:rPr>
        <w:lastRenderedPageBreak/>
        <w:t>The findings suggest that managers should adopt a proactive approach to exchange-rate risk management rather than treating currency movements as short-term financial noise. Managers should therefore integrate exchange-rate considerations into broader strategic planning processes, particularly for long-term contracts, capacity investment and foreign market commitments (Bahmani-</w:t>
      </w:r>
      <w:proofErr w:type="spellStart"/>
      <w:r w:rsidRPr="002A2A3D">
        <w:rPr>
          <w:rFonts w:ascii="Arial" w:hAnsi="Arial" w:cs="Arial"/>
        </w:rPr>
        <w:t>Oskooee</w:t>
      </w:r>
      <w:proofErr w:type="spellEnd"/>
      <w:r w:rsidRPr="002A2A3D">
        <w:rPr>
          <w:rFonts w:ascii="Arial" w:hAnsi="Arial" w:cs="Arial"/>
        </w:rPr>
        <w:t xml:space="preserve"> and Hegerty, 2007).</w:t>
      </w:r>
      <w:r w:rsidR="00F61E33">
        <w:rPr>
          <w:rFonts w:ascii="Arial" w:hAnsi="Arial" w:cs="Arial"/>
        </w:rPr>
        <w:t xml:space="preserve"> </w:t>
      </w:r>
      <w:r w:rsidRPr="002A2A3D">
        <w:rPr>
          <w:rFonts w:ascii="Arial" w:hAnsi="Arial" w:cs="Arial"/>
        </w:rPr>
        <w:t xml:space="preserve">The distinction between goods and services trade has direct implications for managerial decision-making. For goods exporters, exchange-rate volatility often translates more directly into cost and price pressures due to reliance on imported inputs, transportation costs and competitive pricing dynamics in international markets. </w:t>
      </w:r>
      <w:r w:rsidR="00F61E33">
        <w:rPr>
          <w:rFonts w:ascii="Arial" w:hAnsi="Arial" w:cs="Arial"/>
        </w:rPr>
        <w:t xml:space="preserve"> I</w:t>
      </w:r>
      <w:r w:rsidRPr="002A2A3D">
        <w:rPr>
          <w:rFonts w:ascii="Arial" w:hAnsi="Arial" w:cs="Arial"/>
        </w:rPr>
        <w:t>n contrast, managers in services-exporting firms face a different risk profile. Although services exports may exhibit lower short-term sensitivity to exchange-rate volatility in volume terms, the findings indicate that currency movements can significantly affect profitability and investment decisions, particularly under foreign-currency invoicing arrangements. Managers should carefully consider contract currency choices, pricing clauses and revenue diversification strategies to manage longer-term exchange-rate exposure (Gopinath, 2015). This is especially relevant for knowledge-intensive and digitally delivered services, where contracts are often denominated in dominant currencies such as the US dollar.</w:t>
      </w:r>
    </w:p>
    <w:p w14:paraId="1A1229E9" w14:textId="77777777" w:rsidR="00FA69AA" w:rsidRPr="002A2A3D" w:rsidRDefault="00FA69AA" w:rsidP="00F61E33">
      <w:pPr>
        <w:ind w:firstLine="720"/>
        <w:rPr>
          <w:rFonts w:ascii="Arial" w:hAnsi="Arial" w:cs="Arial"/>
        </w:rPr>
      </w:pPr>
      <w:r w:rsidRPr="002A2A3D">
        <w:rPr>
          <w:rFonts w:ascii="Arial" w:hAnsi="Arial" w:cs="Arial"/>
        </w:rPr>
        <w:t>Firm size and financial capacity also play an important role in shaping managerial responses to exchange-rate volatility. Larger firms are generally better positioned to absorb currency risk through internal hedging, financial derivatives or geographic diversification. In contrast, small and medium-sized enterprises (SMEs) often lack access to sophisticated risk-management instruments, making them more vulnerable to volatility. Managers of SMEs may therefore prioritise simpler risk-mitigation strategies, such as shorter contract durations, diversified client bases and closer alignment between costs and revenues in the same currency (Dong, 2018).</w:t>
      </w:r>
      <w:r w:rsidR="00F61E33">
        <w:rPr>
          <w:rFonts w:ascii="Arial" w:hAnsi="Arial" w:cs="Arial"/>
        </w:rPr>
        <w:t xml:space="preserve"> </w:t>
      </w:r>
      <w:r w:rsidRPr="002A2A3D">
        <w:rPr>
          <w:rFonts w:ascii="Arial" w:hAnsi="Arial" w:cs="Arial"/>
        </w:rPr>
        <w:t>Finally, the interaction between exchange-rate volatility and external uncertainty highlights the importance of strategic flexibility. Periods of global financial stress or geopolitical disruption can amplify the effects of currency volatility, simultaneously affecting demand conditions and access to finance. Managers should therefore build organisational resilience by maintaining liquidity buffers, monitoring global risk indicators and developing contingency plans for adverse currency and demand shocks (Bennett et al., 2016).</w:t>
      </w:r>
      <w:r w:rsidR="00F61E33">
        <w:rPr>
          <w:rFonts w:ascii="Arial" w:hAnsi="Arial" w:cs="Arial"/>
        </w:rPr>
        <w:t xml:space="preserve"> </w:t>
      </w:r>
      <w:r w:rsidRPr="002A2A3D">
        <w:rPr>
          <w:rFonts w:ascii="Arial" w:hAnsi="Arial" w:cs="Arial"/>
        </w:rPr>
        <w:t>Overall, the findings suggest that effective management of exchange-rate volatility requires a combination of financial awareness, strategic planning and operational flexibility. By recognising sector-specific exposure and aligning risk-management strategies with firm capabilities, managers can reduce vulnerability to currency fluctuations and support more resilient export performance.</w:t>
      </w:r>
    </w:p>
    <w:p w14:paraId="45DEA058" w14:textId="77777777" w:rsidR="00FA69AA" w:rsidRPr="002A2A3D" w:rsidRDefault="00FA69AA" w:rsidP="00FA69AA">
      <w:pPr>
        <w:pStyle w:val="Heading2"/>
        <w:rPr>
          <w:rFonts w:ascii="Arial" w:hAnsi="Arial" w:cs="Arial"/>
        </w:rPr>
      </w:pPr>
      <w:bookmarkStart w:id="62" w:name="_Toc218462618"/>
      <w:r w:rsidRPr="002A2A3D">
        <w:rPr>
          <w:rFonts w:ascii="Arial" w:hAnsi="Arial" w:cs="Arial"/>
        </w:rPr>
        <w:t>5.5. Limitations of the Study</w:t>
      </w:r>
      <w:bookmarkEnd w:id="62"/>
    </w:p>
    <w:p w14:paraId="08BA1B80" w14:textId="77777777" w:rsidR="00FA69AA" w:rsidRPr="002A2A3D" w:rsidRDefault="00FA69AA" w:rsidP="00F61E33">
      <w:pPr>
        <w:ind w:firstLine="720"/>
        <w:rPr>
          <w:rFonts w:ascii="Arial" w:hAnsi="Arial" w:cs="Arial"/>
        </w:rPr>
      </w:pPr>
      <w:r w:rsidRPr="002A2A3D">
        <w:rPr>
          <w:rFonts w:ascii="Arial" w:hAnsi="Arial" w:cs="Arial"/>
        </w:rPr>
        <w:t>Despite providing a comprehensive synthesis of the literature, this study is subject to several limitations that should be considered when interpreting its findings.</w:t>
      </w:r>
      <w:r w:rsidR="00F61E33">
        <w:rPr>
          <w:rFonts w:ascii="Arial" w:hAnsi="Arial" w:cs="Arial"/>
        </w:rPr>
        <w:t xml:space="preserve"> </w:t>
      </w:r>
      <w:r w:rsidRPr="002A2A3D">
        <w:rPr>
          <w:rFonts w:ascii="Arial" w:hAnsi="Arial" w:cs="Arial"/>
        </w:rPr>
        <w:lastRenderedPageBreak/>
        <w:t>First, the dissertation relies on a systematic review of existing literature rather than primary empirical analysis. While this approach is appropriate given the fragmented and multidisciplinary nature of research on exchange-rate volatility and trade, it implies that the findings are contingent on the quality, coverage and methodological diversity of the underlying studies. Differences in data sources, volatility measures and econometric techniques across the reviewed literature may contribute to variation in reported results.</w:t>
      </w:r>
      <w:r w:rsidR="00F61E33">
        <w:rPr>
          <w:rFonts w:ascii="Arial" w:hAnsi="Arial" w:cs="Arial"/>
        </w:rPr>
        <w:t xml:space="preserve"> </w:t>
      </w:r>
      <w:r w:rsidRPr="002A2A3D">
        <w:rPr>
          <w:rFonts w:ascii="Arial" w:hAnsi="Arial" w:cs="Arial"/>
        </w:rPr>
        <w:t>Second, although the study places particular emphasis on emerging markets and India, the availability of sector-specific and services-focused empirical evidence remains limited. Much of the existing literature continues to focus on goods trade and aggregate export measures, which constrains the extent to which definitive conclusions can be drawn regarding services exports. As a result, findings relating to services trade are necessarily interpretive and based on a smaller subset of studies, reflecting gaps in the current research landscape rather than shortcomings of the review itself.</w:t>
      </w:r>
      <w:r w:rsidR="00F61E33">
        <w:rPr>
          <w:rFonts w:ascii="Arial" w:hAnsi="Arial" w:cs="Arial"/>
        </w:rPr>
        <w:t xml:space="preserve"> </w:t>
      </w:r>
      <w:r w:rsidRPr="002A2A3D">
        <w:rPr>
          <w:rFonts w:ascii="Arial" w:hAnsi="Arial" w:cs="Arial"/>
        </w:rPr>
        <w:t>Third, the review does not explicitly differentiate between short-run and long-run exchange-rate volatility effects in all cases, as not all studies provide comparable time-horizon analyses. While this limits the ability to draw uniform conclusions regarding dynamic adjustment mechanisms, it again reflects heterogeneity in the existing literature rather than the review process. Where relevant, the analysis highlights differences in findings across time horizons, but a fully consistent temporal comparison is not always feasible.</w:t>
      </w:r>
      <w:r w:rsidR="00F61E33">
        <w:rPr>
          <w:rFonts w:ascii="Arial" w:hAnsi="Arial" w:cs="Arial"/>
        </w:rPr>
        <w:t xml:space="preserve"> </w:t>
      </w:r>
      <w:r w:rsidRPr="002A2A3D">
        <w:rPr>
          <w:rFonts w:ascii="Arial" w:hAnsi="Arial" w:cs="Arial"/>
        </w:rPr>
        <w:t>Finally, the focus on peer-reviewed journal articles and high-quality working papers, while enhancing academic rigour, may exclude relevant policy reports or practitioner-based evidence that could offer additional contextual insights. This trade-off was made deliberately to ensure consistency, transparency and academic reliability in the review process.</w:t>
      </w:r>
    </w:p>
    <w:p w14:paraId="66BDB492" w14:textId="77777777" w:rsidR="00FA69AA" w:rsidRPr="002A2A3D" w:rsidRDefault="00FA69AA" w:rsidP="00F61E33">
      <w:pPr>
        <w:ind w:firstLine="720"/>
        <w:rPr>
          <w:rFonts w:ascii="Arial" w:hAnsi="Arial" w:cs="Arial"/>
        </w:rPr>
      </w:pPr>
      <w:r w:rsidRPr="002A2A3D">
        <w:rPr>
          <w:rFonts w:ascii="Arial" w:hAnsi="Arial" w:cs="Arial"/>
        </w:rPr>
        <w:t>Overall, these limitations do not undermine the validity of the study’s conclusions but instead highlight areas where the existing literature remains underdeveloped. They also provide a clear rationale for the directions for future research discussed in the following section.</w:t>
      </w:r>
    </w:p>
    <w:p w14:paraId="16C5324A" w14:textId="77777777" w:rsidR="00FA69AA" w:rsidRPr="002A2A3D" w:rsidRDefault="00FA69AA" w:rsidP="00FA69AA">
      <w:pPr>
        <w:pStyle w:val="Heading2"/>
        <w:rPr>
          <w:rFonts w:ascii="Arial" w:hAnsi="Arial" w:cs="Arial"/>
        </w:rPr>
      </w:pPr>
      <w:bookmarkStart w:id="63" w:name="_Toc218462619"/>
      <w:r w:rsidRPr="002A2A3D">
        <w:rPr>
          <w:rFonts w:ascii="Arial" w:hAnsi="Arial" w:cs="Arial"/>
        </w:rPr>
        <w:t>5.6. Directions for Future Research</w:t>
      </w:r>
      <w:bookmarkEnd w:id="63"/>
    </w:p>
    <w:p w14:paraId="2626EDEB" w14:textId="77777777" w:rsidR="00FA69AA" w:rsidRPr="002A2A3D" w:rsidRDefault="00FA69AA" w:rsidP="00F61E33">
      <w:pPr>
        <w:ind w:firstLine="720"/>
        <w:rPr>
          <w:rFonts w:ascii="Arial" w:hAnsi="Arial" w:cs="Arial"/>
        </w:rPr>
      </w:pPr>
      <w:r w:rsidRPr="002A2A3D">
        <w:rPr>
          <w:rFonts w:ascii="Arial" w:hAnsi="Arial" w:cs="Arial"/>
        </w:rPr>
        <w:t>The limitations identified above suggest several avenues for future research. First, there is a clear need for firm-level empirical studies that examine how exchange-rate volatility affects exporters’ behaviour across different sectors, particularly within services trade. Firm-level data could provide deeper insight into how pricing strategies, contract structures and hedging practices mediate exposure to exchange-rate risk, helping to clarify the channels through which volatility influences trade outcomes.</w:t>
      </w:r>
      <w:r w:rsidR="00F61E33">
        <w:rPr>
          <w:rFonts w:ascii="Arial" w:hAnsi="Arial" w:cs="Arial"/>
        </w:rPr>
        <w:t xml:space="preserve"> </w:t>
      </w:r>
      <w:r w:rsidRPr="002A2A3D">
        <w:rPr>
          <w:rFonts w:ascii="Arial" w:hAnsi="Arial" w:cs="Arial"/>
        </w:rPr>
        <w:t>Second, future research could explore the dynamic interaction between exchange-rate volatility and broader sources of uncertainty. Incorporating measures of geopolitical risk, global financial stress and policy uncertainty would allow for a more nuanced understanding of how external shocks amplify or dampen the trade effects of currency volatility.</w:t>
      </w:r>
      <w:r w:rsidR="00F61E33">
        <w:rPr>
          <w:rFonts w:ascii="Arial" w:hAnsi="Arial" w:cs="Arial"/>
        </w:rPr>
        <w:t xml:space="preserve"> </w:t>
      </w:r>
      <w:r w:rsidRPr="002A2A3D">
        <w:rPr>
          <w:rFonts w:ascii="Arial" w:hAnsi="Arial" w:cs="Arial"/>
        </w:rPr>
        <w:t xml:space="preserve">Third, there is scope for more India-specific research focusing on disaggregated services exports, such as information technology, professional services and digitally delivered trade. Given </w:t>
      </w:r>
      <w:r w:rsidRPr="002A2A3D">
        <w:rPr>
          <w:rFonts w:ascii="Arial" w:hAnsi="Arial" w:cs="Arial"/>
        </w:rPr>
        <w:lastRenderedPageBreak/>
        <w:t>India’s growing role in global services markets, sector-level analyses could improve understanding of how exchange-rate dynamics influence competitiveness, investment decisions and long-term export growth across different segments of the services economy.</w:t>
      </w:r>
      <w:r w:rsidR="00F61E33">
        <w:rPr>
          <w:rFonts w:ascii="Arial" w:hAnsi="Arial" w:cs="Arial"/>
        </w:rPr>
        <w:t xml:space="preserve"> </w:t>
      </w:r>
      <w:r w:rsidRPr="002A2A3D">
        <w:rPr>
          <w:rFonts w:ascii="Arial" w:hAnsi="Arial" w:cs="Arial"/>
        </w:rPr>
        <w:t>Finally, comparative studies examining differences between emerging and advanced economies could help identify institutional and financial factors that shape exporters’ resilience to exchange-rate volatility.</w:t>
      </w:r>
    </w:p>
    <w:p w14:paraId="3E820A37" w14:textId="77777777" w:rsidR="00FA69AA" w:rsidRPr="002A2A3D" w:rsidRDefault="00FA69AA" w:rsidP="00FA69AA">
      <w:pPr>
        <w:pStyle w:val="Heading2"/>
        <w:rPr>
          <w:rFonts w:ascii="Arial" w:hAnsi="Arial" w:cs="Arial"/>
        </w:rPr>
      </w:pPr>
      <w:bookmarkStart w:id="64" w:name="_Toc218462620"/>
      <w:r w:rsidRPr="002A2A3D">
        <w:rPr>
          <w:rFonts w:ascii="Arial" w:hAnsi="Arial" w:cs="Arial"/>
        </w:rPr>
        <w:t>5.7. Chapter Summary</w:t>
      </w:r>
      <w:bookmarkEnd w:id="64"/>
    </w:p>
    <w:p w14:paraId="1DCEC283" w14:textId="77777777" w:rsidR="002A2A3D" w:rsidRDefault="00FA69AA" w:rsidP="00F61E33">
      <w:pPr>
        <w:ind w:firstLine="720"/>
        <w:rPr>
          <w:rFonts w:ascii="Arial" w:hAnsi="Arial" w:cs="Arial"/>
        </w:rPr>
      </w:pPr>
      <w:r w:rsidRPr="002A2A3D">
        <w:rPr>
          <w:rFonts w:ascii="Arial" w:hAnsi="Arial" w:cs="Arial"/>
        </w:rPr>
        <w:t xml:space="preserve">This chapter has discussed the findings of the systematic literature review in relation to theory, policy and managerial practice. </w:t>
      </w:r>
      <w:r w:rsidR="00F61E33">
        <w:rPr>
          <w:rFonts w:ascii="Arial" w:hAnsi="Arial" w:cs="Arial"/>
        </w:rPr>
        <w:t xml:space="preserve"> </w:t>
      </w:r>
      <w:r w:rsidRPr="002A2A3D">
        <w:rPr>
          <w:rFonts w:ascii="Arial" w:hAnsi="Arial" w:cs="Arial"/>
        </w:rPr>
        <w:t>The discussion has demonstrated that exchange-rate volatility generally constrains export performance, although its effects vary across goods and services trade, firm types and macroeconomic environments. The policy and managerial implications underscore the need for coordinated macroeconomic stability, financial development and firm-level risk management strategies, particularly in emerging and services-led economies.</w:t>
      </w:r>
      <w:r w:rsidR="00F61E33">
        <w:rPr>
          <w:rFonts w:ascii="Arial" w:hAnsi="Arial" w:cs="Arial"/>
        </w:rPr>
        <w:t xml:space="preserve"> </w:t>
      </w:r>
      <w:r w:rsidRPr="002A2A3D">
        <w:rPr>
          <w:rFonts w:ascii="Arial" w:hAnsi="Arial" w:cs="Arial"/>
        </w:rPr>
        <w:t>Overall, this chapter has positioned the study’s findings within the broader literature and established their relevance for both academic understanding and practical decision-making. Together with the preceding chapters, it completes the analytical foundation of the dissertation and sets the stage for the final concluding chapter.</w:t>
      </w:r>
    </w:p>
    <w:p w14:paraId="2008EFF6" w14:textId="77777777" w:rsidR="0059797D" w:rsidRDefault="0059797D" w:rsidP="00F61E33">
      <w:pPr>
        <w:ind w:firstLine="720"/>
        <w:rPr>
          <w:rFonts w:ascii="Arial" w:hAnsi="Arial" w:cs="Arial"/>
        </w:rPr>
      </w:pPr>
    </w:p>
    <w:p w14:paraId="11EA7814" w14:textId="77777777" w:rsidR="0059797D" w:rsidRDefault="0059797D" w:rsidP="00F61E33">
      <w:pPr>
        <w:ind w:firstLine="720"/>
        <w:rPr>
          <w:rFonts w:ascii="Arial" w:hAnsi="Arial" w:cs="Arial"/>
        </w:rPr>
      </w:pPr>
    </w:p>
    <w:p w14:paraId="6B0D4438" w14:textId="77777777" w:rsidR="0059797D" w:rsidRDefault="0059797D" w:rsidP="00F61E33">
      <w:pPr>
        <w:ind w:firstLine="720"/>
        <w:rPr>
          <w:rFonts w:ascii="Arial" w:hAnsi="Arial" w:cs="Arial"/>
        </w:rPr>
      </w:pPr>
    </w:p>
    <w:p w14:paraId="76FF17F2" w14:textId="77777777" w:rsidR="0059797D" w:rsidRDefault="0059797D" w:rsidP="00F61E33">
      <w:pPr>
        <w:ind w:firstLine="720"/>
        <w:rPr>
          <w:rFonts w:ascii="Arial" w:hAnsi="Arial" w:cs="Arial"/>
        </w:rPr>
      </w:pPr>
    </w:p>
    <w:p w14:paraId="334685A4" w14:textId="77777777" w:rsidR="0059797D" w:rsidRDefault="0059797D" w:rsidP="00F61E33">
      <w:pPr>
        <w:ind w:firstLine="720"/>
        <w:rPr>
          <w:rFonts w:ascii="Arial" w:hAnsi="Arial" w:cs="Arial"/>
        </w:rPr>
      </w:pPr>
    </w:p>
    <w:p w14:paraId="3381BF9E" w14:textId="77777777" w:rsidR="0059797D" w:rsidRDefault="0059797D" w:rsidP="00F61E33">
      <w:pPr>
        <w:ind w:firstLine="720"/>
        <w:rPr>
          <w:rFonts w:ascii="Arial" w:hAnsi="Arial" w:cs="Arial"/>
        </w:rPr>
      </w:pPr>
    </w:p>
    <w:p w14:paraId="13A0DE7A" w14:textId="77777777" w:rsidR="0059797D" w:rsidRDefault="0059797D" w:rsidP="00F61E33">
      <w:pPr>
        <w:ind w:firstLine="720"/>
        <w:rPr>
          <w:rFonts w:ascii="Arial" w:hAnsi="Arial" w:cs="Arial"/>
        </w:rPr>
      </w:pPr>
    </w:p>
    <w:p w14:paraId="1D83AC23" w14:textId="77777777" w:rsidR="0059797D" w:rsidRDefault="0059797D" w:rsidP="00F61E33">
      <w:pPr>
        <w:ind w:firstLine="720"/>
        <w:rPr>
          <w:rFonts w:ascii="Arial" w:hAnsi="Arial" w:cs="Arial"/>
        </w:rPr>
      </w:pPr>
    </w:p>
    <w:p w14:paraId="5F6F8EEF" w14:textId="77777777" w:rsidR="0059797D" w:rsidRDefault="0059797D" w:rsidP="00F61E33">
      <w:pPr>
        <w:ind w:firstLine="720"/>
        <w:rPr>
          <w:rFonts w:ascii="Arial" w:hAnsi="Arial" w:cs="Arial"/>
        </w:rPr>
      </w:pPr>
    </w:p>
    <w:p w14:paraId="55CB46F5" w14:textId="77777777" w:rsidR="0059797D" w:rsidRDefault="0059797D" w:rsidP="00F61E33">
      <w:pPr>
        <w:ind w:firstLine="720"/>
        <w:rPr>
          <w:rFonts w:ascii="Arial" w:hAnsi="Arial" w:cs="Arial"/>
        </w:rPr>
      </w:pPr>
    </w:p>
    <w:p w14:paraId="726E0090" w14:textId="77777777" w:rsidR="0059797D" w:rsidRDefault="0059797D" w:rsidP="00F61E33">
      <w:pPr>
        <w:ind w:firstLine="720"/>
        <w:rPr>
          <w:rFonts w:ascii="Arial" w:hAnsi="Arial" w:cs="Arial"/>
        </w:rPr>
      </w:pPr>
    </w:p>
    <w:p w14:paraId="0118932C" w14:textId="77777777" w:rsidR="0059797D" w:rsidRDefault="0059797D" w:rsidP="00F61E33">
      <w:pPr>
        <w:ind w:firstLine="720"/>
        <w:rPr>
          <w:rFonts w:ascii="Arial" w:hAnsi="Arial" w:cs="Arial"/>
        </w:rPr>
      </w:pPr>
    </w:p>
    <w:p w14:paraId="26D2A008" w14:textId="77777777" w:rsidR="0059797D" w:rsidRDefault="0059797D" w:rsidP="00F61E33">
      <w:pPr>
        <w:ind w:firstLine="720"/>
        <w:rPr>
          <w:rFonts w:ascii="Arial" w:hAnsi="Arial" w:cs="Arial"/>
        </w:rPr>
      </w:pPr>
    </w:p>
    <w:p w14:paraId="79520A5A" w14:textId="77777777" w:rsidR="0059797D" w:rsidRDefault="0059797D" w:rsidP="00F61E33">
      <w:pPr>
        <w:ind w:firstLine="720"/>
        <w:rPr>
          <w:rFonts w:ascii="Arial" w:hAnsi="Arial" w:cs="Arial"/>
        </w:rPr>
      </w:pPr>
    </w:p>
    <w:p w14:paraId="5B6413EB" w14:textId="77777777" w:rsidR="000E0309" w:rsidRPr="0059797D" w:rsidRDefault="000E0309" w:rsidP="0059797D">
      <w:pPr>
        <w:pStyle w:val="Heading1"/>
        <w:rPr>
          <w:rFonts w:ascii="Arial" w:hAnsi="Arial" w:cs="Arial"/>
          <w:lang w:val="en-IN"/>
        </w:rPr>
      </w:pPr>
      <w:bookmarkStart w:id="65" w:name="_Toc218462621"/>
      <w:r w:rsidRPr="0059797D">
        <w:rPr>
          <w:rFonts w:ascii="Arial" w:hAnsi="Arial" w:cs="Arial"/>
          <w:lang w:val="en-IN"/>
        </w:rPr>
        <w:lastRenderedPageBreak/>
        <w:t>Chapter 6: Conclusion</w:t>
      </w:r>
      <w:bookmarkEnd w:id="65"/>
    </w:p>
    <w:p w14:paraId="295D1249" w14:textId="77777777" w:rsidR="0067211B" w:rsidRPr="0067211B" w:rsidRDefault="0067211B" w:rsidP="0059797D">
      <w:pPr>
        <w:ind w:firstLine="720"/>
        <w:rPr>
          <w:rFonts w:ascii="Arial" w:hAnsi="Arial" w:cs="Arial"/>
          <w:lang w:val="en-IN"/>
        </w:rPr>
      </w:pPr>
      <w:r w:rsidRPr="0067211B">
        <w:rPr>
          <w:rFonts w:ascii="Arial" w:hAnsi="Arial" w:cs="Arial"/>
          <w:lang w:val="en-IN"/>
        </w:rPr>
        <w:t>This dissertation set out to systematically review and synthesise contemporary literature on the relationship between exchange-rate volatility and export performance, with particular emphasis on services trade, emerging markets and the Indian context. Motivated by the growing importance of digital services exports and heightened global uncertainty, the study reassessed existing evidence through a modern and context-sensitive lens using a systematic literature review methodology.</w:t>
      </w:r>
      <w:r w:rsidR="0059797D">
        <w:rPr>
          <w:rFonts w:ascii="Arial" w:hAnsi="Arial" w:cs="Arial"/>
          <w:lang w:val="en-IN"/>
        </w:rPr>
        <w:t xml:space="preserve"> </w:t>
      </w:r>
      <w:r w:rsidRPr="0067211B">
        <w:rPr>
          <w:rFonts w:ascii="Arial" w:hAnsi="Arial" w:cs="Arial"/>
          <w:lang w:val="en-IN"/>
        </w:rPr>
        <w:t>The findings indicate that exchange-rate volatility is generally associated with weaker export performance, although the magnitude and nature of this relationship vary across sectors, countries and institutional contexts. Exchange-rate volatility functions as an implicit trade cost by increasing uncertainty over revenues and pricing decisions, particularly for risk-averse firms and those operating under financial constraints. However, the reviewed literature highlights considerable heterogeneity, suggesting that volatility effects are mediated by sectoral structure, firm characteristics, financial development and pricing behaviour.</w:t>
      </w:r>
    </w:p>
    <w:p w14:paraId="72935448" w14:textId="77777777" w:rsidR="0067211B" w:rsidRPr="0067211B" w:rsidRDefault="0067211B" w:rsidP="0067211B">
      <w:pPr>
        <w:rPr>
          <w:rFonts w:ascii="Arial" w:hAnsi="Arial" w:cs="Arial"/>
          <w:lang w:val="en-IN"/>
        </w:rPr>
      </w:pPr>
      <w:r w:rsidRPr="0067211B">
        <w:rPr>
          <w:rFonts w:ascii="Arial" w:hAnsi="Arial" w:cs="Arial"/>
          <w:lang w:val="en-IN"/>
        </w:rPr>
        <w:t>A key insight emerging from the review is the distinction between goods and services trade. Goods exports tend to respond more directly to exchange-rate volatility through cost and price competitiveness channels, whereas services exports, particularly digitally delivered and knowledge-intensive services, display a more nuanced response. While services trade may be less sensitive to short-term volatility in volume terms, exchange-rate fluctuations remain relevant through profitability, invoicing practices and longer-term investment decisions. These dynamics are especially salient in emerging economies such as India, where services-led export growth and dominant-currency pricing create distinct transmission mechanisms that differ from traditional goods-based trade models.</w:t>
      </w:r>
    </w:p>
    <w:p w14:paraId="19153F3A" w14:textId="77777777" w:rsidR="0067211B" w:rsidRPr="0067211B" w:rsidRDefault="0067211B" w:rsidP="0067211B">
      <w:pPr>
        <w:rPr>
          <w:rFonts w:ascii="Arial" w:hAnsi="Arial" w:cs="Arial"/>
          <w:lang w:val="en-IN"/>
        </w:rPr>
      </w:pPr>
      <w:r w:rsidRPr="0067211B">
        <w:rPr>
          <w:rFonts w:ascii="Arial" w:hAnsi="Arial" w:cs="Arial"/>
          <w:lang w:val="en-IN"/>
        </w:rPr>
        <w:t>The review also underscores the importance of situating exchange-rate volatility within a broader uncertainty environment. Periods of global financial stress, geopolitical instability and policy uncertainty tend to amplify the adverse effects of currency volatility on trade outcomes, particularly in emerging markets that are more exposed to external shocks and capital flow volatility.</w:t>
      </w:r>
    </w:p>
    <w:p w14:paraId="5F274B4A" w14:textId="77777777" w:rsidR="0067211B" w:rsidRPr="0067211B" w:rsidRDefault="0067211B" w:rsidP="0067211B">
      <w:pPr>
        <w:rPr>
          <w:rFonts w:ascii="Arial" w:hAnsi="Arial" w:cs="Arial"/>
          <w:lang w:val="en-IN"/>
        </w:rPr>
      </w:pPr>
      <w:r w:rsidRPr="0067211B">
        <w:rPr>
          <w:rFonts w:ascii="Arial" w:hAnsi="Arial" w:cs="Arial"/>
          <w:lang w:val="en-IN"/>
        </w:rPr>
        <w:t>Overall, this dissertation contributes to the literature by providing an integrated synthesis of exchange-rate volatility research through a services-oriented and emerging-market perspective. By highlighting sector-specific responses, contextual heterogeneity and the interaction between volatility and uncertainty, the study offers a coherent framework for understanding how exchange-rate volatility affects export performance in an increasingly services-driven and uncertain global economy. It also identifies clear directions for future research, particularly at the firm and sectoral level, to deepen understanding of exchange-rate risk in contemporary trade.</w:t>
      </w:r>
    </w:p>
    <w:p w14:paraId="01805112" w14:textId="77777777" w:rsidR="001B68A4" w:rsidRDefault="001B68A4" w:rsidP="002A2A3D">
      <w:pPr>
        <w:rPr>
          <w:rFonts w:ascii="Arial" w:hAnsi="Arial" w:cs="Arial"/>
          <w:lang w:val="en-IN"/>
        </w:rPr>
      </w:pPr>
    </w:p>
    <w:p w14:paraId="32B2C454" w14:textId="77777777" w:rsidR="00B812B2" w:rsidRDefault="00B812B2" w:rsidP="002A2A3D">
      <w:pPr>
        <w:rPr>
          <w:rFonts w:ascii="Arial" w:hAnsi="Arial" w:cs="Arial"/>
          <w:lang w:val="en-IN"/>
        </w:rPr>
      </w:pPr>
    </w:p>
    <w:p w14:paraId="0F22AB7A" w14:textId="77777777" w:rsidR="002A2A3D" w:rsidRPr="0059797D" w:rsidRDefault="00D73A1A" w:rsidP="0059797D">
      <w:pPr>
        <w:pStyle w:val="Heading1"/>
        <w:rPr>
          <w:rFonts w:ascii="Arial" w:hAnsi="Arial" w:cs="Arial"/>
          <w:lang w:val="en-IN"/>
        </w:rPr>
      </w:pPr>
      <w:bookmarkStart w:id="66" w:name="_Toc215594113"/>
      <w:bookmarkStart w:id="67" w:name="_Toc218462622"/>
      <w:r w:rsidRPr="0059797D">
        <w:rPr>
          <w:rFonts w:ascii="Arial" w:hAnsi="Arial" w:cs="Arial"/>
          <w:lang w:val="en-IN"/>
        </w:rPr>
        <w:lastRenderedPageBreak/>
        <w:t xml:space="preserve">Chapter </w:t>
      </w:r>
      <w:r w:rsidR="000E0309" w:rsidRPr="0059797D">
        <w:rPr>
          <w:rFonts w:ascii="Arial" w:hAnsi="Arial" w:cs="Arial"/>
          <w:lang w:val="en-IN"/>
        </w:rPr>
        <w:t>7</w:t>
      </w:r>
      <w:r w:rsidR="0059797D">
        <w:rPr>
          <w:rFonts w:ascii="Arial" w:hAnsi="Arial" w:cs="Arial"/>
          <w:lang w:val="en-IN"/>
        </w:rPr>
        <w:t>:</w:t>
      </w:r>
      <w:r w:rsidRPr="0059797D">
        <w:rPr>
          <w:rFonts w:ascii="Arial" w:hAnsi="Arial" w:cs="Arial"/>
          <w:lang w:val="en-IN"/>
        </w:rPr>
        <w:t xml:space="preserve"> </w:t>
      </w:r>
      <w:r w:rsidR="002A2A3D" w:rsidRPr="0059797D">
        <w:rPr>
          <w:rFonts w:ascii="Arial" w:hAnsi="Arial" w:cs="Arial"/>
          <w:lang w:val="en-IN"/>
        </w:rPr>
        <w:t>References</w:t>
      </w:r>
      <w:bookmarkEnd w:id="66"/>
      <w:bookmarkEnd w:id="67"/>
      <w:r w:rsidR="002A2A3D" w:rsidRPr="0059797D">
        <w:rPr>
          <w:rFonts w:ascii="Arial" w:hAnsi="Arial" w:cs="Arial"/>
          <w:lang w:val="en-IN"/>
        </w:rPr>
        <w:t xml:space="preserve"> </w:t>
      </w:r>
    </w:p>
    <w:p w14:paraId="401927F2" w14:textId="77777777" w:rsidR="002A2A3D" w:rsidRPr="002A2A3D" w:rsidRDefault="002A2A3D" w:rsidP="002A2A3D">
      <w:pPr>
        <w:rPr>
          <w:rFonts w:ascii="Arial" w:hAnsi="Arial" w:cs="Arial"/>
        </w:rPr>
      </w:pPr>
      <w:proofErr w:type="spellStart"/>
      <w:r w:rsidRPr="002A2A3D">
        <w:rPr>
          <w:rFonts w:ascii="Arial" w:hAnsi="Arial" w:cs="Arial"/>
        </w:rPr>
        <w:t>Auboin</w:t>
      </w:r>
      <w:proofErr w:type="spellEnd"/>
      <w:r w:rsidRPr="002A2A3D">
        <w:rPr>
          <w:rFonts w:ascii="Arial" w:hAnsi="Arial" w:cs="Arial"/>
        </w:rPr>
        <w:t xml:space="preserve">, M. and Ruta, M. (2013) ‘The relationship between exchange rates and international trade: A literature review’, </w:t>
      </w:r>
      <w:r w:rsidRPr="002A2A3D">
        <w:rPr>
          <w:rFonts w:ascii="Arial" w:hAnsi="Arial" w:cs="Arial"/>
          <w:i/>
          <w:iCs/>
        </w:rPr>
        <w:t>World Trade Review</w:t>
      </w:r>
      <w:r w:rsidRPr="002A2A3D">
        <w:rPr>
          <w:rFonts w:ascii="Arial" w:hAnsi="Arial" w:cs="Arial"/>
        </w:rPr>
        <w:t xml:space="preserve">, 12(3), pp. 577–605. </w:t>
      </w:r>
      <w:hyperlink r:id="rId8" w:tgtFrame="_new" w:history="1">
        <w:r w:rsidRPr="002A2A3D">
          <w:rPr>
            <w:rStyle w:val="Hyperlink"/>
            <w:rFonts w:ascii="Arial" w:hAnsi="Arial" w:cs="Arial"/>
          </w:rPr>
          <w:t>https://doi.org/10.1017/S1474745613000025</w:t>
        </w:r>
      </w:hyperlink>
    </w:p>
    <w:p w14:paraId="201E4F16" w14:textId="77777777" w:rsidR="002A2A3D" w:rsidRDefault="002A2A3D" w:rsidP="002A2A3D">
      <w:pPr>
        <w:rPr>
          <w:rFonts w:ascii="Arial" w:hAnsi="Arial" w:cs="Arial"/>
        </w:rPr>
      </w:pPr>
      <w:proofErr w:type="spellStart"/>
      <w:r w:rsidRPr="002A2A3D">
        <w:rPr>
          <w:rFonts w:ascii="Arial" w:hAnsi="Arial" w:cs="Arial"/>
        </w:rPr>
        <w:t>Arize</w:t>
      </w:r>
      <w:proofErr w:type="spellEnd"/>
      <w:r w:rsidRPr="002A2A3D">
        <w:rPr>
          <w:rFonts w:ascii="Arial" w:hAnsi="Arial" w:cs="Arial"/>
        </w:rPr>
        <w:t xml:space="preserve">, A.C., Osang, T. and </w:t>
      </w:r>
      <w:proofErr w:type="spellStart"/>
      <w:r w:rsidRPr="002A2A3D">
        <w:rPr>
          <w:rFonts w:ascii="Arial" w:hAnsi="Arial" w:cs="Arial"/>
        </w:rPr>
        <w:t>Slottje</w:t>
      </w:r>
      <w:proofErr w:type="spellEnd"/>
      <w:r w:rsidRPr="002A2A3D">
        <w:rPr>
          <w:rFonts w:ascii="Arial" w:hAnsi="Arial" w:cs="Arial"/>
        </w:rPr>
        <w:t xml:space="preserve">, D.J. (2000) ‘Exchange-rate volatility and foreign trade: Evidence from thirteen LDCs’, </w:t>
      </w:r>
      <w:r w:rsidRPr="002A2A3D">
        <w:rPr>
          <w:rFonts w:ascii="Arial" w:hAnsi="Arial" w:cs="Arial"/>
          <w:i/>
          <w:iCs/>
        </w:rPr>
        <w:t>Journal of Business and Economic Statistics</w:t>
      </w:r>
      <w:r w:rsidRPr="002A2A3D">
        <w:rPr>
          <w:rFonts w:ascii="Arial" w:hAnsi="Arial" w:cs="Arial"/>
        </w:rPr>
        <w:t xml:space="preserve">, 18(1), pp. 10–17. </w:t>
      </w:r>
      <w:hyperlink r:id="rId9" w:tgtFrame="_new" w:history="1">
        <w:r w:rsidRPr="002A2A3D">
          <w:rPr>
            <w:rStyle w:val="Hyperlink"/>
            <w:rFonts w:ascii="Arial" w:hAnsi="Arial" w:cs="Arial"/>
          </w:rPr>
          <w:t>https://doi.org/10.1080/07350015.2000.10524843</w:t>
        </w:r>
      </w:hyperlink>
    </w:p>
    <w:p w14:paraId="45CCCAD2" w14:textId="77777777" w:rsidR="002A2A3D" w:rsidRDefault="002A2A3D" w:rsidP="002A2A3D">
      <w:pPr>
        <w:rPr>
          <w:rFonts w:ascii="Arial" w:hAnsi="Arial" w:cs="Arial"/>
        </w:rPr>
      </w:pPr>
      <w:proofErr w:type="spellStart"/>
      <w:r w:rsidRPr="002A2A3D">
        <w:rPr>
          <w:rFonts w:ascii="Arial" w:hAnsi="Arial" w:cs="Arial"/>
        </w:rPr>
        <w:t>Asteriou</w:t>
      </w:r>
      <w:proofErr w:type="spellEnd"/>
      <w:r w:rsidRPr="002A2A3D">
        <w:rPr>
          <w:rFonts w:ascii="Arial" w:hAnsi="Arial" w:cs="Arial"/>
        </w:rPr>
        <w:t xml:space="preserve">, D., </w:t>
      </w:r>
      <w:proofErr w:type="spellStart"/>
      <w:r w:rsidRPr="002A2A3D">
        <w:rPr>
          <w:rFonts w:ascii="Arial" w:hAnsi="Arial" w:cs="Arial"/>
        </w:rPr>
        <w:t>Masatci</w:t>
      </w:r>
      <w:proofErr w:type="spellEnd"/>
      <w:r w:rsidRPr="002A2A3D">
        <w:rPr>
          <w:rFonts w:ascii="Arial" w:hAnsi="Arial" w:cs="Arial"/>
        </w:rPr>
        <w:t xml:space="preserve">, K. and Pilbeam, K. (2016) ‘Exchange rate volatility and international trade: International evidence from the MINT countries’, </w:t>
      </w:r>
      <w:r w:rsidRPr="002A2A3D">
        <w:rPr>
          <w:rFonts w:ascii="Arial" w:hAnsi="Arial" w:cs="Arial"/>
          <w:i/>
          <w:iCs/>
        </w:rPr>
        <w:t>Economic Modelling</w:t>
      </w:r>
      <w:r w:rsidRPr="002A2A3D">
        <w:rPr>
          <w:rFonts w:ascii="Arial" w:hAnsi="Arial" w:cs="Arial"/>
        </w:rPr>
        <w:t xml:space="preserve">, 58, pp. 133–140. </w:t>
      </w:r>
      <w:hyperlink r:id="rId10" w:tgtFrame="_new" w:history="1">
        <w:r w:rsidRPr="002A2A3D">
          <w:rPr>
            <w:rStyle w:val="Hyperlink"/>
            <w:rFonts w:ascii="Arial" w:hAnsi="Arial" w:cs="Arial"/>
          </w:rPr>
          <w:t>https://doi.org/10.1016/j.econmod.2016.05.006</w:t>
        </w:r>
      </w:hyperlink>
    </w:p>
    <w:p w14:paraId="5C8DAD3C" w14:textId="77777777" w:rsidR="00883517" w:rsidRPr="00883517" w:rsidRDefault="00883517" w:rsidP="002A2A3D">
      <w:pPr>
        <w:rPr>
          <w:rFonts w:ascii="Arial" w:hAnsi="Arial" w:cs="Arial"/>
          <w:lang w:val="en-IN"/>
        </w:rPr>
      </w:pPr>
      <w:r w:rsidRPr="002A2A3D">
        <w:rPr>
          <w:rFonts w:ascii="Arial" w:hAnsi="Arial" w:cs="Arial"/>
          <w:lang w:val="en-IN"/>
        </w:rPr>
        <w:t xml:space="preserve">Bah, I. and H.A. Amusa (2003). Real Exchange Rate Volatility and Foreign Trade: Evidence From South Africa’s Exports to the United States. </w:t>
      </w:r>
      <w:r w:rsidRPr="002A2A3D">
        <w:rPr>
          <w:rFonts w:ascii="Arial" w:hAnsi="Arial" w:cs="Arial"/>
          <w:i/>
          <w:iCs/>
          <w:lang w:val="en-IN"/>
        </w:rPr>
        <w:t>The African finance journal</w:t>
      </w:r>
      <w:r w:rsidRPr="002A2A3D">
        <w:rPr>
          <w:rFonts w:ascii="Arial" w:hAnsi="Arial" w:cs="Arial"/>
          <w:lang w:val="en-IN"/>
        </w:rPr>
        <w:t>, 5(2), pp.1–20.</w:t>
      </w:r>
    </w:p>
    <w:p w14:paraId="423BB38F" w14:textId="77777777" w:rsidR="002A2A3D" w:rsidRPr="002A2A3D" w:rsidRDefault="002A2A3D" w:rsidP="002A2A3D">
      <w:pPr>
        <w:rPr>
          <w:rFonts w:ascii="Arial" w:hAnsi="Arial" w:cs="Arial"/>
        </w:rPr>
      </w:pPr>
      <w:r w:rsidRPr="002A2A3D">
        <w:rPr>
          <w:rFonts w:ascii="Arial" w:hAnsi="Arial" w:cs="Arial"/>
        </w:rPr>
        <w:t>Bahmani-</w:t>
      </w:r>
      <w:proofErr w:type="spellStart"/>
      <w:r w:rsidRPr="002A2A3D">
        <w:rPr>
          <w:rFonts w:ascii="Arial" w:hAnsi="Arial" w:cs="Arial"/>
        </w:rPr>
        <w:t>Oskooee</w:t>
      </w:r>
      <w:proofErr w:type="spellEnd"/>
      <w:r w:rsidRPr="002A2A3D">
        <w:rPr>
          <w:rFonts w:ascii="Arial" w:hAnsi="Arial" w:cs="Arial"/>
        </w:rPr>
        <w:t xml:space="preserve">, M. and Hegerty, S.W. (2007) ‘Exchange-rate volatility and trade flows: A review article’, </w:t>
      </w:r>
      <w:r w:rsidRPr="002A2A3D">
        <w:rPr>
          <w:rFonts w:ascii="Arial" w:hAnsi="Arial" w:cs="Arial"/>
          <w:i/>
        </w:rPr>
        <w:t>Journal of Economic Studies</w:t>
      </w:r>
      <w:r w:rsidRPr="002A2A3D">
        <w:rPr>
          <w:rFonts w:ascii="Arial" w:hAnsi="Arial" w:cs="Arial"/>
        </w:rPr>
        <w:t xml:space="preserve">, 34(3), pp. 211–255. Available at: </w:t>
      </w:r>
      <w:hyperlink r:id="rId11" w:history="1">
        <w:r w:rsidRPr="002A2A3D">
          <w:rPr>
            <w:rStyle w:val="Hyperlink"/>
            <w:rFonts w:ascii="Arial" w:hAnsi="Arial" w:cs="Arial"/>
          </w:rPr>
          <w:t>https://doi.org/10.1108/01443580710772766</w:t>
        </w:r>
      </w:hyperlink>
    </w:p>
    <w:p w14:paraId="076449D9" w14:textId="77777777" w:rsidR="002A2A3D" w:rsidRDefault="002A2A3D" w:rsidP="002A2A3D">
      <w:pPr>
        <w:rPr>
          <w:rFonts w:ascii="Arial" w:hAnsi="Arial" w:cs="Arial"/>
        </w:rPr>
      </w:pPr>
      <w:r w:rsidRPr="002A2A3D">
        <w:rPr>
          <w:rFonts w:ascii="Arial" w:hAnsi="Arial" w:cs="Arial"/>
        </w:rPr>
        <w:t xml:space="preserve">Baldwin, R. and </w:t>
      </w:r>
      <w:proofErr w:type="spellStart"/>
      <w:r w:rsidRPr="002A2A3D">
        <w:rPr>
          <w:rFonts w:ascii="Arial" w:hAnsi="Arial" w:cs="Arial"/>
        </w:rPr>
        <w:t>Forslid</w:t>
      </w:r>
      <w:proofErr w:type="spellEnd"/>
      <w:r w:rsidRPr="002A2A3D">
        <w:rPr>
          <w:rFonts w:ascii="Arial" w:hAnsi="Arial" w:cs="Arial"/>
        </w:rPr>
        <w:t xml:space="preserve">, R. (2010) ‘Trade liberalization with heterogeneous firms’, </w:t>
      </w:r>
      <w:r w:rsidRPr="002A2A3D">
        <w:rPr>
          <w:rFonts w:ascii="Arial" w:hAnsi="Arial" w:cs="Arial"/>
          <w:i/>
        </w:rPr>
        <w:t>Review of Development Economics</w:t>
      </w:r>
      <w:r w:rsidRPr="002A2A3D">
        <w:rPr>
          <w:rFonts w:ascii="Arial" w:hAnsi="Arial" w:cs="Arial"/>
        </w:rPr>
        <w:t xml:space="preserve">, 14(2), pp. 161–176. Available at: </w:t>
      </w:r>
      <w:hyperlink r:id="rId12" w:history="1">
        <w:r w:rsidR="00883517" w:rsidRPr="00492D7B">
          <w:rPr>
            <w:rStyle w:val="Hyperlink"/>
            <w:rFonts w:ascii="Arial" w:hAnsi="Arial" w:cs="Arial"/>
          </w:rPr>
          <w:t>https://doi.org/10.1111/j.1467-9361.2010.00553.x</w:t>
        </w:r>
      </w:hyperlink>
    </w:p>
    <w:p w14:paraId="2D71B597" w14:textId="77777777" w:rsidR="00883517" w:rsidRDefault="00883517" w:rsidP="002A2A3D">
      <w:pPr>
        <w:rPr>
          <w:rFonts w:ascii="Arial" w:hAnsi="Arial" w:cs="Arial"/>
        </w:rPr>
      </w:pPr>
      <w:r w:rsidRPr="002A2A3D">
        <w:rPr>
          <w:rFonts w:ascii="Arial" w:hAnsi="Arial" w:cs="Arial"/>
        </w:rPr>
        <w:t xml:space="preserve">Banerjee, P. (2006) ‘Indian information technology workers in the United States: The H-1B visa, flexible production, and the racialization of </w:t>
      </w:r>
      <w:proofErr w:type="spellStart"/>
      <w:r w:rsidRPr="002A2A3D">
        <w:rPr>
          <w:rFonts w:ascii="Arial" w:hAnsi="Arial" w:cs="Arial"/>
        </w:rPr>
        <w:t>labor</w:t>
      </w:r>
      <w:proofErr w:type="spellEnd"/>
      <w:r w:rsidRPr="002A2A3D">
        <w:rPr>
          <w:rFonts w:ascii="Arial" w:hAnsi="Arial" w:cs="Arial"/>
        </w:rPr>
        <w:t xml:space="preserve">’, </w:t>
      </w:r>
      <w:r w:rsidRPr="002A2A3D">
        <w:rPr>
          <w:rFonts w:ascii="Arial" w:hAnsi="Arial" w:cs="Arial"/>
          <w:i/>
        </w:rPr>
        <w:t>Critical Sociology</w:t>
      </w:r>
      <w:r w:rsidRPr="002A2A3D">
        <w:rPr>
          <w:rFonts w:ascii="Arial" w:hAnsi="Arial" w:cs="Arial"/>
        </w:rPr>
        <w:t xml:space="preserve">, 32(2–3), pp. 425–445. Available at: </w:t>
      </w:r>
      <w:hyperlink r:id="rId13" w:history="1">
        <w:r w:rsidRPr="00492D7B">
          <w:rPr>
            <w:rStyle w:val="Hyperlink"/>
            <w:rFonts w:ascii="Arial" w:hAnsi="Arial" w:cs="Arial"/>
          </w:rPr>
          <w:t>https://doi.org/10.1163/156916306777835278</w:t>
        </w:r>
      </w:hyperlink>
    </w:p>
    <w:p w14:paraId="7E503EB0" w14:textId="77777777" w:rsidR="002A2A3D" w:rsidRDefault="002A2A3D" w:rsidP="002A2A3D">
      <w:pPr>
        <w:rPr>
          <w:rFonts w:ascii="Arial" w:hAnsi="Arial" w:cs="Arial"/>
          <w:lang w:val="en-IN"/>
        </w:rPr>
      </w:pPr>
      <w:r w:rsidRPr="002A2A3D">
        <w:rPr>
          <w:rFonts w:ascii="Arial" w:hAnsi="Arial" w:cs="Arial"/>
          <w:lang w:val="en-IN"/>
        </w:rPr>
        <w:t xml:space="preserve">Barry, E.S., </w:t>
      </w:r>
      <w:proofErr w:type="spellStart"/>
      <w:r w:rsidRPr="002A2A3D">
        <w:rPr>
          <w:rFonts w:ascii="Arial" w:hAnsi="Arial" w:cs="Arial"/>
          <w:lang w:val="en-IN"/>
        </w:rPr>
        <w:t>Merkebu</w:t>
      </w:r>
      <w:proofErr w:type="spellEnd"/>
      <w:r w:rsidRPr="002A2A3D">
        <w:rPr>
          <w:rFonts w:ascii="Arial" w:hAnsi="Arial" w:cs="Arial"/>
          <w:lang w:val="en-IN"/>
        </w:rPr>
        <w:t xml:space="preserve">, J. and </w:t>
      </w:r>
      <w:proofErr w:type="spellStart"/>
      <w:r w:rsidRPr="002A2A3D">
        <w:rPr>
          <w:rFonts w:ascii="Arial" w:hAnsi="Arial" w:cs="Arial"/>
          <w:lang w:val="en-IN"/>
        </w:rPr>
        <w:t>Varpio</w:t>
      </w:r>
      <w:proofErr w:type="spellEnd"/>
      <w:r w:rsidRPr="002A2A3D">
        <w:rPr>
          <w:rFonts w:ascii="Arial" w:hAnsi="Arial" w:cs="Arial"/>
          <w:lang w:val="en-IN"/>
        </w:rPr>
        <w:t xml:space="preserve">, L. (2022) ‘State-of-the-art literature review methodology: A six-step approach for knowledge synthesis’, </w:t>
      </w:r>
      <w:r w:rsidRPr="002A2A3D">
        <w:rPr>
          <w:rFonts w:ascii="Arial" w:hAnsi="Arial" w:cs="Arial"/>
          <w:i/>
          <w:iCs/>
          <w:lang w:val="en-IN"/>
        </w:rPr>
        <w:t>Perspectives on Medical Education</w:t>
      </w:r>
      <w:r w:rsidRPr="002A2A3D">
        <w:rPr>
          <w:rFonts w:ascii="Arial" w:hAnsi="Arial" w:cs="Arial"/>
          <w:lang w:val="en-IN"/>
        </w:rPr>
        <w:t>, 11(5), pp. 281–288. doi:10.1007/s40037-022-00725-9.</w:t>
      </w:r>
    </w:p>
    <w:p w14:paraId="6781E829" w14:textId="77777777" w:rsidR="00883517" w:rsidRDefault="00883517" w:rsidP="002A2A3D">
      <w:pPr>
        <w:rPr>
          <w:rFonts w:ascii="Arial" w:hAnsi="Arial" w:cs="Arial"/>
        </w:rPr>
      </w:pPr>
      <w:r w:rsidRPr="002A2A3D">
        <w:rPr>
          <w:rFonts w:ascii="Arial" w:hAnsi="Arial" w:cs="Arial"/>
        </w:rPr>
        <w:t xml:space="preserve">Bartram, S.M., Brown, G.W. and Minton, B.A. (2010) ‘Resolving the exposure puzzle: The many facets of exchange rate exposure’, </w:t>
      </w:r>
      <w:r w:rsidRPr="002A2A3D">
        <w:rPr>
          <w:rFonts w:ascii="Arial" w:hAnsi="Arial" w:cs="Arial"/>
          <w:i/>
        </w:rPr>
        <w:t>Journal of Financial Economics</w:t>
      </w:r>
      <w:r w:rsidRPr="002A2A3D">
        <w:rPr>
          <w:rFonts w:ascii="Arial" w:hAnsi="Arial" w:cs="Arial"/>
        </w:rPr>
        <w:t xml:space="preserve">, 95(2), pp. 148–173. Available at: </w:t>
      </w:r>
      <w:hyperlink r:id="rId14" w:history="1">
        <w:r w:rsidRPr="00492D7B">
          <w:rPr>
            <w:rStyle w:val="Hyperlink"/>
            <w:rFonts w:ascii="Arial" w:hAnsi="Arial" w:cs="Arial"/>
          </w:rPr>
          <w:t>https://doi.org/10.1016/j.jfineco.2009.09.002</w:t>
        </w:r>
      </w:hyperlink>
    </w:p>
    <w:p w14:paraId="7DB46168" w14:textId="77777777" w:rsidR="00883517" w:rsidRDefault="00883517" w:rsidP="002A2A3D">
      <w:pPr>
        <w:rPr>
          <w:rFonts w:ascii="Arial" w:hAnsi="Arial" w:cs="Arial"/>
        </w:rPr>
      </w:pPr>
      <w:r w:rsidRPr="002A2A3D">
        <w:rPr>
          <w:rFonts w:ascii="Arial" w:hAnsi="Arial" w:cs="Arial"/>
        </w:rPr>
        <w:t xml:space="preserve">Bennett, F.R., Lederman, D., </w:t>
      </w:r>
      <w:proofErr w:type="spellStart"/>
      <w:r w:rsidRPr="002A2A3D">
        <w:rPr>
          <w:rFonts w:ascii="Arial" w:hAnsi="Arial" w:cs="Arial"/>
        </w:rPr>
        <w:t>Pienknagura</w:t>
      </w:r>
      <w:proofErr w:type="spellEnd"/>
      <w:r w:rsidRPr="002A2A3D">
        <w:rPr>
          <w:rFonts w:ascii="Arial" w:hAnsi="Arial" w:cs="Arial"/>
        </w:rPr>
        <w:t xml:space="preserve">, S. and Rojas, D. (2016) </w:t>
      </w:r>
      <w:r w:rsidRPr="002A2A3D">
        <w:rPr>
          <w:rFonts w:ascii="Arial" w:hAnsi="Arial" w:cs="Arial"/>
          <w:i/>
          <w:iCs/>
        </w:rPr>
        <w:t>The volatility of international trade flows in the 21st century: Whose fault is it anyway?</w:t>
      </w:r>
      <w:r w:rsidRPr="002A2A3D">
        <w:rPr>
          <w:rFonts w:ascii="Arial" w:hAnsi="Arial" w:cs="Arial"/>
        </w:rPr>
        <w:t xml:space="preserve"> Working Paper. Available at: </w:t>
      </w:r>
      <w:hyperlink r:id="rId15" w:tgtFrame="_new" w:history="1">
        <w:r w:rsidRPr="002A2A3D">
          <w:rPr>
            <w:rStyle w:val="Hyperlink"/>
            <w:rFonts w:ascii="Arial" w:hAnsi="Arial" w:cs="Arial"/>
          </w:rPr>
          <w:t>https://papers.ssrn.com/sol3/papers.cfm?abstract_id=2895487</w:t>
        </w:r>
      </w:hyperlink>
    </w:p>
    <w:p w14:paraId="0C09BDEF" w14:textId="77777777" w:rsidR="00883517" w:rsidRPr="00883517" w:rsidRDefault="00883517" w:rsidP="002A2A3D">
      <w:pPr>
        <w:rPr>
          <w:rFonts w:ascii="Arial" w:hAnsi="Arial" w:cs="Arial"/>
        </w:rPr>
      </w:pPr>
      <w:r w:rsidRPr="002A2A3D">
        <w:rPr>
          <w:rFonts w:ascii="Arial" w:hAnsi="Arial" w:cs="Arial"/>
        </w:rPr>
        <w:t xml:space="preserve">Berman, N. and Berthou, A. (2009) ‘Financial market imperfections and the impact of exchange-rate movements on exports’, </w:t>
      </w:r>
      <w:r w:rsidRPr="002A2A3D">
        <w:rPr>
          <w:rFonts w:ascii="Arial" w:hAnsi="Arial" w:cs="Arial"/>
          <w:i/>
        </w:rPr>
        <w:t>Review of International Economics</w:t>
      </w:r>
      <w:r w:rsidRPr="002A2A3D">
        <w:rPr>
          <w:rFonts w:ascii="Arial" w:hAnsi="Arial" w:cs="Arial"/>
        </w:rPr>
        <w:t>, 17(1), pp. 103–120. Available at: https://doi.org/10.1111/j.1467-9396.2008.00784.x</w:t>
      </w:r>
    </w:p>
    <w:p w14:paraId="6CC823B5" w14:textId="77777777" w:rsidR="002A2A3D" w:rsidRPr="002A2A3D" w:rsidRDefault="002A2A3D" w:rsidP="002A2A3D">
      <w:pPr>
        <w:rPr>
          <w:rFonts w:ascii="Arial" w:hAnsi="Arial" w:cs="Arial"/>
          <w:lang w:val="en-IN"/>
        </w:rPr>
      </w:pPr>
      <w:proofErr w:type="spellStart"/>
      <w:r w:rsidRPr="002A2A3D">
        <w:rPr>
          <w:rFonts w:ascii="Arial" w:hAnsi="Arial" w:cs="Arial"/>
          <w:lang w:val="en-IN"/>
        </w:rPr>
        <w:t>Bitektine</w:t>
      </w:r>
      <w:proofErr w:type="spellEnd"/>
      <w:r w:rsidRPr="002A2A3D">
        <w:rPr>
          <w:rFonts w:ascii="Arial" w:hAnsi="Arial" w:cs="Arial"/>
          <w:lang w:val="en-IN"/>
        </w:rPr>
        <w:t xml:space="preserve">, A. (2008) ‘Prospective Case Study Design’, </w:t>
      </w:r>
      <w:r w:rsidRPr="002A2A3D">
        <w:rPr>
          <w:rFonts w:ascii="Arial" w:hAnsi="Arial" w:cs="Arial"/>
          <w:i/>
          <w:iCs/>
          <w:lang w:val="en-IN"/>
        </w:rPr>
        <w:t>Organizational Research Methods</w:t>
      </w:r>
      <w:r w:rsidRPr="002A2A3D">
        <w:rPr>
          <w:rFonts w:ascii="Arial" w:hAnsi="Arial" w:cs="Arial"/>
          <w:lang w:val="en-IN"/>
        </w:rPr>
        <w:t>, 11(1), pp. 160–180. doi:10.1177/1094428106292900.</w:t>
      </w:r>
    </w:p>
    <w:p w14:paraId="550EC532" w14:textId="77777777" w:rsidR="002A2A3D" w:rsidRPr="002A2A3D" w:rsidRDefault="002A2A3D" w:rsidP="002A2A3D">
      <w:pPr>
        <w:rPr>
          <w:rFonts w:ascii="Arial" w:hAnsi="Arial" w:cs="Arial"/>
          <w:lang w:val="en-IN"/>
        </w:rPr>
      </w:pPr>
      <w:r w:rsidRPr="002A2A3D">
        <w:rPr>
          <w:rFonts w:ascii="Arial" w:hAnsi="Arial" w:cs="Arial"/>
          <w:lang w:val="en-IN"/>
        </w:rPr>
        <w:lastRenderedPageBreak/>
        <w:t xml:space="preserve">Blaikie, N.W.H. and Priest, J. (2019) </w:t>
      </w:r>
      <w:r w:rsidRPr="002A2A3D">
        <w:rPr>
          <w:rFonts w:ascii="Arial" w:hAnsi="Arial" w:cs="Arial"/>
          <w:i/>
          <w:iCs/>
          <w:lang w:val="en-IN"/>
        </w:rPr>
        <w:t>Designing Social Research: The Logic of Anticipation</w:t>
      </w:r>
      <w:r w:rsidRPr="002A2A3D">
        <w:rPr>
          <w:rFonts w:ascii="Arial" w:hAnsi="Arial" w:cs="Arial"/>
          <w:lang w:val="en-IN"/>
        </w:rPr>
        <w:t>. Cambridge: Polity Press.</w:t>
      </w:r>
    </w:p>
    <w:p w14:paraId="32B0057A" w14:textId="77777777" w:rsidR="002A2A3D" w:rsidRPr="002A2A3D" w:rsidRDefault="002A2A3D" w:rsidP="002A2A3D">
      <w:pPr>
        <w:rPr>
          <w:rFonts w:ascii="Arial" w:hAnsi="Arial" w:cs="Arial"/>
          <w:lang w:val="en-IN"/>
        </w:rPr>
      </w:pPr>
      <w:r w:rsidRPr="002A2A3D">
        <w:rPr>
          <w:rFonts w:ascii="Arial" w:hAnsi="Arial" w:cs="Arial"/>
          <w:lang w:val="en-IN"/>
        </w:rPr>
        <w:t xml:space="preserve">Boell, S.K. and Cecez-Kecmanovic, D. (2015) ‘On being “systematic” in literature reviews in IS’, </w:t>
      </w:r>
      <w:r w:rsidRPr="002A2A3D">
        <w:rPr>
          <w:rFonts w:ascii="Arial" w:hAnsi="Arial" w:cs="Arial"/>
          <w:i/>
          <w:iCs/>
          <w:lang w:val="en-IN"/>
        </w:rPr>
        <w:t>Journal of Information Technology</w:t>
      </w:r>
      <w:r w:rsidRPr="002A2A3D">
        <w:rPr>
          <w:rFonts w:ascii="Arial" w:hAnsi="Arial" w:cs="Arial"/>
          <w:lang w:val="en-IN"/>
        </w:rPr>
        <w:t>, 30(2), pp. 161–173. doi:10.1057/jit.2014.26.</w:t>
      </w:r>
    </w:p>
    <w:p w14:paraId="25CEEBE5" w14:textId="77777777" w:rsidR="002A2A3D" w:rsidRDefault="002A2A3D" w:rsidP="002A2A3D">
      <w:pPr>
        <w:rPr>
          <w:rFonts w:ascii="Arial" w:hAnsi="Arial" w:cs="Arial"/>
          <w:lang w:val="en-IN"/>
        </w:rPr>
      </w:pPr>
      <w:r w:rsidRPr="002A2A3D">
        <w:rPr>
          <w:rFonts w:ascii="Arial" w:hAnsi="Arial" w:cs="Arial"/>
          <w:lang w:val="en-IN"/>
        </w:rPr>
        <w:t xml:space="preserve">Booth, A. (2016) ‘Searching for qualitative research for inclusion in systematic reviews: A structured methodological review’, </w:t>
      </w:r>
      <w:r w:rsidRPr="002A2A3D">
        <w:rPr>
          <w:rFonts w:ascii="Arial" w:hAnsi="Arial" w:cs="Arial"/>
          <w:i/>
          <w:iCs/>
          <w:lang w:val="en-IN"/>
        </w:rPr>
        <w:t>Systematic Reviews</w:t>
      </w:r>
      <w:r w:rsidRPr="002A2A3D">
        <w:rPr>
          <w:rFonts w:ascii="Arial" w:hAnsi="Arial" w:cs="Arial"/>
          <w:lang w:val="en-IN"/>
        </w:rPr>
        <w:t xml:space="preserve">, 5(1). Available at: </w:t>
      </w:r>
      <w:hyperlink r:id="rId16" w:tgtFrame="_new" w:history="1">
        <w:r w:rsidRPr="002A2A3D">
          <w:rPr>
            <w:rStyle w:val="Hyperlink"/>
            <w:rFonts w:ascii="Arial" w:hAnsi="Arial" w:cs="Arial"/>
            <w:lang w:val="en-IN"/>
          </w:rPr>
          <w:t>https://systematicreviewsjournal.biomedcentral.com/articles/10.1186/s13643-016-0249-x</w:t>
        </w:r>
      </w:hyperlink>
      <w:r w:rsidRPr="002A2A3D">
        <w:rPr>
          <w:rFonts w:ascii="Arial" w:hAnsi="Arial" w:cs="Arial"/>
          <w:lang w:val="en-IN"/>
        </w:rPr>
        <w:t>.</w:t>
      </w:r>
    </w:p>
    <w:p w14:paraId="0E3C6A1D" w14:textId="77777777" w:rsidR="00883517" w:rsidRPr="00883517" w:rsidRDefault="00883517" w:rsidP="002A2A3D">
      <w:pPr>
        <w:rPr>
          <w:rFonts w:ascii="Arial" w:hAnsi="Arial" w:cs="Arial"/>
        </w:rPr>
      </w:pPr>
      <w:r w:rsidRPr="002A2A3D">
        <w:rPr>
          <w:rFonts w:ascii="Arial" w:hAnsi="Arial" w:cs="Arial"/>
        </w:rPr>
        <w:t xml:space="preserve">Broll, U., Wahl, J.E. and Wong, W.-K. (2006) ‘Elasticity of risk aversion and international trade’, </w:t>
      </w:r>
      <w:r w:rsidRPr="002A2A3D">
        <w:rPr>
          <w:rFonts w:ascii="Arial" w:hAnsi="Arial" w:cs="Arial"/>
          <w:i/>
        </w:rPr>
        <w:t>Economics Letters</w:t>
      </w:r>
      <w:r w:rsidRPr="002A2A3D">
        <w:rPr>
          <w:rFonts w:ascii="Arial" w:hAnsi="Arial" w:cs="Arial"/>
        </w:rPr>
        <w:t>, 92(1), pp. 126–130. Available at: https://doi.org/10.1016/j.econlet.2006.01.009</w:t>
      </w:r>
    </w:p>
    <w:p w14:paraId="3EBF9DAC" w14:textId="77777777" w:rsidR="002A2A3D" w:rsidRDefault="002A2A3D" w:rsidP="002A2A3D">
      <w:pPr>
        <w:rPr>
          <w:rFonts w:ascii="Arial" w:hAnsi="Arial" w:cs="Arial"/>
          <w:lang w:val="en-IN"/>
        </w:rPr>
      </w:pPr>
      <w:r w:rsidRPr="002A2A3D">
        <w:rPr>
          <w:rFonts w:ascii="Arial" w:hAnsi="Arial" w:cs="Arial"/>
          <w:lang w:val="en-IN"/>
        </w:rPr>
        <w:t xml:space="preserve">Carver, J.C., Hassler, E., Hernandes, E. and Kraft, N.A. (2013) ‘Identifying barriers to the systematic literature review process’, in </w:t>
      </w:r>
      <w:r w:rsidRPr="002A2A3D">
        <w:rPr>
          <w:rFonts w:ascii="Arial" w:hAnsi="Arial" w:cs="Arial"/>
          <w:i/>
          <w:iCs/>
          <w:lang w:val="en-IN"/>
        </w:rPr>
        <w:t>2013 ACM/IEEE International Symposium on Empirical Software Engineering and Measurement</w:t>
      </w:r>
      <w:r w:rsidRPr="002A2A3D">
        <w:rPr>
          <w:rFonts w:ascii="Arial" w:hAnsi="Arial" w:cs="Arial"/>
          <w:lang w:val="en-IN"/>
        </w:rPr>
        <w:t>. doi:10.1109/ESEM.2013.28.</w:t>
      </w:r>
    </w:p>
    <w:p w14:paraId="58109FBB" w14:textId="77777777" w:rsidR="002A2A3D" w:rsidRPr="002A2A3D" w:rsidRDefault="002A2A3D" w:rsidP="002A2A3D">
      <w:pPr>
        <w:rPr>
          <w:rFonts w:ascii="Arial" w:hAnsi="Arial" w:cs="Arial"/>
        </w:rPr>
      </w:pPr>
      <w:r w:rsidRPr="002A2A3D">
        <w:rPr>
          <w:rFonts w:ascii="Arial" w:hAnsi="Arial" w:cs="Arial"/>
        </w:rPr>
        <w:t>Bahmani-</w:t>
      </w:r>
      <w:proofErr w:type="spellStart"/>
      <w:r w:rsidRPr="002A2A3D">
        <w:rPr>
          <w:rFonts w:ascii="Arial" w:hAnsi="Arial" w:cs="Arial"/>
        </w:rPr>
        <w:t>Oskooee</w:t>
      </w:r>
      <w:proofErr w:type="spellEnd"/>
      <w:r w:rsidRPr="002A2A3D">
        <w:rPr>
          <w:rFonts w:ascii="Arial" w:hAnsi="Arial" w:cs="Arial"/>
        </w:rPr>
        <w:t xml:space="preserve">, M. and Hegerty, S.W. (2007) ‘Exchange rate volatility and trade flows: A review article’, </w:t>
      </w:r>
      <w:r w:rsidRPr="002A2A3D">
        <w:rPr>
          <w:rFonts w:ascii="Arial" w:hAnsi="Arial" w:cs="Arial"/>
          <w:i/>
          <w:iCs/>
        </w:rPr>
        <w:t>Journal of Economic Studies</w:t>
      </w:r>
      <w:r w:rsidRPr="002A2A3D">
        <w:rPr>
          <w:rFonts w:ascii="Arial" w:hAnsi="Arial" w:cs="Arial"/>
        </w:rPr>
        <w:t xml:space="preserve">, 34(3), pp. 211–255. </w:t>
      </w:r>
      <w:hyperlink r:id="rId17" w:tgtFrame="_new" w:history="1">
        <w:r w:rsidRPr="002A2A3D">
          <w:rPr>
            <w:rStyle w:val="Hyperlink"/>
            <w:rFonts w:ascii="Arial" w:hAnsi="Arial" w:cs="Arial"/>
          </w:rPr>
          <w:t>https://doi.org/10.1108/01443580710772777</w:t>
        </w:r>
      </w:hyperlink>
    </w:p>
    <w:p w14:paraId="10CCB762" w14:textId="77777777" w:rsidR="002A2A3D" w:rsidRDefault="002A2A3D" w:rsidP="002A2A3D">
      <w:pPr>
        <w:rPr>
          <w:rFonts w:ascii="Arial" w:hAnsi="Arial" w:cs="Arial"/>
        </w:rPr>
      </w:pPr>
      <w:r w:rsidRPr="002A2A3D">
        <w:rPr>
          <w:rFonts w:ascii="Arial" w:hAnsi="Arial" w:cs="Arial"/>
        </w:rPr>
        <w:t xml:space="preserve">Bennett, F.R., Lederman, D., </w:t>
      </w:r>
      <w:proofErr w:type="spellStart"/>
      <w:r w:rsidRPr="002A2A3D">
        <w:rPr>
          <w:rFonts w:ascii="Arial" w:hAnsi="Arial" w:cs="Arial"/>
        </w:rPr>
        <w:t>Pienknagura</w:t>
      </w:r>
      <w:proofErr w:type="spellEnd"/>
      <w:r w:rsidRPr="002A2A3D">
        <w:rPr>
          <w:rFonts w:ascii="Arial" w:hAnsi="Arial" w:cs="Arial"/>
        </w:rPr>
        <w:t xml:space="preserve">, S. and Rojas, D. (2016) ‘The volatility of international trade flows in the 21st century: Whose fault is it anyway?’, </w:t>
      </w:r>
      <w:r w:rsidRPr="002A2A3D">
        <w:rPr>
          <w:rFonts w:ascii="Arial" w:hAnsi="Arial" w:cs="Arial"/>
          <w:i/>
          <w:iCs/>
        </w:rPr>
        <w:t>World Bank Economic Review</w:t>
      </w:r>
      <w:r w:rsidRPr="002A2A3D">
        <w:rPr>
          <w:rFonts w:ascii="Arial" w:hAnsi="Arial" w:cs="Arial"/>
        </w:rPr>
        <w:t>, 33(S1), pp. S32–S55.</w:t>
      </w:r>
    </w:p>
    <w:p w14:paraId="18A3D40A" w14:textId="77777777" w:rsidR="00883517" w:rsidRDefault="00883517" w:rsidP="002A2A3D">
      <w:pPr>
        <w:rPr>
          <w:rFonts w:ascii="Arial" w:hAnsi="Arial" w:cs="Arial"/>
        </w:rPr>
      </w:pPr>
      <w:r w:rsidRPr="002A2A3D">
        <w:rPr>
          <w:rFonts w:ascii="Arial" w:hAnsi="Arial" w:cs="Arial"/>
        </w:rPr>
        <w:t xml:space="preserve">Caldara, D. and Iacoviello, M. (2022) ‘Measuring geopolitical risk’, </w:t>
      </w:r>
      <w:r w:rsidRPr="002A2A3D">
        <w:rPr>
          <w:rFonts w:ascii="Arial" w:hAnsi="Arial" w:cs="Arial"/>
          <w:i/>
        </w:rPr>
        <w:t>American Economic Review</w:t>
      </w:r>
      <w:r w:rsidRPr="002A2A3D">
        <w:rPr>
          <w:rFonts w:ascii="Arial" w:hAnsi="Arial" w:cs="Arial"/>
        </w:rPr>
        <w:t xml:space="preserve">, 112(4), pp. 1194–1225. Available at: </w:t>
      </w:r>
      <w:hyperlink r:id="rId18" w:history="1">
        <w:r w:rsidRPr="00492D7B">
          <w:rPr>
            <w:rStyle w:val="Hyperlink"/>
            <w:rFonts w:ascii="Arial" w:hAnsi="Arial" w:cs="Arial"/>
          </w:rPr>
          <w:t>https://doi.org/10.1257/aer.20191834</w:t>
        </w:r>
      </w:hyperlink>
    </w:p>
    <w:p w14:paraId="600A4844" w14:textId="77777777" w:rsidR="00883517" w:rsidRDefault="00883517" w:rsidP="002A2A3D">
      <w:pPr>
        <w:rPr>
          <w:rFonts w:ascii="Arial" w:hAnsi="Arial" w:cs="Arial"/>
        </w:rPr>
      </w:pPr>
      <w:r w:rsidRPr="002A2A3D">
        <w:rPr>
          <w:rFonts w:ascii="Arial" w:hAnsi="Arial" w:cs="Arial"/>
        </w:rPr>
        <w:t xml:space="preserve">Campa, J.M. and Goldberg, L.S. (2005) ‘Exchange rate pass-through into import prices’, </w:t>
      </w:r>
      <w:r w:rsidRPr="002A2A3D">
        <w:rPr>
          <w:rFonts w:ascii="Arial" w:hAnsi="Arial" w:cs="Arial"/>
          <w:i/>
        </w:rPr>
        <w:t>Review of Economics and Statistics</w:t>
      </w:r>
      <w:r w:rsidRPr="002A2A3D">
        <w:rPr>
          <w:rFonts w:ascii="Arial" w:hAnsi="Arial" w:cs="Arial"/>
        </w:rPr>
        <w:t xml:space="preserve">, 87(4), pp. 679–690. Available at: </w:t>
      </w:r>
      <w:hyperlink r:id="rId19" w:history="1">
        <w:r w:rsidRPr="00492D7B">
          <w:rPr>
            <w:rStyle w:val="Hyperlink"/>
            <w:rFonts w:ascii="Arial" w:hAnsi="Arial" w:cs="Arial"/>
          </w:rPr>
          <w:t>https://doi.org/10.1162/003465305775098189</w:t>
        </w:r>
      </w:hyperlink>
    </w:p>
    <w:p w14:paraId="0583413B" w14:textId="77777777" w:rsidR="002A2A3D" w:rsidRDefault="002A2A3D" w:rsidP="002A2A3D">
      <w:pPr>
        <w:rPr>
          <w:rFonts w:ascii="Arial" w:hAnsi="Arial" w:cs="Arial"/>
        </w:rPr>
      </w:pPr>
      <w:r w:rsidRPr="002A2A3D">
        <w:rPr>
          <w:rFonts w:ascii="Arial" w:hAnsi="Arial" w:cs="Arial"/>
        </w:rPr>
        <w:t xml:space="preserve">Chit, M.M., Rizov, M. and </w:t>
      </w:r>
      <w:proofErr w:type="spellStart"/>
      <w:r w:rsidRPr="002A2A3D">
        <w:rPr>
          <w:rFonts w:ascii="Arial" w:hAnsi="Arial" w:cs="Arial"/>
        </w:rPr>
        <w:t>Willenbockel</w:t>
      </w:r>
      <w:proofErr w:type="spellEnd"/>
      <w:r w:rsidRPr="002A2A3D">
        <w:rPr>
          <w:rFonts w:ascii="Arial" w:hAnsi="Arial" w:cs="Arial"/>
        </w:rPr>
        <w:t xml:space="preserve">, D. (2010) ‘Exchange rate volatility and exports: New empirical evidence from the emerging East Asian economies’, </w:t>
      </w:r>
      <w:r w:rsidRPr="002A2A3D">
        <w:rPr>
          <w:rFonts w:ascii="Arial" w:hAnsi="Arial" w:cs="Arial"/>
          <w:i/>
          <w:iCs/>
        </w:rPr>
        <w:t>The World Economy</w:t>
      </w:r>
      <w:r w:rsidRPr="002A2A3D">
        <w:rPr>
          <w:rFonts w:ascii="Arial" w:hAnsi="Arial" w:cs="Arial"/>
        </w:rPr>
        <w:t xml:space="preserve">, 33(2), pp. 239–263. </w:t>
      </w:r>
      <w:hyperlink r:id="rId20" w:tgtFrame="_new" w:history="1">
        <w:r w:rsidRPr="002A2A3D">
          <w:rPr>
            <w:rStyle w:val="Hyperlink"/>
            <w:rFonts w:ascii="Arial" w:hAnsi="Arial" w:cs="Arial"/>
          </w:rPr>
          <w:t>https://doi.org/10.1111/j.1467-9701.2009.01230.x</w:t>
        </w:r>
      </w:hyperlink>
    </w:p>
    <w:p w14:paraId="176A36D3" w14:textId="77777777" w:rsidR="00883517" w:rsidRDefault="00883517" w:rsidP="002A2A3D">
      <w:pPr>
        <w:rPr>
          <w:rFonts w:ascii="Arial" w:hAnsi="Arial" w:cs="Arial"/>
        </w:rPr>
      </w:pPr>
      <w:r w:rsidRPr="002A2A3D">
        <w:rPr>
          <w:rFonts w:ascii="Arial" w:hAnsi="Arial" w:cs="Arial"/>
        </w:rPr>
        <w:t xml:space="preserve">Clark, P.B. and International Monetary Fund (2004) </w:t>
      </w:r>
      <w:r w:rsidRPr="002A2A3D">
        <w:rPr>
          <w:rFonts w:ascii="Arial" w:hAnsi="Arial" w:cs="Arial"/>
          <w:i/>
        </w:rPr>
        <w:t>A new look at exchange rate volatility and trade flows</w:t>
      </w:r>
      <w:r w:rsidRPr="002A2A3D">
        <w:rPr>
          <w:rFonts w:ascii="Arial" w:hAnsi="Arial" w:cs="Arial"/>
        </w:rPr>
        <w:t>, IMF Publication.</w:t>
      </w:r>
    </w:p>
    <w:p w14:paraId="60C5ED94" w14:textId="77777777" w:rsidR="002A2A3D" w:rsidRPr="002A2A3D" w:rsidRDefault="002A2A3D" w:rsidP="002A2A3D">
      <w:pPr>
        <w:rPr>
          <w:rFonts w:ascii="Arial" w:hAnsi="Arial" w:cs="Arial"/>
        </w:rPr>
      </w:pPr>
      <w:proofErr w:type="spellStart"/>
      <w:r w:rsidRPr="002A2A3D">
        <w:rPr>
          <w:rFonts w:ascii="Arial" w:hAnsi="Arial" w:cs="Arial"/>
        </w:rPr>
        <w:t>Dell’Ariccia</w:t>
      </w:r>
      <w:proofErr w:type="spellEnd"/>
      <w:r w:rsidRPr="002A2A3D">
        <w:rPr>
          <w:rFonts w:ascii="Arial" w:hAnsi="Arial" w:cs="Arial"/>
        </w:rPr>
        <w:t xml:space="preserve">, G. (1999) ‘Exchange rate fluctuations and trade flows: Evidence from the European Union’, </w:t>
      </w:r>
      <w:r w:rsidRPr="002A2A3D">
        <w:rPr>
          <w:rFonts w:ascii="Arial" w:hAnsi="Arial" w:cs="Arial"/>
          <w:i/>
          <w:iCs/>
        </w:rPr>
        <w:t>IMF Staff Papers</w:t>
      </w:r>
      <w:r w:rsidRPr="002A2A3D">
        <w:rPr>
          <w:rFonts w:ascii="Arial" w:hAnsi="Arial" w:cs="Arial"/>
        </w:rPr>
        <w:t xml:space="preserve">, 46(3), pp. 315–334. </w:t>
      </w:r>
      <w:hyperlink r:id="rId21" w:tgtFrame="_new" w:history="1">
        <w:r w:rsidRPr="002A2A3D">
          <w:rPr>
            <w:rStyle w:val="Hyperlink"/>
            <w:rFonts w:ascii="Arial" w:hAnsi="Arial" w:cs="Arial"/>
          </w:rPr>
          <w:t>https://doi.org/10.2307/3867646</w:t>
        </w:r>
      </w:hyperlink>
    </w:p>
    <w:p w14:paraId="2438380F" w14:textId="77777777" w:rsidR="002A2A3D" w:rsidRDefault="002A2A3D" w:rsidP="002A2A3D">
      <w:pPr>
        <w:rPr>
          <w:rFonts w:ascii="Arial" w:hAnsi="Arial" w:cs="Arial"/>
        </w:rPr>
      </w:pPr>
      <w:r w:rsidRPr="002A2A3D">
        <w:rPr>
          <w:rFonts w:ascii="Arial" w:hAnsi="Arial" w:cs="Arial"/>
        </w:rPr>
        <w:lastRenderedPageBreak/>
        <w:t xml:space="preserve">Dong, X. (2018) </w:t>
      </w:r>
      <w:r w:rsidRPr="002A2A3D">
        <w:rPr>
          <w:rFonts w:ascii="Arial" w:hAnsi="Arial" w:cs="Arial"/>
          <w:i/>
          <w:iCs/>
        </w:rPr>
        <w:t>Foreign exchange rate and financial market imperfections</w:t>
      </w:r>
      <w:r w:rsidRPr="002A2A3D">
        <w:rPr>
          <w:rFonts w:ascii="Arial" w:hAnsi="Arial" w:cs="Arial"/>
        </w:rPr>
        <w:t xml:space="preserve">. PhD thesis. Cardiff University. Available at: </w:t>
      </w:r>
      <w:hyperlink r:id="rId22" w:tgtFrame="_new" w:history="1">
        <w:r w:rsidRPr="002A2A3D">
          <w:rPr>
            <w:rStyle w:val="Hyperlink"/>
            <w:rFonts w:ascii="Arial" w:hAnsi="Arial" w:cs="Arial"/>
          </w:rPr>
          <w:t>https://orca.cardiff.ac.uk/id/eprint/111019</w:t>
        </w:r>
      </w:hyperlink>
    </w:p>
    <w:p w14:paraId="1BCB6381" w14:textId="77777777" w:rsidR="00883517" w:rsidRDefault="00883517" w:rsidP="002A2A3D">
      <w:pPr>
        <w:rPr>
          <w:rFonts w:ascii="Arial" w:hAnsi="Arial" w:cs="Arial"/>
        </w:rPr>
      </w:pPr>
      <w:r w:rsidRPr="002A2A3D">
        <w:rPr>
          <w:rFonts w:ascii="Arial" w:hAnsi="Arial" w:cs="Arial"/>
        </w:rPr>
        <w:t xml:space="preserve">Dong, L., </w:t>
      </w:r>
      <w:proofErr w:type="spellStart"/>
      <w:r w:rsidRPr="002A2A3D">
        <w:rPr>
          <w:rFonts w:ascii="Arial" w:hAnsi="Arial" w:cs="Arial"/>
        </w:rPr>
        <w:t>Kouvelis</w:t>
      </w:r>
      <w:proofErr w:type="spellEnd"/>
      <w:r w:rsidRPr="002A2A3D">
        <w:rPr>
          <w:rFonts w:ascii="Arial" w:hAnsi="Arial" w:cs="Arial"/>
        </w:rPr>
        <w:t xml:space="preserve">, P. and Su, P. (2014) ‘Operational hedging strategies and competitive exposure to exchange rates’, </w:t>
      </w:r>
      <w:r w:rsidRPr="002A2A3D">
        <w:rPr>
          <w:rFonts w:ascii="Arial" w:hAnsi="Arial" w:cs="Arial"/>
          <w:i/>
        </w:rPr>
        <w:t>International Journal of Production Economics</w:t>
      </w:r>
      <w:r w:rsidRPr="002A2A3D">
        <w:rPr>
          <w:rFonts w:ascii="Arial" w:hAnsi="Arial" w:cs="Arial"/>
        </w:rPr>
        <w:t xml:space="preserve">, 153, pp. 215–229. Available at: </w:t>
      </w:r>
      <w:hyperlink r:id="rId23" w:history="1">
        <w:r w:rsidRPr="00492D7B">
          <w:rPr>
            <w:rStyle w:val="Hyperlink"/>
            <w:rFonts w:ascii="Arial" w:hAnsi="Arial" w:cs="Arial"/>
          </w:rPr>
          <w:t>https://doi.org/10.1016/j.ijpe.2014.03.009</w:t>
        </w:r>
      </w:hyperlink>
    </w:p>
    <w:p w14:paraId="64B50D59" w14:textId="77777777" w:rsidR="00883517" w:rsidRDefault="00883517" w:rsidP="002A2A3D">
      <w:pPr>
        <w:rPr>
          <w:rFonts w:ascii="Arial" w:hAnsi="Arial" w:cs="Arial"/>
        </w:rPr>
      </w:pPr>
      <w:r w:rsidRPr="002A2A3D">
        <w:rPr>
          <w:rFonts w:ascii="Arial" w:hAnsi="Arial" w:cs="Arial"/>
        </w:rPr>
        <w:t xml:space="preserve">Dua, P. and Suri, R. (2023) ‘India’s bilateral export growth and exchange rate volatility’, in </w:t>
      </w:r>
      <w:proofErr w:type="spellStart"/>
      <w:r w:rsidRPr="002A2A3D">
        <w:rPr>
          <w:rFonts w:ascii="Arial" w:hAnsi="Arial" w:cs="Arial"/>
          <w:i/>
        </w:rPr>
        <w:t>Macroeconometric</w:t>
      </w:r>
      <w:proofErr w:type="spellEnd"/>
      <w:r w:rsidRPr="002A2A3D">
        <w:rPr>
          <w:rFonts w:ascii="Arial" w:hAnsi="Arial" w:cs="Arial"/>
          <w:i/>
        </w:rPr>
        <w:t xml:space="preserve"> Methods</w:t>
      </w:r>
      <w:r w:rsidRPr="002A2A3D">
        <w:rPr>
          <w:rFonts w:ascii="Arial" w:hAnsi="Arial" w:cs="Arial"/>
        </w:rPr>
        <w:t>, Springer, pp. 123–148.</w:t>
      </w:r>
    </w:p>
    <w:p w14:paraId="10CE0619" w14:textId="77777777" w:rsidR="002A2A3D" w:rsidRDefault="002A2A3D" w:rsidP="002A2A3D">
      <w:pPr>
        <w:rPr>
          <w:rFonts w:ascii="Arial" w:hAnsi="Arial" w:cs="Arial"/>
        </w:rPr>
      </w:pPr>
      <w:proofErr w:type="spellStart"/>
      <w:r w:rsidRPr="002A2A3D">
        <w:rPr>
          <w:rFonts w:ascii="Arial" w:hAnsi="Arial" w:cs="Arial"/>
        </w:rPr>
        <w:t>Eichengreen</w:t>
      </w:r>
      <w:proofErr w:type="spellEnd"/>
      <w:r w:rsidRPr="002A2A3D">
        <w:rPr>
          <w:rFonts w:ascii="Arial" w:hAnsi="Arial" w:cs="Arial"/>
        </w:rPr>
        <w:t xml:space="preserve">, B. and Gupta, P. (2013) ‘The real exchange rate and export growth: Are services different?’, </w:t>
      </w:r>
      <w:r w:rsidRPr="002A2A3D">
        <w:rPr>
          <w:rFonts w:ascii="Arial" w:hAnsi="Arial" w:cs="Arial"/>
          <w:i/>
          <w:iCs/>
        </w:rPr>
        <w:t>World Bank Policy Research Working Paper</w:t>
      </w:r>
      <w:r w:rsidRPr="002A2A3D">
        <w:rPr>
          <w:rFonts w:ascii="Arial" w:hAnsi="Arial" w:cs="Arial"/>
        </w:rPr>
        <w:t xml:space="preserve"> No. 6629. Available at: </w:t>
      </w:r>
      <w:hyperlink r:id="rId24" w:tgtFrame="_new" w:history="1">
        <w:r w:rsidRPr="002A2A3D">
          <w:rPr>
            <w:rStyle w:val="Hyperlink"/>
            <w:rFonts w:ascii="Arial" w:hAnsi="Arial" w:cs="Arial"/>
          </w:rPr>
          <w:t>https://mpra.ub.uni-muenchen.de/43358</w:t>
        </w:r>
      </w:hyperlink>
    </w:p>
    <w:p w14:paraId="4ACC9CBC" w14:textId="77777777" w:rsidR="00883517" w:rsidRDefault="00883517" w:rsidP="002A2A3D">
      <w:pPr>
        <w:rPr>
          <w:rFonts w:ascii="Arial" w:hAnsi="Arial" w:cs="Arial"/>
        </w:rPr>
      </w:pPr>
      <w:r w:rsidRPr="002A2A3D">
        <w:rPr>
          <w:rFonts w:ascii="Arial" w:hAnsi="Arial" w:cs="Arial"/>
        </w:rPr>
        <w:t xml:space="preserve">Flammer, C. and Ioannou, I. (2020) ‘Strategic management during the financial crisis’, </w:t>
      </w:r>
      <w:r w:rsidRPr="002A2A3D">
        <w:rPr>
          <w:rFonts w:ascii="Arial" w:hAnsi="Arial" w:cs="Arial"/>
          <w:i/>
        </w:rPr>
        <w:t>Strategic Management Journal</w:t>
      </w:r>
      <w:r w:rsidRPr="002A2A3D">
        <w:rPr>
          <w:rFonts w:ascii="Arial" w:hAnsi="Arial" w:cs="Arial"/>
        </w:rPr>
        <w:t xml:space="preserve">, 42(7), pp. 1275–1298. Available at: </w:t>
      </w:r>
      <w:hyperlink r:id="rId25" w:history="1">
        <w:r w:rsidRPr="00492D7B">
          <w:rPr>
            <w:rStyle w:val="Hyperlink"/>
            <w:rFonts w:ascii="Arial" w:hAnsi="Arial" w:cs="Arial"/>
          </w:rPr>
          <w:t>https://doi.org/10.1002/smj.3216</w:t>
        </w:r>
      </w:hyperlink>
    </w:p>
    <w:p w14:paraId="26A5C638" w14:textId="77777777" w:rsidR="002A2A3D" w:rsidRPr="002A2A3D" w:rsidRDefault="002A2A3D" w:rsidP="002A2A3D">
      <w:pPr>
        <w:rPr>
          <w:rFonts w:ascii="Arial" w:hAnsi="Arial" w:cs="Arial"/>
        </w:rPr>
      </w:pPr>
      <w:r w:rsidRPr="002A2A3D">
        <w:rPr>
          <w:rFonts w:ascii="Arial" w:hAnsi="Arial" w:cs="Arial"/>
        </w:rPr>
        <w:t xml:space="preserve">Forni, L., </w:t>
      </w:r>
      <w:proofErr w:type="spellStart"/>
      <w:r w:rsidRPr="002A2A3D">
        <w:rPr>
          <w:rFonts w:ascii="Arial" w:hAnsi="Arial" w:cs="Arial"/>
        </w:rPr>
        <w:t>Gerali</w:t>
      </w:r>
      <w:proofErr w:type="spellEnd"/>
      <w:r w:rsidRPr="002A2A3D">
        <w:rPr>
          <w:rFonts w:ascii="Arial" w:hAnsi="Arial" w:cs="Arial"/>
        </w:rPr>
        <w:t xml:space="preserve">, A. and Pisani, M. (2010) ‘Macroeconomic effects of greater competition in the service sector: The case of Italy’, </w:t>
      </w:r>
      <w:r w:rsidRPr="002A2A3D">
        <w:rPr>
          <w:rFonts w:ascii="Arial" w:hAnsi="Arial" w:cs="Arial"/>
          <w:i/>
          <w:iCs/>
        </w:rPr>
        <w:t>Macroeconomic Dynamics</w:t>
      </w:r>
      <w:r w:rsidRPr="002A2A3D">
        <w:rPr>
          <w:rFonts w:ascii="Arial" w:hAnsi="Arial" w:cs="Arial"/>
        </w:rPr>
        <w:t xml:space="preserve">, 14(5), pp. 677–708. </w:t>
      </w:r>
      <w:hyperlink r:id="rId26" w:tgtFrame="_new" w:history="1">
        <w:r w:rsidRPr="002A2A3D">
          <w:rPr>
            <w:rStyle w:val="Hyperlink"/>
            <w:rFonts w:ascii="Arial" w:hAnsi="Arial" w:cs="Arial"/>
          </w:rPr>
          <w:t>https://doi.org/10.1017/S1365100509990800</w:t>
        </w:r>
      </w:hyperlink>
    </w:p>
    <w:p w14:paraId="40B217BA" w14:textId="77777777" w:rsidR="002A2A3D" w:rsidRPr="002A2A3D" w:rsidRDefault="002A2A3D" w:rsidP="002A2A3D">
      <w:pPr>
        <w:rPr>
          <w:rFonts w:ascii="Arial" w:hAnsi="Arial" w:cs="Arial"/>
        </w:rPr>
      </w:pPr>
      <w:r w:rsidRPr="002A2A3D">
        <w:rPr>
          <w:rFonts w:ascii="Arial" w:hAnsi="Arial" w:cs="Arial"/>
        </w:rPr>
        <w:t xml:space="preserve">Gopinath, G. (2015) ‘The international price system’, </w:t>
      </w:r>
      <w:r w:rsidRPr="002A2A3D">
        <w:rPr>
          <w:rFonts w:ascii="Arial" w:hAnsi="Arial" w:cs="Arial"/>
          <w:i/>
          <w:iCs/>
        </w:rPr>
        <w:t>NBER Working Paper</w:t>
      </w:r>
      <w:r w:rsidRPr="002A2A3D">
        <w:rPr>
          <w:rFonts w:ascii="Arial" w:hAnsi="Arial" w:cs="Arial"/>
        </w:rPr>
        <w:t xml:space="preserve"> No. 21646. Available at: </w:t>
      </w:r>
      <w:hyperlink r:id="rId27" w:tgtFrame="_new" w:history="1">
        <w:r w:rsidRPr="002A2A3D">
          <w:rPr>
            <w:rStyle w:val="Hyperlink"/>
            <w:rFonts w:ascii="Arial" w:hAnsi="Arial" w:cs="Arial"/>
          </w:rPr>
          <w:t>https://www.nber.org/papers/w21646</w:t>
        </w:r>
      </w:hyperlink>
    </w:p>
    <w:p w14:paraId="0B451C0E" w14:textId="77777777" w:rsidR="002A2A3D" w:rsidRPr="002A2A3D" w:rsidRDefault="002A2A3D" w:rsidP="002A2A3D">
      <w:pPr>
        <w:rPr>
          <w:rFonts w:ascii="Arial" w:hAnsi="Arial" w:cs="Arial"/>
          <w:lang w:val="en-IN"/>
        </w:rPr>
      </w:pPr>
      <w:r w:rsidRPr="002A2A3D">
        <w:rPr>
          <w:rFonts w:ascii="Arial" w:hAnsi="Arial" w:cs="Arial"/>
          <w:lang w:val="en-IN"/>
        </w:rPr>
        <w:t xml:space="preserve">Gough, D., Oliver, S. and Thomas, J. (2017) </w:t>
      </w:r>
      <w:r w:rsidRPr="002A2A3D">
        <w:rPr>
          <w:rFonts w:ascii="Arial" w:hAnsi="Arial" w:cs="Arial"/>
          <w:i/>
          <w:iCs/>
          <w:lang w:val="en-IN"/>
        </w:rPr>
        <w:t>An Introduction to Systematic Reviews</w:t>
      </w:r>
      <w:r w:rsidRPr="002A2A3D">
        <w:rPr>
          <w:rFonts w:ascii="Arial" w:hAnsi="Arial" w:cs="Arial"/>
          <w:lang w:val="en-IN"/>
        </w:rPr>
        <w:t>. London: Sage.</w:t>
      </w:r>
    </w:p>
    <w:p w14:paraId="7552049F" w14:textId="77777777" w:rsidR="002A2A3D" w:rsidRDefault="002A2A3D" w:rsidP="002A2A3D">
      <w:pPr>
        <w:rPr>
          <w:rFonts w:ascii="Arial" w:hAnsi="Arial" w:cs="Arial"/>
          <w:lang w:val="en-IN"/>
        </w:rPr>
      </w:pPr>
      <w:r w:rsidRPr="002A2A3D">
        <w:rPr>
          <w:rFonts w:ascii="Arial" w:hAnsi="Arial" w:cs="Arial"/>
          <w:lang w:val="en-IN"/>
        </w:rPr>
        <w:t xml:space="preserve">Gusenbauer, M. and Haddaway, N.R. (2020) ‘Which academic search systems are suitable for systematic reviews or meta-analyses? Evaluating retrieval qualities of Google Scholar, PubMed, and 26 other resources’, </w:t>
      </w:r>
      <w:r w:rsidRPr="002A2A3D">
        <w:rPr>
          <w:rFonts w:ascii="Arial" w:hAnsi="Arial" w:cs="Arial"/>
          <w:i/>
          <w:iCs/>
          <w:lang w:val="en-IN"/>
        </w:rPr>
        <w:t>Research Synthesis Methods</w:t>
      </w:r>
      <w:r w:rsidRPr="002A2A3D">
        <w:rPr>
          <w:rFonts w:ascii="Arial" w:hAnsi="Arial" w:cs="Arial"/>
          <w:lang w:val="en-IN"/>
        </w:rPr>
        <w:t>, 11(2), pp. 181–217. doi:10.1002/jrsm.1378.</w:t>
      </w:r>
    </w:p>
    <w:p w14:paraId="66884929" w14:textId="77777777" w:rsidR="002A2A3D" w:rsidRDefault="002A2A3D" w:rsidP="002A2A3D">
      <w:pPr>
        <w:rPr>
          <w:rFonts w:ascii="Arial" w:hAnsi="Arial" w:cs="Arial"/>
          <w:lang w:val="en-IN"/>
        </w:rPr>
      </w:pPr>
      <w:r w:rsidRPr="002A2A3D">
        <w:rPr>
          <w:rFonts w:ascii="Arial" w:hAnsi="Arial" w:cs="Arial"/>
          <w:lang w:val="en-IN"/>
        </w:rPr>
        <w:t xml:space="preserve">Hannes, K. and Lockwood, C. (2011) ‘Pragmatism as the philosophical foundation for the Joanna Briggs meta-aggregative approach to qualitative evidence synthesis’, </w:t>
      </w:r>
      <w:r w:rsidRPr="002A2A3D">
        <w:rPr>
          <w:rFonts w:ascii="Arial" w:hAnsi="Arial" w:cs="Arial"/>
          <w:i/>
          <w:iCs/>
          <w:lang w:val="en-IN"/>
        </w:rPr>
        <w:t>Journal of Advanced Nursing</w:t>
      </w:r>
      <w:r w:rsidRPr="002A2A3D">
        <w:rPr>
          <w:rFonts w:ascii="Arial" w:hAnsi="Arial" w:cs="Arial"/>
          <w:lang w:val="en-IN"/>
        </w:rPr>
        <w:t>, 67(7), pp. 1632–1642. doi:10.1111/j.1365-2648.2011.05636.x.</w:t>
      </w:r>
    </w:p>
    <w:p w14:paraId="156B9E69" w14:textId="77777777" w:rsidR="00883517" w:rsidRDefault="00883517" w:rsidP="002A2A3D">
      <w:pPr>
        <w:rPr>
          <w:rFonts w:ascii="Arial" w:hAnsi="Arial" w:cs="Arial"/>
        </w:rPr>
      </w:pPr>
      <w:r w:rsidRPr="002A2A3D">
        <w:rPr>
          <w:rFonts w:ascii="Arial" w:hAnsi="Arial" w:cs="Arial"/>
        </w:rPr>
        <w:t xml:space="preserve">Hayakawa, K. and Kimura, F. (2009) ‘The effect of exchange rate volatility on international trade in East Asia’, </w:t>
      </w:r>
      <w:r w:rsidRPr="002A2A3D">
        <w:rPr>
          <w:rFonts w:ascii="Arial" w:hAnsi="Arial" w:cs="Arial"/>
          <w:i/>
        </w:rPr>
        <w:t>Journal of the Japanese and International Economies</w:t>
      </w:r>
      <w:r w:rsidRPr="002A2A3D">
        <w:rPr>
          <w:rFonts w:ascii="Arial" w:hAnsi="Arial" w:cs="Arial"/>
        </w:rPr>
        <w:t xml:space="preserve">, 23(4), pp. 395–406. Available at: </w:t>
      </w:r>
      <w:hyperlink r:id="rId28" w:history="1">
        <w:r w:rsidRPr="00492D7B">
          <w:rPr>
            <w:rStyle w:val="Hyperlink"/>
            <w:rFonts w:ascii="Arial" w:hAnsi="Arial" w:cs="Arial"/>
          </w:rPr>
          <w:t>https://doi.org/10.1016/j.jjie.2009.06.001</w:t>
        </w:r>
      </w:hyperlink>
    </w:p>
    <w:p w14:paraId="5CA8E6ED" w14:textId="77777777" w:rsidR="002A2A3D" w:rsidRPr="002A2A3D" w:rsidRDefault="002A2A3D" w:rsidP="002A2A3D">
      <w:pPr>
        <w:rPr>
          <w:rFonts w:ascii="Arial" w:hAnsi="Arial" w:cs="Arial"/>
          <w:lang w:val="en-IN"/>
        </w:rPr>
      </w:pPr>
      <w:r w:rsidRPr="002A2A3D">
        <w:rPr>
          <w:rFonts w:ascii="Arial" w:hAnsi="Arial" w:cs="Arial"/>
          <w:lang w:val="en-IN"/>
        </w:rPr>
        <w:t xml:space="preserve">Hong, Q.N. et al. (2017) ‘Convergent and sequential synthesis designs: Implications for conducting and reporting systematic reviews of qualitative and quantitative evidence’, </w:t>
      </w:r>
      <w:r w:rsidRPr="002A2A3D">
        <w:rPr>
          <w:rFonts w:ascii="Arial" w:hAnsi="Arial" w:cs="Arial"/>
          <w:i/>
          <w:iCs/>
          <w:lang w:val="en-IN"/>
        </w:rPr>
        <w:t>Systematic Reviews</w:t>
      </w:r>
      <w:r w:rsidRPr="002A2A3D">
        <w:rPr>
          <w:rFonts w:ascii="Arial" w:hAnsi="Arial" w:cs="Arial"/>
          <w:lang w:val="en-IN"/>
        </w:rPr>
        <w:t>, 6(1). doi:10.1186/s13643-017-0454-2.</w:t>
      </w:r>
    </w:p>
    <w:p w14:paraId="56B0088F" w14:textId="77777777" w:rsidR="002A2A3D" w:rsidRDefault="002A2A3D" w:rsidP="002A2A3D">
      <w:pPr>
        <w:rPr>
          <w:rFonts w:ascii="Arial" w:hAnsi="Arial" w:cs="Arial"/>
          <w:lang w:val="en-IN"/>
        </w:rPr>
      </w:pPr>
      <w:r w:rsidRPr="002A2A3D">
        <w:rPr>
          <w:rFonts w:ascii="Arial" w:hAnsi="Arial" w:cs="Arial"/>
          <w:lang w:val="en-IN"/>
        </w:rPr>
        <w:lastRenderedPageBreak/>
        <w:t xml:space="preserve">Hong, Q.N. et al. (2018) ‘The Mixed Methods Appraisal Tool (MMAT) version 2018 for information professionals and researchers’, </w:t>
      </w:r>
      <w:r w:rsidRPr="002A2A3D">
        <w:rPr>
          <w:rFonts w:ascii="Arial" w:hAnsi="Arial" w:cs="Arial"/>
          <w:i/>
          <w:iCs/>
          <w:lang w:val="en-IN"/>
        </w:rPr>
        <w:t>Education for Information</w:t>
      </w:r>
      <w:r w:rsidRPr="002A2A3D">
        <w:rPr>
          <w:rFonts w:ascii="Arial" w:hAnsi="Arial" w:cs="Arial"/>
          <w:lang w:val="en-IN"/>
        </w:rPr>
        <w:t>, 34(4), pp. 285–291. doi:10.3233/EFI-180221.</w:t>
      </w:r>
    </w:p>
    <w:p w14:paraId="3A453675" w14:textId="77777777" w:rsidR="00883517" w:rsidRPr="00883517" w:rsidRDefault="00883517" w:rsidP="002A2A3D">
      <w:pPr>
        <w:rPr>
          <w:rFonts w:ascii="Arial" w:hAnsi="Arial" w:cs="Arial"/>
        </w:rPr>
      </w:pPr>
      <w:proofErr w:type="spellStart"/>
      <w:r w:rsidRPr="002A2A3D">
        <w:rPr>
          <w:rFonts w:ascii="Arial" w:hAnsi="Arial" w:cs="Arial"/>
        </w:rPr>
        <w:t>Hoskisson</w:t>
      </w:r>
      <w:proofErr w:type="spellEnd"/>
      <w:r w:rsidRPr="002A2A3D">
        <w:rPr>
          <w:rFonts w:ascii="Arial" w:hAnsi="Arial" w:cs="Arial"/>
        </w:rPr>
        <w:t xml:space="preserve">, R.E., Chirico, F., </w:t>
      </w:r>
      <w:proofErr w:type="spellStart"/>
      <w:r w:rsidRPr="002A2A3D">
        <w:rPr>
          <w:rFonts w:ascii="Arial" w:hAnsi="Arial" w:cs="Arial"/>
        </w:rPr>
        <w:t>Zyung</w:t>
      </w:r>
      <w:proofErr w:type="spellEnd"/>
      <w:r w:rsidRPr="002A2A3D">
        <w:rPr>
          <w:rFonts w:ascii="Arial" w:hAnsi="Arial" w:cs="Arial"/>
        </w:rPr>
        <w:t xml:space="preserve">, J. (Daniel) and </w:t>
      </w:r>
      <w:proofErr w:type="spellStart"/>
      <w:r w:rsidRPr="002A2A3D">
        <w:rPr>
          <w:rFonts w:ascii="Arial" w:hAnsi="Arial" w:cs="Arial"/>
        </w:rPr>
        <w:t>Gambeta</w:t>
      </w:r>
      <w:proofErr w:type="spellEnd"/>
      <w:r w:rsidRPr="002A2A3D">
        <w:rPr>
          <w:rFonts w:ascii="Arial" w:hAnsi="Arial" w:cs="Arial"/>
        </w:rPr>
        <w:t xml:space="preserve">, E. (2016). Managerial Risk Taking. </w:t>
      </w:r>
      <w:r w:rsidRPr="002A2A3D">
        <w:rPr>
          <w:rFonts w:ascii="Arial" w:hAnsi="Arial" w:cs="Arial"/>
          <w:i/>
          <w:iCs/>
        </w:rPr>
        <w:t>Journal of Management</w:t>
      </w:r>
      <w:r w:rsidRPr="002A2A3D">
        <w:rPr>
          <w:rFonts w:ascii="Arial" w:hAnsi="Arial" w:cs="Arial"/>
        </w:rPr>
        <w:t>, 43(1), pp.137–169. Available at: https://doi.org/10.1177/0149206316671583.</w:t>
      </w:r>
    </w:p>
    <w:p w14:paraId="0C46FE8C" w14:textId="77777777" w:rsidR="00883517" w:rsidRDefault="00883517" w:rsidP="002A2A3D">
      <w:pPr>
        <w:rPr>
          <w:rFonts w:ascii="Arial" w:hAnsi="Arial" w:cs="Arial"/>
        </w:rPr>
      </w:pPr>
      <w:r w:rsidRPr="002A2A3D">
        <w:rPr>
          <w:rFonts w:ascii="Arial" w:hAnsi="Arial" w:cs="Arial"/>
          <w:lang w:val="en-IN"/>
        </w:rPr>
        <w:t xml:space="preserve">Hutson, E. and Stevenson, S. (2009) ‘Openness, hedging incentives and foreign exchange exposure: A firm-level multi-country study’, </w:t>
      </w:r>
      <w:r w:rsidRPr="002A2A3D">
        <w:rPr>
          <w:rFonts w:ascii="Arial" w:hAnsi="Arial" w:cs="Arial"/>
          <w:i/>
          <w:iCs/>
          <w:lang w:val="en-IN"/>
        </w:rPr>
        <w:t>Journal of International Business Studies</w:t>
      </w:r>
      <w:r w:rsidRPr="002A2A3D">
        <w:rPr>
          <w:rFonts w:ascii="Arial" w:hAnsi="Arial" w:cs="Arial"/>
          <w:lang w:val="en-IN"/>
        </w:rPr>
        <w:t xml:space="preserve">, 41(1), pp. 105–122. Available at: </w:t>
      </w:r>
      <w:hyperlink r:id="rId29" w:tgtFrame="_new" w:history="1">
        <w:r w:rsidRPr="002A2A3D">
          <w:rPr>
            <w:rStyle w:val="Hyperlink"/>
            <w:rFonts w:ascii="Arial" w:hAnsi="Arial" w:cs="Arial"/>
            <w:lang w:val="en-IN"/>
          </w:rPr>
          <w:t>https://doi.org/10.1057/jibs.2009.32</w:t>
        </w:r>
      </w:hyperlink>
    </w:p>
    <w:p w14:paraId="1AA004BF" w14:textId="77777777" w:rsidR="000E0309" w:rsidRDefault="000E0309" w:rsidP="002A2A3D">
      <w:pPr>
        <w:rPr>
          <w:rFonts w:ascii="Arial" w:hAnsi="Arial" w:cs="Arial"/>
          <w:lang w:val="en-IN"/>
        </w:rPr>
      </w:pPr>
      <w:proofErr w:type="spellStart"/>
      <w:r w:rsidRPr="000E0309">
        <w:rPr>
          <w:rFonts w:ascii="Arial" w:hAnsi="Arial" w:cs="Arial"/>
        </w:rPr>
        <w:t>Javalgi</w:t>
      </w:r>
      <w:proofErr w:type="spellEnd"/>
      <w:r w:rsidRPr="000E0309">
        <w:rPr>
          <w:rFonts w:ascii="Arial" w:hAnsi="Arial" w:cs="Arial"/>
        </w:rPr>
        <w:t xml:space="preserve">, R.G., Gross, A.C., Joseph, W.B. and Granot, E. (2011) ‘Assessing competitive advantage of emerging markets in knowledge-intensive business services’, </w:t>
      </w:r>
      <w:r w:rsidRPr="000E0309">
        <w:rPr>
          <w:rFonts w:ascii="Arial" w:hAnsi="Arial" w:cs="Arial"/>
          <w:i/>
          <w:iCs/>
        </w:rPr>
        <w:t>Journal of Business &amp; Industrial Marketing</w:t>
      </w:r>
      <w:r w:rsidRPr="000E0309">
        <w:rPr>
          <w:rFonts w:ascii="Arial" w:hAnsi="Arial" w:cs="Arial"/>
        </w:rPr>
        <w:t xml:space="preserve">, </w:t>
      </w:r>
      <w:r w:rsidRPr="000E0309">
        <w:rPr>
          <w:rFonts w:ascii="Arial" w:hAnsi="Arial" w:cs="Arial"/>
          <w:b/>
          <w:bCs/>
        </w:rPr>
        <w:t>26</w:t>
      </w:r>
      <w:r w:rsidRPr="000E0309">
        <w:rPr>
          <w:rFonts w:ascii="Arial" w:hAnsi="Arial" w:cs="Arial"/>
        </w:rPr>
        <w:t xml:space="preserve">(3), pp. 171–180. </w:t>
      </w:r>
      <w:hyperlink r:id="rId30" w:tgtFrame="_new" w:history="1">
        <w:r w:rsidRPr="000E0309">
          <w:rPr>
            <w:rStyle w:val="Hyperlink"/>
            <w:rFonts w:ascii="Arial" w:hAnsi="Arial" w:cs="Arial"/>
          </w:rPr>
          <w:t>https://doi.org/10.1108/08858621111115895</w:t>
        </w:r>
      </w:hyperlink>
    </w:p>
    <w:p w14:paraId="07E2DC98" w14:textId="77777777" w:rsidR="002A2A3D" w:rsidRPr="002A2A3D" w:rsidRDefault="002A2A3D" w:rsidP="002A2A3D">
      <w:pPr>
        <w:rPr>
          <w:rFonts w:ascii="Arial" w:hAnsi="Arial" w:cs="Arial"/>
          <w:lang w:val="en-IN"/>
        </w:rPr>
      </w:pPr>
      <w:r w:rsidRPr="002A2A3D">
        <w:rPr>
          <w:rFonts w:ascii="Arial" w:hAnsi="Arial" w:cs="Arial"/>
          <w:lang w:val="en-IN"/>
        </w:rPr>
        <w:t xml:space="preserve">Johnson, P., Buehring, A., Cassell, C. and Symon, G. (2006) ‘Evaluating qualitative management research: Towards a contingent criteriology’, </w:t>
      </w:r>
      <w:r w:rsidRPr="002A2A3D">
        <w:rPr>
          <w:rFonts w:ascii="Arial" w:hAnsi="Arial" w:cs="Arial"/>
          <w:i/>
          <w:iCs/>
          <w:lang w:val="en-IN"/>
        </w:rPr>
        <w:t>International Journal of Management Reviews</w:t>
      </w:r>
      <w:r w:rsidRPr="002A2A3D">
        <w:rPr>
          <w:rFonts w:ascii="Arial" w:hAnsi="Arial" w:cs="Arial"/>
          <w:lang w:val="en-IN"/>
        </w:rPr>
        <w:t>, 8(3), pp. 131–156. doi:10.1111/j.1468-2370.2006.00124.x.</w:t>
      </w:r>
    </w:p>
    <w:p w14:paraId="25357874" w14:textId="77777777" w:rsidR="002A2A3D" w:rsidRDefault="002A2A3D" w:rsidP="002A2A3D">
      <w:pPr>
        <w:rPr>
          <w:rFonts w:ascii="Arial" w:hAnsi="Arial" w:cs="Arial"/>
          <w:lang w:val="en-IN"/>
        </w:rPr>
      </w:pPr>
      <w:r w:rsidRPr="002A2A3D">
        <w:rPr>
          <w:rFonts w:ascii="Arial" w:hAnsi="Arial" w:cs="Arial"/>
          <w:lang w:val="en-IN"/>
        </w:rPr>
        <w:t xml:space="preserve">Kaushik, V. and Walsh, C.A. (2019) ‘Pragmatism as a research paradigm and its implications for social work research’, </w:t>
      </w:r>
      <w:r w:rsidRPr="002A2A3D">
        <w:rPr>
          <w:rFonts w:ascii="Arial" w:hAnsi="Arial" w:cs="Arial"/>
          <w:i/>
          <w:iCs/>
          <w:lang w:val="en-IN"/>
        </w:rPr>
        <w:t>Social Sciences</w:t>
      </w:r>
      <w:r w:rsidRPr="002A2A3D">
        <w:rPr>
          <w:rFonts w:ascii="Arial" w:hAnsi="Arial" w:cs="Arial"/>
          <w:lang w:val="en-IN"/>
        </w:rPr>
        <w:t>, 8(9), pp. 1–17. doi:10.3390/socsci8090255.</w:t>
      </w:r>
    </w:p>
    <w:p w14:paraId="0F5ACDB0" w14:textId="77777777" w:rsidR="00883517" w:rsidRPr="00883517" w:rsidRDefault="00883517" w:rsidP="002A2A3D">
      <w:pPr>
        <w:rPr>
          <w:rFonts w:ascii="Arial" w:hAnsi="Arial" w:cs="Arial"/>
        </w:rPr>
      </w:pPr>
      <w:r w:rsidRPr="002A2A3D">
        <w:rPr>
          <w:rFonts w:ascii="Arial" w:hAnsi="Arial" w:cs="Arial"/>
        </w:rPr>
        <w:t xml:space="preserve">Kiliç, R. (2011) ‘A conditional variance tale from a freely floating exchange rate’, </w:t>
      </w:r>
      <w:r w:rsidRPr="002A2A3D">
        <w:rPr>
          <w:rFonts w:ascii="Arial" w:hAnsi="Arial" w:cs="Arial"/>
          <w:i/>
        </w:rPr>
        <w:t>Applied Economics</w:t>
      </w:r>
      <w:r w:rsidRPr="002A2A3D">
        <w:rPr>
          <w:rFonts w:ascii="Arial" w:hAnsi="Arial" w:cs="Arial"/>
        </w:rPr>
        <w:t xml:space="preserve">, 43(19), pp. 2465–2480. Available at: </w:t>
      </w:r>
      <w:hyperlink r:id="rId31" w:history="1">
        <w:r w:rsidRPr="00492D7B">
          <w:rPr>
            <w:rStyle w:val="Hyperlink"/>
            <w:rFonts w:ascii="Arial" w:hAnsi="Arial" w:cs="Arial"/>
          </w:rPr>
          <w:t>https://doi.org/10.1080/00036840903357483</w:t>
        </w:r>
      </w:hyperlink>
    </w:p>
    <w:p w14:paraId="2991A0B8" w14:textId="77777777" w:rsidR="00883517" w:rsidRPr="002A2A3D" w:rsidRDefault="00883517" w:rsidP="00883517">
      <w:pPr>
        <w:rPr>
          <w:rFonts w:ascii="Arial" w:hAnsi="Arial" w:cs="Arial"/>
        </w:rPr>
      </w:pPr>
      <w:r w:rsidRPr="002A2A3D">
        <w:rPr>
          <w:rFonts w:ascii="Arial" w:hAnsi="Arial" w:cs="Arial"/>
        </w:rPr>
        <w:t xml:space="preserve">Kortava, E. (2013) </w:t>
      </w:r>
      <w:r w:rsidRPr="002A2A3D">
        <w:rPr>
          <w:rFonts w:ascii="Arial" w:hAnsi="Arial" w:cs="Arial"/>
          <w:i/>
          <w:iCs/>
        </w:rPr>
        <w:t>Structural instability in the pricing-to-market and exchange rate pass-through</w:t>
      </w:r>
      <w:r w:rsidRPr="002A2A3D">
        <w:rPr>
          <w:rFonts w:ascii="Arial" w:hAnsi="Arial" w:cs="Arial"/>
        </w:rPr>
        <w:t xml:space="preserve">. PhD thesis. University of Glasgow. Available at: </w:t>
      </w:r>
      <w:hyperlink r:id="rId32" w:tgtFrame="_new" w:history="1">
        <w:r w:rsidRPr="002A2A3D">
          <w:rPr>
            <w:rStyle w:val="Hyperlink"/>
            <w:rFonts w:ascii="Arial" w:hAnsi="Arial" w:cs="Arial"/>
          </w:rPr>
          <w:t>https://theses.gla.ac.uk/4787/1/2013kortavaphd.pdf</w:t>
        </w:r>
      </w:hyperlink>
    </w:p>
    <w:p w14:paraId="52CF8D22" w14:textId="77777777" w:rsidR="00883517" w:rsidRDefault="00883517" w:rsidP="002A2A3D">
      <w:pPr>
        <w:rPr>
          <w:rFonts w:ascii="Arial" w:hAnsi="Arial" w:cs="Arial"/>
        </w:rPr>
      </w:pPr>
      <w:r w:rsidRPr="002A2A3D">
        <w:rPr>
          <w:rFonts w:ascii="Arial" w:hAnsi="Arial" w:cs="Arial"/>
        </w:rPr>
        <w:t xml:space="preserve">Krugman, P. (1980) ‘Scale economies, product differentiation, and the pattern of trade’, </w:t>
      </w:r>
      <w:r w:rsidRPr="002A2A3D">
        <w:rPr>
          <w:rFonts w:ascii="Arial" w:hAnsi="Arial" w:cs="Arial"/>
          <w:i/>
        </w:rPr>
        <w:t>American Economic Review</w:t>
      </w:r>
      <w:r w:rsidRPr="002A2A3D">
        <w:rPr>
          <w:rFonts w:ascii="Arial" w:hAnsi="Arial" w:cs="Arial"/>
        </w:rPr>
        <w:t>, 70(5), pp. 950–959.</w:t>
      </w:r>
    </w:p>
    <w:p w14:paraId="7F662677" w14:textId="77777777" w:rsidR="00883517" w:rsidRPr="00883517" w:rsidRDefault="00883517" w:rsidP="002A2A3D">
      <w:pPr>
        <w:rPr>
          <w:rFonts w:ascii="Arial" w:hAnsi="Arial" w:cs="Arial"/>
        </w:rPr>
      </w:pPr>
      <w:proofErr w:type="spellStart"/>
      <w:r w:rsidRPr="002A2A3D">
        <w:rPr>
          <w:rFonts w:ascii="Arial" w:hAnsi="Arial" w:cs="Arial"/>
        </w:rPr>
        <w:t>Marisetty</w:t>
      </w:r>
      <w:proofErr w:type="spellEnd"/>
      <w:r w:rsidRPr="002A2A3D">
        <w:rPr>
          <w:rFonts w:ascii="Arial" w:hAnsi="Arial" w:cs="Arial"/>
        </w:rPr>
        <w:t xml:space="preserve">, N. (2024) </w:t>
      </w:r>
      <w:r w:rsidRPr="002A2A3D">
        <w:rPr>
          <w:rFonts w:ascii="Arial" w:hAnsi="Arial" w:cs="Arial"/>
          <w:i/>
          <w:iCs/>
        </w:rPr>
        <w:t>Assessing currency market equilibrium: Cointegration and correlation analysis of USD/INR and major global currencies</w:t>
      </w:r>
      <w:r w:rsidRPr="002A2A3D">
        <w:rPr>
          <w:rFonts w:ascii="Arial" w:hAnsi="Arial" w:cs="Arial"/>
        </w:rPr>
        <w:t xml:space="preserve">. SSRN Working Paper. Available at: </w:t>
      </w:r>
      <w:hyperlink r:id="rId33" w:tgtFrame="_new" w:history="1">
        <w:r w:rsidRPr="002A2A3D">
          <w:rPr>
            <w:rStyle w:val="Hyperlink"/>
            <w:rFonts w:ascii="Arial" w:hAnsi="Arial" w:cs="Arial"/>
          </w:rPr>
          <w:t>https://doi.org/10.2139/ssrn.4993698</w:t>
        </w:r>
      </w:hyperlink>
    </w:p>
    <w:p w14:paraId="0CDEB0A0" w14:textId="77777777" w:rsidR="002A2A3D" w:rsidRDefault="002A2A3D" w:rsidP="002A2A3D">
      <w:pPr>
        <w:rPr>
          <w:rFonts w:ascii="Arial" w:hAnsi="Arial" w:cs="Arial"/>
          <w:lang w:val="en-IN"/>
        </w:rPr>
      </w:pPr>
      <w:r w:rsidRPr="002A2A3D">
        <w:rPr>
          <w:rFonts w:ascii="Arial" w:hAnsi="Arial" w:cs="Arial"/>
          <w:lang w:val="en-IN"/>
        </w:rPr>
        <w:t xml:space="preserve">Lalith Siriwardena, W.B.Y. and Niluka Surangi Anuradha (2025) ‘A systematic review of the impact of leverage and macroeconomic factors on systematic risk of common stock: Exploring profitability as a mediator and size as a moderator’, </w:t>
      </w:r>
      <w:r w:rsidRPr="002A2A3D">
        <w:rPr>
          <w:rFonts w:ascii="Arial" w:hAnsi="Arial" w:cs="Arial"/>
          <w:i/>
          <w:iCs/>
          <w:lang w:val="en-IN"/>
        </w:rPr>
        <w:t>SSRN Electronic Journal</w:t>
      </w:r>
      <w:r w:rsidRPr="002A2A3D">
        <w:rPr>
          <w:rFonts w:ascii="Arial" w:hAnsi="Arial" w:cs="Arial"/>
          <w:lang w:val="en-IN"/>
        </w:rPr>
        <w:t>. doi:10.2139/ssrn.5331154.</w:t>
      </w:r>
    </w:p>
    <w:p w14:paraId="562A944F" w14:textId="77777777" w:rsidR="00883517" w:rsidRPr="00883517" w:rsidRDefault="00883517" w:rsidP="002A2A3D">
      <w:pPr>
        <w:rPr>
          <w:rFonts w:ascii="Arial" w:hAnsi="Arial" w:cs="Arial"/>
        </w:rPr>
      </w:pPr>
      <w:r w:rsidRPr="002A2A3D">
        <w:rPr>
          <w:rFonts w:ascii="Arial" w:hAnsi="Arial" w:cs="Arial"/>
        </w:rPr>
        <w:t xml:space="preserve">Li, N. and Meleshchuk, S. (2024) </w:t>
      </w:r>
      <w:r w:rsidRPr="002A2A3D">
        <w:rPr>
          <w:rFonts w:ascii="Arial" w:hAnsi="Arial" w:cs="Arial"/>
          <w:i/>
        </w:rPr>
        <w:t>Bilateral trade in services and exchange rates</w:t>
      </w:r>
      <w:r w:rsidRPr="002A2A3D">
        <w:rPr>
          <w:rFonts w:ascii="Arial" w:hAnsi="Arial" w:cs="Arial"/>
        </w:rPr>
        <w:t>, IMF Working Paper WP/24/242.</w:t>
      </w:r>
    </w:p>
    <w:p w14:paraId="3A887EA7" w14:textId="77777777" w:rsidR="002A2A3D" w:rsidRPr="002A2A3D" w:rsidRDefault="002A2A3D" w:rsidP="002A2A3D">
      <w:pPr>
        <w:rPr>
          <w:rFonts w:ascii="Arial" w:hAnsi="Arial" w:cs="Arial"/>
          <w:lang w:val="en-IN"/>
        </w:rPr>
      </w:pPr>
      <w:r w:rsidRPr="002A2A3D">
        <w:rPr>
          <w:rFonts w:ascii="Arial" w:hAnsi="Arial" w:cs="Arial"/>
          <w:lang w:val="en-IN"/>
        </w:rPr>
        <w:lastRenderedPageBreak/>
        <w:t xml:space="preserve">Mertz, M., Kahrass, H. and Strech, D. (2016) ‘Current state of ethics literature synthesis: A systematic review of reviews’, </w:t>
      </w:r>
      <w:r w:rsidRPr="002A2A3D">
        <w:rPr>
          <w:rFonts w:ascii="Arial" w:hAnsi="Arial" w:cs="Arial"/>
          <w:i/>
          <w:iCs/>
          <w:lang w:val="en-IN"/>
        </w:rPr>
        <w:t>BMC Medicine</w:t>
      </w:r>
      <w:r w:rsidRPr="002A2A3D">
        <w:rPr>
          <w:rFonts w:ascii="Arial" w:hAnsi="Arial" w:cs="Arial"/>
          <w:lang w:val="en-IN"/>
        </w:rPr>
        <w:t>, 14(1). doi:10.1186/s12916-016-0688-1.</w:t>
      </w:r>
    </w:p>
    <w:p w14:paraId="216FB259" w14:textId="77777777" w:rsidR="002A2A3D" w:rsidRPr="002A2A3D" w:rsidRDefault="002A2A3D" w:rsidP="002A2A3D">
      <w:pPr>
        <w:rPr>
          <w:rFonts w:ascii="Arial" w:hAnsi="Arial" w:cs="Arial"/>
          <w:lang w:val="en-IN"/>
        </w:rPr>
      </w:pPr>
      <w:r w:rsidRPr="002A2A3D">
        <w:rPr>
          <w:rFonts w:ascii="Arial" w:hAnsi="Arial" w:cs="Arial"/>
          <w:lang w:val="en-IN"/>
        </w:rPr>
        <w:t xml:space="preserve">Moher, D., Liberati, A., Tetzlaff, J. and Altman, D.G. (2009) ‘Preferred reporting items for systematic reviews and meta-analyses: The PRISMA statement’, </w:t>
      </w:r>
      <w:r w:rsidRPr="002A2A3D">
        <w:rPr>
          <w:rFonts w:ascii="Arial" w:hAnsi="Arial" w:cs="Arial"/>
          <w:i/>
          <w:iCs/>
          <w:lang w:val="en-IN"/>
        </w:rPr>
        <w:t>BMJ</w:t>
      </w:r>
      <w:r w:rsidRPr="002A2A3D">
        <w:rPr>
          <w:rFonts w:ascii="Arial" w:hAnsi="Arial" w:cs="Arial"/>
          <w:lang w:val="en-IN"/>
        </w:rPr>
        <w:t>, 339, p. b2535. doi:10.1136/bmj.b2535.</w:t>
      </w:r>
    </w:p>
    <w:p w14:paraId="5519C677" w14:textId="77777777" w:rsidR="002A2A3D" w:rsidRPr="002A2A3D" w:rsidRDefault="002A2A3D" w:rsidP="002A2A3D">
      <w:pPr>
        <w:rPr>
          <w:rFonts w:ascii="Arial" w:hAnsi="Arial" w:cs="Arial"/>
          <w:lang w:val="en-IN"/>
        </w:rPr>
      </w:pPr>
      <w:r w:rsidRPr="002A2A3D">
        <w:rPr>
          <w:rFonts w:ascii="Arial" w:hAnsi="Arial" w:cs="Arial"/>
          <w:lang w:val="en-IN"/>
        </w:rPr>
        <w:t xml:space="preserve">Morgan, D.L. (2014) ‘Pragmatism as a paradigm for social research’, </w:t>
      </w:r>
      <w:r w:rsidRPr="002A2A3D">
        <w:rPr>
          <w:rFonts w:ascii="Arial" w:hAnsi="Arial" w:cs="Arial"/>
          <w:i/>
          <w:iCs/>
          <w:lang w:val="en-IN"/>
        </w:rPr>
        <w:t>Qualitative Inquiry</w:t>
      </w:r>
      <w:r w:rsidRPr="002A2A3D">
        <w:rPr>
          <w:rFonts w:ascii="Arial" w:hAnsi="Arial" w:cs="Arial"/>
          <w:lang w:val="en-IN"/>
        </w:rPr>
        <w:t>, 20(8), pp. 1045–1053. doi:10.1177/1077800413513733.</w:t>
      </w:r>
    </w:p>
    <w:p w14:paraId="58DF9DAB" w14:textId="77777777" w:rsidR="002A2A3D" w:rsidRPr="002A2A3D" w:rsidRDefault="002A2A3D" w:rsidP="002A2A3D">
      <w:pPr>
        <w:rPr>
          <w:rFonts w:ascii="Arial" w:hAnsi="Arial" w:cs="Arial"/>
          <w:lang w:val="en-IN"/>
        </w:rPr>
      </w:pPr>
      <w:r w:rsidRPr="002A2A3D">
        <w:rPr>
          <w:rFonts w:ascii="Arial" w:hAnsi="Arial" w:cs="Arial"/>
          <w:lang w:val="en-IN"/>
        </w:rPr>
        <w:t xml:space="preserve">Page, M.J. et al. (2021) ‘The PRISMA 2020 statement: An updated guideline for reporting systematic reviews’, </w:t>
      </w:r>
      <w:r w:rsidRPr="002A2A3D">
        <w:rPr>
          <w:rFonts w:ascii="Arial" w:hAnsi="Arial" w:cs="Arial"/>
          <w:i/>
          <w:iCs/>
          <w:lang w:val="en-IN"/>
        </w:rPr>
        <w:t>BMJ</w:t>
      </w:r>
      <w:r w:rsidRPr="002A2A3D">
        <w:rPr>
          <w:rFonts w:ascii="Arial" w:hAnsi="Arial" w:cs="Arial"/>
          <w:lang w:val="en-IN"/>
        </w:rPr>
        <w:t>, 372, n71. doi:10.1136/bmj.n71.</w:t>
      </w:r>
    </w:p>
    <w:p w14:paraId="15B08C2E" w14:textId="77777777" w:rsidR="002A2A3D" w:rsidRDefault="002A2A3D" w:rsidP="002A2A3D">
      <w:pPr>
        <w:rPr>
          <w:rFonts w:ascii="Arial" w:hAnsi="Arial" w:cs="Arial"/>
          <w:lang w:val="en-IN"/>
        </w:rPr>
      </w:pPr>
      <w:r w:rsidRPr="002A2A3D">
        <w:rPr>
          <w:rFonts w:ascii="Arial" w:hAnsi="Arial" w:cs="Arial"/>
          <w:lang w:val="en-IN"/>
        </w:rPr>
        <w:t xml:space="preserve">Paul, J. and Dhiman, R. (2021) ‘Three decades of export competitiveness literature: Systematic review, synthesis and future research agenda’, </w:t>
      </w:r>
      <w:r w:rsidRPr="002A2A3D">
        <w:rPr>
          <w:rFonts w:ascii="Arial" w:hAnsi="Arial" w:cs="Arial"/>
          <w:i/>
          <w:iCs/>
          <w:lang w:val="en-IN"/>
        </w:rPr>
        <w:t>International Marketing Review</w:t>
      </w:r>
      <w:r w:rsidRPr="002A2A3D">
        <w:rPr>
          <w:rFonts w:ascii="Arial" w:hAnsi="Arial" w:cs="Arial"/>
          <w:lang w:val="en-IN"/>
        </w:rPr>
        <w:t>. doi:10.1108/IMR-12-2020-0295.</w:t>
      </w:r>
    </w:p>
    <w:p w14:paraId="30FE7922" w14:textId="77777777" w:rsidR="00883517" w:rsidRDefault="00883517" w:rsidP="002A2A3D">
      <w:pPr>
        <w:rPr>
          <w:rFonts w:ascii="Arial" w:hAnsi="Arial" w:cs="Arial"/>
        </w:rPr>
      </w:pPr>
      <w:r w:rsidRPr="002A2A3D">
        <w:rPr>
          <w:rFonts w:ascii="Arial" w:hAnsi="Arial" w:cs="Arial"/>
        </w:rPr>
        <w:t xml:space="preserve">Pino, G., Tas, D. and Sharma, S.C. (2015) ‘An investigation of the effects of exchange rate volatility on exports in East Asia’, </w:t>
      </w:r>
      <w:r w:rsidRPr="002A2A3D">
        <w:rPr>
          <w:rFonts w:ascii="Arial" w:hAnsi="Arial" w:cs="Arial"/>
          <w:i/>
        </w:rPr>
        <w:t>Applied Economics</w:t>
      </w:r>
      <w:r w:rsidRPr="002A2A3D">
        <w:rPr>
          <w:rFonts w:ascii="Arial" w:hAnsi="Arial" w:cs="Arial"/>
        </w:rPr>
        <w:t xml:space="preserve">, 48(26), pp. 2397–2411. Available at: </w:t>
      </w:r>
      <w:hyperlink r:id="rId34" w:history="1">
        <w:r w:rsidRPr="00492D7B">
          <w:rPr>
            <w:rStyle w:val="Hyperlink"/>
            <w:rFonts w:ascii="Arial" w:hAnsi="Arial" w:cs="Arial"/>
          </w:rPr>
          <w:t>https://doi.org/10.1080/00036846.2015.1122733</w:t>
        </w:r>
      </w:hyperlink>
    </w:p>
    <w:p w14:paraId="2D79DE93" w14:textId="77777777" w:rsidR="002A2A3D" w:rsidRDefault="002A2A3D" w:rsidP="002A2A3D">
      <w:pPr>
        <w:rPr>
          <w:rFonts w:ascii="Arial" w:hAnsi="Arial" w:cs="Arial"/>
          <w:lang w:val="en-IN"/>
        </w:rPr>
      </w:pPr>
      <w:r w:rsidRPr="002A2A3D">
        <w:rPr>
          <w:rFonts w:ascii="Arial" w:hAnsi="Arial" w:cs="Arial"/>
          <w:lang w:val="en-IN"/>
        </w:rPr>
        <w:t xml:space="preserve">Rendell, L. (1986) ‘A general framework for induction and a study of selective induction’, </w:t>
      </w:r>
      <w:r w:rsidRPr="002A2A3D">
        <w:rPr>
          <w:rFonts w:ascii="Arial" w:hAnsi="Arial" w:cs="Arial"/>
          <w:i/>
          <w:iCs/>
          <w:lang w:val="en-IN"/>
        </w:rPr>
        <w:t>Machine Learning</w:t>
      </w:r>
      <w:r w:rsidRPr="002A2A3D">
        <w:rPr>
          <w:rFonts w:ascii="Arial" w:hAnsi="Arial" w:cs="Arial"/>
          <w:lang w:val="en-IN"/>
        </w:rPr>
        <w:t>, 1(2), pp. 177–226. doi:10.1007/BF00114117.</w:t>
      </w:r>
    </w:p>
    <w:p w14:paraId="375C8359" w14:textId="77777777" w:rsidR="00883517" w:rsidRDefault="00883517" w:rsidP="002A2A3D">
      <w:pPr>
        <w:rPr>
          <w:rFonts w:ascii="Arial" w:hAnsi="Arial" w:cs="Arial"/>
        </w:rPr>
      </w:pPr>
      <w:proofErr w:type="spellStart"/>
      <w:r w:rsidRPr="002A2A3D">
        <w:rPr>
          <w:rFonts w:ascii="Arial" w:hAnsi="Arial" w:cs="Arial"/>
          <w:lang w:val="en-IN"/>
        </w:rPr>
        <w:t>Ruggie</w:t>
      </w:r>
      <w:proofErr w:type="spellEnd"/>
      <w:r w:rsidRPr="002A2A3D">
        <w:rPr>
          <w:rFonts w:ascii="Arial" w:hAnsi="Arial" w:cs="Arial"/>
          <w:lang w:val="en-IN"/>
        </w:rPr>
        <w:t xml:space="preserve">, J.G. (1982) ‘International regimes, transactions, and change: Embedded liberalism in the postwar economic order’, </w:t>
      </w:r>
      <w:r w:rsidRPr="002A2A3D">
        <w:rPr>
          <w:rFonts w:ascii="Arial" w:hAnsi="Arial" w:cs="Arial"/>
          <w:i/>
          <w:iCs/>
          <w:lang w:val="en-IN"/>
        </w:rPr>
        <w:t>International Organization</w:t>
      </w:r>
      <w:r w:rsidRPr="002A2A3D">
        <w:rPr>
          <w:rFonts w:ascii="Arial" w:hAnsi="Arial" w:cs="Arial"/>
          <w:lang w:val="en-IN"/>
        </w:rPr>
        <w:t xml:space="preserve">, 36(2), pp. 379–415. Available at: </w:t>
      </w:r>
      <w:hyperlink r:id="rId35" w:tgtFrame="_new" w:history="1">
        <w:r w:rsidRPr="002A2A3D">
          <w:rPr>
            <w:rStyle w:val="Hyperlink"/>
            <w:rFonts w:ascii="Arial" w:hAnsi="Arial" w:cs="Arial"/>
            <w:lang w:val="en-IN"/>
          </w:rPr>
          <w:t>https://doi.org/10.1017/S0020818300018993</w:t>
        </w:r>
      </w:hyperlink>
    </w:p>
    <w:p w14:paraId="7327ADEB" w14:textId="77777777" w:rsidR="00883517" w:rsidRDefault="00883517" w:rsidP="002A2A3D">
      <w:pPr>
        <w:rPr>
          <w:rFonts w:ascii="Arial" w:hAnsi="Arial" w:cs="Arial"/>
        </w:rPr>
      </w:pPr>
      <w:r w:rsidRPr="002A2A3D">
        <w:rPr>
          <w:rFonts w:ascii="Arial" w:hAnsi="Arial" w:cs="Arial"/>
        </w:rPr>
        <w:t xml:space="preserve">Sahoo, P. and Dash, R.K. (2014) ‘India’s surge in modern services exports’, </w:t>
      </w:r>
      <w:r w:rsidRPr="002A2A3D">
        <w:rPr>
          <w:rFonts w:ascii="Arial" w:hAnsi="Arial" w:cs="Arial"/>
          <w:i/>
        </w:rPr>
        <w:t xml:space="preserve">Journal of Policy </w:t>
      </w:r>
      <w:proofErr w:type="spellStart"/>
      <w:r w:rsidRPr="002A2A3D">
        <w:rPr>
          <w:rFonts w:ascii="Arial" w:hAnsi="Arial" w:cs="Arial"/>
          <w:i/>
        </w:rPr>
        <w:t>Modeling</w:t>
      </w:r>
      <w:proofErr w:type="spellEnd"/>
      <w:r w:rsidRPr="002A2A3D">
        <w:rPr>
          <w:rFonts w:ascii="Arial" w:hAnsi="Arial" w:cs="Arial"/>
        </w:rPr>
        <w:t>, 36(6), pp. 1082–1100. Available at: https://doi.org/10.1016/j.jpolmod.2014.09.006</w:t>
      </w:r>
    </w:p>
    <w:p w14:paraId="5448003D" w14:textId="77777777" w:rsidR="002A2A3D" w:rsidRPr="002A2A3D" w:rsidRDefault="002A2A3D" w:rsidP="002A2A3D">
      <w:pPr>
        <w:rPr>
          <w:rFonts w:ascii="Arial" w:hAnsi="Arial" w:cs="Arial"/>
          <w:lang w:val="en-IN"/>
        </w:rPr>
      </w:pPr>
      <w:r w:rsidRPr="002A2A3D">
        <w:rPr>
          <w:rFonts w:ascii="Arial" w:hAnsi="Arial" w:cs="Arial"/>
          <w:lang w:val="en-IN"/>
        </w:rPr>
        <w:t xml:space="preserve">Shah, N. and Shah, N. (2025) ‘Cross-border trade, business transformation, and emerging markets’, </w:t>
      </w:r>
      <w:r w:rsidRPr="002A2A3D">
        <w:rPr>
          <w:rFonts w:ascii="Arial" w:hAnsi="Arial" w:cs="Arial"/>
          <w:i/>
          <w:iCs/>
          <w:lang w:val="en-IN"/>
        </w:rPr>
        <w:t>SSRN Electronic Journal</w:t>
      </w:r>
      <w:r w:rsidRPr="002A2A3D">
        <w:rPr>
          <w:rFonts w:ascii="Arial" w:hAnsi="Arial" w:cs="Arial"/>
          <w:lang w:val="en-IN"/>
        </w:rPr>
        <w:t>. doi:10.2139/ssrn.5682202.</w:t>
      </w:r>
    </w:p>
    <w:p w14:paraId="693E0557" w14:textId="77777777" w:rsidR="002A2A3D" w:rsidRPr="002A2A3D" w:rsidRDefault="002A2A3D" w:rsidP="002A2A3D">
      <w:pPr>
        <w:rPr>
          <w:rFonts w:ascii="Arial" w:hAnsi="Arial" w:cs="Arial"/>
          <w:lang w:val="en-IN"/>
        </w:rPr>
      </w:pPr>
      <w:r w:rsidRPr="002A2A3D">
        <w:rPr>
          <w:rFonts w:ascii="Arial" w:hAnsi="Arial" w:cs="Arial"/>
          <w:lang w:val="en-IN"/>
        </w:rPr>
        <w:t xml:space="preserve">Shaw, J.A., Connelly, D.M. and Zecevic, A.A. (2010) ‘Pragmatism in practice: Mixed methods research for physiotherapy’, </w:t>
      </w:r>
      <w:r w:rsidRPr="002A2A3D">
        <w:rPr>
          <w:rFonts w:ascii="Arial" w:hAnsi="Arial" w:cs="Arial"/>
          <w:i/>
          <w:iCs/>
          <w:lang w:val="en-IN"/>
        </w:rPr>
        <w:t>Physiotherapy Theory and Practice</w:t>
      </w:r>
      <w:r w:rsidRPr="002A2A3D">
        <w:rPr>
          <w:rFonts w:ascii="Arial" w:hAnsi="Arial" w:cs="Arial"/>
          <w:lang w:val="en-IN"/>
        </w:rPr>
        <w:t>, 26(8), pp. 510–518. doi:10.3109/09593980903585076.</w:t>
      </w:r>
    </w:p>
    <w:p w14:paraId="0B5FCB00" w14:textId="77777777" w:rsidR="002A2A3D" w:rsidRDefault="002A2A3D" w:rsidP="002A2A3D">
      <w:pPr>
        <w:rPr>
          <w:rFonts w:ascii="Arial" w:hAnsi="Arial" w:cs="Arial"/>
          <w:lang w:val="en-IN"/>
        </w:rPr>
      </w:pPr>
      <w:proofErr w:type="spellStart"/>
      <w:r w:rsidRPr="002A2A3D">
        <w:rPr>
          <w:rFonts w:ascii="Arial" w:hAnsi="Arial" w:cs="Arial"/>
          <w:lang w:val="en-IN"/>
        </w:rPr>
        <w:t>Siddaway</w:t>
      </w:r>
      <w:proofErr w:type="spellEnd"/>
      <w:r w:rsidRPr="002A2A3D">
        <w:rPr>
          <w:rFonts w:ascii="Arial" w:hAnsi="Arial" w:cs="Arial"/>
          <w:lang w:val="en-IN"/>
        </w:rPr>
        <w:t xml:space="preserve">, A.P., Wood, A.M. and Hedges, L.V. (2019) ‘How to do a systematic review: A best practice guide for conducting and reporting narrative reviews, meta-analyses, and meta-syntheses’, </w:t>
      </w:r>
      <w:r w:rsidRPr="002A2A3D">
        <w:rPr>
          <w:rFonts w:ascii="Arial" w:hAnsi="Arial" w:cs="Arial"/>
          <w:i/>
          <w:iCs/>
          <w:lang w:val="en-IN"/>
        </w:rPr>
        <w:t>Annual Review of Psychology</w:t>
      </w:r>
      <w:r w:rsidRPr="002A2A3D">
        <w:rPr>
          <w:rFonts w:ascii="Arial" w:hAnsi="Arial" w:cs="Arial"/>
          <w:lang w:val="en-IN"/>
        </w:rPr>
        <w:t>, 70, pp. 747–770. doi:10.1146/annurev-psych-010418-102803.</w:t>
      </w:r>
    </w:p>
    <w:p w14:paraId="74FB8428" w14:textId="77777777" w:rsidR="000E0309" w:rsidRPr="002A2A3D" w:rsidRDefault="000E0309" w:rsidP="002A2A3D">
      <w:pPr>
        <w:rPr>
          <w:rFonts w:ascii="Arial" w:hAnsi="Arial" w:cs="Arial"/>
          <w:lang w:val="en-IN"/>
        </w:rPr>
      </w:pPr>
      <w:r w:rsidRPr="000E0309">
        <w:rPr>
          <w:rFonts w:ascii="Arial" w:hAnsi="Arial" w:cs="Arial"/>
          <w:lang w:val="en-IN"/>
        </w:rPr>
        <w:t xml:space="preserve">Singh, R. (2025) ‘Currency internationalization: a hype or reality?’, </w:t>
      </w:r>
      <w:r w:rsidRPr="000E0309">
        <w:rPr>
          <w:rFonts w:ascii="Arial" w:hAnsi="Arial" w:cs="Arial"/>
          <w:i/>
          <w:iCs/>
          <w:lang w:val="en-IN"/>
        </w:rPr>
        <w:t>Journal of Economic Issues</w:t>
      </w:r>
      <w:r w:rsidRPr="000E0309">
        <w:rPr>
          <w:rFonts w:ascii="Arial" w:hAnsi="Arial" w:cs="Arial"/>
          <w:lang w:val="en-IN"/>
        </w:rPr>
        <w:t xml:space="preserve">, </w:t>
      </w:r>
      <w:r w:rsidRPr="000E0309">
        <w:rPr>
          <w:rFonts w:ascii="Arial" w:hAnsi="Arial" w:cs="Arial"/>
          <w:b/>
          <w:bCs/>
          <w:lang w:val="en-IN"/>
        </w:rPr>
        <w:t>59</w:t>
      </w:r>
      <w:r w:rsidRPr="000E0309">
        <w:rPr>
          <w:rFonts w:ascii="Arial" w:hAnsi="Arial" w:cs="Arial"/>
          <w:lang w:val="en-IN"/>
        </w:rPr>
        <w:t xml:space="preserve">(4), pp. 1212–1239. </w:t>
      </w:r>
      <w:hyperlink r:id="rId36" w:tgtFrame="_new" w:history="1">
        <w:r w:rsidRPr="000E0309">
          <w:rPr>
            <w:rStyle w:val="Hyperlink"/>
            <w:rFonts w:ascii="Arial" w:hAnsi="Arial" w:cs="Arial"/>
            <w:lang w:val="en-IN"/>
          </w:rPr>
          <w:t>https://doi.org/10.1080/00213624.2025.2575135</w:t>
        </w:r>
      </w:hyperlink>
    </w:p>
    <w:p w14:paraId="7009E578" w14:textId="77777777" w:rsidR="002A2A3D" w:rsidRDefault="002A2A3D" w:rsidP="002A2A3D">
      <w:pPr>
        <w:rPr>
          <w:rFonts w:ascii="Arial" w:hAnsi="Arial" w:cs="Arial"/>
          <w:lang w:val="en-IN"/>
        </w:rPr>
      </w:pPr>
      <w:r w:rsidRPr="002A2A3D">
        <w:rPr>
          <w:rFonts w:ascii="Arial" w:hAnsi="Arial" w:cs="Arial"/>
          <w:lang w:val="en-IN"/>
        </w:rPr>
        <w:lastRenderedPageBreak/>
        <w:t xml:space="preserve">Song, F., Hooper, L. and Loke, Y. (2013) ‘Publication bias: What is it? How do we measure it? How do we avoid it?’, </w:t>
      </w:r>
      <w:r w:rsidRPr="002A2A3D">
        <w:rPr>
          <w:rFonts w:ascii="Arial" w:hAnsi="Arial" w:cs="Arial"/>
          <w:i/>
          <w:iCs/>
          <w:lang w:val="en-IN"/>
        </w:rPr>
        <w:t>Open Access Journal of Clinical Trials</w:t>
      </w:r>
      <w:r w:rsidRPr="002A2A3D">
        <w:rPr>
          <w:rFonts w:ascii="Arial" w:hAnsi="Arial" w:cs="Arial"/>
          <w:lang w:val="en-IN"/>
        </w:rPr>
        <w:t>, 5, pp. 71–81. doi:10.2147/OAJCT.S34419.</w:t>
      </w:r>
    </w:p>
    <w:p w14:paraId="46B51F02" w14:textId="77777777" w:rsidR="002A2A3D" w:rsidRDefault="002A2A3D" w:rsidP="002A2A3D">
      <w:pPr>
        <w:rPr>
          <w:rFonts w:ascii="Arial" w:hAnsi="Arial" w:cs="Arial"/>
        </w:rPr>
      </w:pPr>
      <w:r w:rsidRPr="002A2A3D">
        <w:rPr>
          <w:rFonts w:ascii="Arial" w:hAnsi="Arial" w:cs="Arial"/>
        </w:rPr>
        <w:t xml:space="preserve">Sudan, T. and </w:t>
      </w:r>
      <w:proofErr w:type="spellStart"/>
      <w:r w:rsidRPr="002A2A3D">
        <w:rPr>
          <w:rFonts w:ascii="Arial" w:hAnsi="Arial" w:cs="Arial"/>
        </w:rPr>
        <w:t>Taggar</w:t>
      </w:r>
      <w:proofErr w:type="spellEnd"/>
      <w:r w:rsidRPr="002A2A3D">
        <w:rPr>
          <w:rFonts w:ascii="Arial" w:hAnsi="Arial" w:cs="Arial"/>
        </w:rPr>
        <w:t xml:space="preserve">, R. (2024) ‘Assessing trade supply chain vulnerability and trade participation of SMEs in India: Insights from a comprehensive analysis’, </w:t>
      </w:r>
      <w:r w:rsidRPr="002A2A3D">
        <w:rPr>
          <w:rFonts w:ascii="Arial" w:hAnsi="Arial" w:cs="Arial"/>
          <w:i/>
          <w:iCs/>
        </w:rPr>
        <w:t>International Journal of Productivity and Performance Management</w:t>
      </w:r>
      <w:r w:rsidRPr="002A2A3D">
        <w:rPr>
          <w:rFonts w:ascii="Arial" w:hAnsi="Arial" w:cs="Arial"/>
        </w:rPr>
        <w:t xml:space="preserve">, 74(1). </w:t>
      </w:r>
      <w:hyperlink r:id="rId37" w:tgtFrame="_new" w:history="1">
        <w:r w:rsidRPr="002A2A3D">
          <w:rPr>
            <w:rStyle w:val="Hyperlink"/>
            <w:rFonts w:ascii="Arial" w:hAnsi="Arial" w:cs="Arial"/>
          </w:rPr>
          <w:t>https://doi.org/10.1108/IJPPM-12-2023-0645</w:t>
        </w:r>
      </w:hyperlink>
    </w:p>
    <w:p w14:paraId="2D7377A7" w14:textId="77777777" w:rsidR="00883517" w:rsidRDefault="00883517" w:rsidP="002A2A3D">
      <w:pPr>
        <w:rPr>
          <w:rFonts w:ascii="Arial" w:hAnsi="Arial" w:cs="Arial"/>
        </w:rPr>
      </w:pPr>
      <w:r w:rsidRPr="002A2A3D">
        <w:rPr>
          <w:rFonts w:ascii="Arial" w:hAnsi="Arial" w:cs="Arial"/>
        </w:rPr>
        <w:t xml:space="preserve">Sur, A., Nandy, A. and Ray, P. (2024) ‘Does foreign currency borrowing make firms vulnerable?’, </w:t>
      </w:r>
      <w:r w:rsidRPr="002A2A3D">
        <w:rPr>
          <w:rFonts w:ascii="Arial" w:hAnsi="Arial" w:cs="Arial"/>
          <w:i/>
        </w:rPr>
        <w:t xml:space="preserve">Journal of Policy </w:t>
      </w:r>
      <w:proofErr w:type="spellStart"/>
      <w:r w:rsidRPr="002A2A3D">
        <w:rPr>
          <w:rFonts w:ascii="Arial" w:hAnsi="Arial" w:cs="Arial"/>
          <w:i/>
        </w:rPr>
        <w:t>Modeling</w:t>
      </w:r>
      <w:proofErr w:type="spellEnd"/>
      <w:r w:rsidRPr="002A2A3D">
        <w:rPr>
          <w:rFonts w:ascii="Arial" w:hAnsi="Arial" w:cs="Arial"/>
        </w:rPr>
        <w:t xml:space="preserve">, 46(3), pp. 530–551. Available at: </w:t>
      </w:r>
      <w:hyperlink r:id="rId38" w:history="1">
        <w:r w:rsidRPr="00492D7B">
          <w:rPr>
            <w:rStyle w:val="Hyperlink"/>
            <w:rFonts w:ascii="Arial" w:hAnsi="Arial" w:cs="Arial"/>
          </w:rPr>
          <w:t>https://doi.org/10.1016/j.jpolmod.2023.11.006</w:t>
        </w:r>
      </w:hyperlink>
    </w:p>
    <w:p w14:paraId="41C21909" w14:textId="77777777" w:rsidR="002A2A3D" w:rsidRDefault="002A2A3D" w:rsidP="002A2A3D">
      <w:pPr>
        <w:rPr>
          <w:rFonts w:ascii="Arial" w:hAnsi="Arial" w:cs="Arial"/>
        </w:rPr>
      </w:pPr>
      <w:r w:rsidRPr="002A2A3D">
        <w:rPr>
          <w:rFonts w:ascii="Arial" w:hAnsi="Arial" w:cs="Arial"/>
        </w:rPr>
        <w:t xml:space="preserve">Taglioni, D. (2002). Exchange rate volatility as a barrier to trade: new methodologies and recent evidence. </w:t>
      </w:r>
      <w:proofErr w:type="spellStart"/>
      <w:r w:rsidRPr="002A2A3D">
        <w:rPr>
          <w:rFonts w:ascii="Arial" w:hAnsi="Arial" w:cs="Arial"/>
          <w:i/>
          <w:iCs/>
        </w:rPr>
        <w:t>Économie</w:t>
      </w:r>
      <w:proofErr w:type="spellEnd"/>
      <w:r w:rsidRPr="002A2A3D">
        <w:rPr>
          <w:rFonts w:ascii="Arial" w:hAnsi="Arial" w:cs="Arial"/>
          <w:i/>
          <w:iCs/>
        </w:rPr>
        <w:t xml:space="preserve"> </w:t>
      </w:r>
      <w:proofErr w:type="spellStart"/>
      <w:r w:rsidRPr="002A2A3D">
        <w:rPr>
          <w:rFonts w:ascii="Arial" w:hAnsi="Arial" w:cs="Arial"/>
          <w:i/>
          <w:iCs/>
        </w:rPr>
        <w:t>internationale</w:t>
      </w:r>
      <w:proofErr w:type="spellEnd"/>
      <w:r w:rsidRPr="002A2A3D">
        <w:rPr>
          <w:rFonts w:ascii="Arial" w:hAnsi="Arial" w:cs="Arial"/>
        </w:rPr>
        <w:t xml:space="preserve">, n° 89-90(1), pp.227–259. Available at: </w:t>
      </w:r>
      <w:hyperlink r:id="rId39" w:history="1">
        <w:r w:rsidRPr="00492D7B">
          <w:rPr>
            <w:rStyle w:val="Hyperlink"/>
            <w:rFonts w:ascii="Arial" w:hAnsi="Arial" w:cs="Arial"/>
          </w:rPr>
          <w:t>https://doi.org/10.3917/ecoi.089.0227</w:t>
        </w:r>
      </w:hyperlink>
      <w:r w:rsidRPr="002A2A3D">
        <w:rPr>
          <w:rFonts w:ascii="Arial" w:hAnsi="Arial" w:cs="Arial"/>
        </w:rPr>
        <w:t>.</w:t>
      </w:r>
    </w:p>
    <w:p w14:paraId="4E47402A" w14:textId="77777777" w:rsidR="00883517" w:rsidRDefault="00883517" w:rsidP="002A2A3D">
      <w:pPr>
        <w:rPr>
          <w:rFonts w:ascii="Arial" w:hAnsi="Arial" w:cs="Arial"/>
        </w:rPr>
      </w:pPr>
      <w:r w:rsidRPr="002A2A3D">
        <w:rPr>
          <w:rFonts w:ascii="Arial" w:hAnsi="Arial" w:cs="Arial"/>
        </w:rPr>
        <w:t xml:space="preserve">Tandon, A. and Singh, K. (2025) </w:t>
      </w:r>
      <w:r w:rsidRPr="002A2A3D">
        <w:rPr>
          <w:rFonts w:ascii="Arial" w:hAnsi="Arial" w:cs="Arial"/>
          <w:i/>
          <w:iCs/>
        </w:rPr>
        <w:t>Analysis of performance and challenges of India’s manufacturing sector in the global market</w:t>
      </w:r>
      <w:r w:rsidRPr="002A2A3D">
        <w:rPr>
          <w:rFonts w:ascii="Arial" w:hAnsi="Arial" w:cs="Arial"/>
        </w:rPr>
        <w:t xml:space="preserve">. SSRN Electronic Journal. Available at: </w:t>
      </w:r>
      <w:hyperlink r:id="rId40" w:tgtFrame="_new" w:history="1">
        <w:r w:rsidRPr="002A2A3D">
          <w:rPr>
            <w:rStyle w:val="Hyperlink"/>
            <w:rFonts w:ascii="Arial" w:hAnsi="Arial" w:cs="Arial"/>
          </w:rPr>
          <w:t>https://doi.org/10.2139/ssrn.5070746</w:t>
        </w:r>
      </w:hyperlink>
    </w:p>
    <w:p w14:paraId="1E75798E" w14:textId="77777777" w:rsidR="00883517" w:rsidRPr="002A2A3D" w:rsidRDefault="00883517" w:rsidP="002A2A3D">
      <w:pPr>
        <w:rPr>
          <w:rFonts w:ascii="Arial" w:hAnsi="Arial" w:cs="Arial"/>
        </w:rPr>
      </w:pPr>
      <w:proofErr w:type="spellStart"/>
      <w:r w:rsidRPr="002A2A3D">
        <w:rPr>
          <w:rFonts w:ascii="Arial" w:hAnsi="Arial" w:cs="Arial"/>
        </w:rPr>
        <w:t>Tenreyro</w:t>
      </w:r>
      <w:proofErr w:type="spellEnd"/>
      <w:r w:rsidRPr="002A2A3D">
        <w:rPr>
          <w:rFonts w:ascii="Arial" w:hAnsi="Arial" w:cs="Arial"/>
        </w:rPr>
        <w:t xml:space="preserve">, S. (2007) ‘On the trade impact of nominal exchange rate volatility’, </w:t>
      </w:r>
      <w:r w:rsidRPr="002A2A3D">
        <w:rPr>
          <w:rFonts w:ascii="Arial" w:hAnsi="Arial" w:cs="Arial"/>
          <w:i/>
          <w:iCs/>
        </w:rPr>
        <w:t>Journal of Development Economics</w:t>
      </w:r>
      <w:r w:rsidRPr="002A2A3D">
        <w:rPr>
          <w:rFonts w:ascii="Arial" w:hAnsi="Arial" w:cs="Arial"/>
        </w:rPr>
        <w:t xml:space="preserve">, 82(2), pp. 485–508. </w:t>
      </w:r>
      <w:hyperlink r:id="rId41" w:tgtFrame="_new" w:history="1">
        <w:r w:rsidRPr="002A2A3D">
          <w:rPr>
            <w:rStyle w:val="Hyperlink"/>
            <w:rFonts w:ascii="Arial" w:hAnsi="Arial" w:cs="Arial"/>
          </w:rPr>
          <w:t>https://doi.org/10.1016/j.jdeveco.2006.03.007</w:t>
        </w:r>
      </w:hyperlink>
    </w:p>
    <w:p w14:paraId="1BC4FE73" w14:textId="77777777" w:rsidR="002A2A3D" w:rsidRPr="002A2A3D" w:rsidRDefault="002A2A3D" w:rsidP="002A2A3D">
      <w:pPr>
        <w:rPr>
          <w:rFonts w:ascii="Arial" w:hAnsi="Arial" w:cs="Arial"/>
          <w:lang w:val="en-IN"/>
        </w:rPr>
      </w:pPr>
      <w:r w:rsidRPr="002A2A3D">
        <w:rPr>
          <w:rFonts w:ascii="Arial" w:hAnsi="Arial" w:cs="Arial"/>
          <w:lang w:val="en-IN"/>
        </w:rPr>
        <w:t xml:space="preserve">Thomas, D.R. (2006) ‘A general inductive approach for </w:t>
      </w:r>
      <w:proofErr w:type="spellStart"/>
      <w:r w:rsidRPr="002A2A3D">
        <w:rPr>
          <w:rFonts w:ascii="Arial" w:hAnsi="Arial" w:cs="Arial"/>
          <w:lang w:val="en-IN"/>
        </w:rPr>
        <w:t>analyzing</w:t>
      </w:r>
      <w:proofErr w:type="spellEnd"/>
      <w:r w:rsidRPr="002A2A3D">
        <w:rPr>
          <w:rFonts w:ascii="Arial" w:hAnsi="Arial" w:cs="Arial"/>
          <w:lang w:val="en-IN"/>
        </w:rPr>
        <w:t xml:space="preserve"> qualitative evaluation data’, </w:t>
      </w:r>
      <w:r w:rsidRPr="002A2A3D">
        <w:rPr>
          <w:rFonts w:ascii="Arial" w:hAnsi="Arial" w:cs="Arial"/>
          <w:i/>
          <w:iCs/>
          <w:lang w:val="en-IN"/>
        </w:rPr>
        <w:t>American Journal of Evaluation</w:t>
      </w:r>
      <w:r w:rsidRPr="002A2A3D">
        <w:rPr>
          <w:rFonts w:ascii="Arial" w:hAnsi="Arial" w:cs="Arial"/>
          <w:lang w:val="en-IN"/>
        </w:rPr>
        <w:t>, 27(2), pp. 237–246. doi:10.1177/1098214005283748.</w:t>
      </w:r>
    </w:p>
    <w:p w14:paraId="6F624EA7" w14:textId="77777777" w:rsidR="002A2A3D" w:rsidRPr="002A2A3D" w:rsidRDefault="002A2A3D" w:rsidP="002A2A3D">
      <w:pPr>
        <w:rPr>
          <w:rFonts w:ascii="Arial" w:hAnsi="Arial" w:cs="Arial"/>
          <w:lang w:val="en-IN"/>
        </w:rPr>
      </w:pPr>
      <w:r w:rsidRPr="002A2A3D">
        <w:rPr>
          <w:rFonts w:ascii="Arial" w:hAnsi="Arial" w:cs="Arial"/>
          <w:lang w:val="en-IN"/>
        </w:rPr>
        <w:t xml:space="preserve">Thomas, J. and Harden, A. (2008) ‘Methods for the thematic synthesis of qualitative research in systematic reviews’, </w:t>
      </w:r>
      <w:r w:rsidRPr="002A2A3D">
        <w:rPr>
          <w:rFonts w:ascii="Arial" w:hAnsi="Arial" w:cs="Arial"/>
          <w:i/>
          <w:iCs/>
          <w:lang w:val="en-IN"/>
        </w:rPr>
        <w:t>BMC Medical Research Methodology</w:t>
      </w:r>
      <w:r w:rsidRPr="002A2A3D">
        <w:rPr>
          <w:rFonts w:ascii="Arial" w:hAnsi="Arial" w:cs="Arial"/>
          <w:lang w:val="en-IN"/>
        </w:rPr>
        <w:t>, 8(1), pp. 1–10. doi:10.1186/1471-2288-8-45.</w:t>
      </w:r>
    </w:p>
    <w:p w14:paraId="29704472" w14:textId="77777777" w:rsidR="002A2A3D" w:rsidRPr="002A2A3D" w:rsidRDefault="002A2A3D" w:rsidP="002A2A3D">
      <w:pPr>
        <w:rPr>
          <w:rFonts w:ascii="Arial" w:hAnsi="Arial" w:cs="Arial"/>
          <w:lang w:val="en-IN"/>
        </w:rPr>
      </w:pPr>
      <w:r w:rsidRPr="002A2A3D">
        <w:rPr>
          <w:rFonts w:ascii="Arial" w:hAnsi="Arial" w:cs="Arial"/>
          <w:lang w:val="en-IN"/>
        </w:rPr>
        <w:t xml:space="preserve">Timmermans, S. and </w:t>
      </w:r>
      <w:proofErr w:type="spellStart"/>
      <w:r w:rsidRPr="002A2A3D">
        <w:rPr>
          <w:rFonts w:ascii="Arial" w:hAnsi="Arial" w:cs="Arial"/>
          <w:lang w:val="en-IN"/>
        </w:rPr>
        <w:t>Tavory</w:t>
      </w:r>
      <w:proofErr w:type="spellEnd"/>
      <w:r w:rsidRPr="002A2A3D">
        <w:rPr>
          <w:rFonts w:ascii="Arial" w:hAnsi="Arial" w:cs="Arial"/>
          <w:lang w:val="en-IN"/>
        </w:rPr>
        <w:t xml:space="preserve">, I. (2012) ‘Theory construction in qualitative research: From grounded theory to abductive analysis’, </w:t>
      </w:r>
      <w:r w:rsidRPr="002A2A3D">
        <w:rPr>
          <w:rFonts w:ascii="Arial" w:hAnsi="Arial" w:cs="Arial"/>
          <w:i/>
          <w:iCs/>
          <w:lang w:val="en-IN"/>
        </w:rPr>
        <w:t>Sociological Theory</w:t>
      </w:r>
      <w:r w:rsidRPr="002A2A3D">
        <w:rPr>
          <w:rFonts w:ascii="Arial" w:hAnsi="Arial" w:cs="Arial"/>
          <w:lang w:val="en-IN"/>
        </w:rPr>
        <w:t>, 30(3), pp. 167–186. doi:10.1177/0735275112457914.</w:t>
      </w:r>
    </w:p>
    <w:p w14:paraId="52FE92EB" w14:textId="77777777" w:rsidR="002A2A3D" w:rsidRDefault="002A2A3D" w:rsidP="002A2A3D">
      <w:pPr>
        <w:rPr>
          <w:rFonts w:ascii="Arial" w:hAnsi="Arial" w:cs="Arial"/>
          <w:lang w:val="en-IN"/>
        </w:rPr>
      </w:pPr>
      <w:proofErr w:type="spellStart"/>
      <w:r w:rsidRPr="002A2A3D">
        <w:rPr>
          <w:rFonts w:ascii="Arial" w:hAnsi="Arial" w:cs="Arial"/>
          <w:lang w:val="en-IN"/>
        </w:rPr>
        <w:t>Tranfield</w:t>
      </w:r>
      <w:proofErr w:type="spellEnd"/>
      <w:r w:rsidRPr="002A2A3D">
        <w:rPr>
          <w:rFonts w:ascii="Arial" w:hAnsi="Arial" w:cs="Arial"/>
          <w:lang w:val="en-IN"/>
        </w:rPr>
        <w:t xml:space="preserve">, D., Denyer, D. and Smart, P. (2003) ‘Towards a methodology for developing evidence-informed management knowledge by means of systematic review’, </w:t>
      </w:r>
      <w:r w:rsidRPr="002A2A3D">
        <w:rPr>
          <w:rFonts w:ascii="Arial" w:hAnsi="Arial" w:cs="Arial"/>
          <w:i/>
          <w:iCs/>
          <w:lang w:val="en-IN"/>
        </w:rPr>
        <w:t>British Journal of Management</w:t>
      </w:r>
      <w:r w:rsidRPr="002A2A3D">
        <w:rPr>
          <w:rFonts w:ascii="Arial" w:hAnsi="Arial" w:cs="Arial"/>
          <w:lang w:val="en-IN"/>
        </w:rPr>
        <w:t>, 14(3), pp. 207–222.</w:t>
      </w:r>
    </w:p>
    <w:p w14:paraId="0B57227B" w14:textId="77777777" w:rsidR="00883517" w:rsidRDefault="00883517" w:rsidP="002A2A3D">
      <w:pPr>
        <w:rPr>
          <w:rFonts w:ascii="Arial" w:hAnsi="Arial" w:cs="Arial"/>
        </w:rPr>
      </w:pPr>
      <w:r w:rsidRPr="002A2A3D">
        <w:rPr>
          <w:rFonts w:ascii="Arial" w:hAnsi="Arial" w:cs="Arial"/>
        </w:rPr>
        <w:t xml:space="preserve">van den Broek, T. and van Veenstra, A.F. (2018) ‘Governance of big data collaborations’, </w:t>
      </w:r>
      <w:r w:rsidRPr="002A2A3D">
        <w:rPr>
          <w:rFonts w:ascii="Arial" w:hAnsi="Arial" w:cs="Arial"/>
          <w:i/>
        </w:rPr>
        <w:t>Technological Forecasting and Social Change</w:t>
      </w:r>
      <w:r w:rsidRPr="002A2A3D">
        <w:rPr>
          <w:rFonts w:ascii="Arial" w:hAnsi="Arial" w:cs="Arial"/>
        </w:rPr>
        <w:t xml:space="preserve">, 129, pp. 330–338. Available at: </w:t>
      </w:r>
      <w:hyperlink r:id="rId42" w:history="1">
        <w:r w:rsidRPr="00492D7B">
          <w:rPr>
            <w:rStyle w:val="Hyperlink"/>
            <w:rFonts w:ascii="Arial" w:hAnsi="Arial" w:cs="Arial"/>
          </w:rPr>
          <w:t>https://doi.org/10.1016/j.techfore.2017.09.022</w:t>
        </w:r>
      </w:hyperlink>
    </w:p>
    <w:p w14:paraId="28D28BBF" w14:textId="77777777" w:rsidR="00883517" w:rsidRDefault="00883517" w:rsidP="002A2A3D">
      <w:pPr>
        <w:rPr>
          <w:rFonts w:ascii="Arial" w:hAnsi="Arial" w:cs="Arial"/>
        </w:rPr>
      </w:pPr>
      <w:r w:rsidRPr="002A2A3D">
        <w:rPr>
          <w:rFonts w:ascii="Arial" w:hAnsi="Arial" w:cs="Arial"/>
        </w:rPr>
        <w:t xml:space="preserve">Vijil, M., Wagner, L. and Woldemichael, M.T. (2019) ‘Import uncertainty and export dynamics’, </w:t>
      </w:r>
      <w:r w:rsidRPr="002A2A3D">
        <w:rPr>
          <w:rFonts w:ascii="Arial" w:hAnsi="Arial" w:cs="Arial"/>
          <w:i/>
          <w:iCs/>
        </w:rPr>
        <w:t>SSRN Electronic Journal</w:t>
      </w:r>
      <w:r w:rsidRPr="002A2A3D">
        <w:rPr>
          <w:rFonts w:ascii="Arial" w:hAnsi="Arial" w:cs="Arial"/>
        </w:rPr>
        <w:t xml:space="preserve">. Available at: </w:t>
      </w:r>
      <w:hyperlink r:id="rId43" w:tgtFrame="_new" w:history="1">
        <w:r w:rsidRPr="002A2A3D">
          <w:rPr>
            <w:rStyle w:val="Hyperlink"/>
            <w:rFonts w:ascii="Arial" w:hAnsi="Arial" w:cs="Arial"/>
          </w:rPr>
          <w:t>https://papers.ssrn.com/sol3/papers.cfm?abstract_id=3360152</w:t>
        </w:r>
      </w:hyperlink>
    </w:p>
    <w:p w14:paraId="3047E7AB" w14:textId="77777777" w:rsidR="00883517" w:rsidRPr="00883517" w:rsidRDefault="00883517" w:rsidP="002A2A3D">
      <w:pPr>
        <w:rPr>
          <w:rFonts w:ascii="Arial" w:hAnsi="Arial" w:cs="Arial"/>
        </w:rPr>
      </w:pPr>
      <w:r w:rsidRPr="002A2A3D">
        <w:rPr>
          <w:rFonts w:ascii="Arial" w:hAnsi="Arial" w:cs="Arial"/>
        </w:rPr>
        <w:lastRenderedPageBreak/>
        <w:t xml:space="preserve">WTO (2021) </w:t>
      </w:r>
      <w:r w:rsidRPr="002A2A3D">
        <w:rPr>
          <w:rFonts w:ascii="Arial" w:hAnsi="Arial" w:cs="Arial"/>
          <w:i/>
          <w:iCs/>
        </w:rPr>
        <w:t>World Trade Report 2021: Economic Resilience and Trade</w:t>
      </w:r>
      <w:r w:rsidRPr="002A2A3D">
        <w:rPr>
          <w:rFonts w:ascii="Arial" w:hAnsi="Arial" w:cs="Arial"/>
        </w:rPr>
        <w:t>. Geneva: World Trade Organization.</w:t>
      </w:r>
    </w:p>
    <w:p w14:paraId="518F5753" w14:textId="77777777" w:rsidR="002A2A3D" w:rsidRDefault="002A2A3D" w:rsidP="002A2A3D">
      <w:pPr>
        <w:rPr>
          <w:rFonts w:ascii="Arial" w:hAnsi="Arial" w:cs="Arial"/>
          <w:lang w:val="en-IN"/>
        </w:rPr>
      </w:pPr>
      <w:r w:rsidRPr="002A2A3D">
        <w:rPr>
          <w:rFonts w:ascii="Arial" w:hAnsi="Arial" w:cs="Arial"/>
          <w:lang w:val="en-IN"/>
        </w:rPr>
        <w:t xml:space="preserve">Xiao, Y. and Watson, M. (2019) ‘Guidance on conducting a systematic literature review’, </w:t>
      </w:r>
      <w:r w:rsidRPr="002A2A3D">
        <w:rPr>
          <w:rFonts w:ascii="Arial" w:hAnsi="Arial" w:cs="Arial"/>
          <w:i/>
          <w:iCs/>
          <w:lang w:val="en-IN"/>
        </w:rPr>
        <w:t>Journal of Planning Education and Research</w:t>
      </w:r>
      <w:r w:rsidRPr="002A2A3D">
        <w:rPr>
          <w:rFonts w:ascii="Arial" w:hAnsi="Arial" w:cs="Arial"/>
          <w:lang w:val="en-IN"/>
        </w:rPr>
        <w:t>, 39(1), pp. 93–112. doi:10.1177/0739456X17723971.</w:t>
      </w:r>
    </w:p>
    <w:p w14:paraId="0315DA95" w14:textId="77777777" w:rsidR="00037272" w:rsidRDefault="00037272" w:rsidP="002A2A3D">
      <w:pPr>
        <w:rPr>
          <w:rFonts w:ascii="Arial" w:hAnsi="Arial" w:cs="Arial"/>
          <w:lang w:val="en-IN"/>
        </w:rPr>
      </w:pPr>
    </w:p>
    <w:p w14:paraId="786F27EB" w14:textId="77777777" w:rsidR="00037272" w:rsidRDefault="00037272" w:rsidP="002A2A3D">
      <w:pPr>
        <w:rPr>
          <w:rFonts w:ascii="Arial" w:hAnsi="Arial" w:cs="Arial"/>
          <w:lang w:val="en-IN"/>
        </w:rPr>
      </w:pPr>
    </w:p>
    <w:p w14:paraId="5B5B5F81" w14:textId="77777777" w:rsidR="00037272" w:rsidRDefault="00037272" w:rsidP="002A2A3D">
      <w:pPr>
        <w:rPr>
          <w:rFonts w:ascii="Arial" w:hAnsi="Arial" w:cs="Arial"/>
          <w:lang w:val="en-IN"/>
        </w:rPr>
      </w:pPr>
    </w:p>
    <w:p w14:paraId="5B6BAF74" w14:textId="77777777" w:rsidR="00037272" w:rsidRDefault="00037272" w:rsidP="002A2A3D">
      <w:pPr>
        <w:rPr>
          <w:rFonts w:ascii="Arial" w:hAnsi="Arial" w:cs="Arial"/>
          <w:lang w:val="en-IN"/>
        </w:rPr>
      </w:pPr>
    </w:p>
    <w:p w14:paraId="4D36DBF1" w14:textId="77777777" w:rsidR="00037272" w:rsidRDefault="00037272" w:rsidP="002A2A3D">
      <w:pPr>
        <w:rPr>
          <w:rFonts w:ascii="Arial" w:hAnsi="Arial" w:cs="Arial"/>
          <w:lang w:val="en-IN"/>
        </w:rPr>
      </w:pPr>
    </w:p>
    <w:p w14:paraId="4CA08E7B" w14:textId="77777777" w:rsidR="00037272" w:rsidRDefault="00037272" w:rsidP="002A2A3D">
      <w:pPr>
        <w:rPr>
          <w:rFonts w:ascii="Arial" w:hAnsi="Arial" w:cs="Arial"/>
          <w:lang w:val="en-IN"/>
        </w:rPr>
      </w:pPr>
    </w:p>
    <w:p w14:paraId="4686EE08" w14:textId="77777777" w:rsidR="00037272" w:rsidRDefault="00037272" w:rsidP="002A2A3D">
      <w:pPr>
        <w:rPr>
          <w:rFonts w:ascii="Arial" w:hAnsi="Arial" w:cs="Arial"/>
          <w:lang w:val="en-IN"/>
        </w:rPr>
      </w:pPr>
    </w:p>
    <w:p w14:paraId="41669195" w14:textId="77777777" w:rsidR="00037272" w:rsidRDefault="00037272" w:rsidP="002A2A3D">
      <w:pPr>
        <w:rPr>
          <w:rFonts w:ascii="Arial" w:hAnsi="Arial" w:cs="Arial"/>
          <w:lang w:val="en-IN"/>
        </w:rPr>
      </w:pPr>
    </w:p>
    <w:p w14:paraId="16EBD174" w14:textId="77777777" w:rsidR="00037272" w:rsidRDefault="00037272" w:rsidP="002A2A3D">
      <w:pPr>
        <w:rPr>
          <w:rFonts w:ascii="Arial" w:hAnsi="Arial" w:cs="Arial"/>
          <w:lang w:val="en-IN"/>
        </w:rPr>
      </w:pPr>
    </w:p>
    <w:p w14:paraId="6FCF1E30" w14:textId="77777777" w:rsidR="00037272" w:rsidRDefault="00037272" w:rsidP="002A2A3D">
      <w:pPr>
        <w:rPr>
          <w:rFonts w:ascii="Arial" w:hAnsi="Arial" w:cs="Arial"/>
          <w:lang w:val="en-IN"/>
        </w:rPr>
      </w:pPr>
    </w:p>
    <w:p w14:paraId="77C6097A" w14:textId="77777777" w:rsidR="00037272" w:rsidRDefault="00037272" w:rsidP="002A2A3D">
      <w:pPr>
        <w:rPr>
          <w:rFonts w:ascii="Arial" w:hAnsi="Arial" w:cs="Arial"/>
          <w:lang w:val="en-IN"/>
        </w:rPr>
      </w:pPr>
    </w:p>
    <w:p w14:paraId="036678D9" w14:textId="77777777" w:rsidR="00037272" w:rsidRDefault="00037272" w:rsidP="002A2A3D">
      <w:pPr>
        <w:rPr>
          <w:rFonts w:ascii="Arial" w:hAnsi="Arial" w:cs="Arial"/>
          <w:lang w:val="en-IN"/>
        </w:rPr>
      </w:pPr>
    </w:p>
    <w:p w14:paraId="0D36C320" w14:textId="77777777" w:rsidR="00037272" w:rsidRDefault="00037272" w:rsidP="002A2A3D">
      <w:pPr>
        <w:rPr>
          <w:rFonts w:ascii="Arial" w:hAnsi="Arial" w:cs="Arial"/>
          <w:lang w:val="en-IN"/>
        </w:rPr>
      </w:pPr>
    </w:p>
    <w:p w14:paraId="08E84F23" w14:textId="77777777" w:rsidR="00037272" w:rsidRDefault="00037272" w:rsidP="002A2A3D">
      <w:pPr>
        <w:rPr>
          <w:rFonts w:ascii="Arial" w:hAnsi="Arial" w:cs="Arial"/>
          <w:lang w:val="en-IN"/>
        </w:rPr>
      </w:pPr>
    </w:p>
    <w:p w14:paraId="5330A125" w14:textId="77777777" w:rsidR="00037272" w:rsidRDefault="00037272" w:rsidP="002A2A3D">
      <w:pPr>
        <w:rPr>
          <w:rFonts w:ascii="Arial" w:hAnsi="Arial" w:cs="Arial"/>
          <w:lang w:val="en-IN"/>
        </w:rPr>
      </w:pPr>
    </w:p>
    <w:p w14:paraId="0BA2E176" w14:textId="77777777" w:rsidR="00037272" w:rsidRDefault="00037272" w:rsidP="002A2A3D">
      <w:pPr>
        <w:rPr>
          <w:rFonts w:ascii="Arial" w:hAnsi="Arial" w:cs="Arial"/>
          <w:lang w:val="en-IN"/>
        </w:rPr>
      </w:pPr>
    </w:p>
    <w:p w14:paraId="02B01741" w14:textId="77777777" w:rsidR="00037272" w:rsidRDefault="00037272" w:rsidP="002A2A3D">
      <w:pPr>
        <w:rPr>
          <w:rFonts w:ascii="Arial" w:hAnsi="Arial" w:cs="Arial"/>
          <w:lang w:val="en-IN"/>
        </w:rPr>
      </w:pPr>
    </w:p>
    <w:p w14:paraId="3878D29C" w14:textId="77777777" w:rsidR="00037272" w:rsidRDefault="00037272" w:rsidP="002A2A3D">
      <w:pPr>
        <w:rPr>
          <w:rFonts w:ascii="Arial" w:hAnsi="Arial" w:cs="Arial"/>
          <w:lang w:val="en-IN"/>
        </w:rPr>
      </w:pPr>
    </w:p>
    <w:p w14:paraId="0E3474C8" w14:textId="77777777" w:rsidR="00037272" w:rsidRDefault="00037272" w:rsidP="002A2A3D">
      <w:pPr>
        <w:rPr>
          <w:rFonts w:ascii="Arial" w:hAnsi="Arial" w:cs="Arial"/>
          <w:lang w:val="en-IN"/>
        </w:rPr>
      </w:pPr>
    </w:p>
    <w:p w14:paraId="0D70D96D" w14:textId="77777777" w:rsidR="00037272" w:rsidRDefault="00037272" w:rsidP="002A2A3D">
      <w:pPr>
        <w:rPr>
          <w:rFonts w:ascii="Arial" w:hAnsi="Arial" w:cs="Arial"/>
          <w:lang w:val="en-IN"/>
        </w:rPr>
      </w:pPr>
    </w:p>
    <w:p w14:paraId="3D51E9FD" w14:textId="77777777" w:rsidR="00037272" w:rsidRDefault="00037272" w:rsidP="002A2A3D">
      <w:pPr>
        <w:rPr>
          <w:rFonts w:ascii="Arial" w:hAnsi="Arial" w:cs="Arial"/>
          <w:lang w:val="en-IN"/>
        </w:rPr>
      </w:pPr>
    </w:p>
    <w:p w14:paraId="0A8A5C04" w14:textId="77777777" w:rsidR="00037272" w:rsidRDefault="00037272" w:rsidP="002A2A3D">
      <w:pPr>
        <w:rPr>
          <w:rFonts w:ascii="Arial" w:hAnsi="Arial" w:cs="Arial"/>
          <w:lang w:val="en-IN"/>
        </w:rPr>
      </w:pPr>
    </w:p>
    <w:p w14:paraId="78F8B567" w14:textId="77777777" w:rsidR="00037272" w:rsidRPr="00037272" w:rsidRDefault="00037272" w:rsidP="00037272">
      <w:pPr>
        <w:pStyle w:val="Heading1"/>
        <w:rPr>
          <w:rFonts w:ascii="Arial" w:hAnsi="Arial" w:cs="Arial"/>
          <w:lang w:val="en-IN"/>
        </w:rPr>
      </w:pPr>
      <w:bookmarkStart w:id="68" w:name="_Toc218462623"/>
      <w:r w:rsidRPr="00037272">
        <w:rPr>
          <w:rFonts w:ascii="Arial" w:hAnsi="Arial" w:cs="Arial"/>
          <w:lang w:val="en-IN"/>
        </w:rPr>
        <w:lastRenderedPageBreak/>
        <w:t xml:space="preserve">Chapter </w:t>
      </w:r>
      <w:r w:rsidR="0059797D">
        <w:rPr>
          <w:rFonts w:ascii="Arial" w:hAnsi="Arial" w:cs="Arial"/>
          <w:lang w:val="en-IN"/>
        </w:rPr>
        <w:t>8</w:t>
      </w:r>
      <w:r w:rsidRPr="00037272">
        <w:rPr>
          <w:rFonts w:ascii="Arial" w:hAnsi="Arial" w:cs="Arial"/>
          <w:lang w:val="en-IN"/>
        </w:rPr>
        <w:t>: Appendix</w:t>
      </w:r>
      <w:bookmarkEnd w:id="68"/>
    </w:p>
    <w:p w14:paraId="78543A35" w14:textId="77777777" w:rsidR="00037272" w:rsidRDefault="00037272" w:rsidP="00037272">
      <w:pPr>
        <w:rPr>
          <w:rFonts w:ascii="Arial" w:hAnsi="Arial" w:cs="Arial"/>
          <w:lang w:val="en-IN"/>
        </w:rPr>
      </w:pPr>
      <w:r w:rsidRPr="00037272">
        <w:rPr>
          <w:rFonts w:ascii="Arial" w:hAnsi="Arial" w:cs="Arial"/>
          <w:b/>
          <w:bCs/>
          <w:lang w:val="en-IN"/>
        </w:rPr>
        <w:t>Note:</w:t>
      </w:r>
      <w:r w:rsidRPr="00037272">
        <w:rPr>
          <w:rFonts w:ascii="Arial" w:hAnsi="Arial" w:cs="Arial"/>
          <w:lang w:val="en-IN"/>
        </w:rPr>
        <w:t xml:space="preserve"> The table summarises the studies included in the systematic literature review. Methodological descriptions are intentionally high-level to reflect heterogeneity across studies and avoid misrepresentation.</w:t>
      </w:r>
    </w:p>
    <w:p w14:paraId="524A04F4" w14:textId="77777777" w:rsidR="00037272" w:rsidRPr="00037272" w:rsidRDefault="00037272" w:rsidP="00037272">
      <w:pPr>
        <w:jc w:val="center"/>
        <w:rPr>
          <w:rFonts w:ascii="Arial" w:hAnsi="Arial" w:cs="Arial"/>
          <w:i/>
          <w:iCs/>
          <w:lang w:val="en-IN"/>
        </w:rPr>
      </w:pPr>
      <w:r w:rsidRPr="00037272">
        <w:rPr>
          <w:rFonts w:ascii="Arial" w:hAnsi="Arial" w:cs="Arial"/>
          <w:i/>
          <w:iCs/>
          <w:lang w:val="en-IN"/>
        </w:rPr>
        <w:t>Table A1: Summary of Studies Included in the Systematic Literature Review</w:t>
      </w:r>
    </w:p>
    <w:tbl>
      <w:tblPr>
        <w:tblStyle w:val="PlainTable2"/>
        <w:tblW w:w="0" w:type="auto"/>
        <w:tblLook w:val="04A0" w:firstRow="1" w:lastRow="0" w:firstColumn="1" w:lastColumn="0" w:noHBand="0" w:noVBand="1"/>
      </w:tblPr>
      <w:tblGrid>
        <w:gridCol w:w="1623"/>
        <w:gridCol w:w="738"/>
        <w:gridCol w:w="1403"/>
        <w:gridCol w:w="1155"/>
        <w:gridCol w:w="1935"/>
        <w:gridCol w:w="2172"/>
      </w:tblGrid>
      <w:tr w:rsidR="00037272" w:rsidRPr="00037272" w14:paraId="4E23825C" w14:textId="77777777" w:rsidTr="000372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ACEEA9"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Author(s)</w:t>
            </w:r>
          </w:p>
        </w:tc>
        <w:tc>
          <w:tcPr>
            <w:tcW w:w="0" w:type="auto"/>
            <w:hideMark/>
          </w:tcPr>
          <w:p w14:paraId="114CCA6D" w14:textId="77777777" w:rsidR="00037272" w:rsidRPr="00037272" w:rsidRDefault="00037272" w:rsidP="00037272">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Year</w:t>
            </w:r>
          </w:p>
        </w:tc>
        <w:tc>
          <w:tcPr>
            <w:tcW w:w="0" w:type="auto"/>
            <w:hideMark/>
          </w:tcPr>
          <w:p w14:paraId="49FE62FB" w14:textId="77777777" w:rsidR="00037272" w:rsidRPr="00037272" w:rsidRDefault="00037272" w:rsidP="00037272">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Country / Region</w:t>
            </w:r>
          </w:p>
        </w:tc>
        <w:tc>
          <w:tcPr>
            <w:tcW w:w="0" w:type="auto"/>
            <w:hideMark/>
          </w:tcPr>
          <w:p w14:paraId="3F28178B" w14:textId="77777777" w:rsidR="00037272" w:rsidRPr="00037272" w:rsidRDefault="00037272" w:rsidP="00037272">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Sector Focus</w:t>
            </w:r>
          </w:p>
        </w:tc>
        <w:tc>
          <w:tcPr>
            <w:tcW w:w="0" w:type="auto"/>
            <w:hideMark/>
          </w:tcPr>
          <w:p w14:paraId="001BF99B" w14:textId="77777777" w:rsidR="00037272" w:rsidRPr="00037272" w:rsidRDefault="00037272" w:rsidP="00037272">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Methodological Approach</w:t>
            </w:r>
          </w:p>
        </w:tc>
        <w:tc>
          <w:tcPr>
            <w:tcW w:w="0" w:type="auto"/>
            <w:hideMark/>
          </w:tcPr>
          <w:p w14:paraId="4C435512" w14:textId="77777777" w:rsidR="00037272" w:rsidRPr="00037272" w:rsidRDefault="00037272" w:rsidP="00037272">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Core Focus / Key Insight</w:t>
            </w:r>
          </w:p>
        </w:tc>
      </w:tr>
      <w:tr w:rsidR="00037272" w:rsidRPr="00037272" w14:paraId="53CE557D"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CDE16"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Arize</w:t>
            </w:r>
            <w:proofErr w:type="spellEnd"/>
            <w:r w:rsidRPr="00037272">
              <w:rPr>
                <w:rFonts w:ascii="Arial" w:hAnsi="Arial" w:cs="Arial"/>
                <w:lang w:val="en-IN"/>
              </w:rPr>
              <w:t xml:space="preserve"> et al.</w:t>
            </w:r>
          </w:p>
        </w:tc>
        <w:tc>
          <w:tcPr>
            <w:tcW w:w="0" w:type="auto"/>
            <w:hideMark/>
          </w:tcPr>
          <w:p w14:paraId="76F0C39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2000</w:t>
            </w:r>
          </w:p>
        </w:tc>
        <w:tc>
          <w:tcPr>
            <w:tcW w:w="0" w:type="auto"/>
            <w:hideMark/>
          </w:tcPr>
          <w:p w14:paraId="0D8C4A4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Developing economies</w:t>
            </w:r>
          </w:p>
        </w:tc>
        <w:tc>
          <w:tcPr>
            <w:tcW w:w="0" w:type="auto"/>
            <w:hideMark/>
          </w:tcPr>
          <w:p w14:paraId="5A0A582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59E4287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Econometric analysis</w:t>
            </w:r>
          </w:p>
        </w:tc>
        <w:tc>
          <w:tcPr>
            <w:tcW w:w="0" w:type="auto"/>
            <w:hideMark/>
          </w:tcPr>
          <w:p w14:paraId="20F0E001"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Exchange-rate volatility reduces exports</w:t>
            </w:r>
          </w:p>
        </w:tc>
      </w:tr>
      <w:tr w:rsidR="00037272" w:rsidRPr="00037272" w14:paraId="69CC85AA"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2DB26F0F"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Bah &amp; Amusa</w:t>
            </w:r>
          </w:p>
        </w:tc>
        <w:tc>
          <w:tcPr>
            <w:tcW w:w="0" w:type="auto"/>
            <w:hideMark/>
          </w:tcPr>
          <w:p w14:paraId="315B535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2003</w:t>
            </w:r>
          </w:p>
        </w:tc>
        <w:tc>
          <w:tcPr>
            <w:tcW w:w="0" w:type="auto"/>
            <w:hideMark/>
          </w:tcPr>
          <w:p w14:paraId="1798EF9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South Africa–US</w:t>
            </w:r>
          </w:p>
        </w:tc>
        <w:tc>
          <w:tcPr>
            <w:tcW w:w="0" w:type="auto"/>
            <w:hideMark/>
          </w:tcPr>
          <w:p w14:paraId="612D776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2849D58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Time-series analysis</w:t>
            </w:r>
          </w:p>
        </w:tc>
        <w:tc>
          <w:tcPr>
            <w:tcW w:w="0" w:type="auto"/>
            <w:hideMark/>
          </w:tcPr>
          <w:p w14:paraId="3391573D"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Volatility adversely affects exports</w:t>
            </w:r>
          </w:p>
        </w:tc>
      </w:tr>
      <w:tr w:rsidR="00037272" w:rsidRPr="00037272" w14:paraId="0BBC14A7"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30C809"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Bahmani-</w:t>
            </w:r>
            <w:proofErr w:type="spellStart"/>
            <w:r w:rsidRPr="00037272">
              <w:rPr>
                <w:rFonts w:ascii="Arial" w:hAnsi="Arial" w:cs="Arial"/>
                <w:lang w:val="en-IN"/>
              </w:rPr>
              <w:t>Oskooee</w:t>
            </w:r>
            <w:proofErr w:type="spellEnd"/>
            <w:r w:rsidRPr="00037272">
              <w:rPr>
                <w:rFonts w:ascii="Arial" w:hAnsi="Arial" w:cs="Arial"/>
                <w:lang w:val="en-IN"/>
              </w:rPr>
              <w:t xml:space="preserve"> &amp; Hegerty</w:t>
            </w:r>
          </w:p>
        </w:tc>
        <w:tc>
          <w:tcPr>
            <w:tcW w:w="0" w:type="auto"/>
            <w:hideMark/>
          </w:tcPr>
          <w:p w14:paraId="7876F61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2007</w:t>
            </w:r>
          </w:p>
        </w:tc>
        <w:tc>
          <w:tcPr>
            <w:tcW w:w="0" w:type="auto"/>
            <w:hideMark/>
          </w:tcPr>
          <w:p w14:paraId="06CB644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43D32AA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1717EBE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Literature review</w:t>
            </w:r>
          </w:p>
        </w:tc>
        <w:tc>
          <w:tcPr>
            <w:tcW w:w="0" w:type="auto"/>
            <w:hideMark/>
          </w:tcPr>
          <w:p w14:paraId="0BC1252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Volatility–trade relationship is heterogeneous</w:t>
            </w:r>
          </w:p>
        </w:tc>
      </w:tr>
      <w:tr w:rsidR="00037272" w:rsidRPr="00037272" w14:paraId="7B911793"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49711452"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Tenreyro</w:t>
            </w:r>
            <w:proofErr w:type="spellEnd"/>
          </w:p>
        </w:tc>
        <w:tc>
          <w:tcPr>
            <w:tcW w:w="0" w:type="auto"/>
            <w:hideMark/>
          </w:tcPr>
          <w:p w14:paraId="12257CD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2007</w:t>
            </w:r>
          </w:p>
        </w:tc>
        <w:tc>
          <w:tcPr>
            <w:tcW w:w="0" w:type="auto"/>
            <w:hideMark/>
          </w:tcPr>
          <w:p w14:paraId="4332D89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Multiple countries</w:t>
            </w:r>
          </w:p>
        </w:tc>
        <w:tc>
          <w:tcPr>
            <w:tcW w:w="0" w:type="auto"/>
            <w:hideMark/>
          </w:tcPr>
          <w:p w14:paraId="10AAD658"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04EDB32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Panel econometrics</w:t>
            </w:r>
          </w:p>
        </w:tc>
        <w:tc>
          <w:tcPr>
            <w:tcW w:w="0" w:type="auto"/>
            <w:hideMark/>
          </w:tcPr>
          <w:p w14:paraId="2DFDC591"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Non-linear volatility effects</w:t>
            </w:r>
          </w:p>
        </w:tc>
      </w:tr>
      <w:tr w:rsidR="00037272" w:rsidRPr="00037272" w14:paraId="2AA0F9F2"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4262AF"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Hayakawa &amp; Kimura</w:t>
            </w:r>
          </w:p>
        </w:tc>
        <w:tc>
          <w:tcPr>
            <w:tcW w:w="0" w:type="auto"/>
            <w:hideMark/>
          </w:tcPr>
          <w:p w14:paraId="75D085D9"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2009</w:t>
            </w:r>
          </w:p>
        </w:tc>
        <w:tc>
          <w:tcPr>
            <w:tcW w:w="0" w:type="auto"/>
            <w:hideMark/>
          </w:tcPr>
          <w:p w14:paraId="5BABD17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East Asia</w:t>
            </w:r>
          </w:p>
        </w:tc>
        <w:tc>
          <w:tcPr>
            <w:tcW w:w="0" w:type="auto"/>
            <w:hideMark/>
          </w:tcPr>
          <w:p w14:paraId="698F90F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43B9C35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Panel analysis</w:t>
            </w:r>
          </w:p>
        </w:tc>
        <w:tc>
          <w:tcPr>
            <w:tcW w:w="0" w:type="auto"/>
            <w:hideMark/>
          </w:tcPr>
          <w:p w14:paraId="4888293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Volatility discourages trade</w:t>
            </w:r>
          </w:p>
        </w:tc>
      </w:tr>
      <w:tr w:rsidR="00037272" w:rsidRPr="00037272" w14:paraId="427E71D4"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7CA174C7"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Berman &amp; Berthou</w:t>
            </w:r>
          </w:p>
        </w:tc>
        <w:tc>
          <w:tcPr>
            <w:tcW w:w="0" w:type="auto"/>
            <w:hideMark/>
          </w:tcPr>
          <w:p w14:paraId="5909FB8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2009</w:t>
            </w:r>
          </w:p>
        </w:tc>
        <w:tc>
          <w:tcPr>
            <w:tcW w:w="0" w:type="auto"/>
            <w:hideMark/>
          </w:tcPr>
          <w:p w14:paraId="6F02CF4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Multiple countries</w:t>
            </w:r>
          </w:p>
        </w:tc>
        <w:tc>
          <w:tcPr>
            <w:tcW w:w="0" w:type="auto"/>
            <w:hideMark/>
          </w:tcPr>
          <w:p w14:paraId="59D75001"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3425159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Firm-level analysis</w:t>
            </w:r>
          </w:p>
        </w:tc>
        <w:tc>
          <w:tcPr>
            <w:tcW w:w="0" w:type="auto"/>
            <w:hideMark/>
          </w:tcPr>
          <w:p w14:paraId="0DBA6341"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Financial constraints amplify volatility effects</w:t>
            </w:r>
          </w:p>
        </w:tc>
      </w:tr>
      <w:tr w:rsidR="00037272" w:rsidRPr="00037272" w14:paraId="1DC2AA98"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1BB38"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Campa &amp; Goldberg</w:t>
            </w:r>
          </w:p>
        </w:tc>
        <w:tc>
          <w:tcPr>
            <w:tcW w:w="0" w:type="auto"/>
            <w:hideMark/>
          </w:tcPr>
          <w:p w14:paraId="79D807B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2005</w:t>
            </w:r>
          </w:p>
        </w:tc>
        <w:tc>
          <w:tcPr>
            <w:tcW w:w="0" w:type="auto"/>
            <w:hideMark/>
          </w:tcPr>
          <w:p w14:paraId="6FACF66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Advanced economies</w:t>
            </w:r>
          </w:p>
        </w:tc>
        <w:tc>
          <w:tcPr>
            <w:tcW w:w="0" w:type="auto"/>
            <w:hideMark/>
          </w:tcPr>
          <w:p w14:paraId="5975E89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1B68EFF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Pass-through analysis</w:t>
            </w:r>
          </w:p>
        </w:tc>
        <w:tc>
          <w:tcPr>
            <w:tcW w:w="0" w:type="auto"/>
            <w:hideMark/>
          </w:tcPr>
          <w:p w14:paraId="23CA2A3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Exchange-rate pass-through mechanisms</w:t>
            </w:r>
          </w:p>
        </w:tc>
      </w:tr>
      <w:tr w:rsidR="00037272" w:rsidRPr="00037272" w14:paraId="639B84BC"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5017538C"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Bartram et al.</w:t>
            </w:r>
          </w:p>
        </w:tc>
        <w:tc>
          <w:tcPr>
            <w:tcW w:w="0" w:type="auto"/>
            <w:hideMark/>
          </w:tcPr>
          <w:p w14:paraId="29ED02E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2010</w:t>
            </w:r>
          </w:p>
        </w:tc>
        <w:tc>
          <w:tcPr>
            <w:tcW w:w="0" w:type="auto"/>
            <w:hideMark/>
          </w:tcPr>
          <w:p w14:paraId="0494C74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5AAE08E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6199118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Financial econometrics</w:t>
            </w:r>
          </w:p>
        </w:tc>
        <w:tc>
          <w:tcPr>
            <w:tcW w:w="0" w:type="auto"/>
            <w:hideMark/>
          </w:tcPr>
          <w:p w14:paraId="4843944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Exchange-rate exposure channels</w:t>
            </w:r>
          </w:p>
        </w:tc>
      </w:tr>
      <w:tr w:rsidR="00037272" w:rsidRPr="00037272" w14:paraId="53A4AA8D"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401B8D"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Chit et al.</w:t>
            </w:r>
          </w:p>
        </w:tc>
        <w:tc>
          <w:tcPr>
            <w:tcW w:w="0" w:type="auto"/>
            <w:hideMark/>
          </w:tcPr>
          <w:p w14:paraId="166DE8B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2010</w:t>
            </w:r>
          </w:p>
        </w:tc>
        <w:tc>
          <w:tcPr>
            <w:tcW w:w="0" w:type="auto"/>
            <w:hideMark/>
          </w:tcPr>
          <w:p w14:paraId="1185449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East Asia</w:t>
            </w:r>
          </w:p>
        </w:tc>
        <w:tc>
          <w:tcPr>
            <w:tcW w:w="0" w:type="auto"/>
            <w:hideMark/>
          </w:tcPr>
          <w:p w14:paraId="40A530B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1C4AD0D9"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Panel analysis</w:t>
            </w:r>
          </w:p>
        </w:tc>
        <w:tc>
          <w:tcPr>
            <w:tcW w:w="0" w:type="auto"/>
            <w:hideMark/>
          </w:tcPr>
          <w:p w14:paraId="7D3ACBAD"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Volatility reduces exports</w:t>
            </w:r>
          </w:p>
        </w:tc>
      </w:tr>
      <w:tr w:rsidR="00037272" w:rsidRPr="00037272" w14:paraId="4E2739E7"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6F2FC30E"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Pino et al.</w:t>
            </w:r>
          </w:p>
        </w:tc>
        <w:tc>
          <w:tcPr>
            <w:tcW w:w="0" w:type="auto"/>
            <w:hideMark/>
          </w:tcPr>
          <w:p w14:paraId="165AD62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2015</w:t>
            </w:r>
          </w:p>
        </w:tc>
        <w:tc>
          <w:tcPr>
            <w:tcW w:w="0" w:type="auto"/>
            <w:hideMark/>
          </w:tcPr>
          <w:p w14:paraId="35D5E5D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East Asia</w:t>
            </w:r>
          </w:p>
        </w:tc>
        <w:tc>
          <w:tcPr>
            <w:tcW w:w="0" w:type="auto"/>
            <w:hideMark/>
          </w:tcPr>
          <w:p w14:paraId="69DF3CE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342F3A1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Econometric modelling</w:t>
            </w:r>
          </w:p>
        </w:tc>
        <w:tc>
          <w:tcPr>
            <w:tcW w:w="0" w:type="auto"/>
            <w:hideMark/>
          </w:tcPr>
          <w:p w14:paraId="12D345BE"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Export sensitivity to volatility</w:t>
            </w:r>
          </w:p>
        </w:tc>
      </w:tr>
      <w:tr w:rsidR="00037272" w:rsidRPr="00037272" w14:paraId="0C324C9A"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E52F61"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lastRenderedPageBreak/>
              <w:t>Asteriou</w:t>
            </w:r>
            <w:proofErr w:type="spellEnd"/>
            <w:r w:rsidRPr="00037272">
              <w:rPr>
                <w:rFonts w:ascii="Arial" w:hAnsi="Arial" w:cs="Arial"/>
                <w:lang w:val="en-IN"/>
              </w:rPr>
              <w:t xml:space="preserve"> et al.</w:t>
            </w:r>
          </w:p>
        </w:tc>
        <w:tc>
          <w:tcPr>
            <w:tcW w:w="0" w:type="auto"/>
            <w:hideMark/>
          </w:tcPr>
          <w:p w14:paraId="60577B9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2016</w:t>
            </w:r>
          </w:p>
        </w:tc>
        <w:tc>
          <w:tcPr>
            <w:tcW w:w="0" w:type="auto"/>
            <w:hideMark/>
          </w:tcPr>
          <w:p w14:paraId="172E655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MINT countries</w:t>
            </w:r>
          </w:p>
        </w:tc>
        <w:tc>
          <w:tcPr>
            <w:tcW w:w="0" w:type="auto"/>
            <w:hideMark/>
          </w:tcPr>
          <w:p w14:paraId="69F3A27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42AD58F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Panel regression</w:t>
            </w:r>
          </w:p>
        </w:tc>
        <w:tc>
          <w:tcPr>
            <w:tcW w:w="0" w:type="auto"/>
            <w:hideMark/>
          </w:tcPr>
          <w:p w14:paraId="0F3C025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Emerging-market vulnerability</w:t>
            </w:r>
          </w:p>
        </w:tc>
      </w:tr>
      <w:tr w:rsidR="00037272" w:rsidRPr="00037272" w14:paraId="17BA4FE9"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00B15BA2"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Bennett et al.</w:t>
            </w:r>
          </w:p>
        </w:tc>
        <w:tc>
          <w:tcPr>
            <w:tcW w:w="0" w:type="auto"/>
            <w:hideMark/>
          </w:tcPr>
          <w:p w14:paraId="2F15055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2016</w:t>
            </w:r>
          </w:p>
        </w:tc>
        <w:tc>
          <w:tcPr>
            <w:tcW w:w="0" w:type="auto"/>
            <w:hideMark/>
          </w:tcPr>
          <w:p w14:paraId="547B540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1A54032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2408AB9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Macro analysis</w:t>
            </w:r>
          </w:p>
        </w:tc>
        <w:tc>
          <w:tcPr>
            <w:tcW w:w="0" w:type="auto"/>
            <w:hideMark/>
          </w:tcPr>
          <w:p w14:paraId="7BAC2FF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 uncertainty amplifies volatility</w:t>
            </w:r>
          </w:p>
        </w:tc>
      </w:tr>
      <w:tr w:rsidR="00037272" w:rsidRPr="00037272" w14:paraId="63774BD0"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98644D"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Dell’Ariccia</w:t>
            </w:r>
            <w:proofErr w:type="spellEnd"/>
          </w:p>
        </w:tc>
        <w:tc>
          <w:tcPr>
            <w:tcW w:w="0" w:type="auto"/>
            <w:hideMark/>
          </w:tcPr>
          <w:p w14:paraId="2E4CC2D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1999</w:t>
            </w:r>
          </w:p>
        </w:tc>
        <w:tc>
          <w:tcPr>
            <w:tcW w:w="0" w:type="auto"/>
            <w:hideMark/>
          </w:tcPr>
          <w:p w14:paraId="51DB0539"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European Union</w:t>
            </w:r>
          </w:p>
        </w:tc>
        <w:tc>
          <w:tcPr>
            <w:tcW w:w="0" w:type="auto"/>
            <w:hideMark/>
          </w:tcPr>
          <w:p w14:paraId="5A643D1D"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5289607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Panel econometrics</w:t>
            </w:r>
          </w:p>
        </w:tc>
        <w:tc>
          <w:tcPr>
            <w:tcW w:w="0" w:type="auto"/>
            <w:hideMark/>
          </w:tcPr>
          <w:p w14:paraId="7B46BAC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Exchange-rate instability reduces trade</w:t>
            </w:r>
          </w:p>
        </w:tc>
      </w:tr>
      <w:tr w:rsidR="00037272" w:rsidRPr="00037272" w14:paraId="60081A06"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72A45256"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Vijil et al.</w:t>
            </w:r>
          </w:p>
        </w:tc>
        <w:tc>
          <w:tcPr>
            <w:tcW w:w="0" w:type="auto"/>
            <w:hideMark/>
          </w:tcPr>
          <w:p w14:paraId="24F79D0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2019</w:t>
            </w:r>
          </w:p>
        </w:tc>
        <w:tc>
          <w:tcPr>
            <w:tcW w:w="0" w:type="auto"/>
            <w:hideMark/>
          </w:tcPr>
          <w:p w14:paraId="4A503C68"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032A4F5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0932126D"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Trade uncertainty analysis</w:t>
            </w:r>
          </w:p>
        </w:tc>
        <w:tc>
          <w:tcPr>
            <w:tcW w:w="0" w:type="auto"/>
            <w:hideMark/>
          </w:tcPr>
          <w:p w14:paraId="60F988F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Import uncertainty affects exports</w:t>
            </w:r>
          </w:p>
        </w:tc>
      </w:tr>
      <w:tr w:rsidR="00037272" w:rsidRPr="00037272" w14:paraId="30F8BE63"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DB52D7"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Clark &amp; IMF</w:t>
            </w:r>
          </w:p>
        </w:tc>
        <w:tc>
          <w:tcPr>
            <w:tcW w:w="0" w:type="auto"/>
            <w:hideMark/>
          </w:tcPr>
          <w:p w14:paraId="4605C2D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2004</w:t>
            </w:r>
          </w:p>
        </w:tc>
        <w:tc>
          <w:tcPr>
            <w:tcW w:w="0" w:type="auto"/>
            <w:hideMark/>
          </w:tcPr>
          <w:p w14:paraId="6610AFE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2939568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17B8A36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Policy analysis</w:t>
            </w:r>
          </w:p>
        </w:tc>
        <w:tc>
          <w:tcPr>
            <w:tcW w:w="0" w:type="auto"/>
            <w:hideMark/>
          </w:tcPr>
          <w:p w14:paraId="216168A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Exchange-rate regimes and trade</w:t>
            </w:r>
          </w:p>
        </w:tc>
      </w:tr>
      <w:tr w:rsidR="00037272" w:rsidRPr="00037272" w14:paraId="4B375BB1"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51ACAF22"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Paul &amp; Dhiman</w:t>
            </w:r>
          </w:p>
        </w:tc>
        <w:tc>
          <w:tcPr>
            <w:tcW w:w="0" w:type="auto"/>
            <w:hideMark/>
          </w:tcPr>
          <w:p w14:paraId="68C79D0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2021</w:t>
            </w:r>
          </w:p>
        </w:tc>
        <w:tc>
          <w:tcPr>
            <w:tcW w:w="0" w:type="auto"/>
            <w:hideMark/>
          </w:tcPr>
          <w:p w14:paraId="4CDF915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37D7D69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6E4FBE0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Systematic review</w:t>
            </w:r>
          </w:p>
        </w:tc>
        <w:tc>
          <w:tcPr>
            <w:tcW w:w="0" w:type="auto"/>
            <w:hideMark/>
          </w:tcPr>
          <w:p w14:paraId="043A4A0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Export competitiveness determinants</w:t>
            </w:r>
          </w:p>
        </w:tc>
      </w:tr>
      <w:tr w:rsidR="00037272" w:rsidRPr="00037272" w14:paraId="42A6DA44"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C56B05"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Dua &amp; Suri</w:t>
            </w:r>
          </w:p>
        </w:tc>
        <w:tc>
          <w:tcPr>
            <w:tcW w:w="0" w:type="auto"/>
            <w:hideMark/>
          </w:tcPr>
          <w:p w14:paraId="21A770DD"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2023</w:t>
            </w:r>
          </w:p>
        </w:tc>
        <w:tc>
          <w:tcPr>
            <w:tcW w:w="0" w:type="auto"/>
            <w:hideMark/>
          </w:tcPr>
          <w:p w14:paraId="2FA1A42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India</w:t>
            </w:r>
          </w:p>
        </w:tc>
        <w:tc>
          <w:tcPr>
            <w:tcW w:w="0" w:type="auto"/>
            <w:hideMark/>
          </w:tcPr>
          <w:p w14:paraId="67234C2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502D41C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Econometric analysis</w:t>
            </w:r>
          </w:p>
        </w:tc>
        <w:tc>
          <w:tcPr>
            <w:tcW w:w="0" w:type="auto"/>
            <w:hideMark/>
          </w:tcPr>
          <w:p w14:paraId="7341E97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INR volatility and exports</w:t>
            </w:r>
          </w:p>
        </w:tc>
      </w:tr>
      <w:tr w:rsidR="00037272" w:rsidRPr="00037272" w14:paraId="295AEA9F"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161040BE"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Tandon &amp; Singh</w:t>
            </w:r>
          </w:p>
        </w:tc>
        <w:tc>
          <w:tcPr>
            <w:tcW w:w="0" w:type="auto"/>
            <w:hideMark/>
          </w:tcPr>
          <w:p w14:paraId="08906AEE"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2025</w:t>
            </w:r>
          </w:p>
        </w:tc>
        <w:tc>
          <w:tcPr>
            <w:tcW w:w="0" w:type="auto"/>
            <w:hideMark/>
          </w:tcPr>
          <w:p w14:paraId="2762DEE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India</w:t>
            </w:r>
          </w:p>
        </w:tc>
        <w:tc>
          <w:tcPr>
            <w:tcW w:w="0" w:type="auto"/>
            <w:hideMark/>
          </w:tcPr>
          <w:p w14:paraId="170D8DA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7E00C5D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Sectoral analysis</w:t>
            </w:r>
          </w:p>
        </w:tc>
        <w:tc>
          <w:tcPr>
            <w:tcW w:w="0" w:type="auto"/>
            <w:hideMark/>
          </w:tcPr>
          <w:p w14:paraId="7EB2B87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Manufacturing export challenges</w:t>
            </w:r>
          </w:p>
        </w:tc>
      </w:tr>
      <w:tr w:rsidR="00037272" w:rsidRPr="00037272" w14:paraId="2B5B2899"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E79D52"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 xml:space="preserve">Li &amp; </w:t>
            </w:r>
            <w:proofErr w:type="spellStart"/>
            <w:r w:rsidRPr="00037272">
              <w:rPr>
                <w:rFonts w:ascii="Arial" w:hAnsi="Arial" w:cs="Arial"/>
                <w:lang w:val="en-IN"/>
              </w:rPr>
              <w:t>Meleshchuk</w:t>
            </w:r>
            <w:proofErr w:type="spellEnd"/>
          </w:p>
        </w:tc>
        <w:tc>
          <w:tcPr>
            <w:tcW w:w="0" w:type="auto"/>
            <w:hideMark/>
          </w:tcPr>
          <w:p w14:paraId="138B182D"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2024</w:t>
            </w:r>
          </w:p>
        </w:tc>
        <w:tc>
          <w:tcPr>
            <w:tcW w:w="0" w:type="auto"/>
            <w:hideMark/>
          </w:tcPr>
          <w:p w14:paraId="5A2B317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46158822"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Services</w:t>
            </w:r>
          </w:p>
        </w:tc>
        <w:tc>
          <w:tcPr>
            <w:tcW w:w="0" w:type="auto"/>
            <w:hideMark/>
          </w:tcPr>
          <w:p w14:paraId="43145B6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Empirical analysis</w:t>
            </w:r>
          </w:p>
        </w:tc>
        <w:tc>
          <w:tcPr>
            <w:tcW w:w="0" w:type="auto"/>
            <w:hideMark/>
          </w:tcPr>
          <w:p w14:paraId="7F02D96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Services trade and exchange rates</w:t>
            </w:r>
          </w:p>
        </w:tc>
      </w:tr>
      <w:tr w:rsidR="00037272" w:rsidRPr="00037272" w14:paraId="2E944E91"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633149E0"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Eichengreen</w:t>
            </w:r>
            <w:proofErr w:type="spellEnd"/>
            <w:r w:rsidRPr="00037272">
              <w:rPr>
                <w:rFonts w:ascii="Arial" w:hAnsi="Arial" w:cs="Arial"/>
                <w:lang w:val="en-IN"/>
              </w:rPr>
              <w:t xml:space="preserve"> &amp; Gupta</w:t>
            </w:r>
          </w:p>
        </w:tc>
        <w:tc>
          <w:tcPr>
            <w:tcW w:w="0" w:type="auto"/>
            <w:hideMark/>
          </w:tcPr>
          <w:p w14:paraId="74EBFD7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2013</w:t>
            </w:r>
          </w:p>
        </w:tc>
        <w:tc>
          <w:tcPr>
            <w:tcW w:w="0" w:type="auto"/>
            <w:hideMark/>
          </w:tcPr>
          <w:p w14:paraId="1C6808C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India</w:t>
            </w:r>
          </w:p>
        </w:tc>
        <w:tc>
          <w:tcPr>
            <w:tcW w:w="0" w:type="auto"/>
            <w:hideMark/>
          </w:tcPr>
          <w:p w14:paraId="5E24F9C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Services</w:t>
            </w:r>
          </w:p>
        </w:tc>
        <w:tc>
          <w:tcPr>
            <w:tcW w:w="0" w:type="auto"/>
            <w:hideMark/>
          </w:tcPr>
          <w:p w14:paraId="4B8F386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Econometric analysis</w:t>
            </w:r>
          </w:p>
        </w:tc>
        <w:tc>
          <w:tcPr>
            <w:tcW w:w="0" w:type="auto"/>
            <w:hideMark/>
          </w:tcPr>
          <w:p w14:paraId="5074DECD"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Services respond differently to volatility</w:t>
            </w:r>
          </w:p>
        </w:tc>
      </w:tr>
      <w:tr w:rsidR="00037272" w:rsidRPr="00037272" w14:paraId="76A91A47"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6E054"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Forni et al.</w:t>
            </w:r>
          </w:p>
        </w:tc>
        <w:tc>
          <w:tcPr>
            <w:tcW w:w="0" w:type="auto"/>
            <w:hideMark/>
          </w:tcPr>
          <w:p w14:paraId="5928AD3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2010</w:t>
            </w:r>
          </w:p>
        </w:tc>
        <w:tc>
          <w:tcPr>
            <w:tcW w:w="0" w:type="auto"/>
            <w:hideMark/>
          </w:tcPr>
          <w:p w14:paraId="0889E16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Italy</w:t>
            </w:r>
          </w:p>
        </w:tc>
        <w:tc>
          <w:tcPr>
            <w:tcW w:w="0" w:type="auto"/>
            <w:hideMark/>
          </w:tcPr>
          <w:p w14:paraId="2C98549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Services</w:t>
            </w:r>
          </w:p>
        </w:tc>
        <w:tc>
          <w:tcPr>
            <w:tcW w:w="0" w:type="auto"/>
            <w:hideMark/>
          </w:tcPr>
          <w:p w14:paraId="6AF2764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Macroeconomic modelling</w:t>
            </w:r>
          </w:p>
        </w:tc>
        <w:tc>
          <w:tcPr>
            <w:tcW w:w="0" w:type="auto"/>
            <w:hideMark/>
          </w:tcPr>
          <w:p w14:paraId="72B075E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Services sector dynamics</w:t>
            </w:r>
          </w:p>
        </w:tc>
      </w:tr>
      <w:tr w:rsidR="00037272" w:rsidRPr="00037272" w14:paraId="16908541"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50620882"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Sahoo &amp; Dash</w:t>
            </w:r>
          </w:p>
        </w:tc>
        <w:tc>
          <w:tcPr>
            <w:tcW w:w="0" w:type="auto"/>
            <w:hideMark/>
          </w:tcPr>
          <w:p w14:paraId="5BED40A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2014</w:t>
            </w:r>
          </w:p>
        </w:tc>
        <w:tc>
          <w:tcPr>
            <w:tcW w:w="0" w:type="auto"/>
            <w:hideMark/>
          </w:tcPr>
          <w:p w14:paraId="37D680A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India</w:t>
            </w:r>
          </w:p>
        </w:tc>
        <w:tc>
          <w:tcPr>
            <w:tcW w:w="0" w:type="auto"/>
            <w:hideMark/>
          </w:tcPr>
          <w:p w14:paraId="3B11E6F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Services</w:t>
            </w:r>
          </w:p>
        </w:tc>
        <w:tc>
          <w:tcPr>
            <w:tcW w:w="0" w:type="auto"/>
            <w:hideMark/>
          </w:tcPr>
          <w:p w14:paraId="38D6BEA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Econometric analysis</w:t>
            </w:r>
          </w:p>
        </w:tc>
        <w:tc>
          <w:tcPr>
            <w:tcW w:w="0" w:type="auto"/>
            <w:hideMark/>
          </w:tcPr>
          <w:p w14:paraId="215D624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Services export growth</w:t>
            </w:r>
          </w:p>
        </w:tc>
      </w:tr>
      <w:tr w:rsidR="00037272" w:rsidRPr="00037272" w14:paraId="67EEA665"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54D652"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Javalgi</w:t>
            </w:r>
            <w:proofErr w:type="spellEnd"/>
            <w:r w:rsidRPr="00037272">
              <w:rPr>
                <w:rFonts w:ascii="Arial" w:hAnsi="Arial" w:cs="Arial"/>
                <w:lang w:val="en-IN"/>
              </w:rPr>
              <w:t xml:space="preserve"> et al.</w:t>
            </w:r>
          </w:p>
        </w:tc>
        <w:tc>
          <w:tcPr>
            <w:tcW w:w="0" w:type="auto"/>
            <w:hideMark/>
          </w:tcPr>
          <w:p w14:paraId="6EAEDB1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2011</w:t>
            </w:r>
          </w:p>
        </w:tc>
        <w:tc>
          <w:tcPr>
            <w:tcW w:w="0" w:type="auto"/>
            <w:hideMark/>
          </w:tcPr>
          <w:p w14:paraId="45189A69"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Emerging markets</w:t>
            </w:r>
          </w:p>
        </w:tc>
        <w:tc>
          <w:tcPr>
            <w:tcW w:w="0" w:type="auto"/>
            <w:hideMark/>
          </w:tcPr>
          <w:p w14:paraId="5BE894D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Services</w:t>
            </w:r>
          </w:p>
        </w:tc>
        <w:tc>
          <w:tcPr>
            <w:tcW w:w="0" w:type="auto"/>
            <w:hideMark/>
          </w:tcPr>
          <w:p w14:paraId="04A409F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Strategic analysis</w:t>
            </w:r>
          </w:p>
        </w:tc>
        <w:tc>
          <w:tcPr>
            <w:tcW w:w="0" w:type="auto"/>
            <w:hideMark/>
          </w:tcPr>
          <w:p w14:paraId="241F82E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KIBS competitiveness</w:t>
            </w:r>
          </w:p>
        </w:tc>
      </w:tr>
      <w:tr w:rsidR="00037272" w:rsidRPr="00037272" w14:paraId="0039F221"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49726AE6"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Banerjee</w:t>
            </w:r>
          </w:p>
        </w:tc>
        <w:tc>
          <w:tcPr>
            <w:tcW w:w="0" w:type="auto"/>
            <w:hideMark/>
          </w:tcPr>
          <w:p w14:paraId="457BDD3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2006</w:t>
            </w:r>
          </w:p>
        </w:tc>
        <w:tc>
          <w:tcPr>
            <w:tcW w:w="0" w:type="auto"/>
            <w:hideMark/>
          </w:tcPr>
          <w:p w14:paraId="3BE22A6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India–US</w:t>
            </w:r>
          </w:p>
        </w:tc>
        <w:tc>
          <w:tcPr>
            <w:tcW w:w="0" w:type="auto"/>
            <w:hideMark/>
          </w:tcPr>
          <w:p w14:paraId="6E8247D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Services</w:t>
            </w:r>
          </w:p>
        </w:tc>
        <w:tc>
          <w:tcPr>
            <w:tcW w:w="0" w:type="auto"/>
            <w:hideMark/>
          </w:tcPr>
          <w:p w14:paraId="170B4F23"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Qualitative analysis</w:t>
            </w:r>
          </w:p>
        </w:tc>
        <w:tc>
          <w:tcPr>
            <w:tcW w:w="0" w:type="auto"/>
            <w:hideMark/>
          </w:tcPr>
          <w:p w14:paraId="27E7BC9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IT services and labour mobility</w:t>
            </w:r>
          </w:p>
        </w:tc>
      </w:tr>
      <w:tr w:rsidR="00037272" w:rsidRPr="00037272" w14:paraId="00FD9804"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A7B3C"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Gopinath</w:t>
            </w:r>
          </w:p>
        </w:tc>
        <w:tc>
          <w:tcPr>
            <w:tcW w:w="0" w:type="auto"/>
            <w:hideMark/>
          </w:tcPr>
          <w:p w14:paraId="0F267CD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2015</w:t>
            </w:r>
          </w:p>
        </w:tc>
        <w:tc>
          <w:tcPr>
            <w:tcW w:w="0" w:type="auto"/>
            <w:hideMark/>
          </w:tcPr>
          <w:p w14:paraId="528F6C3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6337515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5C38953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Conceptual analysis</w:t>
            </w:r>
          </w:p>
        </w:tc>
        <w:tc>
          <w:tcPr>
            <w:tcW w:w="0" w:type="auto"/>
            <w:hideMark/>
          </w:tcPr>
          <w:p w14:paraId="01C1C05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Dominant currency pricing</w:t>
            </w:r>
          </w:p>
        </w:tc>
      </w:tr>
      <w:tr w:rsidR="00037272" w:rsidRPr="00037272" w14:paraId="19BCED3E"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1BBD77F9"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lastRenderedPageBreak/>
              <w:t>Bartram et al.</w:t>
            </w:r>
          </w:p>
        </w:tc>
        <w:tc>
          <w:tcPr>
            <w:tcW w:w="0" w:type="auto"/>
            <w:hideMark/>
          </w:tcPr>
          <w:p w14:paraId="4EB03D81"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2010</w:t>
            </w:r>
          </w:p>
        </w:tc>
        <w:tc>
          <w:tcPr>
            <w:tcW w:w="0" w:type="auto"/>
            <w:hideMark/>
          </w:tcPr>
          <w:p w14:paraId="5A34517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242560D3"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4900536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Financial analysis</w:t>
            </w:r>
          </w:p>
        </w:tc>
        <w:tc>
          <w:tcPr>
            <w:tcW w:w="0" w:type="auto"/>
            <w:hideMark/>
          </w:tcPr>
          <w:p w14:paraId="2C8C343E"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Exchange-rate exposure</w:t>
            </w:r>
          </w:p>
        </w:tc>
      </w:tr>
      <w:tr w:rsidR="00037272" w:rsidRPr="00037272" w14:paraId="41FCE13E"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61845"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Hoskissson</w:t>
            </w:r>
            <w:proofErr w:type="spellEnd"/>
            <w:r w:rsidRPr="00037272">
              <w:rPr>
                <w:rFonts w:ascii="Arial" w:hAnsi="Arial" w:cs="Arial"/>
                <w:lang w:val="en-IN"/>
              </w:rPr>
              <w:t xml:space="preserve"> et al.</w:t>
            </w:r>
          </w:p>
        </w:tc>
        <w:tc>
          <w:tcPr>
            <w:tcW w:w="0" w:type="auto"/>
            <w:hideMark/>
          </w:tcPr>
          <w:p w14:paraId="393E0A79"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2016</w:t>
            </w:r>
          </w:p>
        </w:tc>
        <w:tc>
          <w:tcPr>
            <w:tcW w:w="0" w:type="auto"/>
            <w:hideMark/>
          </w:tcPr>
          <w:p w14:paraId="1C24A41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44B7E1E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5D62CCD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Conceptual review</w:t>
            </w:r>
          </w:p>
        </w:tc>
        <w:tc>
          <w:tcPr>
            <w:tcW w:w="0" w:type="auto"/>
            <w:hideMark/>
          </w:tcPr>
          <w:p w14:paraId="325A019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Risk-taking and uncertainty</w:t>
            </w:r>
          </w:p>
        </w:tc>
      </w:tr>
      <w:tr w:rsidR="00037272" w:rsidRPr="00037272" w14:paraId="772AB48F"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1D59CF02"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Broll et al.</w:t>
            </w:r>
          </w:p>
        </w:tc>
        <w:tc>
          <w:tcPr>
            <w:tcW w:w="0" w:type="auto"/>
            <w:hideMark/>
          </w:tcPr>
          <w:p w14:paraId="19673E2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2006</w:t>
            </w:r>
          </w:p>
        </w:tc>
        <w:tc>
          <w:tcPr>
            <w:tcW w:w="0" w:type="auto"/>
            <w:hideMark/>
          </w:tcPr>
          <w:p w14:paraId="28C7D0A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149D88BE"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7A93993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Theoretical modelling</w:t>
            </w:r>
          </w:p>
        </w:tc>
        <w:tc>
          <w:tcPr>
            <w:tcW w:w="0" w:type="auto"/>
            <w:hideMark/>
          </w:tcPr>
          <w:p w14:paraId="0B69DC0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Risk aversion and trade</w:t>
            </w:r>
          </w:p>
        </w:tc>
      </w:tr>
      <w:tr w:rsidR="00037272" w:rsidRPr="00037272" w14:paraId="7CDFE07E"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BEBF"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Dong</w:t>
            </w:r>
          </w:p>
        </w:tc>
        <w:tc>
          <w:tcPr>
            <w:tcW w:w="0" w:type="auto"/>
            <w:hideMark/>
          </w:tcPr>
          <w:p w14:paraId="736B7555"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2018</w:t>
            </w:r>
          </w:p>
        </w:tc>
        <w:tc>
          <w:tcPr>
            <w:tcW w:w="0" w:type="auto"/>
            <w:hideMark/>
          </w:tcPr>
          <w:p w14:paraId="7C8136C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Emerging markets</w:t>
            </w:r>
          </w:p>
        </w:tc>
        <w:tc>
          <w:tcPr>
            <w:tcW w:w="0" w:type="auto"/>
            <w:hideMark/>
          </w:tcPr>
          <w:p w14:paraId="0420AA0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74266CC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Firm-level analysis</w:t>
            </w:r>
          </w:p>
        </w:tc>
        <w:tc>
          <w:tcPr>
            <w:tcW w:w="0" w:type="auto"/>
            <w:hideMark/>
          </w:tcPr>
          <w:p w14:paraId="01282A0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Financial imperfections</w:t>
            </w:r>
          </w:p>
        </w:tc>
      </w:tr>
      <w:tr w:rsidR="00037272" w:rsidRPr="00037272" w14:paraId="706F1389"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33B43F35"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Dong et al.</w:t>
            </w:r>
          </w:p>
        </w:tc>
        <w:tc>
          <w:tcPr>
            <w:tcW w:w="0" w:type="auto"/>
            <w:hideMark/>
          </w:tcPr>
          <w:p w14:paraId="24E995D1"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2014</w:t>
            </w:r>
          </w:p>
        </w:tc>
        <w:tc>
          <w:tcPr>
            <w:tcW w:w="0" w:type="auto"/>
            <w:hideMark/>
          </w:tcPr>
          <w:p w14:paraId="30254A4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219FF12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0FF2E06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Operational hedging analysis</w:t>
            </w:r>
          </w:p>
        </w:tc>
        <w:tc>
          <w:tcPr>
            <w:tcW w:w="0" w:type="auto"/>
            <w:hideMark/>
          </w:tcPr>
          <w:p w14:paraId="739684B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Firm responses to volatility</w:t>
            </w:r>
          </w:p>
        </w:tc>
      </w:tr>
      <w:tr w:rsidR="00037272" w:rsidRPr="00037272" w14:paraId="29B0F6AA"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D56B1"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Hutson &amp; Stevenson</w:t>
            </w:r>
          </w:p>
        </w:tc>
        <w:tc>
          <w:tcPr>
            <w:tcW w:w="0" w:type="auto"/>
            <w:hideMark/>
          </w:tcPr>
          <w:p w14:paraId="6203C21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2009</w:t>
            </w:r>
          </w:p>
        </w:tc>
        <w:tc>
          <w:tcPr>
            <w:tcW w:w="0" w:type="auto"/>
            <w:hideMark/>
          </w:tcPr>
          <w:p w14:paraId="453A5EC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Multi-country</w:t>
            </w:r>
          </w:p>
        </w:tc>
        <w:tc>
          <w:tcPr>
            <w:tcW w:w="0" w:type="auto"/>
            <w:hideMark/>
          </w:tcPr>
          <w:p w14:paraId="6B51B68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38D43D8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Firm-level study</w:t>
            </w:r>
          </w:p>
        </w:tc>
        <w:tc>
          <w:tcPr>
            <w:tcW w:w="0" w:type="auto"/>
            <w:hideMark/>
          </w:tcPr>
          <w:p w14:paraId="4149077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Hedging incentives</w:t>
            </w:r>
          </w:p>
        </w:tc>
      </w:tr>
      <w:tr w:rsidR="00037272" w:rsidRPr="00037272" w14:paraId="136FAE56"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04F3B0B4"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Sur et al.</w:t>
            </w:r>
          </w:p>
        </w:tc>
        <w:tc>
          <w:tcPr>
            <w:tcW w:w="0" w:type="auto"/>
            <w:hideMark/>
          </w:tcPr>
          <w:p w14:paraId="13CE8DC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2024</w:t>
            </w:r>
          </w:p>
        </w:tc>
        <w:tc>
          <w:tcPr>
            <w:tcW w:w="0" w:type="auto"/>
            <w:hideMark/>
          </w:tcPr>
          <w:p w14:paraId="7622FC5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India</w:t>
            </w:r>
          </w:p>
        </w:tc>
        <w:tc>
          <w:tcPr>
            <w:tcW w:w="0" w:type="auto"/>
            <w:hideMark/>
          </w:tcPr>
          <w:p w14:paraId="37367928"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3FD2C32E"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Empirical analysis</w:t>
            </w:r>
          </w:p>
        </w:tc>
        <w:tc>
          <w:tcPr>
            <w:tcW w:w="0" w:type="auto"/>
            <w:hideMark/>
          </w:tcPr>
          <w:p w14:paraId="139698C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Foreign currency borrowing risk</w:t>
            </w:r>
          </w:p>
        </w:tc>
      </w:tr>
      <w:tr w:rsidR="00037272" w:rsidRPr="00037272" w14:paraId="78469F8D"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FDAE1"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 xml:space="preserve">Sudan &amp; </w:t>
            </w:r>
            <w:proofErr w:type="spellStart"/>
            <w:r w:rsidRPr="00037272">
              <w:rPr>
                <w:rFonts w:ascii="Arial" w:hAnsi="Arial" w:cs="Arial"/>
                <w:lang w:val="en-IN"/>
              </w:rPr>
              <w:t>Taggar</w:t>
            </w:r>
            <w:proofErr w:type="spellEnd"/>
          </w:p>
        </w:tc>
        <w:tc>
          <w:tcPr>
            <w:tcW w:w="0" w:type="auto"/>
            <w:hideMark/>
          </w:tcPr>
          <w:p w14:paraId="49FCC81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2024</w:t>
            </w:r>
          </w:p>
        </w:tc>
        <w:tc>
          <w:tcPr>
            <w:tcW w:w="0" w:type="auto"/>
            <w:hideMark/>
          </w:tcPr>
          <w:p w14:paraId="01944EA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India</w:t>
            </w:r>
          </w:p>
        </w:tc>
        <w:tc>
          <w:tcPr>
            <w:tcW w:w="0" w:type="auto"/>
            <w:hideMark/>
          </w:tcPr>
          <w:p w14:paraId="319B3185"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29C779A9"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Empirical analysis</w:t>
            </w:r>
          </w:p>
        </w:tc>
        <w:tc>
          <w:tcPr>
            <w:tcW w:w="0" w:type="auto"/>
            <w:hideMark/>
          </w:tcPr>
          <w:p w14:paraId="64930C2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SME vulnerability</w:t>
            </w:r>
          </w:p>
        </w:tc>
      </w:tr>
      <w:tr w:rsidR="00037272" w:rsidRPr="00037272" w14:paraId="4AB5B66F"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4863E925"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Shah &amp; Shah</w:t>
            </w:r>
          </w:p>
        </w:tc>
        <w:tc>
          <w:tcPr>
            <w:tcW w:w="0" w:type="auto"/>
            <w:hideMark/>
          </w:tcPr>
          <w:p w14:paraId="3BF4134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2025</w:t>
            </w:r>
          </w:p>
        </w:tc>
        <w:tc>
          <w:tcPr>
            <w:tcW w:w="0" w:type="auto"/>
            <w:hideMark/>
          </w:tcPr>
          <w:p w14:paraId="1D942E50"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Emerging markets</w:t>
            </w:r>
          </w:p>
        </w:tc>
        <w:tc>
          <w:tcPr>
            <w:tcW w:w="0" w:type="auto"/>
            <w:hideMark/>
          </w:tcPr>
          <w:p w14:paraId="58C16A49"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0F17475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Conceptual analysis</w:t>
            </w:r>
          </w:p>
        </w:tc>
        <w:tc>
          <w:tcPr>
            <w:tcW w:w="0" w:type="auto"/>
            <w:hideMark/>
          </w:tcPr>
          <w:p w14:paraId="0B189FC3"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Trade and business transformation</w:t>
            </w:r>
          </w:p>
        </w:tc>
      </w:tr>
      <w:tr w:rsidR="00037272" w:rsidRPr="00037272" w14:paraId="0B8F09F4"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249BD0"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Singh</w:t>
            </w:r>
          </w:p>
        </w:tc>
        <w:tc>
          <w:tcPr>
            <w:tcW w:w="0" w:type="auto"/>
            <w:hideMark/>
          </w:tcPr>
          <w:p w14:paraId="6F7A4C15"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2025</w:t>
            </w:r>
          </w:p>
        </w:tc>
        <w:tc>
          <w:tcPr>
            <w:tcW w:w="0" w:type="auto"/>
            <w:hideMark/>
          </w:tcPr>
          <w:p w14:paraId="41C5B372"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5881F2F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0C5272F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Conceptual analysis</w:t>
            </w:r>
          </w:p>
        </w:tc>
        <w:tc>
          <w:tcPr>
            <w:tcW w:w="0" w:type="auto"/>
            <w:hideMark/>
          </w:tcPr>
          <w:p w14:paraId="5211AFB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Currency internationalisation</w:t>
            </w:r>
          </w:p>
        </w:tc>
      </w:tr>
      <w:tr w:rsidR="00037272" w:rsidRPr="00037272" w14:paraId="7775B239"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097D7C88"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Caldara &amp; Iacoviello</w:t>
            </w:r>
          </w:p>
        </w:tc>
        <w:tc>
          <w:tcPr>
            <w:tcW w:w="0" w:type="auto"/>
            <w:hideMark/>
          </w:tcPr>
          <w:p w14:paraId="2E1F2B4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2022</w:t>
            </w:r>
          </w:p>
        </w:tc>
        <w:tc>
          <w:tcPr>
            <w:tcW w:w="0" w:type="auto"/>
            <w:hideMark/>
          </w:tcPr>
          <w:p w14:paraId="7CCCDDC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5A65B71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0B2EFC3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Index construction</w:t>
            </w:r>
          </w:p>
        </w:tc>
        <w:tc>
          <w:tcPr>
            <w:tcW w:w="0" w:type="auto"/>
            <w:hideMark/>
          </w:tcPr>
          <w:p w14:paraId="248E057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Geopolitical risk</w:t>
            </w:r>
          </w:p>
        </w:tc>
      </w:tr>
      <w:tr w:rsidR="00037272" w:rsidRPr="00037272" w14:paraId="17D7180E"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333C8"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Auboin</w:t>
            </w:r>
            <w:proofErr w:type="spellEnd"/>
            <w:r w:rsidRPr="00037272">
              <w:rPr>
                <w:rFonts w:ascii="Arial" w:hAnsi="Arial" w:cs="Arial"/>
                <w:lang w:val="en-IN"/>
              </w:rPr>
              <w:t xml:space="preserve"> &amp; Ruta</w:t>
            </w:r>
          </w:p>
        </w:tc>
        <w:tc>
          <w:tcPr>
            <w:tcW w:w="0" w:type="auto"/>
            <w:hideMark/>
          </w:tcPr>
          <w:p w14:paraId="22268242"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2013</w:t>
            </w:r>
          </w:p>
        </w:tc>
        <w:tc>
          <w:tcPr>
            <w:tcW w:w="0" w:type="auto"/>
            <w:hideMark/>
          </w:tcPr>
          <w:p w14:paraId="3A5FE88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0C6878F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1EF60B47"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Literature review</w:t>
            </w:r>
          </w:p>
        </w:tc>
        <w:tc>
          <w:tcPr>
            <w:tcW w:w="0" w:type="auto"/>
            <w:hideMark/>
          </w:tcPr>
          <w:p w14:paraId="601B7151"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Volatility–trade mechanisms</w:t>
            </w:r>
          </w:p>
        </w:tc>
      </w:tr>
      <w:tr w:rsidR="00037272" w:rsidRPr="00037272" w14:paraId="24034AD6"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31C28C95"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Bennett et al.</w:t>
            </w:r>
          </w:p>
        </w:tc>
        <w:tc>
          <w:tcPr>
            <w:tcW w:w="0" w:type="auto"/>
            <w:hideMark/>
          </w:tcPr>
          <w:p w14:paraId="0F97EC2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2016</w:t>
            </w:r>
          </w:p>
        </w:tc>
        <w:tc>
          <w:tcPr>
            <w:tcW w:w="0" w:type="auto"/>
            <w:hideMark/>
          </w:tcPr>
          <w:p w14:paraId="524B343D"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2A1FD81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22B27CB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Macro analysis</w:t>
            </w:r>
          </w:p>
        </w:tc>
        <w:tc>
          <w:tcPr>
            <w:tcW w:w="0" w:type="auto"/>
            <w:hideMark/>
          </w:tcPr>
          <w:p w14:paraId="3468654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Uncertainty and trade</w:t>
            </w:r>
          </w:p>
        </w:tc>
      </w:tr>
      <w:tr w:rsidR="00037272" w:rsidRPr="00037272" w14:paraId="60C5F7E5"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5AC3FE"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WTO</w:t>
            </w:r>
          </w:p>
        </w:tc>
        <w:tc>
          <w:tcPr>
            <w:tcW w:w="0" w:type="auto"/>
            <w:hideMark/>
          </w:tcPr>
          <w:p w14:paraId="0E1DAF5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2021</w:t>
            </w:r>
          </w:p>
        </w:tc>
        <w:tc>
          <w:tcPr>
            <w:tcW w:w="0" w:type="auto"/>
            <w:hideMark/>
          </w:tcPr>
          <w:p w14:paraId="23DD05D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71368D8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54E1691C"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Policy report</w:t>
            </w:r>
          </w:p>
        </w:tc>
        <w:tc>
          <w:tcPr>
            <w:tcW w:w="0" w:type="auto"/>
            <w:hideMark/>
          </w:tcPr>
          <w:p w14:paraId="668A3FF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Trade resilience</w:t>
            </w:r>
          </w:p>
        </w:tc>
      </w:tr>
      <w:tr w:rsidR="00037272" w:rsidRPr="00037272" w14:paraId="73ECA6E0"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25C3F95D"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Vijil et al.</w:t>
            </w:r>
          </w:p>
        </w:tc>
        <w:tc>
          <w:tcPr>
            <w:tcW w:w="0" w:type="auto"/>
            <w:hideMark/>
          </w:tcPr>
          <w:p w14:paraId="6A42313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2019</w:t>
            </w:r>
          </w:p>
        </w:tc>
        <w:tc>
          <w:tcPr>
            <w:tcW w:w="0" w:type="auto"/>
            <w:hideMark/>
          </w:tcPr>
          <w:p w14:paraId="0866C8F3"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6A37CE11"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79E9606D"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Empirical analysis</w:t>
            </w:r>
          </w:p>
        </w:tc>
        <w:tc>
          <w:tcPr>
            <w:tcW w:w="0" w:type="auto"/>
            <w:hideMark/>
          </w:tcPr>
          <w:p w14:paraId="0925384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Trade uncertainty</w:t>
            </w:r>
          </w:p>
        </w:tc>
      </w:tr>
      <w:tr w:rsidR="00037272" w:rsidRPr="00037272" w14:paraId="568017B6"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CACA39"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Clark &amp; IMF</w:t>
            </w:r>
          </w:p>
        </w:tc>
        <w:tc>
          <w:tcPr>
            <w:tcW w:w="0" w:type="auto"/>
            <w:hideMark/>
          </w:tcPr>
          <w:p w14:paraId="76BCC771"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2004</w:t>
            </w:r>
          </w:p>
        </w:tc>
        <w:tc>
          <w:tcPr>
            <w:tcW w:w="0" w:type="auto"/>
            <w:hideMark/>
          </w:tcPr>
          <w:p w14:paraId="433C38FB"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7862C3A1"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7FF7FE81"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Policy analysis</w:t>
            </w:r>
          </w:p>
        </w:tc>
        <w:tc>
          <w:tcPr>
            <w:tcW w:w="0" w:type="auto"/>
            <w:hideMark/>
          </w:tcPr>
          <w:p w14:paraId="67EBA75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Exchange-rate regimes</w:t>
            </w:r>
          </w:p>
        </w:tc>
      </w:tr>
      <w:tr w:rsidR="00037272" w:rsidRPr="00037272" w14:paraId="728985F4"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0B1A902A"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lastRenderedPageBreak/>
              <w:t>Rendell</w:t>
            </w:r>
          </w:p>
        </w:tc>
        <w:tc>
          <w:tcPr>
            <w:tcW w:w="0" w:type="auto"/>
            <w:hideMark/>
          </w:tcPr>
          <w:p w14:paraId="1519561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1986</w:t>
            </w:r>
          </w:p>
        </w:tc>
        <w:tc>
          <w:tcPr>
            <w:tcW w:w="0" w:type="auto"/>
            <w:hideMark/>
          </w:tcPr>
          <w:p w14:paraId="0808074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Conceptual</w:t>
            </w:r>
          </w:p>
        </w:tc>
        <w:tc>
          <w:tcPr>
            <w:tcW w:w="0" w:type="auto"/>
            <w:hideMark/>
          </w:tcPr>
          <w:p w14:paraId="370CB3C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N/A</w:t>
            </w:r>
          </w:p>
        </w:tc>
        <w:tc>
          <w:tcPr>
            <w:tcW w:w="0" w:type="auto"/>
            <w:hideMark/>
          </w:tcPr>
          <w:p w14:paraId="7D595924"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Theory</w:t>
            </w:r>
          </w:p>
        </w:tc>
        <w:tc>
          <w:tcPr>
            <w:tcW w:w="0" w:type="auto"/>
            <w:hideMark/>
          </w:tcPr>
          <w:p w14:paraId="67BDAC57"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Inductive frameworks</w:t>
            </w:r>
          </w:p>
        </w:tc>
      </w:tr>
      <w:tr w:rsidR="00037272" w:rsidRPr="00037272" w14:paraId="5422624E"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4E79D"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Krugman</w:t>
            </w:r>
          </w:p>
        </w:tc>
        <w:tc>
          <w:tcPr>
            <w:tcW w:w="0" w:type="auto"/>
            <w:hideMark/>
          </w:tcPr>
          <w:p w14:paraId="0896433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1980</w:t>
            </w:r>
          </w:p>
        </w:tc>
        <w:tc>
          <w:tcPr>
            <w:tcW w:w="0" w:type="auto"/>
            <w:hideMark/>
          </w:tcPr>
          <w:p w14:paraId="079C310D"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0E12846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Goods</w:t>
            </w:r>
          </w:p>
        </w:tc>
        <w:tc>
          <w:tcPr>
            <w:tcW w:w="0" w:type="auto"/>
            <w:hideMark/>
          </w:tcPr>
          <w:p w14:paraId="776F5F7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Trade theory</w:t>
            </w:r>
          </w:p>
        </w:tc>
        <w:tc>
          <w:tcPr>
            <w:tcW w:w="0" w:type="auto"/>
            <w:hideMark/>
          </w:tcPr>
          <w:p w14:paraId="06ADC9C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Scale economies</w:t>
            </w:r>
          </w:p>
        </w:tc>
      </w:tr>
      <w:tr w:rsidR="00037272" w:rsidRPr="00037272" w14:paraId="040D57D6"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46223F13"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Ruggi</w:t>
            </w:r>
            <w:proofErr w:type="spellEnd"/>
            <w:r w:rsidRPr="00037272">
              <w:rPr>
                <w:rFonts w:ascii="Arial" w:hAnsi="Arial" w:cs="Arial"/>
                <w:lang w:val="en-IN"/>
              </w:rPr>
              <w:t>(e)</w:t>
            </w:r>
          </w:p>
        </w:tc>
        <w:tc>
          <w:tcPr>
            <w:tcW w:w="0" w:type="auto"/>
            <w:hideMark/>
          </w:tcPr>
          <w:p w14:paraId="2ADA9598"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1982</w:t>
            </w:r>
          </w:p>
        </w:tc>
        <w:tc>
          <w:tcPr>
            <w:tcW w:w="0" w:type="auto"/>
            <w:hideMark/>
          </w:tcPr>
          <w:p w14:paraId="1EA9ABF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6E369145"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3E6FF7E8"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Institutional analysis</w:t>
            </w:r>
          </w:p>
        </w:tc>
        <w:tc>
          <w:tcPr>
            <w:tcW w:w="0" w:type="auto"/>
            <w:hideMark/>
          </w:tcPr>
          <w:p w14:paraId="6886523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Trade regimes</w:t>
            </w:r>
          </w:p>
        </w:tc>
      </w:tr>
      <w:tr w:rsidR="00037272" w:rsidRPr="00037272" w14:paraId="011F6386"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EF5B47"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Bartram et al.</w:t>
            </w:r>
          </w:p>
        </w:tc>
        <w:tc>
          <w:tcPr>
            <w:tcW w:w="0" w:type="auto"/>
            <w:hideMark/>
          </w:tcPr>
          <w:p w14:paraId="0F8D5E8E"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2010</w:t>
            </w:r>
          </w:p>
        </w:tc>
        <w:tc>
          <w:tcPr>
            <w:tcW w:w="0" w:type="auto"/>
            <w:hideMark/>
          </w:tcPr>
          <w:p w14:paraId="3D71240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38812F5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4F00DE10"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Financial analysis</w:t>
            </w:r>
          </w:p>
        </w:tc>
        <w:tc>
          <w:tcPr>
            <w:tcW w:w="0" w:type="auto"/>
            <w:hideMark/>
          </w:tcPr>
          <w:p w14:paraId="6F53E905"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Exposure channels</w:t>
            </w:r>
          </w:p>
        </w:tc>
      </w:tr>
      <w:tr w:rsidR="00037272" w:rsidRPr="00037272" w14:paraId="4A228AC0"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2C39C527"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Gopinath</w:t>
            </w:r>
          </w:p>
        </w:tc>
        <w:tc>
          <w:tcPr>
            <w:tcW w:w="0" w:type="auto"/>
            <w:hideMark/>
          </w:tcPr>
          <w:p w14:paraId="3F4D28DC"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2015</w:t>
            </w:r>
          </w:p>
        </w:tc>
        <w:tc>
          <w:tcPr>
            <w:tcW w:w="0" w:type="auto"/>
            <w:hideMark/>
          </w:tcPr>
          <w:p w14:paraId="0E254E0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482F83C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61DFB206"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Conceptual</w:t>
            </w:r>
          </w:p>
        </w:tc>
        <w:tc>
          <w:tcPr>
            <w:tcW w:w="0" w:type="auto"/>
            <w:hideMark/>
          </w:tcPr>
          <w:p w14:paraId="5DBD819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Pricing systems</w:t>
            </w:r>
          </w:p>
        </w:tc>
      </w:tr>
      <w:tr w:rsidR="00037272" w:rsidRPr="00037272" w14:paraId="24AA6BE3"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31C75C" w14:textId="77777777" w:rsidR="00037272" w:rsidRPr="00037272" w:rsidRDefault="00037272" w:rsidP="00037272">
            <w:pPr>
              <w:spacing w:after="160" w:line="278" w:lineRule="auto"/>
              <w:rPr>
                <w:rFonts w:ascii="Arial" w:hAnsi="Arial" w:cs="Arial"/>
                <w:lang w:val="en-IN"/>
              </w:rPr>
            </w:pPr>
            <w:proofErr w:type="spellStart"/>
            <w:r w:rsidRPr="00037272">
              <w:rPr>
                <w:rFonts w:ascii="Arial" w:hAnsi="Arial" w:cs="Arial"/>
                <w:lang w:val="en-IN"/>
              </w:rPr>
              <w:t>Marisetty</w:t>
            </w:r>
            <w:proofErr w:type="spellEnd"/>
          </w:p>
        </w:tc>
        <w:tc>
          <w:tcPr>
            <w:tcW w:w="0" w:type="auto"/>
            <w:hideMark/>
          </w:tcPr>
          <w:p w14:paraId="52B9E592"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2024</w:t>
            </w:r>
          </w:p>
        </w:tc>
        <w:tc>
          <w:tcPr>
            <w:tcW w:w="0" w:type="auto"/>
            <w:hideMark/>
          </w:tcPr>
          <w:p w14:paraId="40A8E10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29CD1B2A"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Financial markets</w:t>
            </w:r>
          </w:p>
        </w:tc>
        <w:tc>
          <w:tcPr>
            <w:tcW w:w="0" w:type="auto"/>
            <w:hideMark/>
          </w:tcPr>
          <w:p w14:paraId="3C97E363"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Empirical analysis</w:t>
            </w:r>
          </w:p>
        </w:tc>
        <w:tc>
          <w:tcPr>
            <w:tcW w:w="0" w:type="auto"/>
            <w:hideMark/>
          </w:tcPr>
          <w:p w14:paraId="29FB3198"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Currency equilibrium</w:t>
            </w:r>
          </w:p>
        </w:tc>
      </w:tr>
      <w:tr w:rsidR="00037272" w:rsidRPr="00037272" w14:paraId="619B3EDD" w14:textId="77777777" w:rsidTr="00037272">
        <w:tc>
          <w:tcPr>
            <w:cnfStyle w:val="001000000000" w:firstRow="0" w:lastRow="0" w:firstColumn="1" w:lastColumn="0" w:oddVBand="0" w:evenVBand="0" w:oddHBand="0" w:evenHBand="0" w:firstRowFirstColumn="0" w:firstRowLastColumn="0" w:lastRowFirstColumn="0" w:lastRowLastColumn="0"/>
            <w:tcW w:w="0" w:type="auto"/>
            <w:hideMark/>
          </w:tcPr>
          <w:p w14:paraId="38F9AADF"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Lalith Siriwardena &amp; Anuradha</w:t>
            </w:r>
          </w:p>
        </w:tc>
        <w:tc>
          <w:tcPr>
            <w:tcW w:w="0" w:type="auto"/>
            <w:hideMark/>
          </w:tcPr>
          <w:p w14:paraId="5D1D0AD2"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2025</w:t>
            </w:r>
          </w:p>
        </w:tc>
        <w:tc>
          <w:tcPr>
            <w:tcW w:w="0" w:type="auto"/>
            <w:hideMark/>
          </w:tcPr>
          <w:p w14:paraId="3E350403"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12E7CC3F"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Financial markets</w:t>
            </w:r>
          </w:p>
        </w:tc>
        <w:tc>
          <w:tcPr>
            <w:tcW w:w="0" w:type="auto"/>
            <w:hideMark/>
          </w:tcPr>
          <w:p w14:paraId="6193489A"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Systematic review</w:t>
            </w:r>
          </w:p>
        </w:tc>
        <w:tc>
          <w:tcPr>
            <w:tcW w:w="0" w:type="auto"/>
            <w:hideMark/>
          </w:tcPr>
          <w:p w14:paraId="6A55333B" w14:textId="77777777" w:rsidR="00037272" w:rsidRPr="00037272" w:rsidRDefault="00037272" w:rsidP="00037272">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037272">
              <w:rPr>
                <w:rFonts w:ascii="Arial" w:hAnsi="Arial" w:cs="Arial"/>
                <w:lang w:val="en-IN"/>
              </w:rPr>
              <w:t>Risk and macro factors</w:t>
            </w:r>
          </w:p>
        </w:tc>
      </w:tr>
      <w:tr w:rsidR="00037272" w:rsidRPr="00037272" w14:paraId="686CD661" w14:textId="77777777" w:rsidTr="00037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C79BB9" w14:textId="77777777" w:rsidR="00037272" w:rsidRPr="00037272" w:rsidRDefault="00037272" w:rsidP="00037272">
            <w:pPr>
              <w:spacing w:after="160" w:line="278" w:lineRule="auto"/>
              <w:rPr>
                <w:rFonts w:ascii="Arial" w:hAnsi="Arial" w:cs="Arial"/>
                <w:lang w:val="en-IN"/>
              </w:rPr>
            </w:pPr>
            <w:r w:rsidRPr="00037272">
              <w:rPr>
                <w:rFonts w:ascii="Arial" w:hAnsi="Arial" w:cs="Arial"/>
                <w:lang w:val="en-IN"/>
              </w:rPr>
              <w:t>WTO</w:t>
            </w:r>
          </w:p>
        </w:tc>
        <w:tc>
          <w:tcPr>
            <w:tcW w:w="0" w:type="auto"/>
            <w:hideMark/>
          </w:tcPr>
          <w:p w14:paraId="53ADD036"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2021</w:t>
            </w:r>
          </w:p>
        </w:tc>
        <w:tc>
          <w:tcPr>
            <w:tcW w:w="0" w:type="auto"/>
            <w:hideMark/>
          </w:tcPr>
          <w:p w14:paraId="4E1996CF"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Global</w:t>
            </w:r>
          </w:p>
        </w:tc>
        <w:tc>
          <w:tcPr>
            <w:tcW w:w="0" w:type="auto"/>
            <w:hideMark/>
          </w:tcPr>
          <w:p w14:paraId="46BB7251"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Both</w:t>
            </w:r>
          </w:p>
        </w:tc>
        <w:tc>
          <w:tcPr>
            <w:tcW w:w="0" w:type="auto"/>
            <w:hideMark/>
          </w:tcPr>
          <w:p w14:paraId="201D7594"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Policy analysis</w:t>
            </w:r>
          </w:p>
        </w:tc>
        <w:tc>
          <w:tcPr>
            <w:tcW w:w="0" w:type="auto"/>
            <w:hideMark/>
          </w:tcPr>
          <w:p w14:paraId="253474AD" w14:textId="77777777" w:rsidR="00037272" w:rsidRPr="00037272" w:rsidRDefault="00037272" w:rsidP="00037272">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037272">
              <w:rPr>
                <w:rFonts w:ascii="Arial" w:hAnsi="Arial" w:cs="Arial"/>
                <w:lang w:val="en-IN"/>
              </w:rPr>
              <w:t>Trade resilience</w:t>
            </w:r>
          </w:p>
        </w:tc>
      </w:tr>
    </w:tbl>
    <w:p w14:paraId="326936A8" w14:textId="77777777" w:rsidR="00FA69AA" w:rsidRPr="00FA69AA" w:rsidRDefault="00FA69AA">
      <w:pPr>
        <w:rPr>
          <w:rFonts w:ascii="Arial" w:hAnsi="Arial" w:cs="Arial"/>
        </w:rPr>
      </w:pPr>
    </w:p>
    <w:sectPr w:rsidR="00FA69AA" w:rsidRPr="00FA69AA" w:rsidSect="00B00EC0">
      <w:footerReference w:type="default" r:id="rId4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1319E" w14:textId="77777777" w:rsidR="00F53594" w:rsidRDefault="00F53594" w:rsidP="00B00EC0">
      <w:pPr>
        <w:spacing w:after="0" w:line="240" w:lineRule="auto"/>
      </w:pPr>
      <w:r>
        <w:separator/>
      </w:r>
    </w:p>
  </w:endnote>
  <w:endnote w:type="continuationSeparator" w:id="0">
    <w:p w14:paraId="2F726E57" w14:textId="77777777" w:rsidR="00F53594" w:rsidRDefault="00F53594" w:rsidP="00B00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0329827"/>
      <w:docPartObj>
        <w:docPartGallery w:val="Page Numbers (Bottom of Page)"/>
        <w:docPartUnique/>
      </w:docPartObj>
    </w:sdtPr>
    <w:sdtEndPr>
      <w:rPr>
        <w:noProof/>
      </w:rPr>
    </w:sdtEndPr>
    <w:sdtContent>
      <w:p w14:paraId="5DCBF9CF" w14:textId="77777777" w:rsidR="00B00EC0" w:rsidRDefault="00B0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3B529D" w14:textId="77777777" w:rsidR="00B00EC0" w:rsidRDefault="00B00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4DB6F" w14:textId="77777777" w:rsidR="00F53594" w:rsidRDefault="00F53594" w:rsidP="00B00EC0">
      <w:pPr>
        <w:spacing w:after="0" w:line="240" w:lineRule="auto"/>
      </w:pPr>
      <w:r>
        <w:separator/>
      </w:r>
    </w:p>
  </w:footnote>
  <w:footnote w:type="continuationSeparator" w:id="0">
    <w:p w14:paraId="622952E0" w14:textId="77777777" w:rsidR="00F53594" w:rsidRDefault="00F53594" w:rsidP="00B00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551D6"/>
    <w:multiLevelType w:val="multilevel"/>
    <w:tmpl w:val="6D1A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210AF9"/>
    <w:multiLevelType w:val="multilevel"/>
    <w:tmpl w:val="25C4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C644ED"/>
    <w:multiLevelType w:val="multilevel"/>
    <w:tmpl w:val="DE68D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07228D"/>
    <w:multiLevelType w:val="hybridMultilevel"/>
    <w:tmpl w:val="483EEA10"/>
    <w:lvl w:ilvl="0" w:tplc="1004D7E2">
      <w:start w:val="1"/>
      <w:numFmt w:val="bullet"/>
      <w:lvlText w:val="•"/>
      <w:lvlJc w:val="left"/>
      <w:pPr>
        <w:tabs>
          <w:tab w:val="num" w:pos="720"/>
        </w:tabs>
        <w:ind w:left="720" w:hanging="360"/>
      </w:pPr>
      <w:rPr>
        <w:rFonts w:ascii="Arial" w:hAnsi="Arial" w:hint="default"/>
      </w:rPr>
    </w:lvl>
    <w:lvl w:ilvl="1" w:tplc="76E2316C" w:tentative="1">
      <w:start w:val="1"/>
      <w:numFmt w:val="bullet"/>
      <w:lvlText w:val="•"/>
      <w:lvlJc w:val="left"/>
      <w:pPr>
        <w:tabs>
          <w:tab w:val="num" w:pos="1440"/>
        </w:tabs>
        <w:ind w:left="1440" w:hanging="360"/>
      </w:pPr>
      <w:rPr>
        <w:rFonts w:ascii="Arial" w:hAnsi="Arial" w:hint="default"/>
      </w:rPr>
    </w:lvl>
    <w:lvl w:ilvl="2" w:tplc="838C171E" w:tentative="1">
      <w:start w:val="1"/>
      <w:numFmt w:val="bullet"/>
      <w:lvlText w:val="•"/>
      <w:lvlJc w:val="left"/>
      <w:pPr>
        <w:tabs>
          <w:tab w:val="num" w:pos="2160"/>
        </w:tabs>
        <w:ind w:left="2160" w:hanging="360"/>
      </w:pPr>
      <w:rPr>
        <w:rFonts w:ascii="Arial" w:hAnsi="Arial" w:hint="default"/>
      </w:rPr>
    </w:lvl>
    <w:lvl w:ilvl="3" w:tplc="4874D7E4" w:tentative="1">
      <w:start w:val="1"/>
      <w:numFmt w:val="bullet"/>
      <w:lvlText w:val="•"/>
      <w:lvlJc w:val="left"/>
      <w:pPr>
        <w:tabs>
          <w:tab w:val="num" w:pos="2880"/>
        </w:tabs>
        <w:ind w:left="2880" w:hanging="360"/>
      </w:pPr>
      <w:rPr>
        <w:rFonts w:ascii="Arial" w:hAnsi="Arial" w:hint="default"/>
      </w:rPr>
    </w:lvl>
    <w:lvl w:ilvl="4" w:tplc="E8603440" w:tentative="1">
      <w:start w:val="1"/>
      <w:numFmt w:val="bullet"/>
      <w:lvlText w:val="•"/>
      <w:lvlJc w:val="left"/>
      <w:pPr>
        <w:tabs>
          <w:tab w:val="num" w:pos="3600"/>
        </w:tabs>
        <w:ind w:left="3600" w:hanging="360"/>
      </w:pPr>
      <w:rPr>
        <w:rFonts w:ascii="Arial" w:hAnsi="Arial" w:hint="default"/>
      </w:rPr>
    </w:lvl>
    <w:lvl w:ilvl="5" w:tplc="CA362FD0" w:tentative="1">
      <w:start w:val="1"/>
      <w:numFmt w:val="bullet"/>
      <w:lvlText w:val="•"/>
      <w:lvlJc w:val="left"/>
      <w:pPr>
        <w:tabs>
          <w:tab w:val="num" w:pos="4320"/>
        </w:tabs>
        <w:ind w:left="4320" w:hanging="360"/>
      </w:pPr>
      <w:rPr>
        <w:rFonts w:ascii="Arial" w:hAnsi="Arial" w:hint="default"/>
      </w:rPr>
    </w:lvl>
    <w:lvl w:ilvl="6" w:tplc="CA221B8A" w:tentative="1">
      <w:start w:val="1"/>
      <w:numFmt w:val="bullet"/>
      <w:lvlText w:val="•"/>
      <w:lvlJc w:val="left"/>
      <w:pPr>
        <w:tabs>
          <w:tab w:val="num" w:pos="5040"/>
        </w:tabs>
        <w:ind w:left="5040" w:hanging="360"/>
      </w:pPr>
      <w:rPr>
        <w:rFonts w:ascii="Arial" w:hAnsi="Arial" w:hint="default"/>
      </w:rPr>
    </w:lvl>
    <w:lvl w:ilvl="7" w:tplc="04F20F26" w:tentative="1">
      <w:start w:val="1"/>
      <w:numFmt w:val="bullet"/>
      <w:lvlText w:val="•"/>
      <w:lvlJc w:val="left"/>
      <w:pPr>
        <w:tabs>
          <w:tab w:val="num" w:pos="5760"/>
        </w:tabs>
        <w:ind w:left="5760" w:hanging="360"/>
      </w:pPr>
      <w:rPr>
        <w:rFonts w:ascii="Arial" w:hAnsi="Arial" w:hint="default"/>
      </w:rPr>
    </w:lvl>
    <w:lvl w:ilvl="8" w:tplc="8F4262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E270519"/>
    <w:multiLevelType w:val="multilevel"/>
    <w:tmpl w:val="73C4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7808752">
    <w:abstractNumId w:val="1"/>
  </w:num>
  <w:num w:numId="2" w16cid:durableId="1421835211">
    <w:abstractNumId w:val="2"/>
  </w:num>
  <w:num w:numId="3" w16cid:durableId="1638799991">
    <w:abstractNumId w:val="4"/>
  </w:num>
  <w:num w:numId="4" w16cid:durableId="1496218852">
    <w:abstractNumId w:val="0"/>
  </w:num>
  <w:num w:numId="5" w16cid:durableId="14678960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9AA"/>
    <w:rsid w:val="00037272"/>
    <w:rsid w:val="00052972"/>
    <w:rsid w:val="000E0309"/>
    <w:rsid w:val="001B68A4"/>
    <w:rsid w:val="002A2A3D"/>
    <w:rsid w:val="002F21E7"/>
    <w:rsid w:val="00395EF9"/>
    <w:rsid w:val="00453987"/>
    <w:rsid w:val="004B4A24"/>
    <w:rsid w:val="0059797D"/>
    <w:rsid w:val="006270D1"/>
    <w:rsid w:val="0067211B"/>
    <w:rsid w:val="006D3A26"/>
    <w:rsid w:val="00827DBC"/>
    <w:rsid w:val="00874836"/>
    <w:rsid w:val="00883517"/>
    <w:rsid w:val="008A0612"/>
    <w:rsid w:val="00AA0698"/>
    <w:rsid w:val="00AC52CF"/>
    <w:rsid w:val="00B00EC0"/>
    <w:rsid w:val="00B812B2"/>
    <w:rsid w:val="00C02B6E"/>
    <w:rsid w:val="00C72A36"/>
    <w:rsid w:val="00D73A1A"/>
    <w:rsid w:val="00DD1BCD"/>
    <w:rsid w:val="00DF4112"/>
    <w:rsid w:val="00E05816"/>
    <w:rsid w:val="00EA1E75"/>
    <w:rsid w:val="00F53594"/>
    <w:rsid w:val="00F61E33"/>
    <w:rsid w:val="00FA69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3E9D"/>
  <w15:chartTrackingRefBased/>
  <w15:docId w15:val="{C13EF1D0-1704-4A3A-9341-363AB107D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9AA"/>
    <w:rPr>
      <w:lang w:val="en-GB"/>
    </w:rPr>
  </w:style>
  <w:style w:type="paragraph" w:styleId="Heading1">
    <w:name w:val="heading 1"/>
    <w:basedOn w:val="Normal"/>
    <w:next w:val="Normal"/>
    <w:link w:val="Heading1Char"/>
    <w:uiPriority w:val="9"/>
    <w:qFormat/>
    <w:rsid w:val="00FA69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A69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A69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69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69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69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9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9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9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9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A69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A69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69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69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69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9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9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9AA"/>
    <w:rPr>
      <w:rFonts w:eastAsiaTheme="majorEastAsia" w:cstheme="majorBidi"/>
      <w:color w:val="272727" w:themeColor="text1" w:themeTint="D8"/>
    </w:rPr>
  </w:style>
  <w:style w:type="paragraph" w:styleId="Title">
    <w:name w:val="Title"/>
    <w:basedOn w:val="Normal"/>
    <w:next w:val="Normal"/>
    <w:link w:val="TitleChar"/>
    <w:uiPriority w:val="10"/>
    <w:qFormat/>
    <w:rsid w:val="00FA69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9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9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9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9AA"/>
    <w:pPr>
      <w:spacing w:before="160"/>
      <w:jc w:val="center"/>
    </w:pPr>
    <w:rPr>
      <w:i/>
      <w:iCs/>
      <w:color w:val="404040" w:themeColor="text1" w:themeTint="BF"/>
    </w:rPr>
  </w:style>
  <w:style w:type="character" w:customStyle="1" w:styleId="QuoteChar">
    <w:name w:val="Quote Char"/>
    <w:basedOn w:val="DefaultParagraphFont"/>
    <w:link w:val="Quote"/>
    <w:uiPriority w:val="29"/>
    <w:rsid w:val="00FA69AA"/>
    <w:rPr>
      <w:i/>
      <w:iCs/>
      <w:color w:val="404040" w:themeColor="text1" w:themeTint="BF"/>
    </w:rPr>
  </w:style>
  <w:style w:type="paragraph" w:styleId="ListParagraph">
    <w:name w:val="List Paragraph"/>
    <w:basedOn w:val="Normal"/>
    <w:uiPriority w:val="34"/>
    <w:qFormat/>
    <w:rsid w:val="00FA69AA"/>
    <w:pPr>
      <w:ind w:left="720"/>
      <w:contextualSpacing/>
    </w:pPr>
  </w:style>
  <w:style w:type="character" w:styleId="IntenseEmphasis">
    <w:name w:val="Intense Emphasis"/>
    <w:basedOn w:val="DefaultParagraphFont"/>
    <w:uiPriority w:val="21"/>
    <w:qFormat/>
    <w:rsid w:val="00FA69AA"/>
    <w:rPr>
      <w:i/>
      <w:iCs/>
      <w:color w:val="2F5496" w:themeColor="accent1" w:themeShade="BF"/>
    </w:rPr>
  </w:style>
  <w:style w:type="paragraph" w:styleId="IntenseQuote">
    <w:name w:val="Intense Quote"/>
    <w:basedOn w:val="Normal"/>
    <w:next w:val="Normal"/>
    <w:link w:val="IntenseQuoteChar"/>
    <w:uiPriority w:val="30"/>
    <w:qFormat/>
    <w:rsid w:val="00FA69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69AA"/>
    <w:rPr>
      <w:i/>
      <w:iCs/>
      <w:color w:val="2F5496" w:themeColor="accent1" w:themeShade="BF"/>
    </w:rPr>
  </w:style>
  <w:style w:type="character" w:styleId="IntenseReference">
    <w:name w:val="Intense Reference"/>
    <w:basedOn w:val="DefaultParagraphFont"/>
    <w:uiPriority w:val="32"/>
    <w:qFormat/>
    <w:rsid w:val="00FA69AA"/>
    <w:rPr>
      <w:b/>
      <w:bCs/>
      <w:smallCaps/>
      <w:color w:val="2F5496" w:themeColor="accent1" w:themeShade="BF"/>
      <w:spacing w:val="5"/>
    </w:rPr>
  </w:style>
  <w:style w:type="paragraph" w:styleId="TOCHeading">
    <w:name w:val="TOC Heading"/>
    <w:basedOn w:val="Heading1"/>
    <w:next w:val="Normal"/>
    <w:uiPriority w:val="39"/>
    <w:unhideWhenUsed/>
    <w:qFormat/>
    <w:rsid w:val="00FA69A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69AA"/>
    <w:pPr>
      <w:spacing w:after="100"/>
    </w:pPr>
  </w:style>
  <w:style w:type="paragraph" w:styleId="TOC2">
    <w:name w:val="toc 2"/>
    <w:basedOn w:val="Normal"/>
    <w:next w:val="Normal"/>
    <w:autoRedefine/>
    <w:uiPriority w:val="39"/>
    <w:unhideWhenUsed/>
    <w:rsid w:val="00FA69AA"/>
    <w:pPr>
      <w:spacing w:after="100"/>
      <w:ind w:left="240"/>
    </w:pPr>
  </w:style>
  <w:style w:type="character" w:styleId="Hyperlink">
    <w:name w:val="Hyperlink"/>
    <w:basedOn w:val="DefaultParagraphFont"/>
    <w:uiPriority w:val="99"/>
    <w:unhideWhenUsed/>
    <w:rsid w:val="00FA69AA"/>
    <w:rPr>
      <w:color w:val="0563C1" w:themeColor="hyperlink"/>
      <w:u w:val="single"/>
    </w:rPr>
  </w:style>
  <w:style w:type="paragraph" w:styleId="TOC3">
    <w:name w:val="toc 3"/>
    <w:basedOn w:val="Normal"/>
    <w:next w:val="Normal"/>
    <w:autoRedefine/>
    <w:uiPriority w:val="39"/>
    <w:unhideWhenUsed/>
    <w:rsid w:val="00FA69AA"/>
    <w:pPr>
      <w:spacing w:after="100"/>
      <w:ind w:left="480"/>
    </w:pPr>
  </w:style>
  <w:style w:type="table" w:styleId="PlainTable2">
    <w:name w:val="Plain Table 2"/>
    <w:basedOn w:val="TableNormal"/>
    <w:uiPriority w:val="42"/>
    <w:rsid w:val="00FA69A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2A2A3D"/>
    <w:rPr>
      <w:color w:val="605E5C"/>
      <w:shd w:val="clear" w:color="auto" w:fill="E1DFDD"/>
    </w:rPr>
  </w:style>
  <w:style w:type="paragraph" w:styleId="NormalWeb">
    <w:name w:val="Normal (Web)"/>
    <w:basedOn w:val="Normal"/>
    <w:uiPriority w:val="99"/>
    <w:semiHidden/>
    <w:unhideWhenUsed/>
    <w:rsid w:val="006D3A26"/>
    <w:rPr>
      <w:rFonts w:ascii="Times New Roman" w:hAnsi="Times New Roman" w:cs="Times New Roman"/>
    </w:rPr>
  </w:style>
  <w:style w:type="paragraph" w:styleId="Header">
    <w:name w:val="header"/>
    <w:basedOn w:val="Normal"/>
    <w:link w:val="HeaderChar"/>
    <w:uiPriority w:val="99"/>
    <w:unhideWhenUsed/>
    <w:rsid w:val="00B00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EC0"/>
    <w:rPr>
      <w:lang w:val="en-GB"/>
    </w:rPr>
  </w:style>
  <w:style w:type="paragraph" w:styleId="Footer">
    <w:name w:val="footer"/>
    <w:basedOn w:val="Normal"/>
    <w:link w:val="FooterChar"/>
    <w:uiPriority w:val="99"/>
    <w:unhideWhenUsed/>
    <w:rsid w:val="00B00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EC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63/156916306777835278" TargetMode="External"/><Relationship Id="rId18" Type="http://schemas.openxmlformats.org/officeDocument/2006/relationships/hyperlink" Target="https://doi.org/10.1257/aer.20191834" TargetMode="External"/><Relationship Id="rId26" Type="http://schemas.openxmlformats.org/officeDocument/2006/relationships/hyperlink" Target="https://doi.org/10.1017/S1365100509990800" TargetMode="External"/><Relationship Id="rId39" Type="http://schemas.openxmlformats.org/officeDocument/2006/relationships/hyperlink" Target="https://doi.org/10.3917/ecoi.089.0227" TargetMode="External"/><Relationship Id="rId21" Type="http://schemas.openxmlformats.org/officeDocument/2006/relationships/hyperlink" Target="https://doi.org/10.2307/3867646" TargetMode="External"/><Relationship Id="rId34" Type="http://schemas.openxmlformats.org/officeDocument/2006/relationships/hyperlink" Target="https://doi.org/10.1080/00036846.2015.1122733" TargetMode="External"/><Relationship Id="rId42" Type="http://schemas.openxmlformats.org/officeDocument/2006/relationships/hyperlink" Target="https://doi.org/10.1016/j.techfore.2017.09.02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ystematicreviewsjournal.biomedcentral.com/articles/10.1186/s13643-016-0249-x" TargetMode="External"/><Relationship Id="rId29" Type="http://schemas.openxmlformats.org/officeDocument/2006/relationships/hyperlink" Target="https://doi.org/10.1057/jibs.2009.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1443580710772766" TargetMode="External"/><Relationship Id="rId24" Type="http://schemas.openxmlformats.org/officeDocument/2006/relationships/hyperlink" Target="https://mpra.ub.uni-muenchen.de/43358" TargetMode="External"/><Relationship Id="rId32" Type="http://schemas.openxmlformats.org/officeDocument/2006/relationships/hyperlink" Target="https://theses.gla.ac.uk/4787/1/2013kortavaphd.pdf" TargetMode="External"/><Relationship Id="rId37" Type="http://schemas.openxmlformats.org/officeDocument/2006/relationships/hyperlink" Target="https://doi.org/10.1108/IJPPM-12-2023-0645" TargetMode="External"/><Relationship Id="rId40" Type="http://schemas.openxmlformats.org/officeDocument/2006/relationships/hyperlink" Target="https://doi.org/10.2139/ssrn.5070746"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pers.ssrn.com/sol3/papers.cfm?abstract_id=2895487" TargetMode="External"/><Relationship Id="rId23" Type="http://schemas.openxmlformats.org/officeDocument/2006/relationships/hyperlink" Target="https://doi.org/10.1016/j.ijpe.2014.03.009" TargetMode="External"/><Relationship Id="rId28" Type="http://schemas.openxmlformats.org/officeDocument/2006/relationships/hyperlink" Target="https://doi.org/10.1016/j.jjie.2009.06.001" TargetMode="External"/><Relationship Id="rId36" Type="http://schemas.openxmlformats.org/officeDocument/2006/relationships/hyperlink" Target="https://doi.org/10.1080/00213624.2025.2575135" TargetMode="External"/><Relationship Id="rId10" Type="http://schemas.openxmlformats.org/officeDocument/2006/relationships/hyperlink" Target="https://doi.org/10.1016/j.econmod.2016.05.006" TargetMode="External"/><Relationship Id="rId19" Type="http://schemas.openxmlformats.org/officeDocument/2006/relationships/hyperlink" Target="https://doi.org/10.1162/003465305775098189" TargetMode="External"/><Relationship Id="rId31" Type="http://schemas.openxmlformats.org/officeDocument/2006/relationships/hyperlink" Target="https://doi.org/10.1080/00036840903357483"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80/07350015.2000.10524843" TargetMode="External"/><Relationship Id="rId14" Type="http://schemas.openxmlformats.org/officeDocument/2006/relationships/hyperlink" Target="https://doi.org/10.1016/j.jfineco.2009.09.002" TargetMode="External"/><Relationship Id="rId22" Type="http://schemas.openxmlformats.org/officeDocument/2006/relationships/hyperlink" Target="https://orca.cardiff.ac.uk/id/eprint/111019" TargetMode="External"/><Relationship Id="rId27" Type="http://schemas.openxmlformats.org/officeDocument/2006/relationships/hyperlink" Target="https://www.nber.org/papers/w21646" TargetMode="External"/><Relationship Id="rId30" Type="http://schemas.openxmlformats.org/officeDocument/2006/relationships/hyperlink" Target="https://doi.org/10.1108/08858621111115895" TargetMode="External"/><Relationship Id="rId35" Type="http://schemas.openxmlformats.org/officeDocument/2006/relationships/hyperlink" Target="https://doi.org/10.1017/S0020818300018993" TargetMode="External"/><Relationship Id="rId43" Type="http://schemas.openxmlformats.org/officeDocument/2006/relationships/hyperlink" Target="https://papers.ssrn.com/sol3/papers.cfm?abstract_id=3360152" TargetMode="External"/><Relationship Id="rId8" Type="http://schemas.openxmlformats.org/officeDocument/2006/relationships/hyperlink" Target="https://doi.org/10.1017/S1474745613000025" TargetMode="External"/><Relationship Id="rId3" Type="http://schemas.openxmlformats.org/officeDocument/2006/relationships/styles" Target="styles.xml"/><Relationship Id="rId12" Type="http://schemas.openxmlformats.org/officeDocument/2006/relationships/hyperlink" Target="https://doi.org/10.1111/j.1467-9361.2010.00553.x" TargetMode="External"/><Relationship Id="rId17" Type="http://schemas.openxmlformats.org/officeDocument/2006/relationships/hyperlink" Target="https://doi.org/10.1108/01443580710772777" TargetMode="External"/><Relationship Id="rId25" Type="http://schemas.openxmlformats.org/officeDocument/2006/relationships/hyperlink" Target="https://doi.org/10.1002/smj.3216" TargetMode="External"/><Relationship Id="rId33" Type="http://schemas.openxmlformats.org/officeDocument/2006/relationships/hyperlink" Target="https://doi.org/10.2139/ssrn.4993698" TargetMode="External"/><Relationship Id="rId38" Type="http://schemas.openxmlformats.org/officeDocument/2006/relationships/hyperlink" Target="https://doi.org/10.1016/j.jpolmod.2023.11.006" TargetMode="External"/><Relationship Id="rId46" Type="http://schemas.openxmlformats.org/officeDocument/2006/relationships/theme" Target="theme/theme1.xml"/><Relationship Id="rId20" Type="http://schemas.openxmlformats.org/officeDocument/2006/relationships/hyperlink" Target="https://doi.org/10.1111/j.1467-9701.2009.01230.x" TargetMode="External"/><Relationship Id="rId41" Type="http://schemas.openxmlformats.org/officeDocument/2006/relationships/hyperlink" Target="https://doi.org/10.1016/j.jdeveco.2006.03.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03597-7A14-4065-AD51-9CE6BE80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21325</Words>
  <Characters>121557</Characters>
  <Application>Microsoft Office Word</Application>
  <DocSecurity>0</DocSecurity>
  <Lines>1012</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Kaur Thukral</dc:creator>
  <cp:keywords/>
  <dc:description/>
  <cp:lastModifiedBy>Niranjan L</cp:lastModifiedBy>
  <cp:revision>3</cp:revision>
  <dcterms:created xsi:type="dcterms:W3CDTF">2026-01-07T11:24:00Z</dcterms:created>
  <dcterms:modified xsi:type="dcterms:W3CDTF">2026-01-07T11:25:00Z</dcterms:modified>
</cp:coreProperties>
</file>