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75AB2ADF" w14:textId="77777777" w:rsidR="0020073D" w:rsidRDefault="0020073D" w:rsidP="0020073D">
            <w:pPr>
              <w:ind w:right="-957"/>
              <w:rPr>
                <w:rFonts w:ascii="Times New Roman" w:hAnsi="Times New Roman" w:cs="Times New Roman"/>
                <w:b/>
                <w:sz w:val="48"/>
              </w:rPr>
            </w:pPr>
            <w:r>
              <w:rPr>
                <w:rFonts w:ascii="Times New Roman" w:hAnsi="Times New Roman" w:cs="Times New Roman"/>
                <w:b/>
                <w:sz w:val="48"/>
              </w:rPr>
              <w:t xml:space="preserve">Learner’s name: Lowri Jenkins </w:t>
            </w:r>
          </w:p>
          <w:p w14:paraId="4298972F" w14:textId="77777777" w:rsidR="0020073D" w:rsidRDefault="0020073D" w:rsidP="0020073D">
            <w:pPr>
              <w:ind w:right="-957"/>
              <w:rPr>
                <w:rFonts w:ascii="Times New Roman" w:hAnsi="Times New Roman" w:cs="Times New Roman"/>
                <w:b/>
                <w:sz w:val="48"/>
              </w:rPr>
            </w:pPr>
          </w:p>
          <w:p w14:paraId="72ECCEBF" w14:textId="77777777" w:rsidR="0020073D" w:rsidRDefault="0020073D" w:rsidP="0020073D">
            <w:pPr>
              <w:ind w:right="-957"/>
              <w:rPr>
                <w:rFonts w:ascii="Times New Roman" w:hAnsi="Times New Roman" w:cs="Times New Roman"/>
                <w:b/>
                <w:sz w:val="48"/>
              </w:rPr>
            </w:pPr>
            <w:r>
              <w:rPr>
                <w:rFonts w:ascii="Times New Roman" w:hAnsi="Times New Roman" w:cs="Times New Roman"/>
                <w:b/>
                <w:sz w:val="48"/>
              </w:rPr>
              <w:t xml:space="preserve">Email address: </w:t>
            </w:r>
            <w:hyperlink r:id="rId12" w:history="1">
              <w:r w:rsidRPr="005414F3">
                <w:rPr>
                  <w:rStyle w:val="Hyperlink"/>
                  <w:rFonts w:ascii="Times New Roman" w:hAnsi="Times New Roman" w:cs="Times New Roman"/>
                  <w:b/>
                  <w:sz w:val="48"/>
                </w:rPr>
                <w:t>2418504@student.uwtsd.ac.uk</w:t>
              </w:r>
            </w:hyperlink>
            <w:r>
              <w:rPr>
                <w:rFonts w:ascii="Times New Roman" w:hAnsi="Times New Roman" w:cs="Times New Roman"/>
                <w:b/>
                <w:sz w:val="48"/>
              </w:rPr>
              <w:t xml:space="preserve"> </w:t>
            </w:r>
          </w:p>
          <w:p w14:paraId="01C46C14" w14:textId="77777777" w:rsidR="0020073D" w:rsidRDefault="0020073D" w:rsidP="0020073D">
            <w:pPr>
              <w:ind w:right="-957"/>
              <w:rPr>
                <w:rFonts w:ascii="Times New Roman" w:hAnsi="Times New Roman" w:cs="Times New Roman"/>
                <w:b/>
                <w:sz w:val="48"/>
              </w:rPr>
            </w:pPr>
          </w:p>
          <w:p w14:paraId="791D6304" w14:textId="77777777" w:rsidR="00BB51CF" w:rsidRDefault="0020073D" w:rsidP="0020073D">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p>
          <w:p w14:paraId="0DE696B2" w14:textId="776C905A" w:rsidR="00F927A1" w:rsidRPr="0020073D" w:rsidRDefault="0020073D" w:rsidP="0020073D">
            <w:pPr>
              <w:ind w:right="-957"/>
              <w:rPr>
                <w:rFonts w:ascii="Times New Roman" w:hAnsi="Times New Roman" w:cs="Times New Roman"/>
                <w:b/>
                <w:sz w:val="48"/>
              </w:rPr>
            </w:pPr>
            <w:r>
              <w:rPr>
                <w:rFonts w:ascii="Times New Roman" w:hAnsi="Times New Roman" w:cs="Times New Roman"/>
                <w:b/>
                <w:sz w:val="48"/>
              </w:rPr>
              <w:t xml:space="preserve">2418504 </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60D8C669" w14:textId="446A9A8C" w:rsidR="00FC0334"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(see guidance above)</w:t>
            </w:r>
            <w:proofErr w:type="gramStart"/>
            <w:r>
              <w:rPr>
                <w:sz w:val="24"/>
                <w:szCs w:val="24"/>
              </w:rPr>
              <w:t>,</w:t>
            </w:r>
            <w:proofErr w:type="gramEnd"/>
            <w:r>
              <w:rPr>
                <w:sz w:val="24"/>
                <w:szCs w:val="24"/>
              </w:rPr>
              <w:t xml:space="preser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48B7BB62" w14:textId="77777777" w:rsidR="0020073D" w:rsidRDefault="0020073D" w:rsidP="00FF7EBB">
            <w:pPr>
              <w:jc w:val="both"/>
              <w:rPr>
                <w:sz w:val="24"/>
                <w:szCs w:val="24"/>
              </w:rPr>
            </w:pPr>
          </w:p>
          <w:p w14:paraId="4B9C863A" w14:textId="77777777" w:rsidR="0020073D" w:rsidRPr="0020073D" w:rsidRDefault="0020073D" w:rsidP="0020073D">
            <w:pPr>
              <w:spacing w:line="276" w:lineRule="auto"/>
              <w:jc w:val="both"/>
              <w:rPr>
                <w:color w:val="auto"/>
                <w:sz w:val="24"/>
                <w:szCs w:val="24"/>
              </w:rPr>
            </w:pPr>
          </w:p>
          <w:p w14:paraId="0C85A67B" w14:textId="77777777" w:rsidR="0020073D" w:rsidRPr="0020073D" w:rsidRDefault="0020073D" w:rsidP="0020073D">
            <w:pPr>
              <w:spacing w:line="276" w:lineRule="auto"/>
              <w:rPr>
                <w:rFonts w:asciiTheme="minorHAnsi" w:hAnsiTheme="minorHAnsi"/>
                <w:color w:val="auto"/>
                <w:sz w:val="24"/>
                <w:szCs w:val="24"/>
              </w:rPr>
            </w:pPr>
            <w:r w:rsidRPr="0020073D">
              <w:rPr>
                <w:rFonts w:asciiTheme="minorHAnsi" w:hAnsiTheme="minorHAnsi"/>
                <w:color w:val="auto"/>
                <w:sz w:val="24"/>
                <w:szCs w:val="24"/>
              </w:rPr>
              <w:t xml:space="preserve">The relevant legislation, national, local and organisational policies concerning safeguarding children will be discussed in this essay.  </w:t>
            </w:r>
          </w:p>
          <w:p w14:paraId="7E50831D" w14:textId="2851BFA4" w:rsidR="0020073D" w:rsidRPr="0020073D" w:rsidRDefault="0020073D" w:rsidP="0020073D">
            <w:pPr>
              <w:spacing w:line="276" w:lineRule="auto"/>
              <w:ind w:firstLine="720"/>
              <w:rPr>
                <w:rFonts w:asciiTheme="minorHAnsi" w:hAnsiTheme="minorHAnsi"/>
                <w:color w:val="auto"/>
                <w:sz w:val="24"/>
                <w:szCs w:val="24"/>
              </w:rPr>
            </w:pPr>
            <w:r w:rsidRPr="0020073D">
              <w:rPr>
                <w:rFonts w:asciiTheme="minorHAnsi" w:hAnsiTheme="minorHAnsi"/>
                <w:color w:val="auto"/>
                <w:sz w:val="24"/>
                <w:szCs w:val="24"/>
              </w:rPr>
              <w:t xml:space="preserve">The </w:t>
            </w:r>
            <w:r w:rsidRPr="0020073D">
              <w:rPr>
                <w:rStyle w:val="Strong"/>
                <w:rFonts w:asciiTheme="minorHAnsi" w:hAnsiTheme="minorHAnsi"/>
                <w:b w:val="0"/>
                <w:i/>
                <w:color w:val="auto"/>
                <w:sz w:val="24"/>
                <w:szCs w:val="24"/>
              </w:rPr>
              <w:t>United Nations (1989) Convention on the Rights of the Child</w:t>
            </w:r>
            <w:r w:rsidRPr="0020073D">
              <w:rPr>
                <w:rStyle w:val="Strong"/>
                <w:rFonts w:asciiTheme="minorHAnsi" w:hAnsiTheme="minorHAnsi"/>
                <w:b w:val="0"/>
                <w:color w:val="auto"/>
                <w:sz w:val="24"/>
                <w:szCs w:val="24"/>
              </w:rPr>
              <w:t xml:space="preserve">  is a key piece of international legislation, as it recognised children as individuals, and obliged all governments to take all appropriate action to protect children from abuse, neglect, exploitation and violence (</w:t>
            </w:r>
            <w:r w:rsidRPr="0020073D">
              <w:rPr>
                <w:rFonts w:asciiTheme="minorHAnsi" w:hAnsiTheme="minorHAnsi" w:cs="Helvetica"/>
                <w:color w:val="auto"/>
                <w:sz w:val="24"/>
                <w:szCs w:val="24"/>
                <w:shd w:val="clear" w:color="auto" w:fill="FFFFFF"/>
              </w:rPr>
              <w:t xml:space="preserve">Murray, </w:t>
            </w:r>
            <w:proofErr w:type="spellStart"/>
            <w:r w:rsidRPr="0020073D">
              <w:rPr>
                <w:rFonts w:asciiTheme="minorHAnsi" w:hAnsiTheme="minorHAnsi" w:cs="Helvetica"/>
                <w:color w:val="auto"/>
                <w:sz w:val="24"/>
                <w:szCs w:val="24"/>
                <w:shd w:val="clear" w:color="auto" w:fill="FFFFFF"/>
              </w:rPr>
              <w:t>Swadener</w:t>
            </w:r>
            <w:proofErr w:type="spellEnd"/>
            <w:r w:rsidRPr="0020073D">
              <w:rPr>
                <w:rFonts w:asciiTheme="minorHAnsi" w:hAnsiTheme="minorHAnsi" w:cs="Helvetica"/>
                <w:color w:val="auto"/>
                <w:sz w:val="24"/>
                <w:szCs w:val="24"/>
                <w:shd w:val="clear" w:color="auto" w:fill="FFFFFF"/>
              </w:rPr>
              <w:t xml:space="preserve"> and Smith, 2020)</w:t>
            </w:r>
            <w:r w:rsidRPr="0020073D">
              <w:rPr>
                <w:rStyle w:val="Strong"/>
                <w:rFonts w:asciiTheme="minorHAnsi" w:hAnsiTheme="minorHAnsi"/>
                <w:b w:val="0"/>
                <w:color w:val="auto"/>
                <w:sz w:val="24"/>
                <w:szCs w:val="24"/>
              </w:rPr>
              <w:t>.</w:t>
            </w:r>
            <w:r w:rsidRPr="0020073D">
              <w:rPr>
                <w:rFonts w:asciiTheme="minorHAnsi" w:hAnsiTheme="minorHAnsi"/>
                <w:color w:val="auto"/>
                <w:sz w:val="24"/>
                <w:szCs w:val="24"/>
              </w:rPr>
              <w:t xml:space="preserve"> </w:t>
            </w:r>
            <w:r w:rsidRPr="0020073D">
              <w:rPr>
                <w:rStyle w:val="Strong"/>
                <w:rFonts w:asciiTheme="minorHAnsi" w:hAnsiTheme="minorHAnsi"/>
                <w:b w:val="0"/>
                <w:color w:val="auto"/>
                <w:sz w:val="24"/>
                <w:szCs w:val="24"/>
              </w:rPr>
              <w:t xml:space="preserve">Wales was the first nation in the United Kingdom to incorporate it into domestic policy via the </w:t>
            </w:r>
            <w:r w:rsidRPr="0020073D">
              <w:rPr>
                <w:rStyle w:val="Strong"/>
                <w:rFonts w:asciiTheme="minorHAnsi" w:hAnsiTheme="minorHAnsi"/>
                <w:b w:val="0"/>
                <w:i/>
                <w:color w:val="auto"/>
                <w:sz w:val="24"/>
                <w:szCs w:val="24"/>
              </w:rPr>
              <w:t>Rights of Children and Young Persons (Wales) Measure 2011</w:t>
            </w:r>
            <w:r w:rsidRPr="0020073D">
              <w:rPr>
                <w:rFonts w:asciiTheme="minorHAnsi" w:hAnsiTheme="minorHAnsi"/>
                <w:color w:val="auto"/>
                <w:sz w:val="24"/>
                <w:szCs w:val="24"/>
              </w:rPr>
              <w:t xml:space="preserve">; which strengthens the safeguarding agenda in Wales as being that of everyone by ensuing the impact on children is considered within all legislation. </w:t>
            </w:r>
          </w:p>
          <w:p w14:paraId="71C2E5D8" w14:textId="77777777" w:rsidR="0020073D" w:rsidRPr="0020073D" w:rsidRDefault="0020073D" w:rsidP="0020073D">
            <w:pPr>
              <w:spacing w:line="276" w:lineRule="auto"/>
              <w:rPr>
                <w:rStyle w:val="Strong"/>
                <w:rFonts w:asciiTheme="minorHAnsi" w:hAnsiTheme="minorHAnsi"/>
                <w:b w:val="0"/>
                <w:color w:val="auto"/>
                <w:sz w:val="24"/>
                <w:szCs w:val="24"/>
              </w:rPr>
            </w:pPr>
            <w:r w:rsidRPr="0020073D">
              <w:rPr>
                <w:rStyle w:val="Strong"/>
                <w:rFonts w:asciiTheme="minorHAnsi" w:hAnsiTheme="minorHAnsi"/>
                <w:b w:val="0"/>
                <w:color w:val="auto"/>
                <w:sz w:val="24"/>
                <w:szCs w:val="24"/>
              </w:rPr>
              <w:tab/>
              <w:t xml:space="preserve">In England and Wales, safeguarding children is underpinned by the </w:t>
            </w:r>
            <w:r w:rsidRPr="0020073D">
              <w:rPr>
                <w:rStyle w:val="Strong"/>
                <w:rFonts w:asciiTheme="minorHAnsi" w:hAnsiTheme="minorHAnsi"/>
                <w:b w:val="0"/>
                <w:i/>
                <w:color w:val="auto"/>
                <w:sz w:val="24"/>
                <w:szCs w:val="24"/>
              </w:rPr>
              <w:t>Children Act 1989</w:t>
            </w:r>
            <w:r w:rsidRPr="0020073D">
              <w:rPr>
                <w:rStyle w:val="Strong"/>
                <w:rFonts w:asciiTheme="minorHAnsi" w:hAnsiTheme="minorHAnsi"/>
                <w:b w:val="0"/>
                <w:color w:val="auto"/>
                <w:sz w:val="24"/>
                <w:szCs w:val="24"/>
              </w:rPr>
              <w:t xml:space="preserve">; which states a duty on local authorities to intervene when a child is suffering or likely to suffer significant harm. It further provides a legal framework for care orders and the procedures which should be followed when safeguarding processes are triggered. For example, this legislation outlines the timescales and structure in which Child Protection Enquires (under S47 of the Act) should take place. The </w:t>
            </w:r>
            <w:r w:rsidRPr="0020073D">
              <w:rPr>
                <w:rStyle w:val="Strong"/>
                <w:rFonts w:asciiTheme="minorHAnsi" w:hAnsiTheme="minorHAnsi"/>
                <w:b w:val="0"/>
                <w:i/>
                <w:color w:val="auto"/>
                <w:sz w:val="24"/>
                <w:szCs w:val="24"/>
              </w:rPr>
              <w:t xml:space="preserve">Children Act </w:t>
            </w:r>
            <w:proofErr w:type="gramStart"/>
            <w:r w:rsidRPr="0020073D">
              <w:rPr>
                <w:rStyle w:val="Strong"/>
                <w:rFonts w:asciiTheme="minorHAnsi" w:hAnsiTheme="minorHAnsi"/>
                <w:b w:val="0"/>
                <w:i/>
                <w:color w:val="auto"/>
                <w:sz w:val="24"/>
                <w:szCs w:val="24"/>
              </w:rPr>
              <w:t>2004</w:t>
            </w:r>
            <w:r w:rsidRPr="0020073D">
              <w:rPr>
                <w:rStyle w:val="Strong"/>
                <w:rFonts w:asciiTheme="minorHAnsi" w:hAnsiTheme="minorHAnsi"/>
                <w:b w:val="0"/>
                <w:color w:val="auto"/>
                <w:sz w:val="24"/>
                <w:szCs w:val="24"/>
              </w:rPr>
              <w:t>,</w:t>
            </w:r>
            <w:proofErr w:type="gramEnd"/>
            <w:r w:rsidRPr="0020073D">
              <w:rPr>
                <w:rStyle w:val="Strong"/>
                <w:rFonts w:asciiTheme="minorHAnsi" w:hAnsiTheme="minorHAnsi"/>
                <w:b w:val="0"/>
                <w:color w:val="auto"/>
                <w:sz w:val="24"/>
                <w:szCs w:val="24"/>
              </w:rPr>
              <w:t xml:space="preserve"> builds upon the aforementioned act, seeking to improve multi-agency working and accountability as a response to serious child protection failings (</w:t>
            </w:r>
            <w:proofErr w:type="spellStart"/>
            <w:r w:rsidRPr="0020073D">
              <w:rPr>
                <w:rStyle w:val="Strong"/>
                <w:rFonts w:asciiTheme="minorHAnsi" w:hAnsiTheme="minorHAnsi"/>
                <w:b w:val="0"/>
                <w:color w:val="auto"/>
                <w:sz w:val="24"/>
                <w:szCs w:val="24"/>
              </w:rPr>
              <w:t>Gaylard</w:t>
            </w:r>
            <w:proofErr w:type="spellEnd"/>
            <w:r w:rsidRPr="0020073D">
              <w:rPr>
                <w:rStyle w:val="Strong"/>
                <w:rFonts w:asciiTheme="minorHAnsi" w:hAnsiTheme="minorHAnsi"/>
                <w:b w:val="0"/>
                <w:color w:val="auto"/>
                <w:sz w:val="24"/>
                <w:szCs w:val="24"/>
              </w:rPr>
              <w:t xml:space="preserve">, 2008; </w:t>
            </w:r>
            <w:r w:rsidRPr="0020073D">
              <w:rPr>
                <w:rFonts w:asciiTheme="minorHAnsi" w:hAnsiTheme="minorHAnsi" w:cs="Helvetica"/>
                <w:color w:val="auto"/>
                <w:sz w:val="24"/>
                <w:szCs w:val="24"/>
                <w:shd w:val="clear" w:color="auto" w:fill="FFFFFF"/>
              </w:rPr>
              <w:t>Penna, 2015; Star, 2019</w:t>
            </w:r>
            <w:r w:rsidRPr="0020073D">
              <w:rPr>
                <w:rStyle w:val="Strong"/>
                <w:rFonts w:asciiTheme="minorHAnsi" w:hAnsiTheme="minorHAnsi"/>
                <w:b w:val="0"/>
                <w:color w:val="auto"/>
                <w:sz w:val="24"/>
                <w:szCs w:val="24"/>
              </w:rPr>
              <w:t xml:space="preserve">). It also introduced Local Safeguarding Children’s Boards, now replaced by the Regional Safeguarding Boards outlined below.  </w:t>
            </w:r>
          </w:p>
          <w:p w14:paraId="5CF8887A" w14:textId="77777777" w:rsidR="0020073D" w:rsidRPr="0020073D" w:rsidRDefault="0020073D" w:rsidP="0020073D">
            <w:pPr>
              <w:spacing w:line="276" w:lineRule="auto"/>
              <w:rPr>
                <w:rFonts w:asciiTheme="minorHAnsi" w:hAnsiTheme="minorHAnsi"/>
                <w:bCs/>
                <w:color w:val="auto"/>
                <w:sz w:val="24"/>
                <w:szCs w:val="24"/>
              </w:rPr>
            </w:pPr>
            <w:r w:rsidRPr="0020073D">
              <w:rPr>
                <w:rStyle w:val="Strong"/>
                <w:rFonts w:asciiTheme="minorHAnsi" w:hAnsiTheme="minorHAnsi"/>
                <w:b w:val="0"/>
                <w:color w:val="auto"/>
                <w:sz w:val="24"/>
                <w:szCs w:val="24"/>
              </w:rPr>
              <w:tab/>
              <w:t xml:space="preserve">In Wales, the </w:t>
            </w:r>
            <w:r w:rsidRPr="0020073D">
              <w:rPr>
                <w:rStyle w:val="Strong"/>
                <w:rFonts w:asciiTheme="minorHAnsi" w:hAnsiTheme="minorHAnsi"/>
                <w:b w:val="0"/>
                <w:i/>
                <w:color w:val="auto"/>
                <w:sz w:val="24"/>
                <w:szCs w:val="24"/>
              </w:rPr>
              <w:t>Social Services and Well-being (Wales) Act 2014</w:t>
            </w:r>
            <w:r w:rsidRPr="0020073D">
              <w:rPr>
                <w:rStyle w:val="Strong"/>
                <w:rFonts w:asciiTheme="minorHAnsi" w:hAnsiTheme="minorHAnsi"/>
                <w:b w:val="0"/>
                <w:color w:val="auto"/>
                <w:sz w:val="24"/>
                <w:szCs w:val="24"/>
              </w:rPr>
              <w:t xml:space="preserve"> (SSWWA 2014) remains a cornerstone in safeguarding children (</w:t>
            </w:r>
            <w:r w:rsidRPr="0020073D">
              <w:rPr>
                <w:rFonts w:asciiTheme="minorHAnsi" w:hAnsiTheme="minorHAnsi" w:cs="Helvetica"/>
                <w:color w:val="auto"/>
                <w:sz w:val="24"/>
                <w:szCs w:val="24"/>
                <w:shd w:val="clear" w:color="auto" w:fill="FFFFFF"/>
              </w:rPr>
              <w:t>Star, 2019</w:t>
            </w:r>
            <w:r w:rsidRPr="0020073D">
              <w:rPr>
                <w:rStyle w:val="Strong"/>
                <w:rFonts w:asciiTheme="minorHAnsi" w:hAnsiTheme="minorHAnsi"/>
                <w:b w:val="0"/>
                <w:color w:val="auto"/>
                <w:sz w:val="24"/>
                <w:szCs w:val="24"/>
              </w:rPr>
              <w:t xml:space="preserve">). It places a legal duty on local authorities, health </w:t>
            </w:r>
            <w:r w:rsidRPr="0020073D">
              <w:rPr>
                <w:rStyle w:val="Strong"/>
                <w:rFonts w:asciiTheme="minorHAnsi" w:hAnsiTheme="minorHAnsi"/>
                <w:b w:val="0"/>
                <w:color w:val="auto"/>
                <w:sz w:val="24"/>
                <w:szCs w:val="24"/>
              </w:rPr>
              <w:lastRenderedPageBreak/>
              <w:t xml:space="preserve">boards and other public bodies to promote the wellbeing of children (and adults at risk). </w:t>
            </w:r>
            <w:r w:rsidRPr="0020073D">
              <w:rPr>
                <w:rFonts w:asciiTheme="minorHAnsi" w:hAnsiTheme="minorHAnsi"/>
                <w:color w:val="auto"/>
                <w:sz w:val="24"/>
                <w:szCs w:val="24"/>
              </w:rPr>
              <w:t xml:space="preserve">Under the act, the concept of “child at risk” is defined, and local authorities are required to undertake assessments where there is reasonable cause to suspect a child is at risk of harm. It also mandates the establishment of </w:t>
            </w:r>
            <w:r w:rsidRPr="0020073D">
              <w:rPr>
                <w:rStyle w:val="Strong"/>
                <w:rFonts w:asciiTheme="minorHAnsi" w:hAnsiTheme="minorHAnsi"/>
                <w:b w:val="0"/>
                <w:color w:val="auto"/>
                <w:sz w:val="24"/>
                <w:szCs w:val="24"/>
              </w:rPr>
              <w:t>Regional Safeguarding Children Boards</w:t>
            </w:r>
            <w:r w:rsidRPr="0020073D">
              <w:rPr>
                <w:rFonts w:asciiTheme="minorHAnsi" w:hAnsiTheme="minorHAnsi"/>
                <w:color w:val="auto"/>
                <w:sz w:val="24"/>
                <w:szCs w:val="24"/>
              </w:rPr>
              <w:t xml:space="preserve"> to ensure effective inter-agency cooperation, reviewing and monitoring of safeguarding practice, undertaking child practice reviews, raising awareness including providing training opportunities within safeguarding (SSWWA, 2014; </w:t>
            </w:r>
            <w:r w:rsidRPr="0020073D">
              <w:rPr>
                <w:rFonts w:asciiTheme="minorHAnsi" w:hAnsiTheme="minorHAnsi" w:cs="Helvetica"/>
                <w:color w:val="auto"/>
                <w:sz w:val="24"/>
                <w:szCs w:val="24"/>
                <w:shd w:val="clear" w:color="auto" w:fill="FFFFFF"/>
              </w:rPr>
              <w:t xml:space="preserve">Star, 2019 </w:t>
            </w:r>
            <w:r w:rsidRPr="0020073D">
              <w:rPr>
                <w:rFonts w:asciiTheme="minorHAnsi" w:hAnsiTheme="minorHAnsi"/>
                <w:color w:val="auto"/>
                <w:sz w:val="24"/>
                <w:szCs w:val="24"/>
              </w:rPr>
              <w:t>).</w:t>
            </w:r>
          </w:p>
          <w:p w14:paraId="459897A5" w14:textId="77DF57D4" w:rsidR="0020073D" w:rsidRPr="0020073D" w:rsidRDefault="0020073D" w:rsidP="0020073D">
            <w:pPr>
              <w:spacing w:line="276" w:lineRule="auto"/>
              <w:rPr>
                <w:rStyle w:val="Strong"/>
                <w:rFonts w:asciiTheme="minorHAnsi" w:hAnsiTheme="minorHAnsi"/>
                <w:b w:val="0"/>
                <w:bCs w:val="0"/>
                <w:color w:val="auto"/>
                <w:sz w:val="24"/>
                <w:szCs w:val="24"/>
              </w:rPr>
            </w:pPr>
            <w:r w:rsidRPr="0020073D">
              <w:rPr>
                <w:rFonts w:asciiTheme="minorHAnsi" w:hAnsiTheme="minorHAnsi"/>
                <w:color w:val="auto"/>
                <w:sz w:val="24"/>
                <w:szCs w:val="24"/>
              </w:rPr>
              <w:tab/>
              <w:t xml:space="preserve">Like the, </w:t>
            </w:r>
            <w:r w:rsidRPr="0020073D">
              <w:rPr>
                <w:rFonts w:asciiTheme="minorHAnsi" w:hAnsiTheme="minorHAnsi"/>
                <w:i/>
                <w:color w:val="auto"/>
                <w:sz w:val="24"/>
                <w:szCs w:val="24"/>
              </w:rPr>
              <w:t>SSWWA 2014</w:t>
            </w:r>
            <w:r w:rsidRPr="0020073D">
              <w:rPr>
                <w:rFonts w:asciiTheme="minorHAnsi" w:hAnsiTheme="minorHAnsi"/>
                <w:color w:val="auto"/>
                <w:sz w:val="24"/>
                <w:szCs w:val="24"/>
              </w:rPr>
              <w:t xml:space="preserve">, the Wales Safeguarding Procedures (WSP) incorporates both adults at risk and children within its guidance, albeit in different ways (Welsh Government, 2019). The </w:t>
            </w:r>
            <w:proofErr w:type="gramStart"/>
            <w:r w:rsidRPr="0020073D">
              <w:rPr>
                <w:rFonts w:asciiTheme="minorHAnsi" w:hAnsiTheme="minorHAnsi"/>
                <w:color w:val="auto"/>
                <w:sz w:val="24"/>
                <w:szCs w:val="24"/>
              </w:rPr>
              <w:t>WSP,</w:t>
            </w:r>
            <w:proofErr w:type="gramEnd"/>
            <w:r w:rsidRPr="0020073D">
              <w:rPr>
                <w:rFonts w:asciiTheme="minorHAnsi" w:hAnsiTheme="minorHAnsi"/>
                <w:color w:val="auto"/>
                <w:sz w:val="24"/>
                <w:szCs w:val="24"/>
              </w:rPr>
              <w:t xml:space="preserve"> draws from the legislative framework in order to provide clear procedural guidance for all individuals, including statutory and voluntary professionals on their roles in safeguarding (Welsh Government, 2019). Although, it defines harm as physical, emotional, financial, sexual or</w:t>
            </w:r>
            <w:r w:rsidR="00BB51CF">
              <w:rPr>
                <w:rFonts w:asciiTheme="minorHAnsi" w:hAnsiTheme="minorHAnsi"/>
                <w:color w:val="auto"/>
                <w:sz w:val="24"/>
                <w:szCs w:val="24"/>
              </w:rPr>
              <w:t>/and</w:t>
            </w:r>
            <w:r w:rsidRPr="0020073D">
              <w:rPr>
                <w:rFonts w:asciiTheme="minorHAnsi" w:hAnsiTheme="minorHAnsi"/>
                <w:color w:val="auto"/>
                <w:sz w:val="24"/>
                <w:szCs w:val="24"/>
              </w:rPr>
              <w:t xml:space="preserve"> neglect, it</w:t>
            </w:r>
            <w:r w:rsidRPr="0020073D">
              <w:rPr>
                <w:rStyle w:val="Strong"/>
                <w:rFonts w:asciiTheme="minorHAnsi" w:hAnsiTheme="minorHAnsi"/>
                <w:b w:val="0"/>
                <w:color w:val="auto"/>
                <w:sz w:val="24"/>
                <w:szCs w:val="24"/>
              </w:rPr>
              <w:t xml:space="preserve"> also acknowledges that there remains no statutory definition of significant harm (</w:t>
            </w:r>
            <w:r w:rsidRPr="0020073D">
              <w:rPr>
                <w:rFonts w:asciiTheme="minorHAnsi" w:hAnsiTheme="minorHAnsi"/>
                <w:color w:val="auto"/>
                <w:sz w:val="24"/>
                <w:szCs w:val="24"/>
              </w:rPr>
              <w:t>Welsh Government, 2019</w:t>
            </w:r>
            <w:r w:rsidRPr="0020073D">
              <w:rPr>
                <w:rStyle w:val="Strong"/>
                <w:rFonts w:asciiTheme="minorHAnsi" w:hAnsiTheme="minorHAnsi"/>
                <w:b w:val="0"/>
                <w:color w:val="auto"/>
                <w:sz w:val="24"/>
                <w:szCs w:val="24"/>
              </w:rPr>
              <w:t xml:space="preserve">). </w:t>
            </w:r>
          </w:p>
          <w:p w14:paraId="4ED640ED" w14:textId="0874108D" w:rsidR="0020073D" w:rsidRPr="0020073D" w:rsidRDefault="0020073D" w:rsidP="0020073D">
            <w:pPr>
              <w:spacing w:line="276" w:lineRule="auto"/>
              <w:jc w:val="both"/>
              <w:rPr>
                <w:rStyle w:val="Strong"/>
                <w:rFonts w:asciiTheme="minorHAnsi" w:hAnsiTheme="minorHAnsi"/>
                <w:b w:val="0"/>
                <w:sz w:val="24"/>
                <w:szCs w:val="24"/>
              </w:rPr>
            </w:pPr>
            <w:r w:rsidRPr="0020073D">
              <w:rPr>
                <w:rStyle w:val="Strong"/>
                <w:rFonts w:asciiTheme="minorHAnsi" w:hAnsiTheme="minorHAnsi"/>
                <w:b w:val="0"/>
                <w:color w:val="auto"/>
                <w:sz w:val="24"/>
                <w:szCs w:val="24"/>
              </w:rPr>
              <w:tab/>
              <w:t>The Local Authority in which I am based has adopted an strengths based approach, emphasising preferred outcomes within safeguarding intervention; building on principles of partnership working to promote voices of children and families to support positive outcomes (</w:t>
            </w:r>
            <w:r w:rsidRPr="0020073D">
              <w:rPr>
                <w:rFonts w:asciiTheme="minorHAnsi" w:hAnsiTheme="minorHAnsi" w:cs="Helvetica"/>
                <w:color w:val="auto"/>
                <w:sz w:val="24"/>
                <w:szCs w:val="24"/>
                <w:shd w:val="clear" w:color="auto" w:fill="FFFFFF"/>
              </w:rPr>
              <w:t>Local Authority Anonymised, 2022; 2019</w:t>
            </w:r>
            <w:r w:rsidRPr="0020073D">
              <w:rPr>
                <w:rStyle w:val="Strong"/>
                <w:rFonts w:asciiTheme="minorHAnsi" w:hAnsiTheme="minorHAnsi"/>
                <w:b w:val="0"/>
                <w:color w:val="auto"/>
                <w:sz w:val="24"/>
                <w:szCs w:val="24"/>
              </w:rPr>
              <w:t>). This practice seeks, with partner agencies, to support stable, sustainable approach; providing the best opportunity for permanence and positive outcomes, key to children’s long-term development (</w:t>
            </w:r>
            <w:r w:rsidRPr="0020073D">
              <w:rPr>
                <w:rFonts w:asciiTheme="minorHAnsi" w:hAnsiTheme="minorHAnsi" w:cs="Helvetica"/>
                <w:color w:val="auto"/>
                <w:sz w:val="24"/>
                <w:szCs w:val="24"/>
                <w:shd w:val="clear" w:color="auto" w:fill="FFFFFF"/>
              </w:rPr>
              <w:t>Local Authority Anonymised, 2022;</w:t>
            </w:r>
            <w:r>
              <w:rPr>
                <w:rFonts w:asciiTheme="minorHAnsi" w:hAnsiTheme="minorHAnsi" w:cs="Helvetica"/>
                <w:color w:val="auto"/>
                <w:sz w:val="24"/>
                <w:szCs w:val="24"/>
                <w:shd w:val="clear" w:color="auto" w:fill="FFFFFF"/>
              </w:rPr>
              <w:t xml:space="preserve"> </w:t>
            </w:r>
            <w:r w:rsidRPr="0020073D">
              <w:rPr>
                <w:rFonts w:asciiTheme="minorHAnsi" w:hAnsiTheme="minorHAnsi" w:cs="Helvetica"/>
                <w:color w:val="auto"/>
                <w:sz w:val="24"/>
                <w:szCs w:val="24"/>
                <w:shd w:val="clear" w:color="auto" w:fill="FFFFFF"/>
              </w:rPr>
              <w:t>2019</w:t>
            </w:r>
            <w:r w:rsidRPr="0020073D">
              <w:rPr>
                <w:rStyle w:val="Strong"/>
                <w:rFonts w:asciiTheme="minorHAnsi" w:hAnsiTheme="minorHAnsi"/>
                <w:b w:val="0"/>
                <w:color w:val="auto"/>
                <w:sz w:val="24"/>
                <w:szCs w:val="24"/>
              </w:rPr>
              <w:t xml:space="preserve">). This reflects the pan-Wales approach of placing the child’s voice at the centre of decisions, which is </w:t>
            </w:r>
            <w:proofErr w:type="gramStart"/>
            <w:r w:rsidRPr="0020073D">
              <w:rPr>
                <w:rStyle w:val="Strong"/>
                <w:rFonts w:asciiTheme="minorHAnsi" w:hAnsiTheme="minorHAnsi"/>
                <w:b w:val="0"/>
                <w:color w:val="auto"/>
                <w:sz w:val="24"/>
                <w:szCs w:val="24"/>
              </w:rPr>
              <w:t>key</w:t>
            </w:r>
            <w:proofErr w:type="gramEnd"/>
            <w:r w:rsidRPr="0020073D">
              <w:rPr>
                <w:rStyle w:val="Strong"/>
                <w:rFonts w:asciiTheme="minorHAnsi" w:hAnsiTheme="minorHAnsi"/>
                <w:b w:val="0"/>
                <w:color w:val="auto"/>
                <w:sz w:val="24"/>
                <w:szCs w:val="24"/>
              </w:rPr>
              <w:t xml:space="preserve"> to establishing preferred outcomes in safeguarding (</w:t>
            </w:r>
            <w:r w:rsidRPr="0020073D">
              <w:rPr>
                <w:rFonts w:asciiTheme="minorHAnsi" w:hAnsiTheme="minorHAnsi" w:cs="Helvetica"/>
                <w:color w:val="auto"/>
                <w:sz w:val="24"/>
                <w:szCs w:val="24"/>
                <w:shd w:val="clear" w:color="auto" w:fill="FFFFFF"/>
              </w:rPr>
              <w:t xml:space="preserve">Local Authority Anonymised, 2022; 2019; </w:t>
            </w:r>
            <w:r w:rsidRPr="0020073D">
              <w:rPr>
                <w:rFonts w:asciiTheme="minorHAnsi" w:hAnsiTheme="minorHAnsi"/>
                <w:color w:val="auto"/>
                <w:sz w:val="24"/>
                <w:szCs w:val="24"/>
              </w:rPr>
              <w:t>Welsh Government, 2022</w:t>
            </w:r>
            <w:r w:rsidRPr="0020073D">
              <w:rPr>
                <w:rStyle w:val="Strong"/>
                <w:rFonts w:asciiTheme="minorHAnsi" w:hAnsiTheme="minorHAnsi"/>
                <w:b w:val="0"/>
                <w:color w:val="auto"/>
                <w:sz w:val="24"/>
                <w:szCs w:val="24"/>
              </w:rPr>
              <w:t>).</w:t>
            </w:r>
          </w:p>
          <w:p w14:paraId="03B2C063" w14:textId="77777777" w:rsidR="0020073D" w:rsidRDefault="0020073D" w:rsidP="0020073D">
            <w:pPr>
              <w:jc w:val="both"/>
              <w:rPr>
                <w:rStyle w:val="Strong"/>
                <w:sz w:val="24"/>
                <w:szCs w:val="24"/>
              </w:rPr>
            </w:pPr>
          </w:p>
          <w:p w14:paraId="7B8B5AE5" w14:textId="77777777" w:rsidR="0020073D" w:rsidRDefault="0020073D" w:rsidP="0020073D">
            <w:pPr>
              <w:jc w:val="both"/>
              <w:rPr>
                <w:rStyle w:val="Strong"/>
                <w:sz w:val="24"/>
                <w:szCs w:val="24"/>
              </w:rPr>
            </w:pPr>
          </w:p>
          <w:p w14:paraId="2C2B0797" w14:textId="74F4A22D" w:rsidR="0020073D" w:rsidRPr="0020073D" w:rsidRDefault="00BB51CF" w:rsidP="0020073D">
            <w:pPr>
              <w:jc w:val="both"/>
              <w:rPr>
                <w:b/>
                <w:sz w:val="24"/>
                <w:szCs w:val="24"/>
              </w:rPr>
            </w:pPr>
            <w:r>
              <w:rPr>
                <w:rStyle w:val="Strong"/>
                <w:b w:val="0"/>
                <w:sz w:val="24"/>
                <w:szCs w:val="24"/>
              </w:rPr>
              <w:t>WORD COUNT: 537</w:t>
            </w:r>
            <w:r w:rsidR="0020073D" w:rsidRPr="0020073D">
              <w:rPr>
                <w:rStyle w:val="Strong"/>
                <w:b w:val="0"/>
                <w:sz w:val="24"/>
                <w:szCs w:val="24"/>
              </w:rPr>
              <w:t xml:space="preserve"> </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6A7EB2B6" w14:textId="77777777" w:rsidR="0020073D" w:rsidRDefault="0020073D" w:rsidP="00FC0334">
            <w:pPr>
              <w:jc w:val="both"/>
              <w:rPr>
                <w:i/>
                <w:sz w:val="24"/>
                <w:szCs w:val="24"/>
              </w:rPr>
            </w:pPr>
          </w:p>
          <w:p w14:paraId="199ADB0B" w14:textId="77777777" w:rsidR="0020073D" w:rsidRPr="0020073D" w:rsidRDefault="0020073D" w:rsidP="0020073D">
            <w:pPr>
              <w:spacing w:line="276" w:lineRule="auto"/>
              <w:jc w:val="both"/>
              <w:rPr>
                <w:rFonts w:asciiTheme="minorHAnsi" w:hAnsiTheme="minorHAnsi"/>
                <w:i/>
                <w:sz w:val="24"/>
                <w:szCs w:val="24"/>
              </w:rPr>
            </w:pPr>
          </w:p>
          <w:p w14:paraId="64D1F030" w14:textId="77777777" w:rsidR="0020073D" w:rsidRPr="0020073D" w:rsidRDefault="0020073D" w:rsidP="0020073D">
            <w:pPr>
              <w:spacing w:line="276" w:lineRule="auto"/>
              <w:jc w:val="both"/>
              <w:rPr>
                <w:rFonts w:asciiTheme="minorHAnsi" w:hAnsiTheme="minorHAnsi"/>
                <w:i/>
                <w:sz w:val="24"/>
                <w:szCs w:val="24"/>
              </w:rPr>
            </w:pPr>
          </w:p>
          <w:p w14:paraId="24E1039E" w14:textId="77777777" w:rsidR="0020073D" w:rsidRPr="0020073D" w:rsidRDefault="0020073D" w:rsidP="0020073D">
            <w:pPr>
              <w:spacing w:line="276" w:lineRule="auto"/>
              <w:rPr>
                <w:rFonts w:asciiTheme="minorHAnsi" w:hAnsiTheme="minorHAnsi"/>
                <w:sz w:val="24"/>
                <w:szCs w:val="24"/>
              </w:rPr>
            </w:pPr>
            <w:r w:rsidRPr="0020073D">
              <w:rPr>
                <w:rFonts w:asciiTheme="minorHAnsi" w:hAnsiTheme="minorHAnsi"/>
                <w:sz w:val="24"/>
                <w:szCs w:val="24"/>
              </w:rPr>
              <w:t>Although safeguarding in</w:t>
            </w:r>
            <w:bookmarkStart w:id="0" w:name="_GoBack"/>
            <w:bookmarkEnd w:id="0"/>
            <w:r w:rsidRPr="0020073D">
              <w:rPr>
                <w:rFonts w:asciiTheme="minorHAnsi" w:hAnsiTheme="minorHAnsi"/>
                <w:sz w:val="24"/>
                <w:szCs w:val="24"/>
              </w:rPr>
              <w:t xml:space="preserve"> Wales is guided by the </w:t>
            </w:r>
            <w:r w:rsidRPr="0020073D">
              <w:rPr>
                <w:rFonts w:asciiTheme="minorHAnsi" w:hAnsiTheme="minorHAnsi"/>
                <w:i/>
                <w:sz w:val="24"/>
                <w:szCs w:val="24"/>
              </w:rPr>
              <w:t>SSWWA 2014</w:t>
            </w:r>
            <w:r w:rsidRPr="0020073D">
              <w:rPr>
                <w:rFonts w:asciiTheme="minorHAnsi" w:hAnsiTheme="minorHAnsi"/>
                <w:sz w:val="24"/>
                <w:szCs w:val="24"/>
              </w:rPr>
              <w:t xml:space="preserve"> and the Wales Safeguarding Procedures, which is a unified legal framework for adults and children at risk, it continues to recognise and reflect the differences in the procedures and work in these fields (Welsh Government, 2019). The primary differences outlined below concern the concept of capacity, consent, autonomy and </w:t>
            </w:r>
            <w:r w:rsidRPr="0020073D">
              <w:rPr>
                <w:rFonts w:asciiTheme="minorHAnsi" w:hAnsiTheme="minorHAnsi"/>
                <w:sz w:val="24"/>
                <w:szCs w:val="24"/>
              </w:rPr>
              <w:lastRenderedPageBreak/>
              <w:t>definitions of risk (</w:t>
            </w:r>
            <w:r w:rsidRPr="0020073D">
              <w:rPr>
                <w:rFonts w:asciiTheme="minorHAnsi" w:hAnsiTheme="minorHAnsi" w:cs="Times New Roman"/>
                <w:sz w:val="24"/>
                <w:szCs w:val="24"/>
              </w:rPr>
              <w:t>Mantell and Clark, 2008</w:t>
            </w:r>
            <w:r w:rsidRPr="0020073D">
              <w:rPr>
                <w:rFonts w:asciiTheme="minorHAnsi" w:hAnsiTheme="minorHAnsi"/>
                <w:sz w:val="24"/>
                <w:szCs w:val="24"/>
              </w:rPr>
              <w:t xml:space="preserve">). </w:t>
            </w:r>
          </w:p>
          <w:p w14:paraId="675492D9" w14:textId="67FE9C72" w:rsidR="0020073D" w:rsidRPr="0020073D" w:rsidRDefault="0020073D" w:rsidP="0020073D">
            <w:pPr>
              <w:spacing w:line="276" w:lineRule="auto"/>
              <w:rPr>
                <w:rFonts w:asciiTheme="minorHAnsi" w:hAnsiTheme="minorHAnsi"/>
                <w:sz w:val="24"/>
                <w:szCs w:val="24"/>
              </w:rPr>
            </w:pPr>
            <w:r w:rsidRPr="0020073D">
              <w:rPr>
                <w:rFonts w:asciiTheme="minorHAnsi" w:hAnsiTheme="minorHAnsi"/>
                <w:sz w:val="24"/>
                <w:szCs w:val="24"/>
              </w:rPr>
              <w:tab/>
              <w:t>When safeguarding children, that is legally defined as individuals under the age of 18 (by legislation in Part A), they are considered dependent and vulnerable by default (SSWWA 2014 section 130, Welsh Government; 2019). Thus, this same legislative framework assumes a duty to protect regard</w:t>
            </w:r>
            <w:r w:rsidR="00BB51CF">
              <w:rPr>
                <w:rFonts w:asciiTheme="minorHAnsi" w:hAnsiTheme="minorHAnsi"/>
                <w:sz w:val="24"/>
                <w:szCs w:val="24"/>
              </w:rPr>
              <w:t>les</w:t>
            </w:r>
            <w:r w:rsidRPr="0020073D">
              <w:rPr>
                <w:rFonts w:asciiTheme="minorHAnsi" w:hAnsiTheme="minorHAnsi"/>
                <w:sz w:val="24"/>
                <w:szCs w:val="24"/>
              </w:rPr>
              <w:t xml:space="preserve">s of their views. However, in contract, under the </w:t>
            </w:r>
            <w:r w:rsidRPr="0020073D">
              <w:rPr>
                <w:rFonts w:asciiTheme="minorHAnsi" w:hAnsiTheme="minorHAnsi"/>
                <w:i/>
                <w:sz w:val="24"/>
                <w:szCs w:val="24"/>
              </w:rPr>
              <w:t>Mental Capacity Act 2005 (MCA)</w:t>
            </w:r>
            <w:r w:rsidRPr="0020073D">
              <w:rPr>
                <w:rFonts w:asciiTheme="minorHAnsi" w:hAnsiTheme="minorHAnsi"/>
                <w:sz w:val="24"/>
                <w:szCs w:val="24"/>
              </w:rPr>
              <w:t>, an individual is assumed have capacity, including those which are considered unwise and may place them at risk. Therefore unless an individual is deemed to lack capacity to make a specific decision concerning this at a specific time, they have a right to make decisions which may place them at risk (MCA 2005;</w:t>
            </w:r>
            <w:r w:rsidRPr="0020073D">
              <w:rPr>
                <w:rFonts w:asciiTheme="minorHAnsi" w:hAnsiTheme="minorHAnsi" w:cs="Times New Roman"/>
                <w:sz w:val="24"/>
                <w:szCs w:val="24"/>
              </w:rPr>
              <w:t xml:space="preserve"> Mantell and Clark, 2008)</w:t>
            </w:r>
            <w:r w:rsidRPr="0020073D">
              <w:rPr>
                <w:rFonts w:asciiTheme="minorHAnsi" w:hAnsiTheme="minorHAnsi"/>
                <w:sz w:val="24"/>
                <w:szCs w:val="24"/>
              </w:rPr>
              <w:t>. The exception to this would be should a ruling be made via inherent jurisdiction (</w:t>
            </w:r>
            <w:r w:rsidRPr="0020073D">
              <w:rPr>
                <w:rFonts w:asciiTheme="minorHAnsi" w:hAnsiTheme="minorHAnsi" w:cs="Helvetica"/>
                <w:sz w:val="24"/>
                <w:szCs w:val="24"/>
                <w:shd w:val="clear" w:color="auto" w:fill="FFFFFF"/>
              </w:rPr>
              <w:t>Brindle, Jawaid and Kennedy, 2023</w:t>
            </w:r>
            <w:r w:rsidRPr="0020073D">
              <w:rPr>
                <w:rFonts w:asciiTheme="minorHAnsi" w:hAnsiTheme="minorHAnsi"/>
                <w:sz w:val="24"/>
                <w:szCs w:val="24"/>
              </w:rPr>
              <w:t xml:space="preserve">). </w:t>
            </w:r>
          </w:p>
          <w:p w14:paraId="32926F7E" w14:textId="420D50B9" w:rsidR="0020073D" w:rsidRPr="0020073D" w:rsidRDefault="0020073D" w:rsidP="0020073D">
            <w:pPr>
              <w:spacing w:line="276" w:lineRule="auto"/>
              <w:rPr>
                <w:rFonts w:asciiTheme="minorHAnsi" w:hAnsiTheme="minorHAnsi"/>
                <w:sz w:val="24"/>
                <w:szCs w:val="24"/>
              </w:rPr>
            </w:pPr>
            <w:r w:rsidRPr="0020073D">
              <w:rPr>
                <w:rFonts w:asciiTheme="minorHAnsi" w:hAnsiTheme="minorHAnsi"/>
                <w:sz w:val="24"/>
                <w:szCs w:val="24"/>
              </w:rPr>
              <w:tab/>
              <w:t>When considering issues of capacity and autonomy in the safeguarding arena, consent remains a key issue, as within adult safeguarding, consent is central – consent from capacitated adults being key for effective safeguarding actions to be undertaken (</w:t>
            </w:r>
            <w:r w:rsidRPr="0020073D">
              <w:rPr>
                <w:rFonts w:asciiTheme="minorHAnsi" w:hAnsiTheme="minorHAnsi" w:cs="Helvetica"/>
                <w:sz w:val="24"/>
                <w:szCs w:val="24"/>
                <w:shd w:val="clear" w:color="auto" w:fill="FFFFFF"/>
              </w:rPr>
              <w:t>Cocker et al., 2021</w:t>
            </w:r>
            <w:r w:rsidRPr="0020073D">
              <w:rPr>
                <w:rFonts w:asciiTheme="minorHAnsi" w:hAnsiTheme="minorHAnsi" w:cs="Times New Roman"/>
                <w:sz w:val="24"/>
                <w:szCs w:val="24"/>
              </w:rPr>
              <w:t>Mantell and Clark, 2008</w:t>
            </w:r>
            <w:r w:rsidRPr="0020073D">
              <w:rPr>
                <w:rFonts w:asciiTheme="minorHAnsi" w:hAnsiTheme="minorHAnsi"/>
                <w:sz w:val="24"/>
                <w:szCs w:val="24"/>
              </w:rPr>
              <w:t>). The exception</w:t>
            </w:r>
            <w:r w:rsidR="00BB51CF">
              <w:rPr>
                <w:rFonts w:asciiTheme="minorHAnsi" w:hAnsiTheme="minorHAnsi"/>
                <w:sz w:val="24"/>
                <w:szCs w:val="24"/>
              </w:rPr>
              <w:t>s</w:t>
            </w:r>
            <w:r w:rsidRPr="0020073D">
              <w:rPr>
                <w:rFonts w:asciiTheme="minorHAnsi" w:hAnsiTheme="minorHAnsi"/>
                <w:sz w:val="24"/>
                <w:szCs w:val="24"/>
              </w:rPr>
              <w:t xml:space="preserve"> note</w:t>
            </w:r>
            <w:r w:rsidR="00BB51CF">
              <w:rPr>
                <w:rFonts w:asciiTheme="minorHAnsi" w:hAnsiTheme="minorHAnsi"/>
                <w:sz w:val="24"/>
                <w:szCs w:val="24"/>
              </w:rPr>
              <w:t xml:space="preserve">d, </w:t>
            </w:r>
            <w:proofErr w:type="gramStart"/>
            <w:r w:rsidR="00BB51CF">
              <w:rPr>
                <w:rFonts w:asciiTheme="minorHAnsi" w:hAnsiTheme="minorHAnsi"/>
                <w:sz w:val="24"/>
                <w:szCs w:val="24"/>
              </w:rPr>
              <w:t xml:space="preserve">include </w:t>
            </w:r>
            <w:r w:rsidRPr="0020073D">
              <w:rPr>
                <w:rFonts w:asciiTheme="minorHAnsi" w:hAnsiTheme="minorHAnsi"/>
                <w:sz w:val="24"/>
                <w:szCs w:val="24"/>
              </w:rPr>
              <w:t xml:space="preserve"> sh</w:t>
            </w:r>
            <w:r w:rsidR="00BB51CF">
              <w:rPr>
                <w:rFonts w:asciiTheme="minorHAnsi" w:hAnsiTheme="minorHAnsi"/>
                <w:sz w:val="24"/>
                <w:szCs w:val="24"/>
              </w:rPr>
              <w:t>ould</w:t>
            </w:r>
            <w:proofErr w:type="gramEnd"/>
            <w:r w:rsidR="00BB51CF">
              <w:rPr>
                <w:rFonts w:asciiTheme="minorHAnsi" w:hAnsiTheme="minorHAnsi"/>
                <w:sz w:val="24"/>
                <w:szCs w:val="24"/>
              </w:rPr>
              <w:t xml:space="preserve"> individuals</w:t>
            </w:r>
            <w:r w:rsidRPr="0020073D">
              <w:rPr>
                <w:rFonts w:asciiTheme="minorHAnsi" w:hAnsiTheme="minorHAnsi"/>
                <w:sz w:val="24"/>
                <w:szCs w:val="24"/>
              </w:rPr>
              <w:t xml:space="preserve"> lack capacity to make specific decisions at that time or may place others at risk (MCA 2005; Welsh Government 2019). In contact, due to their inherent vulnerability being enshrined in law, consent is not required to initiate safeguarding procedures</w:t>
            </w:r>
            <w:r w:rsidR="00BB51CF">
              <w:rPr>
                <w:rFonts w:asciiTheme="minorHAnsi" w:hAnsiTheme="minorHAnsi"/>
                <w:sz w:val="24"/>
                <w:szCs w:val="24"/>
              </w:rPr>
              <w:t xml:space="preserve"> concerning children</w:t>
            </w:r>
            <w:r w:rsidRPr="0020073D">
              <w:rPr>
                <w:rFonts w:asciiTheme="minorHAnsi" w:hAnsiTheme="minorHAnsi"/>
                <w:sz w:val="24"/>
                <w:szCs w:val="24"/>
              </w:rPr>
              <w:t xml:space="preserve"> – be that the consent of the child or parent/carer. </w:t>
            </w:r>
          </w:p>
          <w:p w14:paraId="36CBF463" w14:textId="77777777" w:rsidR="0020073D" w:rsidRPr="0020073D" w:rsidRDefault="0020073D" w:rsidP="0020073D">
            <w:pPr>
              <w:spacing w:line="276" w:lineRule="auto"/>
              <w:rPr>
                <w:rFonts w:asciiTheme="minorHAnsi" w:hAnsiTheme="minorHAnsi"/>
                <w:sz w:val="24"/>
                <w:szCs w:val="24"/>
              </w:rPr>
            </w:pPr>
            <w:r w:rsidRPr="0020073D">
              <w:rPr>
                <w:rFonts w:asciiTheme="minorHAnsi" w:hAnsiTheme="minorHAnsi"/>
                <w:sz w:val="24"/>
                <w:szCs w:val="24"/>
              </w:rPr>
              <w:tab/>
              <w:t xml:space="preserve">When safeguarding children, the </w:t>
            </w:r>
            <w:r w:rsidRPr="0020073D">
              <w:rPr>
                <w:rFonts w:asciiTheme="minorHAnsi" w:hAnsiTheme="minorHAnsi"/>
                <w:i/>
                <w:sz w:val="24"/>
                <w:szCs w:val="24"/>
              </w:rPr>
              <w:t>Children Act 1989</w:t>
            </w:r>
            <w:r w:rsidRPr="0020073D">
              <w:rPr>
                <w:rFonts w:asciiTheme="minorHAnsi" w:hAnsiTheme="minorHAnsi"/>
                <w:sz w:val="24"/>
                <w:szCs w:val="24"/>
              </w:rPr>
              <w:t xml:space="preserve">, Section 47 outlines children are to be protected when there is reason to suspect significant harm. However, adults are safeguarding under a definition of “adult at risk” under the </w:t>
            </w:r>
            <w:r w:rsidRPr="0020073D">
              <w:rPr>
                <w:rFonts w:asciiTheme="minorHAnsi" w:hAnsiTheme="minorHAnsi"/>
                <w:i/>
                <w:sz w:val="24"/>
                <w:szCs w:val="24"/>
              </w:rPr>
              <w:t xml:space="preserve">SSWWA 2014, </w:t>
            </w:r>
            <w:r w:rsidRPr="0020073D">
              <w:rPr>
                <w:rFonts w:asciiTheme="minorHAnsi" w:hAnsiTheme="minorHAnsi"/>
                <w:sz w:val="24"/>
                <w:szCs w:val="24"/>
              </w:rPr>
              <w:t>Part 7 Section 126</w:t>
            </w:r>
            <w:r w:rsidRPr="0020073D">
              <w:rPr>
                <w:rFonts w:asciiTheme="minorHAnsi" w:hAnsiTheme="minorHAnsi"/>
                <w:b/>
                <w:sz w:val="24"/>
                <w:szCs w:val="24"/>
              </w:rPr>
              <w:t xml:space="preserve"> </w:t>
            </w:r>
            <w:r w:rsidRPr="0020073D">
              <w:rPr>
                <w:rFonts w:asciiTheme="minorHAnsi" w:hAnsiTheme="minorHAnsi"/>
                <w:sz w:val="24"/>
                <w:szCs w:val="24"/>
              </w:rPr>
              <w:t xml:space="preserve">those; who are at risk or experiencing abuse or neglect, may be in need of care and support and unable to protect themselves.  However, although there are differences in how the terminology is used within children and adult safeguarding, a key difference is that there remains no concrete statutory definition of what this harm or risk should look like (Welsh Government, 2019). </w:t>
            </w:r>
          </w:p>
          <w:p w14:paraId="496B5BF9" w14:textId="77A49A65" w:rsidR="0020073D" w:rsidRPr="00FE09DD" w:rsidRDefault="0020073D" w:rsidP="0020073D">
            <w:pPr>
              <w:spacing w:line="276" w:lineRule="auto"/>
              <w:rPr>
                <w:sz w:val="24"/>
                <w:szCs w:val="24"/>
              </w:rPr>
            </w:pPr>
            <w:r w:rsidRPr="0020073D">
              <w:rPr>
                <w:rFonts w:asciiTheme="minorHAnsi" w:hAnsiTheme="minorHAnsi"/>
                <w:sz w:val="24"/>
                <w:szCs w:val="24"/>
              </w:rPr>
              <w:tab/>
              <w:t>To conclude, although there remains some unified legislative frameworks in safeg</w:t>
            </w:r>
            <w:r w:rsidR="00BB51CF">
              <w:rPr>
                <w:rFonts w:asciiTheme="minorHAnsi" w:hAnsiTheme="minorHAnsi"/>
                <w:sz w:val="24"/>
                <w:szCs w:val="24"/>
              </w:rPr>
              <w:t>uarding adults and children</w:t>
            </w:r>
            <w:proofErr w:type="gramStart"/>
            <w:r w:rsidR="00BB51CF">
              <w:rPr>
                <w:rFonts w:asciiTheme="minorHAnsi" w:hAnsiTheme="minorHAnsi"/>
                <w:sz w:val="24"/>
                <w:szCs w:val="24"/>
              </w:rPr>
              <w:t xml:space="preserve">, </w:t>
            </w:r>
            <w:r w:rsidRPr="0020073D">
              <w:rPr>
                <w:rFonts w:asciiTheme="minorHAnsi" w:hAnsiTheme="minorHAnsi"/>
                <w:sz w:val="24"/>
                <w:szCs w:val="24"/>
              </w:rPr>
              <w:t xml:space="preserve"> key</w:t>
            </w:r>
            <w:proofErr w:type="gramEnd"/>
            <w:r w:rsidRPr="0020073D">
              <w:rPr>
                <w:rFonts w:asciiTheme="minorHAnsi" w:hAnsiTheme="minorHAnsi"/>
                <w:sz w:val="24"/>
                <w:szCs w:val="24"/>
              </w:rPr>
              <w:t xml:space="preserve"> concepts of autonomy, capacity and risk means that as outlines, there remain key differences in the how adults and children are safeguarded.  </w:t>
            </w:r>
          </w:p>
          <w:p w14:paraId="36B4296A" w14:textId="77777777" w:rsidR="0020073D" w:rsidRPr="00FE09DD" w:rsidRDefault="0020073D" w:rsidP="0020073D">
            <w:pPr>
              <w:rPr>
                <w:rStyle w:val="Strong"/>
                <w:sz w:val="24"/>
                <w:szCs w:val="24"/>
              </w:rPr>
            </w:pPr>
          </w:p>
          <w:p w14:paraId="38A585B3" w14:textId="77777777" w:rsidR="0020073D" w:rsidRPr="00FE09DD" w:rsidRDefault="0020073D" w:rsidP="0020073D">
            <w:pPr>
              <w:pStyle w:val="NormalWeb"/>
            </w:pPr>
          </w:p>
          <w:p w14:paraId="4106F4BA" w14:textId="77777777" w:rsidR="0020073D" w:rsidRPr="00FE09DD" w:rsidRDefault="0020073D" w:rsidP="0020073D">
            <w:pPr>
              <w:rPr>
                <w:sz w:val="24"/>
                <w:szCs w:val="24"/>
              </w:rPr>
            </w:pPr>
          </w:p>
          <w:p w14:paraId="64F84E4E" w14:textId="42E74F19" w:rsidR="0020073D" w:rsidRPr="0020073D" w:rsidRDefault="0020073D" w:rsidP="00FC0334">
            <w:pPr>
              <w:jc w:val="both"/>
              <w:rPr>
                <w:sz w:val="24"/>
                <w:szCs w:val="24"/>
              </w:rPr>
            </w:pPr>
            <w:r>
              <w:rPr>
                <w:sz w:val="24"/>
                <w:szCs w:val="24"/>
              </w:rPr>
              <w:t>WORD COUNT: 440</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8BBCE68" w14:textId="77777777" w:rsidR="00647AFE" w:rsidRDefault="00647AFE">
      <w:r>
        <w:separator/>
      </w:r>
    </w:p>
  </w:endnote>
  <w:endnote w:type="continuationSeparator" w:id="0">
    <w:p w14:paraId="23C25C50" w14:textId="77777777" w:rsidR="00647AFE" w:rsidRDefault="00647A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notTrueType/>
    <w:pitch w:val="variable"/>
    <w:sig w:usb0="00000003" w:usb1="00000000" w:usb2="00000000" w:usb3="00000000" w:csb0="00000001" w:csb1="00000000"/>
  </w:font>
  <w:font w:name="DengXian Light">
    <w:altName w:val="Arial Unicode MS"/>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A3DEAF" w14:textId="311829FB" w:rsidR="00A5656A" w:rsidRDefault="00A5656A">
    <w:pPr>
      <w:pStyle w:val="Footer"/>
      <w:jc w:val="right"/>
    </w:pPr>
    <w:r>
      <w:fldChar w:fldCharType="begin"/>
    </w:r>
    <w:r>
      <w:instrText xml:space="preserve"> PAGE   \* MERGEFORMAT </w:instrText>
    </w:r>
    <w:r>
      <w:fldChar w:fldCharType="separate"/>
    </w:r>
    <w:r w:rsidR="00BB51CF">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59AB884" w14:textId="77777777" w:rsidR="00647AFE" w:rsidRDefault="00647AFE">
      <w:r>
        <w:separator/>
      </w:r>
    </w:p>
  </w:footnote>
  <w:footnote w:type="continuationSeparator" w:id="0">
    <w:p w14:paraId="625B9F2A" w14:textId="77777777" w:rsidR="00647AFE" w:rsidRDefault="00647AF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073D"/>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7AFE"/>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1CF"/>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313B"/>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basedOn w:val="DefaultParagraphFont"/>
    <w:uiPriority w:val="22"/>
    <w:qFormat/>
    <w:rsid w:val="0020073D"/>
    <w:rPr>
      <w:b/>
      <w:bCs/>
    </w:rPr>
  </w:style>
  <w:style w:type="paragraph" w:styleId="NormalWeb">
    <w:name w:val="Normal (Web)"/>
    <w:basedOn w:val="Normal"/>
    <w:uiPriority w:val="99"/>
    <w:semiHidden/>
    <w:unhideWhenUsed/>
    <w:rsid w:val="0020073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basedOn w:val="DefaultParagraphFont"/>
    <w:uiPriority w:val="22"/>
    <w:qFormat/>
    <w:rsid w:val="0020073D"/>
    <w:rPr>
      <w:b/>
      <w:bCs/>
    </w:rPr>
  </w:style>
  <w:style w:type="paragraph" w:styleId="NormalWeb">
    <w:name w:val="Normal (Web)"/>
    <w:basedOn w:val="Normal"/>
    <w:uiPriority w:val="99"/>
    <w:semiHidden/>
    <w:unhideWhenUsed/>
    <w:rsid w:val="0020073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2418504@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FDEA1E31-F5F0-43B0-A734-F5171ACA3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1191</Words>
  <Characters>6791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Lowri Jenkins</cp:lastModifiedBy>
  <cp:revision>3</cp:revision>
  <cp:lastPrinted>2020-02-11T19:20:00Z</cp:lastPrinted>
  <dcterms:created xsi:type="dcterms:W3CDTF">2025-10-05T14:40:00Z</dcterms:created>
  <dcterms:modified xsi:type="dcterms:W3CDTF">2025-10-06T16:30:00Z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