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83C1D" w:rsidRPr="00E338F4" w:rsidRDefault="00883C1D" w:rsidP="00E338F4">
      <w:pPr>
        <w:spacing w:before="100" w:beforeAutospacing="1" w:after="0" w:line="360" w:lineRule="auto"/>
        <w:jc w:val="both"/>
        <w:outlineLvl w:val="0"/>
        <w:rPr>
          <w:rFonts w:ascii="Arial" w:eastAsia="Times New Roman" w:hAnsi="Arial" w:cs="Arial"/>
          <w:b/>
          <w:bCs/>
          <w:color w:val="1F1F1F"/>
          <w:kern w:val="36"/>
          <w:sz w:val="28"/>
          <w:szCs w:val="24"/>
          <w:lang w:eastAsia="en-GB"/>
        </w:rPr>
      </w:pPr>
      <w:r w:rsidRPr="00E338F4">
        <w:rPr>
          <w:rFonts w:ascii="Arial" w:eastAsia="Times New Roman" w:hAnsi="Arial" w:cs="Arial"/>
          <w:b/>
          <w:bCs/>
          <w:color w:val="1F1F1F"/>
          <w:kern w:val="36"/>
          <w:sz w:val="28"/>
          <w:szCs w:val="24"/>
          <w:lang w:eastAsia="en-GB"/>
        </w:rPr>
        <w:t xml:space="preserve">Student Name: </w:t>
      </w:r>
      <w:proofErr w:type="spellStart"/>
      <w:r w:rsidRPr="00E338F4">
        <w:rPr>
          <w:rFonts w:ascii="Arial" w:eastAsia="Times New Roman" w:hAnsi="Arial" w:cs="Arial"/>
          <w:b/>
          <w:bCs/>
          <w:color w:val="1F1F1F"/>
          <w:kern w:val="36"/>
          <w:sz w:val="28"/>
          <w:szCs w:val="24"/>
          <w:lang w:eastAsia="en-GB"/>
        </w:rPr>
        <w:t>Eman</w:t>
      </w:r>
      <w:proofErr w:type="spellEnd"/>
      <w:r w:rsidRPr="00E338F4">
        <w:rPr>
          <w:rFonts w:ascii="Arial" w:eastAsia="Times New Roman" w:hAnsi="Arial" w:cs="Arial"/>
          <w:b/>
          <w:bCs/>
          <w:color w:val="1F1F1F"/>
          <w:kern w:val="36"/>
          <w:sz w:val="28"/>
          <w:szCs w:val="24"/>
          <w:lang w:eastAsia="en-GB"/>
        </w:rPr>
        <w:t xml:space="preserve"> Ali</w:t>
      </w:r>
    </w:p>
    <w:p w:rsidR="00883C1D" w:rsidRPr="00E338F4" w:rsidRDefault="00883C1D" w:rsidP="00E338F4">
      <w:pPr>
        <w:spacing w:before="100" w:beforeAutospacing="1" w:after="0" w:line="360" w:lineRule="auto"/>
        <w:jc w:val="both"/>
        <w:outlineLvl w:val="0"/>
        <w:rPr>
          <w:rFonts w:ascii="Arial" w:eastAsia="Times New Roman" w:hAnsi="Arial" w:cs="Arial"/>
          <w:b/>
          <w:bCs/>
          <w:color w:val="1F1F1F"/>
          <w:kern w:val="36"/>
          <w:sz w:val="28"/>
          <w:szCs w:val="24"/>
          <w:lang w:eastAsia="en-GB"/>
        </w:rPr>
      </w:pPr>
      <w:r w:rsidRPr="00E338F4">
        <w:rPr>
          <w:rFonts w:ascii="Arial" w:eastAsia="Times New Roman" w:hAnsi="Arial" w:cs="Arial"/>
          <w:b/>
          <w:bCs/>
          <w:color w:val="1F1F1F"/>
          <w:kern w:val="36"/>
          <w:sz w:val="28"/>
          <w:szCs w:val="24"/>
          <w:lang w:eastAsia="en-GB"/>
        </w:rPr>
        <w:t>Student ID: 2507026</w:t>
      </w:r>
    </w:p>
    <w:p w:rsidR="00883C1D" w:rsidRPr="00E338F4" w:rsidRDefault="00883C1D" w:rsidP="00E338F4">
      <w:pPr>
        <w:spacing w:before="100" w:beforeAutospacing="1" w:after="0" w:line="360" w:lineRule="auto"/>
        <w:jc w:val="both"/>
        <w:outlineLvl w:val="0"/>
        <w:rPr>
          <w:rFonts w:ascii="Arial" w:eastAsia="Times New Roman" w:hAnsi="Arial" w:cs="Arial"/>
          <w:b/>
          <w:bCs/>
          <w:color w:val="1F1F1F"/>
          <w:kern w:val="36"/>
          <w:sz w:val="28"/>
          <w:szCs w:val="24"/>
          <w:lang w:eastAsia="en-GB"/>
        </w:rPr>
      </w:pPr>
      <w:r w:rsidRPr="00E338F4">
        <w:rPr>
          <w:rFonts w:ascii="Arial" w:eastAsia="Times New Roman" w:hAnsi="Arial" w:cs="Arial"/>
          <w:b/>
          <w:bCs/>
          <w:color w:val="1F1F1F"/>
          <w:kern w:val="36"/>
          <w:sz w:val="28"/>
          <w:szCs w:val="24"/>
          <w:lang w:eastAsia="en-GB"/>
        </w:rPr>
        <w:t>Module: Problem Solving and Innovation</w:t>
      </w:r>
    </w:p>
    <w:p w:rsidR="00EF7B33" w:rsidRPr="00E338F4" w:rsidRDefault="00883C1D" w:rsidP="00E338F4">
      <w:pPr>
        <w:spacing w:before="100" w:beforeAutospacing="1" w:after="0" w:line="360" w:lineRule="auto"/>
        <w:jc w:val="both"/>
        <w:outlineLvl w:val="0"/>
        <w:rPr>
          <w:rFonts w:ascii="Arial" w:eastAsia="Times New Roman" w:hAnsi="Arial" w:cs="Arial"/>
          <w:b/>
          <w:bCs/>
          <w:color w:val="1F1F1F"/>
          <w:kern w:val="36"/>
          <w:sz w:val="28"/>
          <w:szCs w:val="24"/>
          <w:lang w:eastAsia="en-GB"/>
        </w:rPr>
      </w:pPr>
      <w:r w:rsidRPr="00E338F4">
        <w:rPr>
          <w:rFonts w:ascii="Arial" w:eastAsia="Times New Roman" w:hAnsi="Arial" w:cs="Arial"/>
          <w:b/>
          <w:bCs/>
          <w:color w:val="1F1F1F"/>
          <w:kern w:val="36"/>
          <w:sz w:val="28"/>
          <w:szCs w:val="24"/>
          <w:lang w:eastAsia="en-GB"/>
        </w:rPr>
        <w:t xml:space="preserve">Module Code: </w:t>
      </w:r>
      <w:r w:rsidR="00EF7B33" w:rsidRPr="00E338F4">
        <w:rPr>
          <w:rFonts w:ascii="Arial" w:eastAsia="Times New Roman" w:hAnsi="Arial" w:cs="Arial"/>
          <w:b/>
          <w:bCs/>
          <w:color w:val="1F1F1F"/>
          <w:kern w:val="36"/>
          <w:sz w:val="28"/>
          <w:szCs w:val="24"/>
          <w:lang w:eastAsia="en-GB"/>
        </w:rPr>
        <w:t>BMSW401</w:t>
      </w:r>
      <w:r w:rsidRPr="00E338F4">
        <w:rPr>
          <w:rFonts w:ascii="Arial" w:eastAsia="Times New Roman" w:hAnsi="Arial" w:cs="Arial"/>
          <w:b/>
          <w:bCs/>
          <w:color w:val="1F1F1F"/>
          <w:kern w:val="36"/>
          <w:sz w:val="28"/>
          <w:szCs w:val="24"/>
          <w:lang w:eastAsia="en-GB"/>
        </w:rPr>
        <w:t>4</w:t>
      </w:r>
    </w:p>
    <w:p w:rsidR="00883C1D" w:rsidRPr="00E338F4" w:rsidRDefault="00883C1D" w:rsidP="00E338F4">
      <w:pPr>
        <w:spacing w:before="100" w:beforeAutospacing="1" w:after="0" w:line="360" w:lineRule="auto"/>
        <w:jc w:val="both"/>
        <w:outlineLvl w:val="0"/>
        <w:rPr>
          <w:rFonts w:ascii="Arial" w:eastAsia="Times New Roman" w:hAnsi="Arial" w:cs="Arial"/>
          <w:b/>
          <w:bCs/>
          <w:color w:val="1F1F1F"/>
          <w:kern w:val="36"/>
          <w:sz w:val="28"/>
          <w:szCs w:val="24"/>
          <w:lang w:eastAsia="en-GB"/>
        </w:rPr>
      </w:pPr>
      <w:r w:rsidRPr="00E338F4">
        <w:rPr>
          <w:rFonts w:ascii="Arial" w:eastAsia="Times New Roman" w:hAnsi="Arial" w:cs="Arial"/>
          <w:b/>
          <w:bCs/>
          <w:color w:val="1F1F1F"/>
          <w:kern w:val="36"/>
          <w:sz w:val="28"/>
          <w:szCs w:val="24"/>
          <w:lang w:eastAsia="en-GB"/>
        </w:rPr>
        <w:t>Module Lead: Chris Wilkin</w:t>
      </w: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83286A" w:rsidRPr="00E338F4" w:rsidRDefault="0083286A" w:rsidP="00E338F4">
      <w:pPr>
        <w:spacing w:before="100" w:beforeAutospacing="1" w:after="0" w:line="360" w:lineRule="auto"/>
        <w:jc w:val="both"/>
        <w:outlineLvl w:val="0"/>
        <w:rPr>
          <w:rFonts w:ascii="Arial" w:eastAsia="Times New Roman" w:hAnsi="Arial" w:cs="Arial"/>
          <w:bCs/>
          <w:color w:val="1F1F1F"/>
          <w:kern w:val="36"/>
          <w:sz w:val="24"/>
          <w:szCs w:val="24"/>
          <w:lang w:eastAsia="en-GB"/>
        </w:rPr>
      </w:pPr>
    </w:p>
    <w:p w:rsidR="00E338F4" w:rsidRPr="00E338F4" w:rsidRDefault="00E338F4" w:rsidP="00E338F4">
      <w:pPr>
        <w:spacing w:before="100" w:beforeAutospacing="1" w:after="0" w:line="360" w:lineRule="auto"/>
        <w:jc w:val="both"/>
        <w:outlineLvl w:val="0"/>
        <w:rPr>
          <w:rFonts w:ascii="Arial" w:eastAsia="Times New Roman" w:hAnsi="Arial" w:cs="Arial"/>
          <w:b/>
          <w:bCs/>
          <w:color w:val="1F1F1F"/>
          <w:kern w:val="36"/>
          <w:sz w:val="24"/>
          <w:szCs w:val="24"/>
          <w:lang w:eastAsia="en-GB"/>
        </w:rPr>
      </w:pPr>
    </w:p>
    <w:p w:rsidR="009C0A6B" w:rsidRPr="00E338F4" w:rsidRDefault="009C0A6B" w:rsidP="00E338F4">
      <w:pPr>
        <w:spacing w:before="100" w:beforeAutospacing="1" w:after="0" w:line="360" w:lineRule="auto"/>
        <w:jc w:val="both"/>
        <w:outlineLvl w:val="0"/>
        <w:rPr>
          <w:rFonts w:ascii="Arial" w:eastAsia="Times New Roman" w:hAnsi="Arial" w:cs="Arial"/>
          <w:b/>
          <w:bCs/>
          <w:color w:val="1F1F1F"/>
          <w:kern w:val="36"/>
          <w:sz w:val="24"/>
          <w:szCs w:val="24"/>
          <w:lang w:eastAsia="en-GB"/>
        </w:rPr>
      </w:pPr>
      <w:r w:rsidRPr="00E338F4">
        <w:rPr>
          <w:rFonts w:ascii="Arial" w:eastAsia="Times New Roman" w:hAnsi="Arial" w:cs="Arial"/>
          <w:b/>
          <w:bCs/>
          <w:color w:val="1F1F1F"/>
          <w:kern w:val="36"/>
          <w:sz w:val="24"/>
          <w:szCs w:val="24"/>
          <w:lang w:eastAsia="en-GB"/>
        </w:rPr>
        <w:lastRenderedPageBreak/>
        <w:t>CRITICAL REPORT: STRATEGIC ANALYSIS OF THE CREATOR ECONOMY AND PLATFORM GOVERNANCE</w:t>
      </w:r>
    </w:p>
    <w:p w:rsidR="009C0A6B" w:rsidRPr="00E338F4" w:rsidRDefault="009C0A6B" w:rsidP="00E338F4">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TABLE OF CONTENTS</w:t>
      </w:r>
    </w:p>
    <w:p w:rsidR="009C0A6B" w:rsidRPr="00E338F4" w:rsidRDefault="009C0A6B" w:rsidP="00E338F4">
      <w:pPr>
        <w:numPr>
          <w:ilvl w:val="0"/>
          <w:numId w:val="1"/>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1.0 Introduction</w:t>
      </w:r>
    </w:p>
    <w:p w:rsidR="009C0A6B" w:rsidRPr="00E338F4" w:rsidRDefault="009C0A6B" w:rsidP="00E338F4">
      <w:pPr>
        <w:numPr>
          <w:ilvl w:val="0"/>
          <w:numId w:val="1"/>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2.0 External Macro-Environmental Analysis (STEEPLE)</w:t>
      </w:r>
    </w:p>
    <w:p w:rsidR="009C0A6B" w:rsidRPr="00E338F4" w:rsidRDefault="009C0A6B" w:rsidP="00E338F4">
      <w:pPr>
        <w:numPr>
          <w:ilvl w:val="0"/>
          <w:numId w:val="1"/>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3.0 Strategic Position Analysis (SWOT)</w:t>
      </w:r>
    </w:p>
    <w:p w:rsidR="009C0A6B" w:rsidRPr="00E338F4" w:rsidRDefault="009C0A6B" w:rsidP="00E338F4">
      <w:pPr>
        <w:numPr>
          <w:ilvl w:val="0"/>
          <w:numId w:val="1"/>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4.0 Future Lens: Application of the DPSIR Framework</w:t>
      </w:r>
    </w:p>
    <w:p w:rsidR="009C0A6B" w:rsidRPr="00E338F4" w:rsidRDefault="009C0A6B" w:rsidP="00E338F4">
      <w:pPr>
        <w:numPr>
          <w:ilvl w:val="0"/>
          <w:numId w:val="1"/>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5.0 Actionable Recommendations and Conclusion</w:t>
      </w:r>
    </w:p>
    <w:p w:rsidR="009C0A6B" w:rsidRPr="00E338F4" w:rsidRDefault="009C0A6B" w:rsidP="00E338F4">
      <w:pPr>
        <w:numPr>
          <w:ilvl w:val="0"/>
          <w:numId w:val="1"/>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6.0 Reference List</w:t>
      </w: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83286A" w:rsidRPr="00E338F4" w:rsidRDefault="0083286A" w:rsidP="00E338F4">
      <w:pPr>
        <w:spacing w:before="100" w:beforeAutospacing="1" w:after="0" w:line="360" w:lineRule="auto"/>
        <w:jc w:val="both"/>
        <w:rPr>
          <w:rFonts w:ascii="Arial" w:eastAsia="Times New Roman" w:hAnsi="Arial" w:cs="Arial"/>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b/>
          <w:bCs/>
          <w:color w:val="1F1F1F"/>
          <w:sz w:val="24"/>
          <w:szCs w:val="24"/>
          <w:lang w:eastAsia="en-GB"/>
        </w:rPr>
      </w:pPr>
    </w:p>
    <w:p w:rsidR="009C0A6B" w:rsidRPr="00E338F4" w:rsidRDefault="009C0A6B" w:rsidP="00E338F4">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lastRenderedPageBreak/>
        <w:t>1.0 INTRODUCTION</w:t>
      </w:r>
    </w:p>
    <w:p w:rsidR="00B95C84" w:rsidRDefault="00B95C84" w:rsidP="00E338F4">
      <w:pPr>
        <w:spacing w:before="100" w:beforeAutospacing="1" w:after="0" w:line="360" w:lineRule="auto"/>
        <w:jc w:val="both"/>
        <w:outlineLvl w:val="1"/>
        <w:rPr>
          <w:rFonts w:ascii="Arial" w:eastAsia="Times New Roman" w:hAnsi="Arial" w:cs="Arial"/>
          <w:color w:val="1F1F1F"/>
          <w:sz w:val="24"/>
          <w:szCs w:val="24"/>
          <w:lang w:eastAsia="en-GB"/>
        </w:rPr>
      </w:pPr>
      <w:r w:rsidRPr="00B95C84">
        <w:rPr>
          <w:rFonts w:ascii="Arial" w:eastAsia="Times New Roman" w:hAnsi="Arial" w:cs="Arial"/>
          <w:color w:val="1F1F1F"/>
          <w:sz w:val="24"/>
          <w:szCs w:val="24"/>
          <w:lang w:eastAsia="en-GB"/>
        </w:rPr>
        <w:t>The institutionalized, multi-billion-pound creator economy relies on platform-driven, automated data systems to control attention and monetization. This report evaluates macro-environmental pressures facing a boutique talent agency managing 30 to 50 micro- and mid-tier creators across lifestyle, educational tech, and commerce niches. Because content saturation, algorithmic overhauls, and regulatory oversight neutralize superficial metrics, strategic adaptation is vital. Utilizing STEEPLE, SWOT, and DPSIR frameworks, this analysis forecasts operational trends to deliver pragmatic, cost-aware strategic recommendations that secure the agency's long-term resilience.</w:t>
      </w:r>
    </w:p>
    <w:p w:rsidR="009C0A6B" w:rsidRPr="00E338F4" w:rsidRDefault="009C0A6B" w:rsidP="00E338F4">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2.0 EXTERNAL MACRO-ENVIRONMENTAL ANALYSIS (STEEPLE)</w:t>
      </w:r>
    </w:p>
    <w:p w:rsidR="009C0A6B" w:rsidRPr="00E338F4" w:rsidRDefault="009C0A6B" w:rsidP="00E338F4">
      <w:pPr>
        <w:spacing w:before="100" w:beforeAutospacing="1" w:after="0" w:line="360" w:lineRule="auto"/>
        <w:jc w:val="both"/>
        <w:rPr>
          <w:rFonts w:ascii="Arial" w:eastAsia="Times New Roman" w:hAnsi="Arial" w:cs="Arial"/>
          <w:color w:val="1F1F1F"/>
          <w:sz w:val="24"/>
          <w:szCs w:val="24"/>
          <w:lang w:eastAsia="en-GB"/>
        </w:rPr>
      </w:pPr>
      <w:r w:rsidRPr="00E338F4">
        <w:rPr>
          <w:rFonts w:ascii="Arial" w:eastAsia="Times New Roman" w:hAnsi="Arial" w:cs="Arial"/>
          <w:color w:val="1F1F1F"/>
          <w:sz w:val="24"/>
          <w:szCs w:val="24"/>
          <w:lang w:eastAsia="en-GB"/>
        </w:rPr>
        <w:t>The macro-environment of the creator economy is shaped by volatile, highly systemic</w:t>
      </w:r>
      <w:bookmarkStart w:id="0" w:name="_GoBack"/>
      <w:bookmarkEnd w:id="0"/>
      <w:r w:rsidRPr="00E338F4">
        <w:rPr>
          <w:rFonts w:ascii="Arial" w:eastAsia="Times New Roman" w:hAnsi="Arial" w:cs="Arial"/>
          <w:color w:val="1F1F1F"/>
          <w:sz w:val="24"/>
          <w:szCs w:val="24"/>
          <w:lang w:eastAsia="en-GB"/>
        </w:rPr>
        <w:t xml:space="preserve"> variables. Evaluating these forces in isolation fails to capture how a structural shift in one domain triggers compounding operational disruptions across others (</w:t>
      </w:r>
      <w:proofErr w:type="spellStart"/>
      <w:r w:rsidRPr="00E338F4">
        <w:rPr>
          <w:rFonts w:ascii="Arial" w:eastAsia="Times New Roman" w:hAnsi="Arial" w:cs="Arial"/>
          <w:color w:val="1F1F1F"/>
          <w:sz w:val="24"/>
          <w:szCs w:val="24"/>
          <w:lang w:eastAsia="en-GB"/>
        </w:rPr>
        <w:t>Uzunoğlu</w:t>
      </w:r>
      <w:proofErr w:type="spellEnd"/>
      <w:r w:rsidRPr="00E338F4">
        <w:rPr>
          <w:rFonts w:ascii="Arial" w:eastAsia="Times New Roman" w:hAnsi="Arial" w:cs="Arial"/>
          <w:color w:val="1F1F1F"/>
          <w:sz w:val="24"/>
          <w:szCs w:val="24"/>
          <w:lang w:eastAsia="en-GB"/>
        </w:rPr>
        <w:t xml:space="preserve"> and Kip, 2021).</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Technological and Platform Governance Pressures</w:t>
      </w:r>
    </w:p>
    <w:p w:rsidR="00582AD7" w:rsidRPr="00582AD7" w:rsidRDefault="00582AD7" w:rsidP="00582AD7">
      <w:pPr>
        <w:spacing w:before="100" w:beforeAutospacing="1" w:after="0" w:line="360" w:lineRule="auto"/>
        <w:jc w:val="both"/>
        <w:outlineLvl w:val="2"/>
        <w:rPr>
          <w:rFonts w:ascii="Arial" w:eastAsia="Times New Roman" w:hAnsi="Arial" w:cs="Arial"/>
          <w:color w:val="1F1F1F"/>
          <w:sz w:val="24"/>
          <w:szCs w:val="24"/>
          <w:lang w:eastAsia="en-GB"/>
        </w:rPr>
      </w:pPr>
      <w:r w:rsidRPr="00582AD7">
        <w:rPr>
          <w:rFonts w:ascii="Arial" w:eastAsia="Times New Roman" w:hAnsi="Arial" w:cs="Arial"/>
          <w:color w:val="1F1F1F"/>
          <w:sz w:val="24"/>
          <w:szCs w:val="24"/>
          <w:lang w:eastAsia="en-GB"/>
        </w:rPr>
        <w:t xml:space="preserve">Driven by generative AI and machine learning, platform technological architecture has fundamentally shifted discovery mechanisms (Gartner, 2025). Short-form networks like </w:t>
      </w:r>
      <w:proofErr w:type="spellStart"/>
      <w:r w:rsidRPr="00582AD7">
        <w:rPr>
          <w:rFonts w:ascii="Arial" w:eastAsia="Times New Roman" w:hAnsi="Arial" w:cs="Arial"/>
          <w:color w:val="1F1F1F"/>
          <w:sz w:val="24"/>
          <w:szCs w:val="24"/>
          <w:lang w:eastAsia="en-GB"/>
        </w:rPr>
        <w:t>TikTok</w:t>
      </w:r>
      <w:proofErr w:type="spellEnd"/>
      <w:r w:rsidRPr="00582AD7">
        <w:rPr>
          <w:rFonts w:ascii="Arial" w:eastAsia="Times New Roman" w:hAnsi="Arial" w:cs="Arial"/>
          <w:color w:val="1F1F1F"/>
          <w:sz w:val="24"/>
          <w:szCs w:val="24"/>
          <w:lang w:eastAsia="en-GB"/>
        </w:rPr>
        <w:t xml:space="preserve"> and Instagram Reels replace traditional social graphs with asset-centric interest graphs powered by real-time data processing (Gartner, 2025). Consequently, visibility rules prioritize immediate engagement and conversion velocity over subscriber volume (</w:t>
      </w:r>
      <w:proofErr w:type="spellStart"/>
      <w:r w:rsidRPr="00582AD7">
        <w:rPr>
          <w:rFonts w:ascii="Arial" w:eastAsia="Times New Roman" w:hAnsi="Arial" w:cs="Arial"/>
          <w:color w:val="1F1F1F"/>
          <w:sz w:val="24"/>
          <w:szCs w:val="24"/>
          <w:lang w:eastAsia="en-GB"/>
        </w:rPr>
        <w:t>Kozinets</w:t>
      </w:r>
      <w:proofErr w:type="spellEnd"/>
      <w:r w:rsidRPr="00582AD7">
        <w:rPr>
          <w:rFonts w:ascii="Arial" w:eastAsia="Times New Roman" w:hAnsi="Arial" w:cs="Arial"/>
          <w:color w:val="1F1F1F"/>
          <w:sz w:val="24"/>
          <w:szCs w:val="24"/>
          <w:lang w:eastAsia="en-GB"/>
        </w:rPr>
        <w:t>, 2022).</w:t>
      </w:r>
    </w:p>
    <w:p w:rsidR="00582AD7" w:rsidRPr="00582AD7" w:rsidRDefault="00582AD7" w:rsidP="00582AD7">
      <w:pPr>
        <w:spacing w:before="100" w:beforeAutospacing="1" w:after="0" w:line="360" w:lineRule="auto"/>
        <w:jc w:val="both"/>
        <w:outlineLvl w:val="2"/>
        <w:rPr>
          <w:rFonts w:ascii="Arial" w:eastAsia="Times New Roman" w:hAnsi="Arial" w:cs="Arial"/>
          <w:color w:val="1F1F1F"/>
          <w:sz w:val="24"/>
          <w:szCs w:val="24"/>
          <w:lang w:eastAsia="en-GB"/>
        </w:rPr>
      </w:pPr>
    </w:p>
    <w:p w:rsidR="00582AD7" w:rsidRDefault="00582AD7" w:rsidP="00582AD7">
      <w:pPr>
        <w:spacing w:before="100" w:beforeAutospacing="1" w:after="0" w:line="360" w:lineRule="auto"/>
        <w:jc w:val="both"/>
        <w:outlineLvl w:val="2"/>
        <w:rPr>
          <w:rFonts w:ascii="Arial" w:eastAsia="Times New Roman" w:hAnsi="Arial" w:cs="Arial"/>
          <w:color w:val="1F1F1F"/>
          <w:sz w:val="24"/>
          <w:szCs w:val="24"/>
          <w:lang w:eastAsia="en-GB"/>
        </w:rPr>
      </w:pPr>
      <w:r w:rsidRPr="00582AD7">
        <w:rPr>
          <w:rFonts w:ascii="Arial" w:eastAsia="Times New Roman" w:hAnsi="Arial" w:cs="Arial"/>
          <w:color w:val="1F1F1F"/>
          <w:sz w:val="24"/>
          <w:szCs w:val="24"/>
          <w:lang w:eastAsia="en-GB"/>
        </w:rPr>
        <w:t>This operational shift enforces absolute structural power via algorithmic governance, letting platforms unilaterally dictate market reach (</w:t>
      </w:r>
      <w:proofErr w:type="spellStart"/>
      <w:r w:rsidRPr="00582AD7">
        <w:rPr>
          <w:rFonts w:ascii="Arial" w:eastAsia="Times New Roman" w:hAnsi="Arial" w:cs="Arial"/>
          <w:color w:val="1F1F1F"/>
          <w:sz w:val="24"/>
          <w:szCs w:val="24"/>
          <w:lang w:eastAsia="en-GB"/>
        </w:rPr>
        <w:t>Zuboff</w:t>
      </w:r>
      <w:proofErr w:type="spellEnd"/>
      <w:r w:rsidRPr="00582AD7">
        <w:rPr>
          <w:rFonts w:ascii="Arial" w:eastAsia="Times New Roman" w:hAnsi="Arial" w:cs="Arial"/>
          <w:color w:val="1F1F1F"/>
          <w:sz w:val="24"/>
          <w:szCs w:val="24"/>
          <w:lang w:eastAsia="en-GB"/>
        </w:rPr>
        <w:t>, 2023). Operating as unchecked regulatory regimes, these algorithms alter visibility mechanics without transparency or prior notice (Huh and Kim, 2024). This volatility drives severe agency asset instability, as organic distribution can vanish overnight due to updates designed to maximize platform ad revenue over creator monetization (Huh and Kim, 2024).</w:t>
      </w:r>
    </w:p>
    <w:p w:rsidR="009C0A6B" w:rsidRPr="00E338F4" w:rsidRDefault="009C0A6B" w:rsidP="00582AD7">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lastRenderedPageBreak/>
        <w:t>Regulatory, Legal, and Ethical Mandates</w:t>
      </w:r>
    </w:p>
    <w:p w:rsidR="00113E0A" w:rsidRPr="00113E0A" w:rsidRDefault="00113E0A" w:rsidP="00113E0A">
      <w:pPr>
        <w:spacing w:before="100" w:beforeAutospacing="1" w:after="0" w:line="360" w:lineRule="auto"/>
        <w:jc w:val="both"/>
        <w:outlineLvl w:val="2"/>
        <w:rPr>
          <w:rFonts w:ascii="Arial" w:eastAsia="Times New Roman" w:hAnsi="Arial" w:cs="Arial"/>
          <w:color w:val="1F1F1F"/>
          <w:sz w:val="24"/>
          <w:szCs w:val="24"/>
          <w:lang w:eastAsia="en-GB"/>
        </w:rPr>
      </w:pPr>
      <w:r w:rsidRPr="00113E0A">
        <w:rPr>
          <w:rFonts w:ascii="Arial" w:eastAsia="Times New Roman" w:hAnsi="Arial" w:cs="Arial"/>
          <w:color w:val="1F1F1F"/>
          <w:sz w:val="24"/>
          <w:szCs w:val="24"/>
          <w:lang w:eastAsia="en-GB"/>
        </w:rPr>
        <w:t>Plummeting entry barriers fuel an exponential rise in synthetic media, drawing intense judicial scrutiny. International regulators are striking back: the UK Advertising Standards Authority (ASA, 2025), US Federal Trade Commission (FTC, 2026), and EU via the Digital Services Act (DSA) enforce stringent consumer-protection mandates (European Union, 2024). These frameworks rigidly dictate that all sponsored, affiliate-linked, or AI-augmented content must carry immediate, unambiguous disclosures (ASA, 2025; FTC, 2026).</w:t>
      </w:r>
    </w:p>
    <w:p w:rsidR="00113E0A" w:rsidRPr="00113E0A" w:rsidRDefault="00113E0A" w:rsidP="00113E0A">
      <w:pPr>
        <w:spacing w:before="100" w:beforeAutospacing="1" w:after="0" w:line="360" w:lineRule="auto"/>
        <w:jc w:val="both"/>
        <w:outlineLvl w:val="2"/>
        <w:rPr>
          <w:rFonts w:ascii="Arial" w:eastAsia="Times New Roman" w:hAnsi="Arial" w:cs="Arial"/>
          <w:color w:val="1F1F1F"/>
          <w:sz w:val="24"/>
          <w:szCs w:val="24"/>
          <w:lang w:eastAsia="en-GB"/>
        </w:rPr>
      </w:pPr>
    </w:p>
    <w:p w:rsidR="00113E0A" w:rsidRDefault="00113E0A" w:rsidP="00113E0A">
      <w:pPr>
        <w:spacing w:before="100" w:beforeAutospacing="1" w:after="0" w:line="360" w:lineRule="auto"/>
        <w:jc w:val="both"/>
        <w:outlineLvl w:val="2"/>
        <w:rPr>
          <w:rFonts w:ascii="Arial" w:eastAsia="Times New Roman" w:hAnsi="Arial" w:cs="Arial"/>
          <w:color w:val="1F1F1F"/>
          <w:sz w:val="24"/>
          <w:szCs w:val="24"/>
          <w:lang w:eastAsia="en-GB"/>
        </w:rPr>
      </w:pPr>
      <w:r w:rsidRPr="00113E0A">
        <w:rPr>
          <w:rFonts w:ascii="Arial" w:eastAsia="Times New Roman" w:hAnsi="Arial" w:cs="Arial"/>
          <w:color w:val="1F1F1F"/>
          <w:sz w:val="24"/>
          <w:szCs w:val="24"/>
          <w:lang w:eastAsia="en-GB"/>
        </w:rPr>
        <w:t xml:space="preserve">Concurrently, proliferating virtual and AI influencers introduce deep ethical dilemmas regarding identity manipulation, algorithmic bias, and diluted human interaction (Kaplan and </w:t>
      </w:r>
      <w:proofErr w:type="spellStart"/>
      <w:r w:rsidRPr="00113E0A">
        <w:rPr>
          <w:rFonts w:ascii="Arial" w:eastAsia="Times New Roman" w:hAnsi="Arial" w:cs="Arial"/>
          <w:color w:val="1F1F1F"/>
          <w:sz w:val="24"/>
          <w:szCs w:val="24"/>
          <w:lang w:eastAsia="en-GB"/>
        </w:rPr>
        <w:t>Haenlein</w:t>
      </w:r>
      <w:proofErr w:type="spellEnd"/>
      <w:r w:rsidRPr="00113E0A">
        <w:rPr>
          <w:rFonts w:ascii="Arial" w:eastAsia="Times New Roman" w:hAnsi="Arial" w:cs="Arial"/>
          <w:color w:val="1F1F1F"/>
          <w:sz w:val="24"/>
          <w:szCs w:val="24"/>
          <w:lang w:eastAsia="en-GB"/>
        </w:rPr>
        <w:t>, 2023). For talent agencies, compliance failure introduces severe liabilities, including heavy statutory fines and permanent corporate reputational damage (FTC, 2026).</w:t>
      </w:r>
    </w:p>
    <w:p w:rsidR="009C0A6B" w:rsidRPr="00E338F4" w:rsidRDefault="009C0A6B" w:rsidP="00113E0A">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Economic and Social Dynamics</w:t>
      </w:r>
    </w:p>
    <w:p w:rsidR="00113E0A" w:rsidRPr="00113E0A" w:rsidRDefault="00113E0A" w:rsidP="00113E0A">
      <w:pPr>
        <w:spacing w:before="100" w:beforeAutospacing="1" w:after="0" w:line="360" w:lineRule="auto"/>
        <w:jc w:val="both"/>
        <w:outlineLvl w:val="2"/>
        <w:rPr>
          <w:rFonts w:ascii="Arial" w:eastAsia="Times New Roman" w:hAnsi="Arial" w:cs="Arial"/>
          <w:color w:val="1F1F1F"/>
          <w:sz w:val="24"/>
          <w:szCs w:val="24"/>
          <w:lang w:eastAsia="en-GB"/>
        </w:rPr>
      </w:pPr>
      <w:r w:rsidRPr="00113E0A">
        <w:rPr>
          <w:rFonts w:ascii="Arial" w:eastAsia="Times New Roman" w:hAnsi="Arial" w:cs="Arial"/>
          <w:color w:val="1F1F1F"/>
          <w:sz w:val="24"/>
          <w:szCs w:val="24"/>
          <w:lang w:eastAsia="en-GB"/>
        </w:rPr>
        <w:t xml:space="preserve">Shifting consumer </w:t>
      </w:r>
      <w:r w:rsidR="00B95C84" w:rsidRPr="00113E0A">
        <w:rPr>
          <w:rFonts w:ascii="Arial" w:eastAsia="Times New Roman" w:hAnsi="Arial" w:cs="Arial"/>
          <w:color w:val="1F1F1F"/>
          <w:sz w:val="24"/>
          <w:szCs w:val="24"/>
          <w:lang w:eastAsia="en-GB"/>
        </w:rPr>
        <w:t>behaviour</w:t>
      </w:r>
      <w:r w:rsidRPr="00113E0A">
        <w:rPr>
          <w:rFonts w:ascii="Arial" w:eastAsia="Times New Roman" w:hAnsi="Arial" w:cs="Arial"/>
          <w:color w:val="1F1F1F"/>
          <w:sz w:val="24"/>
          <w:szCs w:val="24"/>
          <w:lang w:eastAsia="en-GB"/>
        </w:rPr>
        <w:t xml:space="preserve"> rejects polished corporate ads for peer-to-peer recommendations demanding hyper-authenticity and relational proximity (McKinsey &amp; Company, 2026). This drives the rise of micro- and mid-tier creators commanding high market value through deep, interactive communities (Cheshire and Cook, 2022; Marder, Archer-Brown and </w:t>
      </w:r>
      <w:proofErr w:type="spellStart"/>
      <w:r w:rsidRPr="00113E0A">
        <w:rPr>
          <w:rFonts w:ascii="Arial" w:eastAsia="Times New Roman" w:hAnsi="Arial" w:cs="Arial"/>
          <w:color w:val="1F1F1F"/>
          <w:sz w:val="24"/>
          <w:szCs w:val="24"/>
          <w:lang w:eastAsia="en-GB"/>
        </w:rPr>
        <w:t>Colliander</w:t>
      </w:r>
      <w:proofErr w:type="spellEnd"/>
      <w:r w:rsidRPr="00113E0A">
        <w:rPr>
          <w:rFonts w:ascii="Arial" w:eastAsia="Times New Roman" w:hAnsi="Arial" w:cs="Arial"/>
          <w:color w:val="1F1F1F"/>
          <w:sz w:val="24"/>
          <w:szCs w:val="24"/>
          <w:lang w:eastAsia="en-GB"/>
        </w:rPr>
        <w:t>, 2023).</w:t>
      </w:r>
    </w:p>
    <w:p w:rsidR="00113E0A" w:rsidRPr="00113E0A" w:rsidRDefault="00113E0A" w:rsidP="00113E0A">
      <w:pPr>
        <w:spacing w:before="100" w:beforeAutospacing="1" w:after="0" w:line="360" w:lineRule="auto"/>
        <w:jc w:val="both"/>
        <w:outlineLvl w:val="2"/>
        <w:rPr>
          <w:rFonts w:ascii="Arial" w:eastAsia="Times New Roman" w:hAnsi="Arial" w:cs="Arial"/>
          <w:color w:val="1F1F1F"/>
          <w:sz w:val="24"/>
          <w:szCs w:val="24"/>
          <w:lang w:eastAsia="en-GB"/>
        </w:rPr>
      </w:pPr>
    </w:p>
    <w:p w:rsidR="00113E0A" w:rsidRDefault="00113E0A" w:rsidP="00113E0A">
      <w:pPr>
        <w:spacing w:before="100" w:beforeAutospacing="1" w:after="0" w:line="360" w:lineRule="auto"/>
        <w:jc w:val="both"/>
        <w:outlineLvl w:val="2"/>
        <w:rPr>
          <w:rFonts w:ascii="Arial" w:eastAsia="Times New Roman" w:hAnsi="Arial" w:cs="Arial"/>
          <w:color w:val="1F1F1F"/>
          <w:sz w:val="24"/>
          <w:szCs w:val="24"/>
          <w:lang w:eastAsia="en-GB"/>
        </w:rPr>
      </w:pPr>
      <w:r w:rsidRPr="00113E0A">
        <w:rPr>
          <w:rFonts w:ascii="Arial" w:eastAsia="Times New Roman" w:hAnsi="Arial" w:cs="Arial"/>
          <w:color w:val="1F1F1F"/>
          <w:sz w:val="24"/>
          <w:szCs w:val="24"/>
          <w:lang w:eastAsia="en-GB"/>
        </w:rPr>
        <w:t xml:space="preserve">Yet, this preference collides with economic realities: skyrocketing Customer Acquisition Costs (CAC) and inflationary pressures compel brands to shift from flat-fee retainers to performance-based, hybrid models (Campbell and Farrell, 2020; </w:t>
      </w:r>
      <w:proofErr w:type="spellStart"/>
      <w:r w:rsidRPr="00113E0A">
        <w:rPr>
          <w:rFonts w:ascii="Arial" w:eastAsia="Times New Roman" w:hAnsi="Arial" w:cs="Arial"/>
          <w:color w:val="1F1F1F"/>
          <w:sz w:val="24"/>
          <w:szCs w:val="24"/>
          <w:lang w:eastAsia="en-GB"/>
        </w:rPr>
        <w:t>Socialbakers</w:t>
      </w:r>
      <w:proofErr w:type="spellEnd"/>
      <w:r w:rsidRPr="00113E0A">
        <w:rPr>
          <w:rFonts w:ascii="Arial" w:eastAsia="Times New Roman" w:hAnsi="Arial" w:cs="Arial"/>
          <w:color w:val="1F1F1F"/>
          <w:sz w:val="24"/>
          <w:szCs w:val="24"/>
          <w:lang w:eastAsia="en-GB"/>
        </w:rPr>
        <w:t xml:space="preserve">, 2025). Consequently, brands demand measurable, lower-funnel returns, tying agency </w:t>
      </w:r>
      <w:r w:rsidR="00B95C84" w:rsidRPr="00113E0A">
        <w:rPr>
          <w:rFonts w:ascii="Arial" w:eastAsia="Times New Roman" w:hAnsi="Arial" w:cs="Arial"/>
          <w:color w:val="1F1F1F"/>
          <w:sz w:val="24"/>
          <w:szCs w:val="24"/>
          <w:lang w:eastAsia="en-GB"/>
        </w:rPr>
        <w:t>pay-outs</w:t>
      </w:r>
      <w:r w:rsidRPr="00113E0A">
        <w:rPr>
          <w:rFonts w:ascii="Arial" w:eastAsia="Times New Roman" w:hAnsi="Arial" w:cs="Arial"/>
          <w:color w:val="1F1F1F"/>
          <w:sz w:val="24"/>
          <w:szCs w:val="24"/>
          <w:lang w:eastAsia="en-GB"/>
        </w:rPr>
        <w:t xml:space="preserve"> directly to conversions, trackable affiliate sales, and verifiable Return on Ad Spend (Geyser, 2025).</w:t>
      </w:r>
    </w:p>
    <w:p w:rsidR="009C0A6B" w:rsidRPr="00E338F4" w:rsidRDefault="009C0A6B" w:rsidP="00113E0A">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Environmental Sustainability Pressures</w:t>
      </w:r>
    </w:p>
    <w:p w:rsidR="00B95C84" w:rsidRDefault="00B95C84" w:rsidP="00E338F4">
      <w:pPr>
        <w:spacing w:before="100" w:beforeAutospacing="1" w:after="0" w:line="360" w:lineRule="auto"/>
        <w:jc w:val="both"/>
        <w:outlineLvl w:val="2"/>
        <w:rPr>
          <w:rFonts w:ascii="Arial" w:eastAsia="Times New Roman" w:hAnsi="Arial" w:cs="Arial"/>
          <w:color w:val="1F1F1F"/>
          <w:sz w:val="24"/>
          <w:szCs w:val="24"/>
          <w:lang w:eastAsia="en-GB"/>
        </w:rPr>
      </w:pPr>
      <w:r w:rsidRPr="00B95C84">
        <w:rPr>
          <w:rFonts w:ascii="Arial" w:eastAsia="Times New Roman" w:hAnsi="Arial" w:cs="Arial"/>
          <w:color w:val="1F1F1F"/>
          <w:sz w:val="24"/>
          <w:szCs w:val="24"/>
          <w:lang w:eastAsia="en-GB"/>
        </w:rPr>
        <w:lastRenderedPageBreak/>
        <w:t>The physical infrastructure supporting this virtual architecture introduces significant environmental variables, as generative AI suites and real-time recommendation algorithms require hyper-scale data processing architectures (Gartner, 2025). These data centres consume immense electrical energy and intensive water-cooling systems, leaving a substantial carbon footprint (</w:t>
      </w:r>
      <w:proofErr w:type="spellStart"/>
      <w:r w:rsidRPr="00B95C84">
        <w:rPr>
          <w:rFonts w:ascii="Arial" w:eastAsia="Times New Roman" w:hAnsi="Arial" w:cs="Arial"/>
          <w:color w:val="1F1F1F"/>
          <w:sz w:val="24"/>
          <w:szCs w:val="24"/>
          <w:lang w:eastAsia="en-GB"/>
        </w:rPr>
        <w:t>Zuboff</w:t>
      </w:r>
      <w:proofErr w:type="spellEnd"/>
      <w:r w:rsidRPr="00B95C84">
        <w:rPr>
          <w:rFonts w:ascii="Arial" w:eastAsia="Times New Roman" w:hAnsi="Arial" w:cs="Arial"/>
          <w:color w:val="1F1F1F"/>
          <w:sz w:val="24"/>
          <w:szCs w:val="24"/>
          <w:lang w:eastAsia="en-GB"/>
        </w:rPr>
        <w:t>, 2023). For boutique talent firms, these environmental impacts are strictly financial: multinational corporate brands are aggressively integrating Environmental, Social, and Governance (ESG) procurement quotas, freezing out agencies whose creators promote carbon-intensive practices or ignore digital sustainability protocols (</w:t>
      </w:r>
      <w:proofErr w:type="spellStart"/>
      <w:r w:rsidRPr="00B95C84">
        <w:rPr>
          <w:rFonts w:ascii="Arial" w:eastAsia="Times New Roman" w:hAnsi="Arial" w:cs="Arial"/>
          <w:color w:val="1F1F1F"/>
          <w:sz w:val="24"/>
          <w:szCs w:val="24"/>
          <w:lang w:eastAsia="en-GB"/>
        </w:rPr>
        <w:t>Uzunoğlu</w:t>
      </w:r>
      <w:proofErr w:type="spellEnd"/>
      <w:r w:rsidRPr="00B95C84">
        <w:rPr>
          <w:rFonts w:ascii="Arial" w:eastAsia="Times New Roman" w:hAnsi="Arial" w:cs="Arial"/>
          <w:color w:val="1F1F1F"/>
          <w:sz w:val="24"/>
          <w:szCs w:val="24"/>
          <w:lang w:eastAsia="en-GB"/>
        </w:rPr>
        <w:t xml:space="preserve"> and Kip, 2021).</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Systemic Interconnections</w:t>
      </w:r>
    </w:p>
    <w:p w:rsidR="00DA3189" w:rsidRPr="00DA3189" w:rsidRDefault="00DA3189" w:rsidP="00DA3189">
      <w:pPr>
        <w:spacing w:before="100" w:beforeAutospacing="1" w:after="0" w:line="360" w:lineRule="auto"/>
        <w:jc w:val="both"/>
        <w:outlineLvl w:val="1"/>
        <w:rPr>
          <w:rFonts w:ascii="Arial" w:eastAsia="Times New Roman" w:hAnsi="Arial" w:cs="Arial"/>
          <w:color w:val="1F1F1F"/>
          <w:sz w:val="24"/>
          <w:szCs w:val="24"/>
          <w:lang w:eastAsia="en-GB"/>
        </w:rPr>
      </w:pPr>
      <w:r w:rsidRPr="00DA3189">
        <w:rPr>
          <w:rFonts w:ascii="Arial" w:eastAsia="Times New Roman" w:hAnsi="Arial" w:cs="Arial"/>
          <w:color w:val="1F1F1F"/>
          <w:sz w:val="24"/>
          <w:szCs w:val="24"/>
          <w:lang w:eastAsia="en-GB"/>
        </w:rPr>
        <w:t xml:space="preserve">These macro-environmental domains are deeply interdependent. A distinct Technological evolution—specifically, generative AI production suites—lowers entry barriers, flooding markets with content (Gartner, 2025) while accelerating Environmental pressures via expanded carbon footprints and energy demands from cloud data </w:t>
      </w:r>
      <w:r w:rsidR="00B95C84" w:rsidRPr="00DA3189">
        <w:rPr>
          <w:rFonts w:ascii="Arial" w:eastAsia="Times New Roman" w:hAnsi="Arial" w:cs="Arial"/>
          <w:color w:val="1F1F1F"/>
          <w:sz w:val="24"/>
          <w:szCs w:val="24"/>
          <w:lang w:eastAsia="en-GB"/>
        </w:rPr>
        <w:t>centres</w:t>
      </w:r>
      <w:r w:rsidRPr="00DA3189">
        <w:rPr>
          <w:rFonts w:ascii="Arial" w:eastAsia="Times New Roman" w:hAnsi="Arial" w:cs="Arial"/>
          <w:color w:val="1F1F1F"/>
          <w:sz w:val="24"/>
          <w:szCs w:val="24"/>
          <w:lang w:eastAsia="en-GB"/>
        </w:rPr>
        <w:t xml:space="preserve"> (</w:t>
      </w:r>
      <w:proofErr w:type="spellStart"/>
      <w:r w:rsidRPr="00DA3189">
        <w:rPr>
          <w:rFonts w:ascii="Arial" w:eastAsia="Times New Roman" w:hAnsi="Arial" w:cs="Arial"/>
          <w:color w:val="1F1F1F"/>
          <w:sz w:val="24"/>
          <w:szCs w:val="24"/>
          <w:lang w:eastAsia="en-GB"/>
        </w:rPr>
        <w:t>Zuboff</w:t>
      </w:r>
      <w:proofErr w:type="spellEnd"/>
      <w:r w:rsidRPr="00DA3189">
        <w:rPr>
          <w:rFonts w:ascii="Arial" w:eastAsia="Times New Roman" w:hAnsi="Arial" w:cs="Arial"/>
          <w:color w:val="1F1F1F"/>
          <w:sz w:val="24"/>
          <w:szCs w:val="24"/>
          <w:lang w:eastAsia="en-GB"/>
        </w:rPr>
        <w:t>, 2023).</w:t>
      </w:r>
    </w:p>
    <w:p w:rsidR="00DA3189" w:rsidRPr="00DA3189" w:rsidRDefault="00DA3189" w:rsidP="00DA3189">
      <w:pPr>
        <w:spacing w:before="100" w:beforeAutospacing="1" w:after="0" w:line="360" w:lineRule="auto"/>
        <w:jc w:val="both"/>
        <w:outlineLvl w:val="1"/>
        <w:rPr>
          <w:rFonts w:ascii="Arial" w:eastAsia="Times New Roman" w:hAnsi="Arial" w:cs="Arial"/>
          <w:color w:val="1F1F1F"/>
          <w:sz w:val="24"/>
          <w:szCs w:val="24"/>
          <w:lang w:eastAsia="en-GB"/>
        </w:rPr>
      </w:pPr>
    </w:p>
    <w:p w:rsidR="00DA3189" w:rsidRDefault="00DA3189" w:rsidP="00DA3189">
      <w:pPr>
        <w:spacing w:before="100" w:beforeAutospacing="1" w:after="0" w:line="360" w:lineRule="auto"/>
        <w:jc w:val="both"/>
        <w:outlineLvl w:val="1"/>
        <w:rPr>
          <w:rFonts w:ascii="Arial" w:eastAsia="Times New Roman" w:hAnsi="Arial" w:cs="Arial"/>
          <w:color w:val="1F1F1F"/>
          <w:sz w:val="24"/>
          <w:szCs w:val="24"/>
          <w:lang w:eastAsia="en-GB"/>
        </w:rPr>
      </w:pPr>
      <w:r w:rsidRPr="00DA3189">
        <w:rPr>
          <w:rFonts w:ascii="Arial" w:eastAsia="Times New Roman" w:hAnsi="Arial" w:cs="Arial"/>
          <w:color w:val="1F1F1F"/>
          <w:sz w:val="24"/>
          <w:szCs w:val="24"/>
          <w:lang w:eastAsia="en-GB"/>
        </w:rPr>
        <w:t xml:space="preserve">This intersection triggers a Social counter-reaction: digital-native consumers suffering from content fatigue demand ecological responsibility and brand authenticity (Marder, Archer-Brown and </w:t>
      </w:r>
      <w:proofErr w:type="spellStart"/>
      <w:r w:rsidRPr="00DA3189">
        <w:rPr>
          <w:rFonts w:ascii="Arial" w:eastAsia="Times New Roman" w:hAnsi="Arial" w:cs="Arial"/>
          <w:color w:val="1F1F1F"/>
          <w:sz w:val="24"/>
          <w:szCs w:val="24"/>
          <w:lang w:eastAsia="en-GB"/>
        </w:rPr>
        <w:t>Colliander</w:t>
      </w:r>
      <w:proofErr w:type="spellEnd"/>
      <w:r w:rsidRPr="00DA3189">
        <w:rPr>
          <w:rFonts w:ascii="Arial" w:eastAsia="Times New Roman" w:hAnsi="Arial" w:cs="Arial"/>
          <w:color w:val="1F1F1F"/>
          <w:sz w:val="24"/>
          <w:szCs w:val="24"/>
          <w:lang w:eastAsia="en-GB"/>
        </w:rPr>
        <w:t>, 2023). To protect audiences from deceptive synthetic media, Legal and Ethical regulatory institutions enforce strict AI and disclosure mandates (ASA, 2025; FTC, 2026). This regulatory friction fundamentally alters the agency's Economic model, forcing it to absorb higher compliance costs while pivoting toward performance-driven, ethically aligned micro-influencers to meet brand expectations (</w:t>
      </w:r>
      <w:proofErr w:type="spellStart"/>
      <w:r w:rsidRPr="00DA3189">
        <w:rPr>
          <w:rFonts w:ascii="Arial" w:eastAsia="Times New Roman" w:hAnsi="Arial" w:cs="Arial"/>
          <w:color w:val="1F1F1F"/>
          <w:sz w:val="24"/>
          <w:szCs w:val="24"/>
          <w:lang w:eastAsia="en-GB"/>
        </w:rPr>
        <w:t>Socialbakers</w:t>
      </w:r>
      <w:proofErr w:type="spellEnd"/>
      <w:r w:rsidRPr="00DA3189">
        <w:rPr>
          <w:rFonts w:ascii="Arial" w:eastAsia="Times New Roman" w:hAnsi="Arial" w:cs="Arial"/>
          <w:color w:val="1F1F1F"/>
          <w:sz w:val="24"/>
          <w:szCs w:val="24"/>
          <w:lang w:eastAsia="en-GB"/>
        </w:rPr>
        <w:t xml:space="preserve">, 2025; </w:t>
      </w:r>
      <w:proofErr w:type="spellStart"/>
      <w:r w:rsidRPr="00DA3189">
        <w:rPr>
          <w:rFonts w:ascii="Arial" w:eastAsia="Times New Roman" w:hAnsi="Arial" w:cs="Arial"/>
          <w:color w:val="1F1F1F"/>
          <w:sz w:val="24"/>
          <w:szCs w:val="24"/>
          <w:lang w:eastAsia="en-GB"/>
        </w:rPr>
        <w:t>Uzunoğlu</w:t>
      </w:r>
      <w:proofErr w:type="spellEnd"/>
      <w:r w:rsidRPr="00DA3189">
        <w:rPr>
          <w:rFonts w:ascii="Arial" w:eastAsia="Times New Roman" w:hAnsi="Arial" w:cs="Arial"/>
          <w:color w:val="1F1F1F"/>
          <w:sz w:val="24"/>
          <w:szCs w:val="24"/>
          <w:lang w:eastAsia="en-GB"/>
        </w:rPr>
        <w:t xml:space="preserve"> and Kip, 2021).</w:t>
      </w:r>
    </w:p>
    <w:p w:rsidR="009C0A6B" w:rsidRPr="00E338F4" w:rsidRDefault="009C0A6B" w:rsidP="00DA3189">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3.0 STRATEGIC POSITION ANALYSIS (SWOT)</w:t>
      </w:r>
    </w:p>
    <w:p w:rsidR="009C0A6B" w:rsidRPr="00E338F4" w:rsidRDefault="009C0A6B" w:rsidP="00E338F4">
      <w:pPr>
        <w:spacing w:before="100" w:beforeAutospacing="1" w:after="0" w:line="360" w:lineRule="auto"/>
        <w:jc w:val="both"/>
        <w:rPr>
          <w:rFonts w:ascii="Arial" w:eastAsia="Times New Roman" w:hAnsi="Arial" w:cs="Arial"/>
          <w:color w:val="1F1F1F"/>
          <w:sz w:val="24"/>
          <w:szCs w:val="24"/>
          <w:lang w:eastAsia="en-GB"/>
        </w:rPr>
      </w:pPr>
      <w:r w:rsidRPr="00E338F4">
        <w:rPr>
          <w:rFonts w:ascii="Arial" w:eastAsia="Times New Roman" w:hAnsi="Arial" w:cs="Arial"/>
          <w:color w:val="1F1F1F"/>
          <w:sz w:val="24"/>
          <w:szCs w:val="24"/>
          <w:lang w:eastAsia="en-GB"/>
        </w:rPr>
        <w:t>A critical SWOT matrix for the Boutique Influencer Marketing and Digital Talent Agency must be explicitly derived from the STEEPLE findings outlined above, focusing heavily on operational and strategic implications.</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Strengths</w:t>
      </w:r>
    </w:p>
    <w:p w:rsidR="009C0A6B" w:rsidRPr="00E338F4" w:rsidRDefault="009C0A6B" w:rsidP="00E338F4">
      <w:pPr>
        <w:numPr>
          <w:ilvl w:val="0"/>
          <w:numId w:val="2"/>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lastRenderedPageBreak/>
        <w:t>High Engagement in Niche Portfolios:</w:t>
      </w:r>
      <w:r w:rsidRPr="00E338F4">
        <w:rPr>
          <w:rFonts w:ascii="Arial" w:eastAsia="Times New Roman" w:hAnsi="Arial" w:cs="Arial"/>
          <w:color w:val="1F1F1F"/>
          <w:sz w:val="24"/>
          <w:szCs w:val="24"/>
          <w:lang w:eastAsia="en-GB"/>
        </w:rPr>
        <w:t xml:space="preserve"> The agency’s focus on micro- and mid-tier creators serves as a significant operational strength. These creators yield engagement rates up to five times higher than macro-celebrities, matching the social demand for community authenticity (Geyser, 2025; </w:t>
      </w:r>
      <w:proofErr w:type="spellStart"/>
      <w:r w:rsidRPr="00E338F4">
        <w:rPr>
          <w:rFonts w:ascii="Arial" w:eastAsia="Times New Roman" w:hAnsi="Arial" w:cs="Arial"/>
          <w:color w:val="1F1F1F"/>
          <w:sz w:val="24"/>
          <w:szCs w:val="24"/>
          <w:lang w:eastAsia="en-GB"/>
        </w:rPr>
        <w:t>Socialbakers</w:t>
      </w:r>
      <w:proofErr w:type="spellEnd"/>
      <w:r w:rsidRPr="00E338F4">
        <w:rPr>
          <w:rFonts w:ascii="Arial" w:eastAsia="Times New Roman" w:hAnsi="Arial" w:cs="Arial"/>
          <w:color w:val="1F1F1F"/>
          <w:sz w:val="24"/>
          <w:szCs w:val="24"/>
          <w:lang w:eastAsia="en-GB"/>
        </w:rPr>
        <w:t>, 2025).</w:t>
      </w:r>
    </w:p>
    <w:p w:rsidR="009C0A6B" w:rsidRPr="00E338F4" w:rsidRDefault="009C0A6B" w:rsidP="00E338F4">
      <w:pPr>
        <w:numPr>
          <w:ilvl w:val="0"/>
          <w:numId w:val="2"/>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Agility and Low Overhead Costs:</w:t>
      </w:r>
      <w:r w:rsidRPr="00E338F4">
        <w:rPr>
          <w:rFonts w:ascii="Arial" w:eastAsia="Times New Roman" w:hAnsi="Arial" w:cs="Arial"/>
          <w:color w:val="1F1F1F"/>
          <w:sz w:val="24"/>
          <w:szCs w:val="24"/>
          <w:lang w:eastAsia="en-GB"/>
        </w:rPr>
        <w:t xml:space="preserve"> Operating with a lean organizational structure allows the agency to pivot content styles quickly in response to immediate algorithmic shifts, maintaining steady distribution for brand partners (Campbell and Farrell, 2020).</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Weaknesses</w:t>
      </w:r>
    </w:p>
    <w:p w:rsidR="009C0A6B" w:rsidRPr="00E338F4" w:rsidRDefault="009C0A6B" w:rsidP="00E338F4">
      <w:pPr>
        <w:numPr>
          <w:ilvl w:val="0"/>
          <w:numId w:val="3"/>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Over-Dependence on Rented Platform Equity:</w:t>
      </w:r>
      <w:r w:rsidRPr="00E338F4">
        <w:rPr>
          <w:rFonts w:ascii="Arial" w:eastAsia="Times New Roman" w:hAnsi="Arial" w:cs="Arial"/>
          <w:color w:val="1F1F1F"/>
          <w:sz w:val="24"/>
          <w:szCs w:val="24"/>
          <w:lang w:eastAsia="en-GB"/>
        </w:rPr>
        <w:t xml:space="preserve"> The agency’s primary revenue model—taking a 20% commission on brand sponsorships—is entirely dependent on third-party platform channels like </w:t>
      </w:r>
      <w:proofErr w:type="spellStart"/>
      <w:r w:rsidRPr="00E338F4">
        <w:rPr>
          <w:rFonts w:ascii="Arial" w:eastAsia="Times New Roman" w:hAnsi="Arial" w:cs="Arial"/>
          <w:color w:val="1F1F1F"/>
          <w:sz w:val="24"/>
          <w:szCs w:val="24"/>
          <w:lang w:eastAsia="en-GB"/>
        </w:rPr>
        <w:t>TikTok</w:t>
      </w:r>
      <w:proofErr w:type="spellEnd"/>
      <w:r w:rsidRPr="00E338F4">
        <w:rPr>
          <w:rFonts w:ascii="Arial" w:eastAsia="Times New Roman" w:hAnsi="Arial" w:cs="Arial"/>
          <w:color w:val="1F1F1F"/>
          <w:sz w:val="24"/>
          <w:szCs w:val="24"/>
          <w:lang w:eastAsia="en-GB"/>
        </w:rPr>
        <w:t xml:space="preserve"> and Instagram (</w:t>
      </w:r>
      <w:proofErr w:type="spellStart"/>
      <w:r w:rsidRPr="00E338F4">
        <w:rPr>
          <w:rFonts w:ascii="Arial" w:eastAsia="Times New Roman" w:hAnsi="Arial" w:cs="Arial"/>
          <w:color w:val="1F1F1F"/>
          <w:sz w:val="24"/>
          <w:szCs w:val="24"/>
          <w:lang w:eastAsia="en-GB"/>
        </w:rPr>
        <w:t>Zuboff</w:t>
      </w:r>
      <w:proofErr w:type="spellEnd"/>
      <w:r w:rsidRPr="00E338F4">
        <w:rPr>
          <w:rFonts w:ascii="Arial" w:eastAsia="Times New Roman" w:hAnsi="Arial" w:cs="Arial"/>
          <w:color w:val="1F1F1F"/>
          <w:sz w:val="24"/>
          <w:szCs w:val="24"/>
          <w:lang w:eastAsia="en-GB"/>
        </w:rPr>
        <w:t>, 2023). The agency owns no proprietary distribution infrastructure.</w:t>
      </w:r>
    </w:p>
    <w:p w:rsidR="009C0A6B" w:rsidRPr="00E338F4" w:rsidRDefault="009C0A6B" w:rsidP="00E338F4">
      <w:pPr>
        <w:numPr>
          <w:ilvl w:val="0"/>
          <w:numId w:val="3"/>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Limited Compliance Capabilities:</w:t>
      </w:r>
      <w:r w:rsidRPr="00E338F4">
        <w:rPr>
          <w:rFonts w:ascii="Arial" w:eastAsia="Times New Roman" w:hAnsi="Arial" w:cs="Arial"/>
          <w:color w:val="1F1F1F"/>
          <w:sz w:val="24"/>
          <w:szCs w:val="24"/>
          <w:lang w:eastAsia="en-GB"/>
        </w:rPr>
        <w:t xml:space="preserve"> As a boutique firm, the agency lacks dedicated, internal legal teams to continuously monitor and audit real-time regulatory shifts across multiple international jurisdictions like the ASA, FTC, and DSA (European Union, 2024; FTC, 2026).</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Opportunities</w:t>
      </w:r>
    </w:p>
    <w:p w:rsidR="009C0A6B" w:rsidRPr="00E338F4" w:rsidRDefault="009C0A6B" w:rsidP="00E338F4">
      <w:pPr>
        <w:numPr>
          <w:ilvl w:val="0"/>
          <w:numId w:val="4"/>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First-Party Data and Community Infrastructure:</w:t>
      </w:r>
      <w:r w:rsidRPr="00E338F4">
        <w:rPr>
          <w:rFonts w:ascii="Arial" w:eastAsia="Times New Roman" w:hAnsi="Arial" w:cs="Arial"/>
          <w:color w:val="1F1F1F"/>
          <w:sz w:val="24"/>
          <w:szCs w:val="24"/>
          <w:lang w:eastAsia="en-GB"/>
        </w:rPr>
        <w:t xml:space="preserve"> The agency can capitalize on cookie deprecation and privacy laws by building proprietary, first-party data channels, such as creator-led SMS networks, private digital communities, and dedicated email lists (</w:t>
      </w:r>
      <w:proofErr w:type="spellStart"/>
      <w:r w:rsidRPr="00E338F4">
        <w:rPr>
          <w:rFonts w:ascii="Arial" w:eastAsia="Times New Roman" w:hAnsi="Arial" w:cs="Arial"/>
          <w:color w:val="1F1F1F"/>
          <w:sz w:val="24"/>
          <w:szCs w:val="24"/>
          <w:lang w:eastAsia="en-GB"/>
        </w:rPr>
        <w:t>Kozinets</w:t>
      </w:r>
      <w:proofErr w:type="spellEnd"/>
      <w:r w:rsidRPr="00E338F4">
        <w:rPr>
          <w:rFonts w:ascii="Arial" w:eastAsia="Times New Roman" w:hAnsi="Arial" w:cs="Arial"/>
          <w:color w:val="1F1F1F"/>
          <w:sz w:val="24"/>
          <w:szCs w:val="24"/>
          <w:lang w:eastAsia="en-GB"/>
        </w:rPr>
        <w:t>, 2022; McKinsey &amp; Company, 2026).</w:t>
      </w:r>
    </w:p>
    <w:p w:rsidR="009C0A6B" w:rsidRPr="00E338F4" w:rsidRDefault="009C0A6B" w:rsidP="00E338F4">
      <w:pPr>
        <w:numPr>
          <w:ilvl w:val="0"/>
          <w:numId w:val="4"/>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AI-Assisted Content Scale and Localization:</w:t>
      </w:r>
      <w:r w:rsidRPr="00E338F4">
        <w:rPr>
          <w:rFonts w:ascii="Arial" w:eastAsia="Times New Roman" w:hAnsi="Arial" w:cs="Arial"/>
          <w:color w:val="1F1F1F"/>
          <w:sz w:val="24"/>
          <w:szCs w:val="24"/>
          <w:lang w:eastAsia="en-GB"/>
        </w:rPr>
        <w:t xml:space="preserve"> Utilizing generative AI tools for backend optimization—such as multi-language translation, automated video editing, and audience data analytics—allows the agency to scale content volume without increasing employee headcount (Gartner, 2025).</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Threats</w:t>
      </w:r>
    </w:p>
    <w:p w:rsidR="009C0A6B" w:rsidRPr="00E338F4" w:rsidRDefault="009C0A6B" w:rsidP="00E338F4">
      <w:pPr>
        <w:numPr>
          <w:ilvl w:val="0"/>
          <w:numId w:val="5"/>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Algorithmic Disintermediation and Suppression:</w:t>
      </w:r>
      <w:r w:rsidRPr="00E338F4">
        <w:rPr>
          <w:rFonts w:ascii="Arial" w:eastAsia="Times New Roman" w:hAnsi="Arial" w:cs="Arial"/>
          <w:color w:val="1F1F1F"/>
          <w:sz w:val="24"/>
          <w:szCs w:val="24"/>
          <w:lang w:eastAsia="en-GB"/>
        </w:rPr>
        <w:t xml:space="preserve"> Sudden adjustments to platform recommendation systems can immediately suppress organic reach, threatening the agency's contract </w:t>
      </w:r>
      <w:r w:rsidR="00B95C84" w:rsidRPr="00E338F4">
        <w:rPr>
          <w:rFonts w:ascii="Arial" w:eastAsia="Times New Roman" w:hAnsi="Arial" w:cs="Arial"/>
          <w:color w:val="1F1F1F"/>
          <w:sz w:val="24"/>
          <w:szCs w:val="24"/>
          <w:lang w:eastAsia="en-GB"/>
        </w:rPr>
        <w:t>fulfilment</w:t>
      </w:r>
      <w:r w:rsidRPr="00E338F4">
        <w:rPr>
          <w:rFonts w:ascii="Arial" w:eastAsia="Times New Roman" w:hAnsi="Arial" w:cs="Arial"/>
          <w:color w:val="1F1F1F"/>
          <w:sz w:val="24"/>
          <w:szCs w:val="24"/>
          <w:lang w:eastAsia="en-GB"/>
        </w:rPr>
        <w:t xml:space="preserve"> and long-term revenue stability (Huh and Kim, 2024).</w:t>
      </w:r>
    </w:p>
    <w:p w:rsidR="009C0A6B" w:rsidRPr="00E338F4" w:rsidRDefault="009C0A6B" w:rsidP="00E338F4">
      <w:pPr>
        <w:numPr>
          <w:ilvl w:val="0"/>
          <w:numId w:val="5"/>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lastRenderedPageBreak/>
        <w:t>Performance Risk in Compensation Shifts:</w:t>
      </w:r>
      <w:r w:rsidRPr="00E338F4">
        <w:rPr>
          <w:rFonts w:ascii="Arial" w:eastAsia="Times New Roman" w:hAnsi="Arial" w:cs="Arial"/>
          <w:color w:val="1F1F1F"/>
          <w:sz w:val="24"/>
          <w:szCs w:val="24"/>
          <w:lang w:eastAsia="en-GB"/>
        </w:rPr>
        <w:t xml:space="preserve"> The corporate shift toward performance-based hybrid contracts threatens profit margins if creators fail to achieve immediate, trackable sales conversions in an oversaturated market (</w:t>
      </w:r>
      <w:proofErr w:type="spellStart"/>
      <w:r w:rsidRPr="00E338F4">
        <w:rPr>
          <w:rFonts w:ascii="Arial" w:eastAsia="Times New Roman" w:hAnsi="Arial" w:cs="Arial"/>
          <w:color w:val="1F1F1F"/>
          <w:sz w:val="24"/>
          <w:szCs w:val="24"/>
          <w:lang w:eastAsia="en-GB"/>
        </w:rPr>
        <w:t>Socialbakers</w:t>
      </w:r>
      <w:proofErr w:type="spellEnd"/>
      <w:r w:rsidRPr="00E338F4">
        <w:rPr>
          <w:rFonts w:ascii="Arial" w:eastAsia="Times New Roman" w:hAnsi="Arial" w:cs="Arial"/>
          <w:color w:val="1F1F1F"/>
          <w:sz w:val="24"/>
          <w:szCs w:val="24"/>
          <w:lang w:eastAsia="en-GB"/>
        </w:rPr>
        <w:t>, 2025).</w:t>
      </w:r>
    </w:p>
    <w:p w:rsidR="009C0A6B" w:rsidRPr="00E338F4" w:rsidRDefault="009C0A6B" w:rsidP="00E338F4">
      <w:pPr>
        <w:numPr>
          <w:ilvl w:val="0"/>
          <w:numId w:val="5"/>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Regulatory Compliance Penalties:</w:t>
      </w:r>
      <w:r w:rsidRPr="00E338F4">
        <w:rPr>
          <w:rFonts w:ascii="Arial" w:eastAsia="Times New Roman" w:hAnsi="Arial" w:cs="Arial"/>
          <w:color w:val="1F1F1F"/>
          <w:sz w:val="24"/>
          <w:szCs w:val="24"/>
          <w:lang w:eastAsia="en-GB"/>
        </w:rPr>
        <w:t xml:space="preserve"> Strict legal enforcement of AI disclosures and data privacy laws poses an ongoing threat of financial penalties if a managed creator inadvertently violates compliance protocols (ASA, 2025).</w:t>
      </w:r>
    </w:p>
    <w:p w:rsidR="009C0A6B" w:rsidRPr="00E338F4" w:rsidRDefault="009C0A6B" w:rsidP="00E338F4">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4.0 FUTURE LENS: APPLICATION OF THE DPSIR FRAMEWORK</w:t>
      </w:r>
    </w:p>
    <w:p w:rsidR="00113E0A" w:rsidRDefault="009C0A6B" w:rsidP="00113E0A">
      <w:pPr>
        <w:spacing w:before="100" w:beforeAutospacing="1" w:after="0" w:line="360" w:lineRule="auto"/>
        <w:jc w:val="both"/>
        <w:rPr>
          <w:rFonts w:ascii="Arial" w:eastAsia="Times New Roman" w:hAnsi="Arial" w:cs="Arial"/>
          <w:color w:val="1F1F1F"/>
          <w:sz w:val="24"/>
          <w:szCs w:val="24"/>
          <w:lang w:eastAsia="en-GB"/>
        </w:rPr>
      </w:pPr>
      <w:r w:rsidRPr="00E338F4">
        <w:rPr>
          <w:rFonts w:ascii="Arial" w:eastAsia="Times New Roman" w:hAnsi="Arial" w:cs="Arial"/>
          <w:color w:val="1F1F1F"/>
          <w:sz w:val="24"/>
          <w:szCs w:val="24"/>
          <w:lang w:eastAsia="en-GB"/>
        </w:rPr>
        <w:t>To anticipate structural disruptions over the next three to five years, the Driver-Pressure-State-Impact-Response (DPSIR) framework is applied to model the evolution of the creator economy.</w:t>
      </w:r>
    </w:p>
    <w:p w:rsidR="00113E0A" w:rsidRPr="00113E0A" w:rsidRDefault="00113E0A" w:rsidP="00113E0A">
      <w:pPr>
        <w:spacing w:before="100" w:beforeAutospacing="1" w:after="0" w:line="360" w:lineRule="auto"/>
        <w:jc w:val="both"/>
        <w:rPr>
          <w:rFonts w:ascii="Arial" w:eastAsia="Times New Roman" w:hAnsi="Arial" w:cs="Arial"/>
          <w:color w:val="1F1F1F"/>
          <w:sz w:val="24"/>
          <w:szCs w:val="24"/>
          <w:lang w:eastAsia="en-GB"/>
        </w:rPr>
      </w:pPr>
      <w:r w:rsidRPr="00113E0A">
        <w:rPr>
          <w:rFonts w:ascii="Arial" w:eastAsia="Times New Roman" w:hAnsi="Arial" w:cs="Arial"/>
          <w:b/>
          <w:bCs/>
          <w:color w:val="1F1F1F"/>
          <w:sz w:val="24"/>
          <w:szCs w:val="24"/>
          <w:lang w:eastAsia="en-GB"/>
        </w:rPr>
        <w:t>Drivers (D) and Pressures (P)</w:t>
      </w:r>
    </w:p>
    <w:p w:rsidR="00113E0A" w:rsidRPr="00113E0A" w:rsidRDefault="00113E0A" w:rsidP="00113E0A">
      <w:pPr>
        <w:spacing w:before="100" w:beforeAutospacing="1" w:after="0" w:line="360" w:lineRule="auto"/>
        <w:jc w:val="both"/>
        <w:outlineLvl w:val="1"/>
        <w:rPr>
          <w:rFonts w:ascii="Arial" w:eastAsia="Times New Roman" w:hAnsi="Arial" w:cs="Arial"/>
          <w:bCs/>
          <w:color w:val="1F1F1F"/>
          <w:sz w:val="24"/>
          <w:szCs w:val="24"/>
          <w:lang w:eastAsia="en-GB"/>
        </w:rPr>
      </w:pPr>
      <w:r w:rsidRPr="00113E0A">
        <w:rPr>
          <w:rFonts w:ascii="Arial" w:eastAsia="Times New Roman" w:hAnsi="Arial" w:cs="Arial"/>
          <w:bCs/>
          <w:color w:val="1F1F1F"/>
          <w:sz w:val="24"/>
          <w:szCs w:val="24"/>
          <w:lang w:eastAsia="en-GB"/>
        </w:rPr>
        <w:t xml:space="preserve">Macro-level Drivers are economic and technological: corporate demand for trackable marketing ROI combines with generative AI advancements that slash marginal content production costs (Goldman Sachs, 2023; Gartner, 2025). These drivers trigger severe Pressures—specifically absolute content saturation and algorithmic volatility—as platforms deploy tighter filtering mechanisms to manage heavy synthetic media influxes (Huh and Kim, 2024; </w:t>
      </w:r>
      <w:proofErr w:type="spellStart"/>
      <w:r w:rsidRPr="00113E0A">
        <w:rPr>
          <w:rFonts w:ascii="Arial" w:eastAsia="Times New Roman" w:hAnsi="Arial" w:cs="Arial"/>
          <w:bCs/>
          <w:color w:val="1F1F1F"/>
          <w:sz w:val="24"/>
          <w:szCs w:val="24"/>
          <w:lang w:eastAsia="en-GB"/>
        </w:rPr>
        <w:t>Kozinets</w:t>
      </w:r>
      <w:proofErr w:type="spellEnd"/>
      <w:r w:rsidRPr="00113E0A">
        <w:rPr>
          <w:rFonts w:ascii="Arial" w:eastAsia="Times New Roman" w:hAnsi="Arial" w:cs="Arial"/>
          <w:bCs/>
          <w:color w:val="1F1F1F"/>
          <w:sz w:val="24"/>
          <w:szCs w:val="24"/>
          <w:lang w:eastAsia="en-GB"/>
        </w:rPr>
        <w:t>, 2022).</w:t>
      </w:r>
    </w:p>
    <w:p w:rsidR="00113E0A" w:rsidRPr="00113E0A" w:rsidRDefault="00113E0A" w:rsidP="00113E0A">
      <w:pPr>
        <w:spacing w:before="100" w:beforeAutospacing="1" w:after="0" w:line="360" w:lineRule="auto"/>
        <w:jc w:val="both"/>
        <w:outlineLvl w:val="1"/>
        <w:rPr>
          <w:rFonts w:ascii="Arial" w:eastAsia="Times New Roman" w:hAnsi="Arial" w:cs="Arial"/>
          <w:b/>
          <w:bCs/>
          <w:color w:val="1F1F1F"/>
          <w:sz w:val="24"/>
          <w:szCs w:val="24"/>
          <w:lang w:eastAsia="en-GB"/>
        </w:rPr>
      </w:pPr>
      <w:r w:rsidRPr="00113E0A">
        <w:rPr>
          <w:rFonts w:ascii="Arial" w:eastAsia="Times New Roman" w:hAnsi="Arial" w:cs="Arial"/>
          <w:b/>
          <w:bCs/>
          <w:color w:val="1F1F1F"/>
          <w:sz w:val="24"/>
          <w:szCs w:val="24"/>
          <w:lang w:eastAsia="en-GB"/>
        </w:rPr>
        <w:t>State (S) and Impact (I)</w:t>
      </w:r>
    </w:p>
    <w:p w:rsidR="00113E0A" w:rsidRPr="00113E0A" w:rsidRDefault="00113E0A" w:rsidP="00113E0A">
      <w:pPr>
        <w:spacing w:before="100" w:beforeAutospacing="1" w:after="0" w:line="360" w:lineRule="auto"/>
        <w:jc w:val="both"/>
        <w:outlineLvl w:val="1"/>
        <w:rPr>
          <w:rFonts w:ascii="Arial" w:eastAsia="Times New Roman" w:hAnsi="Arial" w:cs="Arial"/>
          <w:bCs/>
          <w:color w:val="1F1F1F"/>
          <w:sz w:val="24"/>
          <w:szCs w:val="24"/>
          <w:lang w:eastAsia="en-GB"/>
        </w:rPr>
      </w:pPr>
      <w:r w:rsidRPr="00113E0A">
        <w:rPr>
          <w:rFonts w:ascii="Arial" w:eastAsia="Times New Roman" w:hAnsi="Arial" w:cs="Arial"/>
          <w:bCs/>
          <w:color w:val="1F1F1F"/>
          <w:sz w:val="24"/>
          <w:szCs w:val="24"/>
          <w:lang w:eastAsia="en-GB"/>
        </w:rPr>
        <w:t>Consequently, the ecosystem's current State features declining organic reach and "platform enclosure," where networks restrict external links to retain users within closed, native shopping environments (</w:t>
      </w:r>
      <w:proofErr w:type="spellStart"/>
      <w:r w:rsidRPr="00113E0A">
        <w:rPr>
          <w:rFonts w:ascii="Arial" w:eastAsia="Times New Roman" w:hAnsi="Arial" w:cs="Arial"/>
          <w:bCs/>
          <w:color w:val="1F1F1F"/>
          <w:sz w:val="24"/>
          <w:szCs w:val="24"/>
          <w:lang w:eastAsia="en-GB"/>
        </w:rPr>
        <w:t>Zuboff</w:t>
      </w:r>
      <w:proofErr w:type="spellEnd"/>
      <w:r w:rsidRPr="00113E0A">
        <w:rPr>
          <w:rFonts w:ascii="Arial" w:eastAsia="Times New Roman" w:hAnsi="Arial" w:cs="Arial"/>
          <w:bCs/>
          <w:color w:val="1F1F1F"/>
          <w:sz w:val="24"/>
          <w:szCs w:val="24"/>
          <w:lang w:eastAsia="en-GB"/>
        </w:rPr>
        <w:t xml:space="preserve">, 2023). This inflicts severe strategic Impacts on talent agencies: profit margins compress under performance-based contracts, operational vulnerability to algorithmic shifts spikes, and audience trust dilutes amid unverified synthetic content oversupply (MDPI Research, 2026; </w:t>
      </w:r>
      <w:proofErr w:type="spellStart"/>
      <w:r w:rsidRPr="00113E0A">
        <w:rPr>
          <w:rFonts w:ascii="Arial" w:eastAsia="Times New Roman" w:hAnsi="Arial" w:cs="Arial"/>
          <w:bCs/>
          <w:color w:val="1F1F1F"/>
          <w:sz w:val="24"/>
          <w:szCs w:val="24"/>
          <w:lang w:eastAsia="en-GB"/>
        </w:rPr>
        <w:t>Socialbakers</w:t>
      </w:r>
      <w:proofErr w:type="spellEnd"/>
      <w:r w:rsidRPr="00113E0A">
        <w:rPr>
          <w:rFonts w:ascii="Arial" w:eastAsia="Times New Roman" w:hAnsi="Arial" w:cs="Arial"/>
          <w:bCs/>
          <w:color w:val="1F1F1F"/>
          <w:sz w:val="24"/>
          <w:szCs w:val="24"/>
          <w:lang w:eastAsia="en-GB"/>
        </w:rPr>
        <w:t>, 2025).</w:t>
      </w:r>
    </w:p>
    <w:p w:rsidR="00113E0A" w:rsidRPr="00113E0A" w:rsidRDefault="00113E0A" w:rsidP="00113E0A">
      <w:pPr>
        <w:spacing w:before="100" w:beforeAutospacing="1" w:after="0" w:line="360" w:lineRule="auto"/>
        <w:jc w:val="both"/>
        <w:outlineLvl w:val="1"/>
        <w:rPr>
          <w:rFonts w:ascii="Arial" w:eastAsia="Times New Roman" w:hAnsi="Arial" w:cs="Arial"/>
          <w:b/>
          <w:bCs/>
          <w:color w:val="1F1F1F"/>
          <w:sz w:val="24"/>
          <w:szCs w:val="24"/>
          <w:lang w:eastAsia="en-GB"/>
        </w:rPr>
      </w:pPr>
      <w:r w:rsidRPr="00113E0A">
        <w:rPr>
          <w:rFonts w:ascii="Arial" w:eastAsia="Times New Roman" w:hAnsi="Arial" w:cs="Arial"/>
          <w:b/>
          <w:bCs/>
          <w:color w:val="1F1F1F"/>
          <w:sz w:val="24"/>
          <w:szCs w:val="24"/>
          <w:lang w:eastAsia="en-GB"/>
        </w:rPr>
        <w:t>Responses (R)</w:t>
      </w:r>
    </w:p>
    <w:p w:rsidR="00113E0A" w:rsidRPr="00113E0A" w:rsidRDefault="00113E0A" w:rsidP="00113E0A">
      <w:pPr>
        <w:spacing w:before="100" w:beforeAutospacing="1" w:after="0" w:line="360" w:lineRule="auto"/>
        <w:jc w:val="both"/>
        <w:outlineLvl w:val="1"/>
        <w:rPr>
          <w:rFonts w:ascii="Arial" w:eastAsia="Times New Roman" w:hAnsi="Arial" w:cs="Arial"/>
          <w:bCs/>
          <w:color w:val="1F1F1F"/>
          <w:sz w:val="24"/>
          <w:szCs w:val="24"/>
          <w:lang w:eastAsia="en-GB"/>
        </w:rPr>
      </w:pPr>
      <w:r w:rsidRPr="00113E0A">
        <w:rPr>
          <w:rFonts w:ascii="Arial" w:eastAsia="Times New Roman" w:hAnsi="Arial" w:cs="Arial"/>
          <w:bCs/>
          <w:color w:val="1F1F1F"/>
          <w:sz w:val="24"/>
          <w:szCs w:val="24"/>
          <w:lang w:eastAsia="en-GB"/>
        </w:rPr>
        <w:lastRenderedPageBreak/>
        <w:t>Strategic Responses must shift from reactive content adjustments to structural innovation. First, the agency must transition from "rented platform equity" to "owned media infrastructure," migrating audiences into private, creator-owned ecosystems (</w:t>
      </w:r>
      <w:proofErr w:type="spellStart"/>
      <w:r w:rsidRPr="00113E0A">
        <w:rPr>
          <w:rFonts w:ascii="Arial" w:eastAsia="Times New Roman" w:hAnsi="Arial" w:cs="Arial"/>
          <w:bCs/>
          <w:color w:val="1F1F1F"/>
          <w:sz w:val="24"/>
          <w:szCs w:val="24"/>
          <w:lang w:eastAsia="en-GB"/>
        </w:rPr>
        <w:t>Kozinets</w:t>
      </w:r>
      <w:proofErr w:type="spellEnd"/>
      <w:r w:rsidRPr="00113E0A">
        <w:rPr>
          <w:rFonts w:ascii="Arial" w:eastAsia="Times New Roman" w:hAnsi="Arial" w:cs="Arial"/>
          <w:bCs/>
          <w:color w:val="1F1F1F"/>
          <w:sz w:val="24"/>
          <w:szCs w:val="24"/>
          <w:lang w:eastAsia="en-GB"/>
        </w:rPr>
        <w:t>, 2022). Second, the agency must deploy automated compliance software to systematically mitigate the expanding legal and ethical risks of regulatory non-compliance (Wageningen University &amp; Research, 2024).</w:t>
      </w:r>
    </w:p>
    <w:p w:rsidR="009C0A6B" w:rsidRPr="00E338F4" w:rsidRDefault="009C0A6B" w:rsidP="00113E0A">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5.0 ACTIONABLE RECOMMENDATIONS AND CONCLUSION</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Recommendation 1: Audience Migration to Owned Infrastructure</w:t>
      </w:r>
    </w:p>
    <w:p w:rsidR="009C0A6B" w:rsidRPr="00E338F4" w:rsidRDefault="009C0A6B" w:rsidP="00E338F4">
      <w:pPr>
        <w:numPr>
          <w:ilvl w:val="0"/>
          <w:numId w:val="6"/>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Action:</w:t>
      </w:r>
      <w:r w:rsidRPr="00E338F4">
        <w:rPr>
          <w:rFonts w:ascii="Arial" w:eastAsia="Times New Roman" w:hAnsi="Arial" w:cs="Arial"/>
          <w:color w:val="1F1F1F"/>
          <w:sz w:val="24"/>
          <w:szCs w:val="24"/>
          <w:lang w:eastAsia="en-GB"/>
        </w:rPr>
        <w:t xml:space="preserve"> The agency must mandate that all managed creators systematically migrate their audiences from third-party social platforms into owned digital channels, specifically private Discord communities, </w:t>
      </w:r>
      <w:proofErr w:type="spellStart"/>
      <w:r w:rsidRPr="00E338F4">
        <w:rPr>
          <w:rFonts w:ascii="Arial" w:eastAsia="Times New Roman" w:hAnsi="Arial" w:cs="Arial"/>
          <w:color w:val="1F1F1F"/>
          <w:sz w:val="24"/>
          <w:szCs w:val="24"/>
          <w:lang w:eastAsia="en-GB"/>
        </w:rPr>
        <w:t>Substack</w:t>
      </w:r>
      <w:proofErr w:type="spellEnd"/>
      <w:r w:rsidRPr="00E338F4">
        <w:rPr>
          <w:rFonts w:ascii="Arial" w:eastAsia="Times New Roman" w:hAnsi="Arial" w:cs="Arial"/>
          <w:color w:val="1F1F1F"/>
          <w:sz w:val="24"/>
          <w:szCs w:val="24"/>
          <w:lang w:eastAsia="en-GB"/>
        </w:rPr>
        <w:t xml:space="preserve"> newsletters, and proprietary SMS alert lists.</w:t>
      </w:r>
    </w:p>
    <w:p w:rsidR="009C0A6B" w:rsidRPr="00E338F4" w:rsidRDefault="009C0A6B" w:rsidP="00E338F4">
      <w:pPr>
        <w:numPr>
          <w:ilvl w:val="0"/>
          <w:numId w:val="6"/>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Cost Implications:</w:t>
      </w:r>
      <w:r w:rsidRPr="00E338F4">
        <w:rPr>
          <w:rFonts w:ascii="Arial" w:eastAsia="Times New Roman" w:hAnsi="Arial" w:cs="Arial"/>
          <w:color w:val="1F1F1F"/>
          <w:sz w:val="24"/>
          <w:szCs w:val="24"/>
          <w:lang w:eastAsia="en-GB"/>
        </w:rPr>
        <w:t xml:space="preserve"> Low to Moderate. Requires initial investments in community management software and automated email marketing platforms (approx. £300–£500 monthly per creator portfolio hub).</w:t>
      </w:r>
    </w:p>
    <w:p w:rsidR="009C0A6B" w:rsidRPr="00E338F4" w:rsidRDefault="009C0A6B" w:rsidP="00E338F4">
      <w:pPr>
        <w:numPr>
          <w:ilvl w:val="0"/>
          <w:numId w:val="6"/>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Strategic Impact:</w:t>
      </w:r>
      <w:r w:rsidRPr="00E338F4">
        <w:rPr>
          <w:rFonts w:ascii="Arial" w:eastAsia="Times New Roman" w:hAnsi="Arial" w:cs="Arial"/>
          <w:color w:val="1F1F1F"/>
          <w:sz w:val="24"/>
          <w:szCs w:val="24"/>
          <w:lang w:eastAsia="en-GB"/>
        </w:rPr>
        <w:t xml:space="preserve"> High. This strategy decouples the agency’s core assets from algorithmic volatility. By building first-party data assets, the agency secures stable distribution that can be monetized independently of social platform changes, directly addressing a primary STEEPLE threat (</w:t>
      </w:r>
      <w:proofErr w:type="spellStart"/>
      <w:r w:rsidRPr="00E338F4">
        <w:rPr>
          <w:rFonts w:ascii="Arial" w:eastAsia="Times New Roman" w:hAnsi="Arial" w:cs="Arial"/>
          <w:color w:val="1F1F1F"/>
          <w:sz w:val="24"/>
          <w:szCs w:val="24"/>
          <w:lang w:eastAsia="en-GB"/>
        </w:rPr>
        <w:t>Kozinets</w:t>
      </w:r>
      <w:proofErr w:type="spellEnd"/>
      <w:r w:rsidRPr="00E338F4">
        <w:rPr>
          <w:rFonts w:ascii="Arial" w:eastAsia="Times New Roman" w:hAnsi="Arial" w:cs="Arial"/>
          <w:color w:val="1F1F1F"/>
          <w:sz w:val="24"/>
          <w:szCs w:val="24"/>
          <w:lang w:eastAsia="en-GB"/>
        </w:rPr>
        <w:t>, 2022; McKinsey &amp; Company, 2026).</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Recommendation 2: Implementation of an AI-Powered Legal Compliance Protocol</w:t>
      </w:r>
    </w:p>
    <w:p w:rsidR="009C0A6B" w:rsidRPr="00E338F4" w:rsidRDefault="009C0A6B" w:rsidP="00E338F4">
      <w:pPr>
        <w:numPr>
          <w:ilvl w:val="0"/>
          <w:numId w:val="7"/>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Action:</w:t>
      </w:r>
      <w:r w:rsidRPr="00E338F4">
        <w:rPr>
          <w:rFonts w:ascii="Arial" w:eastAsia="Times New Roman" w:hAnsi="Arial" w:cs="Arial"/>
          <w:color w:val="1F1F1F"/>
          <w:sz w:val="24"/>
          <w:szCs w:val="24"/>
          <w:lang w:eastAsia="en-GB"/>
        </w:rPr>
        <w:t xml:space="preserve"> Deploy automated regulatory screening software (such as specialized AI legal compliance tools) to audit every piece of sponsored and branded content across the agency’s portfolio prior to public release.</w:t>
      </w:r>
    </w:p>
    <w:p w:rsidR="009C0A6B" w:rsidRPr="00E338F4" w:rsidRDefault="009C0A6B" w:rsidP="00E338F4">
      <w:pPr>
        <w:numPr>
          <w:ilvl w:val="0"/>
          <w:numId w:val="7"/>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Cost Implications:</w:t>
      </w:r>
      <w:r w:rsidRPr="00E338F4">
        <w:rPr>
          <w:rFonts w:ascii="Arial" w:eastAsia="Times New Roman" w:hAnsi="Arial" w:cs="Arial"/>
          <w:color w:val="1F1F1F"/>
          <w:sz w:val="24"/>
          <w:szCs w:val="24"/>
          <w:lang w:eastAsia="en-GB"/>
        </w:rPr>
        <w:t xml:space="preserve"> Moderate. Involves enterprise software subscription fees (approx. £1,200 annually), alongside staff time dedicated to cross-checking automated compliance flags.</w:t>
      </w:r>
    </w:p>
    <w:p w:rsidR="009C0A6B" w:rsidRPr="00E338F4" w:rsidRDefault="009C0A6B" w:rsidP="00E338F4">
      <w:pPr>
        <w:numPr>
          <w:ilvl w:val="0"/>
          <w:numId w:val="7"/>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b/>
          <w:bCs/>
          <w:color w:val="1F1F1F"/>
          <w:sz w:val="24"/>
          <w:szCs w:val="24"/>
          <w:bdr w:val="none" w:sz="0" w:space="0" w:color="auto" w:frame="1"/>
          <w:lang w:eastAsia="en-GB"/>
        </w:rPr>
        <w:t>Strategic Impact:</w:t>
      </w:r>
      <w:r w:rsidRPr="00E338F4">
        <w:rPr>
          <w:rFonts w:ascii="Arial" w:eastAsia="Times New Roman" w:hAnsi="Arial" w:cs="Arial"/>
          <w:color w:val="1F1F1F"/>
          <w:sz w:val="24"/>
          <w:szCs w:val="24"/>
          <w:lang w:eastAsia="en-GB"/>
        </w:rPr>
        <w:t xml:space="preserve"> Immediate Risk Mitigation. This protocol ensures absolute compliance with ASA, FTC, and DSA mandates. It protects the agency from catastrophic financial penalties and strengthens its market position as a highly </w:t>
      </w:r>
      <w:r w:rsidRPr="00E338F4">
        <w:rPr>
          <w:rFonts w:ascii="Arial" w:eastAsia="Times New Roman" w:hAnsi="Arial" w:cs="Arial"/>
          <w:color w:val="1F1F1F"/>
          <w:sz w:val="24"/>
          <w:szCs w:val="24"/>
          <w:lang w:eastAsia="en-GB"/>
        </w:rPr>
        <w:lastRenderedPageBreak/>
        <w:t>compliant partner for institutional corporate brands (ASA, 2025; European Union, 2024; FTC, 2026).</w:t>
      </w:r>
    </w:p>
    <w:p w:rsidR="009C0A6B" w:rsidRPr="00E338F4" w:rsidRDefault="009C0A6B" w:rsidP="00E338F4">
      <w:pPr>
        <w:spacing w:before="100" w:beforeAutospacing="1" w:after="0" w:line="360" w:lineRule="auto"/>
        <w:jc w:val="both"/>
        <w:outlineLvl w:val="2"/>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Conclusion</w:t>
      </w:r>
    </w:p>
    <w:p w:rsidR="00E338F4" w:rsidRPr="00E338F4" w:rsidRDefault="00582AD7" w:rsidP="00E338F4">
      <w:pPr>
        <w:spacing w:before="100" w:beforeAutospacing="1" w:after="0" w:line="360" w:lineRule="auto"/>
        <w:jc w:val="both"/>
        <w:outlineLvl w:val="1"/>
        <w:rPr>
          <w:rFonts w:ascii="Arial" w:eastAsia="Times New Roman" w:hAnsi="Arial" w:cs="Arial"/>
          <w:color w:val="1F1F1F"/>
          <w:sz w:val="24"/>
          <w:szCs w:val="24"/>
          <w:lang w:eastAsia="en-GB"/>
        </w:rPr>
      </w:pPr>
      <w:r w:rsidRPr="00582AD7">
        <w:rPr>
          <w:rFonts w:ascii="Arial" w:eastAsia="Times New Roman" w:hAnsi="Arial" w:cs="Arial"/>
          <w:color w:val="1F1F1F"/>
          <w:sz w:val="24"/>
          <w:szCs w:val="24"/>
          <w:lang w:eastAsia="en-GB"/>
        </w:rPr>
        <w:t>The 2026 creator economy demands that digital talent agencies evolve from basic booking agents into sophisticated, risk-aware media management firms. As the STEEPLE and DPSIR frameworks demonstrate, technological advancements and strict regulatory overhauls introduce severe structural risks for firms dependent on volatile platform algorithms. Relying on third-party networks remains a critical vulnerability. By navigating these macro-environmental interconnections and executing targeted strategic shifts—specifically developing owned audience infrastructure and automating regulatory compliance—the agency can transform external pressures into defensible, long-term competitive advantages.</w:t>
      </w:r>
    </w:p>
    <w:p w:rsidR="00E338F4" w:rsidRPr="00E338F4" w:rsidRDefault="00E338F4" w:rsidP="00E338F4">
      <w:pPr>
        <w:spacing w:before="100" w:beforeAutospacing="1" w:after="0" w:line="360" w:lineRule="auto"/>
        <w:jc w:val="both"/>
        <w:outlineLvl w:val="1"/>
        <w:rPr>
          <w:rFonts w:ascii="Arial" w:eastAsia="Times New Roman" w:hAnsi="Arial" w:cs="Arial"/>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color w:val="1F1F1F"/>
          <w:sz w:val="24"/>
          <w:szCs w:val="24"/>
          <w:lang w:eastAsia="en-GB"/>
        </w:rPr>
      </w:pPr>
    </w:p>
    <w:p w:rsidR="00E338F4" w:rsidRPr="00E338F4" w:rsidRDefault="00E338F4" w:rsidP="00E338F4">
      <w:pPr>
        <w:spacing w:before="100" w:beforeAutospacing="1" w:after="0" w:line="360" w:lineRule="auto"/>
        <w:jc w:val="both"/>
        <w:outlineLvl w:val="1"/>
        <w:rPr>
          <w:rFonts w:ascii="Arial" w:eastAsia="Times New Roman" w:hAnsi="Arial" w:cs="Arial"/>
          <w:color w:val="1F1F1F"/>
          <w:sz w:val="24"/>
          <w:szCs w:val="24"/>
          <w:lang w:eastAsia="en-GB"/>
        </w:rPr>
      </w:pPr>
    </w:p>
    <w:p w:rsidR="009C0A6B" w:rsidRPr="00E338F4" w:rsidRDefault="009C0A6B" w:rsidP="00E338F4">
      <w:pPr>
        <w:spacing w:before="100" w:beforeAutospacing="1" w:after="0" w:line="360" w:lineRule="auto"/>
        <w:jc w:val="both"/>
        <w:outlineLvl w:val="1"/>
        <w:rPr>
          <w:rFonts w:ascii="Arial" w:eastAsia="Times New Roman" w:hAnsi="Arial" w:cs="Arial"/>
          <w:b/>
          <w:bCs/>
          <w:color w:val="1F1F1F"/>
          <w:sz w:val="24"/>
          <w:szCs w:val="24"/>
          <w:lang w:eastAsia="en-GB"/>
        </w:rPr>
      </w:pPr>
      <w:r w:rsidRPr="00E338F4">
        <w:rPr>
          <w:rFonts w:ascii="Arial" w:eastAsia="Times New Roman" w:hAnsi="Arial" w:cs="Arial"/>
          <w:b/>
          <w:bCs/>
          <w:color w:val="1F1F1F"/>
          <w:sz w:val="24"/>
          <w:szCs w:val="24"/>
          <w:lang w:eastAsia="en-GB"/>
        </w:rPr>
        <w:t>6.0 REFERENC</w:t>
      </w:r>
      <w:r w:rsidR="00E338F4" w:rsidRPr="00E338F4">
        <w:rPr>
          <w:rFonts w:ascii="Arial" w:eastAsia="Times New Roman" w:hAnsi="Arial" w:cs="Arial"/>
          <w:b/>
          <w:bCs/>
          <w:color w:val="1F1F1F"/>
          <w:sz w:val="24"/>
          <w:szCs w:val="24"/>
          <w:lang w:eastAsia="en-GB"/>
        </w:rPr>
        <w:t>ES</w:t>
      </w:r>
    </w:p>
    <w:p w:rsidR="009C0A6B" w:rsidRPr="00E338F4" w:rsidRDefault="00590F6B"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7" w:history="1">
        <w:r w:rsidR="009C0A6B" w:rsidRPr="00E338F4">
          <w:rPr>
            <w:rStyle w:val="Hyperlink"/>
            <w:rFonts w:ascii="Arial" w:eastAsia="Times New Roman" w:hAnsi="Arial" w:cs="Arial"/>
            <w:sz w:val="24"/>
            <w:szCs w:val="24"/>
            <w:lang w:eastAsia="en-GB"/>
          </w:rPr>
          <w:t xml:space="preserve">Advertising Standards Authority (ASA), 2025. </w:t>
        </w:r>
        <w:r w:rsidR="009C0A6B" w:rsidRPr="00E338F4">
          <w:rPr>
            <w:rStyle w:val="Hyperlink"/>
            <w:rFonts w:ascii="Arial" w:eastAsia="Times New Roman" w:hAnsi="Arial" w:cs="Arial"/>
            <w:i/>
            <w:iCs/>
            <w:sz w:val="24"/>
            <w:szCs w:val="24"/>
            <w:bdr w:val="none" w:sz="0" w:space="0" w:color="auto" w:frame="1"/>
            <w:lang w:eastAsia="en-GB"/>
          </w:rPr>
          <w:t>Influencers' guide to making clear that ads are ads</w:t>
        </w:r>
        <w:r w:rsidR="009C0A6B" w:rsidRPr="00E338F4">
          <w:rPr>
            <w:rStyle w:val="Hyperlink"/>
            <w:rFonts w:ascii="Arial" w:eastAsia="Times New Roman" w:hAnsi="Arial" w:cs="Arial"/>
            <w:sz w:val="24"/>
            <w:szCs w:val="24"/>
            <w:lang w:eastAsia="en-GB"/>
          </w:rPr>
          <w:t>. London: ASA.</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8" w:history="1">
        <w:r w:rsidR="009C0A6B" w:rsidRPr="00E338F4">
          <w:rPr>
            <w:rStyle w:val="Hyperlink"/>
            <w:rFonts w:ascii="Arial" w:eastAsia="Times New Roman" w:hAnsi="Arial" w:cs="Arial"/>
            <w:sz w:val="24"/>
            <w:szCs w:val="24"/>
            <w:lang w:eastAsia="en-GB"/>
          </w:rPr>
          <w:t xml:space="preserve">Campbell, C. and Farrell, J.R., 2020. From digital coin to social currency: A characteristics framework for influencer marketing. </w:t>
        </w:r>
        <w:r w:rsidR="009C0A6B" w:rsidRPr="00E338F4">
          <w:rPr>
            <w:rStyle w:val="Hyperlink"/>
            <w:rFonts w:ascii="Arial" w:eastAsia="Times New Roman" w:hAnsi="Arial" w:cs="Arial"/>
            <w:i/>
            <w:iCs/>
            <w:sz w:val="24"/>
            <w:szCs w:val="24"/>
            <w:bdr w:val="none" w:sz="0" w:space="0" w:color="auto" w:frame="1"/>
            <w:lang w:eastAsia="en-GB"/>
          </w:rPr>
          <w:t>Business Horizons</w:t>
        </w:r>
        <w:r w:rsidR="009C0A6B" w:rsidRPr="00E338F4">
          <w:rPr>
            <w:rStyle w:val="Hyperlink"/>
            <w:rFonts w:ascii="Arial" w:eastAsia="Times New Roman" w:hAnsi="Arial" w:cs="Arial"/>
            <w:sz w:val="24"/>
            <w:szCs w:val="24"/>
            <w:lang w:eastAsia="en-GB"/>
          </w:rPr>
          <w:t>, 63(6), pp.691-702.</w:t>
        </w:r>
      </w:hyperlink>
    </w:p>
    <w:p w:rsidR="009C0A6B" w:rsidRPr="00E338F4" w:rsidRDefault="009C0A6B"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color w:val="1F1F1F"/>
          <w:sz w:val="24"/>
          <w:szCs w:val="24"/>
          <w:lang w:eastAsia="en-GB"/>
        </w:rPr>
        <w:t xml:space="preserve">Cheshire, C. and Cook, K.S., 2022. Social exchange networks and the production of trust in digital economies. </w:t>
      </w:r>
      <w:r w:rsidRPr="00E338F4">
        <w:rPr>
          <w:rFonts w:ascii="Arial" w:eastAsia="Times New Roman" w:hAnsi="Arial" w:cs="Arial"/>
          <w:i/>
          <w:iCs/>
          <w:color w:val="1F1F1F"/>
          <w:sz w:val="24"/>
          <w:szCs w:val="24"/>
          <w:bdr w:val="none" w:sz="0" w:space="0" w:color="auto" w:frame="1"/>
          <w:lang w:eastAsia="en-GB"/>
        </w:rPr>
        <w:t>Social Psychology Quarterly</w:t>
      </w:r>
      <w:r w:rsidRPr="00E338F4">
        <w:rPr>
          <w:rFonts w:ascii="Arial" w:eastAsia="Times New Roman" w:hAnsi="Arial" w:cs="Arial"/>
          <w:color w:val="1F1F1F"/>
          <w:sz w:val="24"/>
          <w:szCs w:val="24"/>
          <w:lang w:eastAsia="en-GB"/>
        </w:rPr>
        <w:t>, 85(4), pp.321-343.</w:t>
      </w:r>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9" w:history="1">
        <w:r w:rsidR="009C0A6B" w:rsidRPr="00E338F4">
          <w:rPr>
            <w:rStyle w:val="Hyperlink"/>
            <w:rFonts w:ascii="Arial" w:eastAsia="Times New Roman" w:hAnsi="Arial" w:cs="Arial"/>
            <w:sz w:val="24"/>
            <w:szCs w:val="24"/>
            <w:lang w:eastAsia="en-GB"/>
          </w:rPr>
          <w:t xml:space="preserve">European Union, 2024. </w:t>
        </w:r>
        <w:r w:rsidR="009C0A6B" w:rsidRPr="00E338F4">
          <w:rPr>
            <w:rStyle w:val="Hyperlink"/>
            <w:rFonts w:ascii="Arial" w:eastAsia="Times New Roman" w:hAnsi="Arial" w:cs="Arial"/>
            <w:i/>
            <w:iCs/>
            <w:sz w:val="24"/>
            <w:szCs w:val="24"/>
            <w:bdr w:val="none" w:sz="0" w:space="0" w:color="auto" w:frame="1"/>
            <w:lang w:eastAsia="en-GB"/>
          </w:rPr>
          <w:t>Regulation (EU) 2024/900 on the transparency and targeting of political advertising and broader digital service moderation (Digital Services Act)</w:t>
        </w:r>
        <w:r w:rsidR="009C0A6B" w:rsidRPr="00E338F4">
          <w:rPr>
            <w:rStyle w:val="Hyperlink"/>
            <w:rFonts w:ascii="Arial" w:eastAsia="Times New Roman" w:hAnsi="Arial" w:cs="Arial"/>
            <w:sz w:val="24"/>
            <w:szCs w:val="24"/>
            <w:lang w:eastAsia="en-GB"/>
          </w:rPr>
          <w:t>. Brussels: European Parliament.</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0" w:history="1">
        <w:r w:rsidR="009C0A6B" w:rsidRPr="00E338F4">
          <w:rPr>
            <w:rStyle w:val="Hyperlink"/>
            <w:rFonts w:ascii="Arial" w:eastAsia="Times New Roman" w:hAnsi="Arial" w:cs="Arial"/>
            <w:sz w:val="24"/>
            <w:szCs w:val="24"/>
            <w:lang w:eastAsia="en-GB"/>
          </w:rPr>
          <w:t xml:space="preserve">Federal Trade Commission (FTC), 2026. </w:t>
        </w:r>
        <w:r w:rsidR="009C0A6B" w:rsidRPr="00E338F4">
          <w:rPr>
            <w:rStyle w:val="Hyperlink"/>
            <w:rFonts w:ascii="Arial" w:eastAsia="Times New Roman" w:hAnsi="Arial" w:cs="Arial"/>
            <w:i/>
            <w:iCs/>
            <w:sz w:val="24"/>
            <w:szCs w:val="24"/>
            <w:bdr w:val="none" w:sz="0" w:space="0" w:color="auto" w:frame="1"/>
            <w:lang w:eastAsia="en-GB"/>
          </w:rPr>
          <w:t>Guides concerning the use of endorsements and testimonials in advertising</w:t>
        </w:r>
        <w:r w:rsidR="009C0A6B" w:rsidRPr="00E338F4">
          <w:rPr>
            <w:rStyle w:val="Hyperlink"/>
            <w:rFonts w:ascii="Arial" w:eastAsia="Times New Roman" w:hAnsi="Arial" w:cs="Arial"/>
            <w:sz w:val="24"/>
            <w:szCs w:val="24"/>
            <w:lang w:eastAsia="en-GB"/>
          </w:rPr>
          <w:t>. Washington, DC: FTC.</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1" w:history="1">
        <w:r w:rsidR="009C0A6B" w:rsidRPr="00E338F4">
          <w:rPr>
            <w:rStyle w:val="Hyperlink"/>
            <w:rFonts w:ascii="Arial" w:eastAsia="Times New Roman" w:hAnsi="Arial" w:cs="Arial"/>
            <w:sz w:val="24"/>
            <w:szCs w:val="24"/>
            <w:lang w:eastAsia="en-GB"/>
          </w:rPr>
          <w:t xml:space="preserve">Gartner, 2025. </w:t>
        </w:r>
        <w:r w:rsidR="009C0A6B" w:rsidRPr="00E338F4">
          <w:rPr>
            <w:rStyle w:val="Hyperlink"/>
            <w:rFonts w:ascii="Arial" w:eastAsia="Times New Roman" w:hAnsi="Arial" w:cs="Arial"/>
            <w:i/>
            <w:iCs/>
            <w:sz w:val="24"/>
            <w:szCs w:val="24"/>
            <w:bdr w:val="none" w:sz="0" w:space="0" w:color="auto" w:frame="1"/>
            <w:lang w:eastAsia="en-GB"/>
          </w:rPr>
          <w:t>The state of generative AI in marketing and the creator landscape</w:t>
        </w:r>
        <w:r w:rsidR="009C0A6B" w:rsidRPr="00E338F4">
          <w:rPr>
            <w:rStyle w:val="Hyperlink"/>
            <w:rFonts w:ascii="Arial" w:eastAsia="Times New Roman" w:hAnsi="Arial" w:cs="Arial"/>
            <w:sz w:val="24"/>
            <w:szCs w:val="24"/>
            <w:lang w:eastAsia="en-GB"/>
          </w:rPr>
          <w:t>. Stamford: Gartner Research.</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2" w:history="1">
        <w:r w:rsidR="009C0A6B" w:rsidRPr="00E338F4">
          <w:rPr>
            <w:rStyle w:val="Hyperlink"/>
            <w:rFonts w:ascii="Arial" w:eastAsia="Times New Roman" w:hAnsi="Arial" w:cs="Arial"/>
            <w:sz w:val="24"/>
            <w:szCs w:val="24"/>
            <w:lang w:eastAsia="en-GB"/>
          </w:rPr>
          <w:t xml:space="preserve">Geyser, W., 2025. </w:t>
        </w:r>
        <w:r w:rsidR="009C0A6B" w:rsidRPr="00E338F4">
          <w:rPr>
            <w:rStyle w:val="Hyperlink"/>
            <w:rFonts w:ascii="Arial" w:eastAsia="Times New Roman" w:hAnsi="Arial" w:cs="Arial"/>
            <w:i/>
            <w:iCs/>
            <w:sz w:val="24"/>
            <w:szCs w:val="24"/>
            <w:bdr w:val="none" w:sz="0" w:space="0" w:color="auto" w:frame="1"/>
            <w:lang w:eastAsia="en-GB"/>
          </w:rPr>
          <w:t>The state of influencer marketing 2025: Benchmark report</w:t>
        </w:r>
        <w:r w:rsidR="009C0A6B" w:rsidRPr="00E338F4">
          <w:rPr>
            <w:rStyle w:val="Hyperlink"/>
            <w:rFonts w:ascii="Arial" w:eastAsia="Times New Roman" w:hAnsi="Arial" w:cs="Arial"/>
            <w:sz w:val="24"/>
            <w:szCs w:val="24"/>
            <w:lang w:eastAsia="en-GB"/>
          </w:rPr>
          <w:t>. Austin: Influencer Marketing Hub.</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3" w:history="1">
        <w:r w:rsidR="009C0A6B" w:rsidRPr="00E338F4">
          <w:rPr>
            <w:rStyle w:val="Hyperlink"/>
            <w:rFonts w:ascii="Arial" w:eastAsia="Times New Roman" w:hAnsi="Arial" w:cs="Arial"/>
            <w:sz w:val="24"/>
            <w:szCs w:val="24"/>
            <w:lang w:eastAsia="en-GB"/>
          </w:rPr>
          <w:t xml:space="preserve">Goldman Sachs, 2023. </w:t>
        </w:r>
        <w:r w:rsidR="009C0A6B" w:rsidRPr="00E338F4">
          <w:rPr>
            <w:rStyle w:val="Hyperlink"/>
            <w:rFonts w:ascii="Arial" w:eastAsia="Times New Roman" w:hAnsi="Arial" w:cs="Arial"/>
            <w:i/>
            <w:iCs/>
            <w:sz w:val="24"/>
            <w:szCs w:val="24"/>
            <w:bdr w:val="none" w:sz="0" w:space="0" w:color="auto" w:frame="1"/>
            <w:lang w:eastAsia="en-GB"/>
          </w:rPr>
          <w:t>The creator economy could approach $480 billion by 2027</w:t>
        </w:r>
        <w:r w:rsidR="009C0A6B" w:rsidRPr="00E338F4">
          <w:rPr>
            <w:rStyle w:val="Hyperlink"/>
            <w:rFonts w:ascii="Arial" w:eastAsia="Times New Roman" w:hAnsi="Arial" w:cs="Arial"/>
            <w:sz w:val="24"/>
            <w:szCs w:val="24"/>
            <w:lang w:eastAsia="en-GB"/>
          </w:rPr>
          <w:t>. New York: Goldman Sachs Research.</w:t>
        </w:r>
      </w:hyperlink>
    </w:p>
    <w:p w:rsidR="009C0A6B" w:rsidRPr="00E338F4" w:rsidRDefault="009C0A6B"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color w:val="1F1F1F"/>
          <w:sz w:val="24"/>
          <w:szCs w:val="24"/>
          <w:lang w:eastAsia="en-GB"/>
        </w:rPr>
        <w:t xml:space="preserve">Huh, J. and Kim, J., 2024. Algorithmic governance and creator anxiety: How platform changes shape creative </w:t>
      </w:r>
      <w:proofErr w:type="spellStart"/>
      <w:r w:rsidRPr="00E338F4">
        <w:rPr>
          <w:rFonts w:ascii="Arial" w:eastAsia="Times New Roman" w:hAnsi="Arial" w:cs="Arial"/>
          <w:color w:val="1F1F1F"/>
          <w:sz w:val="24"/>
          <w:szCs w:val="24"/>
          <w:lang w:eastAsia="en-GB"/>
        </w:rPr>
        <w:t>labor</w:t>
      </w:r>
      <w:proofErr w:type="spellEnd"/>
      <w:r w:rsidRPr="00E338F4">
        <w:rPr>
          <w:rFonts w:ascii="Arial" w:eastAsia="Times New Roman" w:hAnsi="Arial" w:cs="Arial"/>
          <w:color w:val="1F1F1F"/>
          <w:sz w:val="24"/>
          <w:szCs w:val="24"/>
          <w:lang w:eastAsia="en-GB"/>
        </w:rPr>
        <w:t xml:space="preserve">. </w:t>
      </w:r>
      <w:r w:rsidRPr="00E338F4">
        <w:rPr>
          <w:rFonts w:ascii="Arial" w:eastAsia="Times New Roman" w:hAnsi="Arial" w:cs="Arial"/>
          <w:i/>
          <w:iCs/>
          <w:color w:val="1F1F1F"/>
          <w:sz w:val="24"/>
          <w:szCs w:val="24"/>
          <w:bdr w:val="none" w:sz="0" w:space="0" w:color="auto" w:frame="1"/>
          <w:lang w:eastAsia="en-GB"/>
        </w:rPr>
        <w:t>Journal of Interactive Advertising</w:t>
      </w:r>
      <w:r w:rsidRPr="00E338F4">
        <w:rPr>
          <w:rFonts w:ascii="Arial" w:eastAsia="Times New Roman" w:hAnsi="Arial" w:cs="Arial"/>
          <w:color w:val="1F1F1F"/>
          <w:sz w:val="24"/>
          <w:szCs w:val="24"/>
          <w:lang w:eastAsia="en-GB"/>
        </w:rPr>
        <w:t>, 24(2), pp.115-132.</w:t>
      </w:r>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4" w:history="1">
        <w:r w:rsidR="009C0A6B" w:rsidRPr="00E338F4">
          <w:rPr>
            <w:rStyle w:val="Hyperlink"/>
            <w:rFonts w:ascii="Arial" w:eastAsia="Times New Roman" w:hAnsi="Arial" w:cs="Arial"/>
            <w:sz w:val="24"/>
            <w:szCs w:val="24"/>
            <w:lang w:eastAsia="en-GB"/>
          </w:rPr>
          <w:t xml:space="preserve">Kaplan, A. and </w:t>
        </w:r>
        <w:proofErr w:type="spellStart"/>
        <w:r w:rsidR="009C0A6B" w:rsidRPr="00E338F4">
          <w:rPr>
            <w:rStyle w:val="Hyperlink"/>
            <w:rFonts w:ascii="Arial" w:eastAsia="Times New Roman" w:hAnsi="Arial" w:cs="Arial"/>
            <w:sz w:val="24"/>
            <w:szCs w:val="24"/>
            <w:lang w:eastAsia="en-GB"/>
          </w:rPr>
          <w:t>Haenlein</w:t>
        </w:r>
        <w:proofErr w:type="spellEnd"/>
        <w:r w:rsidR="009C0A6B" w:rsidRPr="00E338F4">
          <w:rPr>
            <w:rStyle w:val="Hyperlink"/>
            <w:rFonts w:ascii="Arial" w:eastAsia="Times New Roman" w:hAnsi="Arial" w:cs="Arial"/>
            <w:sz w:val="24"/>
            <w:szCs w:val="24"/>
            <w:lang w:eastAsia="en-GB"/>
          </w:rPr>
          <w:t xml:space="preserve">, M., 2023. The world of virtual influencers: Risks, rewards, and ethical dilemmas of synthetic media. </w:t>
        </w:r>
        <w:r w:rsidR="009C0A6B" w:rsidRPr="00E338F4">
          <w:rPr>
            <w:rStyle w:val="Hyperlink"/>
            <w:rFonts w:ascii="Arial" w:eastAsia="Times New Roman" w:hAnsi="Arial" w:cs="Arial"/>
            <w:i/>
            <w:iCs/>
            <w:sz w:val="24"/>
            <w:szCs w:val="24"/>
            <w:bdr w:val="none" w:sz="0" w:space="0" w:color="auto" w:frame="1"/>
            <w:lang w:eastAsia="en-GB"/>
          </w:rPr>
          <w:t>Business Horizons</w:t>
        </w:r>
        <w:r w:rsidR="009C0A6B" w:rsidRPr="00E338F4">
          <w:rPr>
            <w:rStyle w:val="Hyperlink"/>
            <w:rFonts w:ascii="Arial" w:eastAsia="Times New Roman" w:hAnsi="Arial" w:cs="Arial"/>
            <w:sz w:val="24"/>
            <w:szCs w:val="24"/>
            <w:lang w:eastAsia="en-GB"/>
          </w:rPr>
          <w:t>, 66(5), pp.647-658.</w:t>
        </w:r>
      </w:hyperlink>
    </w:p>
    <w:p w:rsidR="009C0A6B" w:rsidRPr="00E338F4" w:rsidRDefault="009C0A6B"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proofErr w:type="spellStart"/>
      <w:r w:rsidRPr="00E338F4">
        <w:rPr>
          <w:rFonts w:ascii="Arial" w:eastAsia="Times New Roman" w:hAnsi="Arial" w:cs="Arial"/>
          <w:color w:val="1F1F1F"/>
          <w:sz w:val="24"/>
          <w:szCs w:val="24"/>
          <w:lang w:eastAsia="en-GB"/>
        </w:rPr>
        <w:t>Kozinets</w:t>
      </w:r>
      <w:proofErr w:type="spellEnd"/>
      <w:r w:rsidRPr="00E338F4">
        <w:rPr>
          <w:rFonts w:ascii="Arial" w:eastAsia="Times New Roman" w:hAnsi="Arial" w:cs="Arial"/>
          <w:color w:val="1F1F1F"/>
          <w:sz w:val="24"/>
          <w:szCs w:val="24"/>
          <w:lang w:eastAsia="en-GB"/>
        </w:rPr>
        <w:t xml:space="preserve">, R.V., 2022. Algorithmic branding and the influencer economy. </w:t>
      </w:r>
      <w:r w:rsidRPr="00E338F4">
        <w:rPr>
          <w:rFonts w:ascii="Arial" w:eastAsia="Times New Roman" w:hAnsi="Arial" w:cs="Arial"/>
          <w:i/>
          <w:iCs/>
          <w:color w:val="1F1F1F"/>
          <w:sz w:val="24"/>
          <w:szCs w:val="24"/>
          <w:bdr w:val="none" w:sz="0" w:space="0" w:color="auto" w:frame="1"/>
          <w:lang w:eastAsia="en-GB"/>
        </w:rPr>
        <w:t>Journal of Marketing</w:t>
      </w:r>
      <w:r w:rsidRPr="00E338F4">
        <w:rPr>
          <w:rFonts w:ascii="Arial" w:eastAsia="Times New Roman" w:hAnsi="Arial" w:cs="Arial"/>
          <w:color w:val="1F1F1F"/>
          <w:sz w:val="24"/>
          <w:szCs w:val="24"/>
          <w:lang w:eastAsia="en-GB"/>
        </w:rPr>
        <w:t>, 86(3), pp.18-37.</w:t>
      </w:r>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5" w:history="1">
        <w:r w:rsidR="009C0A6B" w:rsidRPr="00E338F4">
          <w:rPr>
            <w:rStyle w:val="Hyperlink"/>
            <w:rFonts w:ascii="Arial" w:eastAsia="Times New Roman" w:hAnsi="Arial" w:cs="Arial"/>
            <w:sz w:val="24"/>
            <w:szCs w:val="24"/>
            <w:lang w:eastAsia="en-GB"/>
          </w:rPr>
          <w:t xml:space="preserve">Marder, B., Archer-Brown, C. and </w:t>
        </w:r>
        <w:proofErr w:type="spellStart"/>
        <w:r w:rsidR="009C0A6B" w:rsidRPr="00E338F4">
          <w:rPr>
            <w:rStyle w:val="Hyperlink"/>
            <w:rFonts w:ascii="Arial" w:eastAsia="Times New Roman" w:hAnsi="Arial" w:cs="Arial"/>
            <w:sz w:val="24"/>
            <w:szCs w:val="24"/>
            <w:lang w:eastAsia="en-GB"/>
          </w:rPr>
          <w:t>Colliander</w:t>
        </w:r>
        <w:proofErr w:type="spellEnd"/>
        <w:r w:rsidR="009C0A6B" w:rsidRPr="00E338F4">
          <w:rPr>
            <w:rStyle w:val="Hyperlink"/>
            <w:rFonts w:ascii="Arial" w:eastAsia="Times New Roman" w:hAnsi="Arial" w:cs="Arial"/>
            <w:sz w:val="24"/>
            <w:szCs w:val="24"/>
            <w:lang w:eastAsia="en-GB"/>
          </w:rPr>
          <w:t xml:space="preserve">, J., 2023. Authenticity in the age of synthetic creators: Consumer responses to AI influencers. </w:t>
        </w:r>
        <w:r w:rsidR="009C0A6B" w:rsidRPr="00E338F4">
          <w:rPr>
            <w:rStyle w:val="Hyperlink"/>
            <w:rFonts w:ascii="Arial" w:eastAsia="Times New Roman" w:hAnsi="Arial" w:cs="Arial"/>
            <w:i/>
            <w:iCs/>
            <w:sz w:val="24"/>
            <w:szCs w:val="24"/>
            <w:bdr w:val="none" w:sz="0" w:space="0" w:color="auto" w:frame="1"/>
            <w:lang w:eastAsia="en-GB"/>
          </w:rPr>
          <w:t xml:space="preserve">Computers in Human </w:t>
        </w:r>
        <w:proofErr w:type="spellStart"/>
        <w:r w:rsidR="009C0A6B" w:rsidRPr="00E338F4">
          <w:rPr>
            <w:rStyle w:val="Hyperlink"/>
            <w:rFonts w:ascii="Arial" w:eastAsia="Times New Roman" w:hAnsi="Arial" w:cs="Arial"/>
            <w:i/>
            <w:iCs/>
            <w:sz w:val="24"/>
            <w:szCs w:val="24"/>
            <w:bdr w:val="none" w:sz="0" w:space="0" w:color="auto" w:frame="1"/>
            <w:lang w:eastAsia="en-GB"/>
          </w:rPr>
          <w:t>Behavior</w:t>
        </w:r>
        <w:proofErr w:type="spellEnd"/>
        <w:r w:rsidR="009C0A6B" w:rsidRPr="00E338F4">
          <w:rPr>
            <w:rStyle w:val="Hyperlink"/>
            <w:rFonts w:ascii="Arial" w:eastAsia="Times New Roman" w:hAnsi="Arial" w:cs="Arial"/>
            <w:sz w:val="24"/>
            <w:szCs w:val="24"/>
            <w:lang w:eastAsia="en-GB"/>
          </w:rPr>
          <w:t>, 142, p.107649.</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6" w:anchor="skipToMain" w:history="1">
        <w:r w:rsidR="009C0A6B" w:rsidRPr="00E338F4">
          <w:rPr>
            <w:rStyle w:val="Hyperlink"/>
            <w:rFonts w:ascii="Arial" w:eastAsia="Times New Roman" w:hAnsi="Arial" w:cs="Arial"/>
            <w:sz w:val="24"/>
            <w:szCs w:val="24"/>
            <w:lang w:eastAsia="en-GB"/>
          </w:rPr>
          <w:t xml:space="preserve">McKinsey &amp; Company, 2026. </w:t>
        </w:r>
        <w:r w:rsidR="009C0A6B" w:rsidRPr="00E338F4">
          <w:rPr>
            <w:rStyle w:val="Hyperlink"/>
            <w:rFonts w:ascii="Arial" w:eastAsia="Times New Roman" w:hAnsi="Arial" w:cs="Arial"/>
            <w:i/>
            <w:iCs/>
            <w:sz w:val="24"/>
            <w:szCs w:val="24"/>
            <w:bdr w:val="none" w:sz="0" w:space="0" w:color="auto" w:frame="1"/>
            <w:lang w:eastAsia="en-GB"/>
          </w:rPr>
          <w:t>The evolution of the creator economy: From vanity metrics to performance marketing</w:t>
        </w:r>
        <w:r w:rsidR="009C0A6B" w:rsidRPr="00E338F4">
          <w:rPr>
            <w:rStyle w:val="Hyperlink"/>
            <w:rFonts w:ascii="Arial" w:eastAsia="Times New Roman" w:hAnsi="Arial" w:cs="Arial"/>
            <w:sz w:val="24"/>
            <w:szCs w:val="24"/>
            <w:lang w:eastAsia="en-GB"/>
          </w:rPr>
          <w:t>. New York: McKinsey.</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7" w:history="1">
        <w:r w:rsidR="009C0A6B" w:rsidRPr="00E338F4">
          <w:rPr>
            <w:rStyle w:val="Hyperlink"/>
            <w:rFonts w:ascii="Arial" w:eastAsia="Times New Roman" w:hAnsi="Arial" w:cs="Arial"/>
            <w:sz w:val="24"/>
            <w:szCs w:val="24"/>
            <w:lang w:eastAsia="en-GB"/>
          </w:rPr>
          <w:t xml:space="preserve">MDPI Research, 2026. How and When Do Virtual Influencers Work? A Meta-Analysis of Mechanisms and Moderators in Digital Commerce. </w:t>
        </w:r>
        <w:r w:rsidR="009C0A6B" w:rsidRPr="00E338F4">
          <w:rPr>
            <w:rStyle w:val="Hyperlink"/>
            <w:rFonts w:ascii="Arial" w:eastAsia="Times New Roman" w:hAnsi="Arial" w:cs="Arial"/>
            <w:i/>
            <w:iCs/>
            <w:sz w:val="24"/>
            <w:szCs w:val="24"/>
            <w:bdr w:val="none" w:sz="0" w:space="0" w:color="auto" w:frame="1"/>
            <w:lang w:eastAsia="en-GB"/>
          </w:rPr>
          <w:t>Journal of Theoretical and Applied Electronic Commerce Research</w:t>
        </w:r>
        <w:r w:rsidR="009C0A6B" w:rsidRPr="00E338F4">
          <w:rPr>
            <w:rStyle w:val="Hyperlink"/>
            <w:rFonts w:ascii="Arial" w:eastAsia="Times New Roman" w:hAnsi="Arial" w:cs="Arial"/>
            <w:sz w:val="24"/>
            <w:szCs w:val="24"/>
            <w:lang w:eastAsia="en-GB"/>
          </w:rPr>
          <w:t>, 21(4), pp.124-141.</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8" w:history="1">
        <w:proofErr w:type="spellStart"/>
        <w:r w:rsidR="009C0A6B" w:rsidRPr="00E338F4">
          <w:rPr>
            <w:rStyle w:val="Hyperlink"/>
            <w:rFonts w:ascii="Arial" w:eastAsia="Times New Roman" w:hAnsi="Arial" w:cs="Arial"/>
            <w:sz w:val="24"/>
            <w:szCs w:val="24"/>
            <w:lang w:eastAsia="en-GB"/>
          </w:rPr>
          <w:t>Socialbakers</w:t>
        </w:r>
        <w:proofErr w:type="spellEnd"/>
        <w:r w:rsidR="009C0A6B" w:rsidRPr="00E338F4">
          <w:rPr>
            <w:rStyle w:val="Hyperlink"/>
            <w:rFonts w:ascii="Arial" w:eastAsia="Times New Roman" w:hAnsi="Arial" w:cs="Arial"/>
            <w:sz w:val="24"/>
            <w:szCs w:val="24"/>
            <w:lang w:eastAsia="en-GB"/>
          </w:rPr>
          <w:t xml:space="preserve">, 2025. </w:t>
        </w:r>
        <w:r w:rsidR="009C0A6B" w:rsidRPr="00E338F4">
          <w:rPr>
            <w:rStyle w:val="Hyperlink"/>
            <w:rFonts w:ascii="Arial" w:eastAsia="Times New Roman" w:hAnsi="Arial" w:cs="Arial"/>
            <w:i/>
            <w:iCs/>
            <w:sz w:val="24"/>
            <w:szCs w:val="24"/>
            <w:bdr w:val="none" w:sz="0" w:space="0" w:color="auto" w:frame="1"/>
            <w:lang w:eastAsia="en-GB"/>
          </w:rPr>
          <w:t>The shifting ROI of influencer marketing: Nano, micro, and macro-influencer conversion analytics</w:t>
        </w:r>
        <w:r w:rsidR="009C0A6B" w:rsidRPr="00E338F4">
          <w:rPr>
            <w:rStyle w:val="Hyperlink"/>
            <w:rFonts w:ascii="Arial" w:eastAsia="Times New Roman" w:hAnsi="Arial" w:cs="Arial"/>
            <w:sz w:val="24"/>
            <w:szCs w:val="24"/>
            <w:lang w:eastAsia="en-GB"/>
          </w:rPr>
          <w:t xml:space="preserve">. Prague: </w:t>
        </w:r>
        <w:proofErr w:type="spellStart"/>
        <w:r w:rsidR="009C0A6B" w:rsidRPr="00E338F4">
          <w:rPr>
            <w:rStyle w:val="Hyperlink"/>
            <w:rFonts w:ascii="Arial" w:eastAsia="Times New Roman" w:hAnsi="Arial" w:cs="Arial"/>
            <w:sz w:val="24"/>
            <w:szCs w:val="24"/>
            <w:lang w:eastAsia="en-GB"/>
          </w:rPr>
          <w:t>Socialbakers</w:t>
        </w:r>
        <w:proofErr w:type="spellEnd"/>
        <w:r w:rsidR="009C0A6B" w:rsidRPr="00E338F4">
          <w:rPr>
            <w:rStyle w:val="Hyperlink"/>
            <w:rFonts w:ascii="Arial" w:eastAsia="Times New Roman" w:hAnsi="Arial" w:cs="Arial"/>
            <w:sz w:val="24"/>
            <w:szCs w:val="24"/>
            <w:lang w:eastAsia="en-GB"/>
          </w:rPr>
          <w:t xml:space="preserve"> Insights.</w:t>
        </w:r>
      </w:hyperlink>
    </w:p>
    <w:p w:rsidR="009C0A6B" w:rsidRPr="00E338F4" w:rsidRDefault="009C0A6B"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r w:rsidRPr="00E338F4">
        <w:rPr>
          <w:rFonts w:ascii="Arial" w:eastAsia="Times New Roman" w:hAnsi="Arial" w:cs="Arial"/>
          <w:color w:val="1F1F1F"/>
          <w:sz w:val="24"/>
          <w:szCs w:val="24"/>
          <w:lang w:eastAsia="en-GB"/>
        </w:rPr>
        <w:t xml:space="preserve">Statista, 2026. </w:t>
      </w:r>
      <w:r w:rsidRPr="00E338F4">
        <w:rPr>
          <w:rFonts w:ascii="Arial" w:eastAsia="Times New Roman" w:hAnsi="Arial" w:cs="Arial"/>
          <w:i/>
          <w:iCs/>
          <w:color w:val="1F1F1F"/>
          <w:sz w:val="24"/>
          <w:szCs w:val="24"/>
          <w:bdr w:val="none" w:sz="0" w:space="0" w:color="auto" w:frame="1"/>
          <w:lang w:eastAsia="en-GB"/>
        </w:rPr>
        <w:t>Global creator economy market size and monetization trends 2021-2026</w:t>
      </w:r>
      <w:r w:rsidRPr="00E338F4">
        <w:rPr>
          <w:rFonts w:ascii="Arial" w:eastAsia="Times New Roman" w:hAnsi="Arial" w:cs="Arial"/>
          <w:color w:val="1F1F1F"/>
          <w:sz w:val="24"/>
          <w:szCs w:val="24"/>
          <w:lang w:eastAsia="en-GB"/>
        </w:rPr>
        <w:t>. London: Statista Research.</w:t>
      </w:r>
    </w:p>
    <w:p w:rsidR="009C0A6B" w:rsidRPr="00E338F4" w:rsidRDefault="009C0A6B"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proofErr w:type="spellStart"/>
      <w:r w:rsidRPr="00E338F4">
        <w:rPr>
          <w:rFonts w:ascii="Arial" w:eastAsia="Times New Roman" w:hAnsi="Arial" w:cs="Arial"/>
          <w:color w:val="1F1F1F"/>
          <w:sz w:val="24"/>
          <w:szCs w:val="24"/>
          <w:lang w:eastAsia="en-GB"/>
        </w:rPr>
        <w:lastRenderedPageBreak/>
        <w:t>Uzunoğlu</w:t>
      </w:r>
      <w:proofErr w:type="spellEnd"/>
      <w:r w:rsidRPr="00E338F4">
        <w:rPr>
          <w:rFonts w:ascii="Arial" w:eastAsia="Times New Roman" w:hAnsi="Arial" w:cs="Arial"/>
          <w:color w:val="1F1F1F"/>
          <w:sz w:val="24"/>
          <w:szCs w:val="24"/>
          <w:lang w:eastAsia="en-GB"/>
        </w:rPr>
        <w:t xml:space="preserve">, E. and Kip, S.M., 2021. Brand communication through digital influencers: A STEEPLE approach to strategic evaluation. </w:t>
      </w:r>
      <w:r w:rsidRPr="00E338F4">
        <w:rPr>
          <w:rFonts w:ascii="Arial" w:eastAsia="Times New Roman" w:hAnsi="Arial" w:cs="Arial"/>
          <w:i/>
          <w:iCs/>
          <w:color w:val="1F1F1F"/>
          <w:sz w:val="24"/>
          <w:szCs w:val="24"/>
          <w:bdr w:val="none" w:sz="0" w:space="0" w:color="auto" w:frame="1"/>
          <w:lang w:eastAsia="en-GB"/>
        </w:rPr>
        <w:t>International Journal of Information Management</w:t>
      </w:r>
      <w:r w:rsidRPr="00E338F4">
        <w:rPr>
          <w:rFonts w:ascii="Arial" w:eastAsia="Times New Roman" w:hAnsi="Arial" w:cs="Arial"/>
          <w:color w:val="1F1F1F"/>
          <w:sz w:val="24"/>
          <w:szCs w:val="24"/>
          <w:lang w:eastAsia="en-GB"/>
        </w:rPr>
        <w:t>, 57, p.102284.</w:t>
      </w:r>
    </w:p>
    <w:p w:rsidR="00E338F4"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19" w:history="1">
        <w:proofErr w:type="spellStart"/>
        <w:r w:rsidR="009C0A6B" w:rsidRPr="00E338F4">
          <w:rPr>
            <w:rStyle w:val="Hyperlink"/>
            <w:rFonts w:ascii="Arial" w:eastAsia="Times New Roman" w:hAnsi="Arial" w:cs="Arial"/>
            <w:sz w:val="24"/>
            <w:szCs w:val="24"/>
            <w:lang w:eastAsia="en-GB"/>
          </w:rPr>
          <w:t>Zuboff</w:t>
        </w:r>
        <w:proofErr w:type="spellEnd"/>
        <w:r w:rsidR="009C0A6B" w:rsidRPr="00E338F4">
          <w:rPr>
            <w:rStyle w:val="Hyperlink"/>
            <w:rFonts w:ascii="Arial" w:eastAsia="Times New Roman" w:hAnsi="Arial" w:cs="Arial"/>
            <w:sz w:val="24"/>
            <w:szCs w:val="24"/>
            <w:lang w:eastAsia="en-GB"/>
          </w:rPr>
          <w:t xml:space="preserve">, S., 2023. Platform capitalism and the structural power of algorithmic architecture. </w:t>
        </w:r>
        <w:r w:rsidR="009C0A6B" w:rsidRPr="00E338F4">
          <w:rPr>
            <w:rStyle w:val="Hyperlink"/>
            <w:rFonts w:ascii="Arial" w:eastAsia="Times New Roman" w:hAnsi="Arial" w:cs="Arial"/>
            <w:i/>
            <w:iCs/>
            <w:sz w:val="24"/>
            <w:szCs w:val="24"/>
            <w:bdr w:val="none" w:sz="0" w:space="0" w:color="auto" w:frame="1"/>
            <w:lang w:eastAsia="en-GB"/>
          </w:rPr>
          <w:t>Journal of Consumer Research</w:t>
        </w:r>
        <w:r w:rsidR="009C0A6B" w:rsidRPr="00E338F4">
          <w:rPr>
            <w:rStyle w:val="Hyperlink"/>
            <w:rFonts w:ascii="Arial" w:eastAsia="Times New Roman" w:hAnsi="Arial" w:cs="Arial"/>
            <w:sz w:val="24"/>
            <w:szCs w:val="24"/>
            <w:lang w:eastAsia="en-GB"/>
          </w:rPr>
          <w:t>, 50(1), pp.89-107.</w:t>
        </w:r>
      </w:hyperlink>
    </w:p>
    <w:p w:rsidR="009C0A6B" w:rsidRPr="00E338F4" w:rsidRDefault="00DB068D" w:rsidP="00E338F4">
      <w:pPr>
        <w:numPr>
          <w:ilvl w:val="0"/>
          <w:numId w:val="8"/>
        </w:numPr>
        <w:spacing w:before="100" w:beforeAutospacing="1" w:after="0" w:line="360" w:lineRule="auto"/>
        <w:ind w:left="0"/>
        <w:jc w:val="both"/>
        <w:rPr>
          <w:rFonts w:ascii="Arial" w:eastAsia="Times New Roman" w:hAnsi="Arial" w:cs="Arial"/>
          <w:color w:val="1F1F1F"/>
          <w:sz w:val="24"/>
          <w:szCs w:val="24"/>
          <w:lang w:eastAsia="en-GB"/>
        </w:rPr>
      </w:pPr>
      <w:hyperlink r:id="rId20" w:history="1">
        <w:r w:rsidR="009C0A6B" w:rsidRPr="00E338F4">
          <w:rPr>
            <w:rStyle w:val="Hyperlink"/>
            <w:rFonts w:ascii="Arial" w:eastAsia="Times New Roman" w:hAnsi="Arial" w:cs="Arial"/>
            <w:sz w:val="24"/>
            <w:szCs w:val="24"/>
            <w:lang w:eastAsia="en-GB"/>
          </w:rPr>
          <w:t xml:space="preserve">Wageningen University &amp; Research, 2024. </w:t>
        </w:r>
        <w:r w:rsidR="009C0A6B" w:rsidRPr="00E338F4">
          <w:rPr>
            <w:rStyle w:val="Hyperlink"/>
            <w:rFonts w:ascii="Arial" w:eastAsia="Times New Roman" w:hAnsi="Arial" w:cs="Arial"/>
            <w:i/>
            <w:iCs/>
            <w:sz w:val="24"/>
            <w:szCs w:val="24"/>
            <w:bdr w:val="none" w:sz="0" w:space="0" w:color="auto" w:frame="1"/>
            <w:lang w:eastAsia="en-GB"/>
          </w:rPr>
          <w:t>Regulating social media influencers for consumer protection in the European Union</w:t>
        </w:r>
        <w:r w:rsidR="009C0A6B" w:rsidRPr="00E338F4">
          <w:rPr>
            <w:rStyle w:val="Hyperlink"/>
            <w:rFonts w:ascii="Arial" w:eastAsia="Times New Roman" w:hAnsi="Arial" w:cs="Arial"/>
            <w:sz w:val="24"/>
            <w:szCs w:val="24"/>
            <w:lang w:eastAsia="en-GB"/>
          </w:rPr>
          <w:t xml:space="preserve">. WUR </w:t>
        </w:r>
        <w:proofErr w:type="spellStart"/>
        <w:r w:rsidR="009C0A6B" w:rsidRPr="00E338F4">
          <w:rPr>
            <w:rStyle w:val="Hyperlink"/>
            <w:rFonts w:ascii="Arial" w:eastAsia="Times New Roman" w:hAnsi="Arial" w:cs="Arial"/>
            <w:sz w:val="24"/>
            <w:szCs w:val="24"/>
            <w:lang w:eastAsia="en-GB"/>
          </w:rPr>
          <w:t>eDepot</w:t>
        </w:r>
        <w:proofErr w:type="spellEnd"/>
        <w:r w:rsidR="009C0A6B" w:rsidRPr="00E338F4">
          <w:rPr>
            <w:rStyle w:val="Hyperlink"/>
            <w:rFonts w:ascii="Arial" w:eastAsia="Times New Roman" w:hAnsi="Arial" w:cs="Arial"/>
            <w:sz w:val="24"/>
            <w:szCs w:val="24"/>
            <w:lang w:eastAsia="en-GB"/>
          </w:rPr>
          <w:t xml:space="preserve"> Academic Thesis Series.</w:t>
        </w:r>
      </w:hyperlink>
    </w:p>
    <w:p w:rsidR="009C0A6B" w:rsidRPr="00E338F4" w:rsidRDefault="009C0A6B" w:rsidP="00E338F4">
      <w:pPr>
        <w:spacing w:before="100" w:beforeAutospacing="1" w:after="0" w:line="360" w:lineRule="auto"/>
        <w:jc w:val="both"/>
        <w:rPr>
          <w:rFonts w:ascii="Arial" w:eastAsia="Times New Roman" w:hAnsi="Arial" w:cs="Arial"/>
          <w:color w:val="1F1F1F"/>
          <w:sz w:val="24"/>
          <w:szCs w:val="24"/>
          <w:lang w:eastAsia="en-GB"/>
        </w:rPr>
      </w:pPr>
    </w:p>
    <w:p w:rsidR="009C0A6B" w:rsidRPr="00E338F4" w:rsidRDefault="009C0A6B" w:rsidP="00E338F4">
      <w:pPr>
        <w:spacing w:line="360" w:lineRule="auto"/>
        <w:jc w:val="both"/>
        <w:rPr>
          <w:rFonts w:ascii="Arial" w:hAnsi="Arial" w:cs="Arial"/>
          <w:sz w:val="24"/>
          <w:szCs w:val="24"/>
        </w:rPr>
      </w:pPr>
    </w:p>
    <w:sectPr w:rsidR="009C0A6B" w:rsidRPr="00E338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29FD" w:rsidRDefault="001429FD" w:rsidP="004A4CAB">
      <w:pPr>
        <w:spacing w:after="0" w:line="240" w:lineRule="auto"/>
      </w:pPr>
      <w:r>
        <w:separator/>
      </w:r>
    </w:p>
  </w:endnote>
  <w:endnote w:type="continuationSeparator" w:id="0">
    <w:p w:rsidR="001429FD" w:rsidRDefault="001429FD" w:rsidP="004A4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29FD" w:rsidRDefault="001429FD" w:rsidP="004A4CAB">
      <w:pPr>
        <w:spacing w:after="0" w:line="240" w:lineRule="auto"/>
      </w:pPr>
      <w:r>
        <w:separator/>
      </w:r>
    </w:p>
  </w:footnote>
  <w:footnote w:type="continuationSeparator" w:id="0">
    <w:p w:rsidR="001429FD" w:rsidRDefault="001429FD" w:rsidP="004A4C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7039D"/>
    <w:multiLevelType w:val="multilevel"/>
    <w:tmpl w:val="7600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2590E"/>
    <w:multiLevelType w:val="multilevel"/>
    <w:tmpl w:val="602C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5108F"/>
    <w:multiLevelType w:val="multilevel"/>
    <w:tmpl w:val="E20E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D24F4"/>
    <w:multiLevelType w:val="multilevel"/>
    <w:tmpl w:val="9874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4C2244"/>
    <w:multiLevelType w:val="multilevel"/>
    <w:tmpl w:val="6A1C3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B7CC6"/>
    <w:multiLevelType w:val="multilevel"/>
    <w:tmpl w:val="3CDC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EB72B3"/>
    <w:multiLevelType w:val="multilevel"/>
    <w:tmpl w:val="0E4A7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6C6E50"/>
    <w:multiLevelType w:val="multilevel"/>
    <w:tmpl w:val="6F94D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0"/>
  </w:num>
  <w:num w:numId="4">
    <w:abstractNumId w:val="5"/>
  </w:num>
  <w:num w:numId="5">
    <w:abstractNumId w:val="2"/>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A6B"/>
    <w:rsid w:val="00045CA0"/>
    <w:rsid w:val="00066DD4"/>
    <w:rsid w:val="00113E0A"/>
    <w:rsid w:val="001429FD"/>
    <w:rsid w:val="004A4CAB"/>
    <w:rsid w:val="00582AD7"/>
    <w:rsid w:val="00590F6B"/>
    <w:rsid w:val="006E3B56"/>
    <w:rsid w:val="0083286A"/>
    <w:rsid w:val="00883C1D"/>
    <w:rsid w:val="009C0A6B"/>
    <w:rsid w:val="00B80DE0"/>
    <w:rsid w:val="00B95C84"/>
    <w:rsid w:val="00DA3189"/>
    <w:rsid w:val="00DB068D"/>
    <w:rsid w:val="00E338F4"/>
    <w:rsid w:val="00EF7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E6E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C0A6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C0A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9C0A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0A6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C0A6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9C0A6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9C0A6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9C0A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C0A6B"/>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9C0A6B"/>
    <w:rPr>
      <w:rFonts w:ascii="Courier New" w:eastAsia="Times New Roman" w:hAnsi="Courier New" w:cs="Courier New"/>
      <w:sz w:val="20"/>
      <w:szCs w:val="20"/>
    </w:rPr>
  </w:style>
  <w:style w:type="character" w:styleId="Hyperlink">
    <w:name w:val="Hyperlink"/>
    <w:basedOn w:val="DefaultParagraphFont"/>
    <w:uiPriority w:val="99"/>
    <w:unhideWhenUsed/>
    <w:rsid w:val="009C0A6B"/>
    <w:rPr>
      <w:color w:val="0000FF"/>
      <w:u w:val="single"/>
    </w:rPr>
  </w:style>
  <w:style w:type="paragraph" w:styleId="Header">
    <w:name w:val="header"/>
    <w:basedOn w:val="Normal"/>
    <w:link w:val="HeaderChar"/>
    <w:uiPriority w:val="99"/>
    <w:unhideWhenUsed/>
    <w:rsid w:val="004A4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CAB"/>
  </w:style>
  <w:style w:type="paragraph" w:styleId="Footer">
    <w:name w:val="footer"/>
    <w:basedOn w:val="Normal"/>
    <w:link w:val="FooterChar"/>
    <w:uiPriority w:val="99"/>
    <w:unhideWhenUsed/>
    <w:rsid w:val="004A4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CAB"/>
  </w:style>
  <w:style w:type="character" w:styleId="UnresolvedMention">
    <w:name w:val="Unresolved Mention"/>
    <w:basedOn w:val="DefaultParagraphFont"/>
    <w:uiPriority w:val="99"/>
    <w:semiHidden/>
    <w:unhideWhenUsed/>
    <w:rsid w:val="00590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007681320300422?via%3Dihub" TargetMode="External"/><Relationship Id="rId13" Type="http://schemas.openxmlformats.org/officeDocument/2006/relationships/hyperlink" Target="https://www.goldmansachs.com/insights/articles" TargetMode="External"/><Relationship Id="rId18" Type="http://schemas.openxmlformats.org/officeDocument/2006/relationships/hyperlink" Target="https://emplifi.io/resources/gartner-magic-quadrant-social-marketing-listenin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sa.org.uk/resources/Influencers-guide.html" TargetMode="External"/><Relationship Id="rId12" Type="http://schemas.openxmlformats.org/officeDocument/2006/relationships/hyperlink" Target="https://influencermarketinghub.com/influencer-marketing-benchmark-report/" TargetMode="External"/><Relationship Id="rId17" Type="http://schemas.openxmlformats.org/officeDocument/2006/relationships/hyperlink" Target="https://www.mdpi.com/0718-1876/21/4/124" TargetMode="External"/><Relationship Id="rId2" Type="http://schemas.openxmlformats.org/officeDocument/2006/relationships/styles" Target="styles.xml"/><Relationship Id="rId16" Type="http://schemas.openxmlformats.org/officeDocument/2006/relationships/hyperlink" Target="https://www.mckinsey.com/industries/technology-media-and-telecommunications/our-insights" TargetMode="External"/><Relationship Id="rId20" Type="http://schemas.openxmlformats.org/officeDocument/2006/relationships/hyperlink" Target="https://edepot.wur.nl/6878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artner.com/en/marketing/insights" TargetMode="External"/><Relationship Id="rId5" Type="http://schemas.openxmlformats.org/officeDocument/2006/relationships/footnotes" Target="footnotes.xml"/><Relationship Id="rId15" Type="http://schemas.openxmlformats.org/officeDocument/2006/relationships/hyperlink" Target="https://doi.org/10.1016/j.chb.2022.107649" TargetMode="External"/><Relationship Id="rId10" Type="http://schemas.openxmlformats.org/officeDocument/2006/relationships/hyperlink" Target="https://www.ftc.gov/business-guidance/resources/ftcs-endorsement-guides-what-people-are-asking" TargetMode="External"/><Relationship Id="rId19" Type="http://schemas.openxmlformats.org/officeDocument/2006/relationships/hyperlink" Target="https://academic.oup.com/jcr/article-abstract/50/3/510/6988036?redirectedFrom=fulltext" TargetMode="External"/><Relationship Id="rId4" Type="http://schemas.openxmlformats.org/officeDocument/2006/relationships/webSettings" Target="webSettings.xml"/><Relationship Id="rId9" Type="http://schemas.openxmlformats.org/officeDocument/2006/relationships/hyperlink" Target="https://eur-lex.europa.eu/legal-content/EN/TXT/?uri=CELEX%3A32024R0900" TargetMode="External"/><Relationship Id="rId14" Type="http://schemas.openxmlformats.org/officeDocument/2006/relationships/hyperlink" Target="https://www.sciencedirect.com/science/article/abs/pii/S0007681323000046?via%3Dihu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2520</Words>
  <Characters>14367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2026-07-09T19:35:00Z</dcterms:created>
  <dcterms:modified xsi:type="dcterms:W3CDTF">2026-07-09T20:39:00Z</dcterms:modified>
</cp:coreProperties>
</file>