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CB24CE" w14:textId="77777777" w:rsidR="0008278A" w:rsidRDefault="0008278A" w:rsidP="0008278A">
      <w:pPr>
        <w:jc w:val="center"/>
        <w:rPr>
          <w:rFonts w:ascii="Arial" w:hAnsi="Arial" w:cs="Arial"/>
          <w:b/>
          <w:bCs/>
          <w:sz w:val="24"/>
          <w:szCs w:val="24"/>
        </w:rPr>
      </w:pPr>
    </w:p>
    <w:p w14:paraId="14973301" w14:textId="77777777" w:rsidR="00D951D6" w:rsidRDefault="00D951D6" w:rsidP="0008278A">
      <w:pPr>
        <w:jc w:val="center"/>
        <w:rPr>
          <w:rFonts w:ascii="Arial" w:hAnsi="Arial" w:cs="Arial"/>
          <w:b/>
          <w:bCs/>
          <w:sz w:val="24"/>
          <w:szCs w:val="24"/>
        </w:rPr>
      </w:pPr>
    </w:p>
    <w:p w14:paraId="30A25BD0" w14:textId="77777777" w:rsidR="00D951D6" w:rsidRDefault="00D951D6" w:rsidP="0008278A">
      <w:pPr>
        <w:jc w:val="center"/>
        <w:rPr>
          <w:rFonts w:ascii="Arial" w:hAnsi="Arial" w:cs="Arial"/>
          <w:b/>
          <w:bCs/>
          <w:sz w:val="24"/>
          <w:szCs w:val="24"/>
        </w:rPr>
      </w:pPr>
    </w:p>
    <w:p w14:paraId="7B4FCC99" w14:textId="77777777" w:rsidR="0008278A" w:rsidRPr="007942DC" w:rsidRDefault="0008278A" w:rsidP="0008278A">
      <w:pPr>
        <w:jc w:val="center"/>
        <w:rPr>
          <w:rFonts w:ascii="Arial" w:hAnsi="Arial" w:cs="Arial"/>
          <w:sz w:val="24"/>
          <w:szCs w:val="24"/>
        </w:rPr>
      </w:pPr>
      <w:r w:rsidRPr="007942DC">
        <w:rPr>
          <w:rFonts w:ascii="Arial" w:hAnsi="Arial" w:cs="Arial"/>
          <w:b/>
          <w:bCs/>
          <w:sz w:val="24"/>
          <w:szCs w:val="24"/>
        </w:rPr>
        <w:t xml:space="preserve">UNIVERSITY NAME: </w:t>
      </w:r>
      <w:r w:rsidRPr="007942DC">
        <w:rPr>
          <w:rFonts w:ascii="Arial" w:hAnsi="Arial" w:cs="Arial"/>
          <w:sz w:val="24"/>
          <w:szCs w:val="24"/>
        </w:rPr>
        <w:t>University of Wales Trinity Saint David</w:t>
      </w:r>
    </w:p>
    <w:p w14:paraId="3F68FAA6" w14:textId="77777777" w:rsidR="0008278A" w:rsidRPr="007942DC" w:rsidRDefault="0008278A" w:rsidP="0008278A">
      <w:pPr>
        <w:jc w:val="center"/>
        <w:rPr>
          <w:rFonts w:ascii="Arial" w:hAnsi="Arial" w:cs="Arial"/>
          <w:b/>
          <w:bCs/>
          <w:sz w:val="24"/>
          <w:szCs w:val="24"/>
        </w:rPr>
      </w:pPr>
      <w:r w:rsidRPr="007942DC">
        <w:rPr>
          <w:rFonts w:ascii="Arial" w:hAnsi="Arial" w:cs="Arial"/>
          <w:b/>
          <w:bCs/>
          <w:sz w:val="24"/>
          <w:szCs w:val="24"/>
        </w:rPr>
        <w:t xml:space="preserve">MODULE TITLE &amp; CODE: </w:t>
      </w:r>
      <w:r w:rsidRPr="007942DC">
        <w:rPr>
          <w:rFonts w:ascii="Arial" w:hAnsi="Arial" w:cs="Arial"/>
          <w:sz w:val="24"/>
          <w:szCs w:val="24"/>
        </w:rPr>
        <w:t>Academic and Professional Skills – BMSW400</w:t>
      </w:r>
    </w:p>
    <w:p w14:paraId="39648FE4" w14:textId="77777777" w:rsidR="0008278A" w:rsidRPr="007942DC" w:rsidRDefault="0008278A" w:rsidP="0008278A">
      <w:pPr>
        <w:jc w:val="center"/>
        <w:rPr>
          <w:rFonts w:ascii="Arial" w:hAnsi="Arial" w:cs="Arial"/>
          <w:sz w:val="24"/>
          <w:szCs w:val="24"/>
        </w:rPr>
      </w:pPr>
      <w:r w:rsidRPr="007942DC">
        <w:rPr>
          <w:rFonts w:ascii="Arial" w:hAnsi="Arial" w:cs="Arial"/>
          <w:b/>
          <w:bCs/>
          <w:sz w:val="24"/>
          <w:szCs w:val="24"/>
        </w:rPr>
        <w:t xml:space="preserve">ASSESSMENT TITLE: </w:t>
      </w:r>
      <w:r w:rsidRPr="007942DC">
        <w:rPr>
          <w:rFonts w:ascii="Arial" w:hAnsi="Arial" w:cs="Arial"/>
          <w:sz w:val="24"/>
          <w:szCs w:val="24"/>
        </w:rPr>
        <w:t>Assessment 1 – Academic Essay and Report</w:t>
      </w:r>
    </w:p>
    <w:p w14:paraId="61F0F2A5" w14:textId="04D2E2B7" w:rsidR="0008278A" w:rsidRPr="007942DC" w:rsidRDefault="0008278A" w:rsidP="0008278A">
      <w:pPr>
        <w:jc w:val="center"/>
        <w:rPr>
          <w:rFonts w:ascii="Arial" w:hAnsi="Arial" w:cs="Arial"/>
          <w:b/>
          <w:bCs/>
          <w:sz w:val="24"/>
          <w:szCs w:val="24"/>
        </w:rPr>
      </w:pPr>
      <w:r w:rsidRPr="007942DC">
        <w:rPr>
          <w:rFonts w:ascii="Arial" w:hAnsi="Arial" w:cs="Arial"/>
          <w:b/>
          <w:bCs/>
          <w:sz w:val="24"/>
          <w:szCs w:val="24"/>
        </w:rPr>
        <w:t xml:space="preserve">STUDENT </w:t>
      </w:r>
      <w:proofErr w:type="spellStart"/>
      <w:r w:rsidRPr="007942DC">
        <w:rPr>
          <w:rFonts w:ascii="Arial" w:hAnsi="Arial" w:cs="Arial"/>
          <w:b/>
          <w:bCs/>
          <w:sz w:val="24"/>
          <w:szCs w:val="24"/>
        </w:rPr>
        <w:t>NAME:</w:t>
      </w:r>
      <w:r w:rsidR="00F376CD">
        <w:rPr>
          <w:rFonts w:ascii="Arial" w:hAnsi="Arial" w:cs="Arial"/>
          <w:b/>
          <w:bCs/>
          <w:sz w:val="24"/>
          <w:szCs w:val="24"/>
        </w:rPr>
        <w:t>Alina</w:t>
      </w:r>
      <w:proofErr w:type="spellEnd"/>
      <w:r w:rsidR="00F376CD">
        <w:rPr>
          <w:rFonts w:ascii="Arial" w:hAnsi="Arial" w:cs="Arial"/>
          <w:b/>
          <w:bCs/>
          <w:sz w:val="24"/>
          <w:szCs w:val="24"/>
        </w:rPr>
        <w:t xml:space="preserve"> </w:t>
      </w:r>
      <w:proofErr w:type="spellStart"/>
      <w:r w:rsidR="00F376CD">
        <w:rPr>
          <w:rFonts w:ascii="Arial" w:hAnsi="Arial" w:cs="Arial"/>
          <w:b/>
          <w:bCs/>
          <w:sz w:val="24"/>
          <w:szCs w:val="24"/>
        </w:rPr>
        <w:t>Florentina</w:t>
      </w:r>
      <w:proofErr w:type="spellEnd"/>
      <w:r w:rsidR="00F376CD">
        <w:rPr>
          <w:rFonts w:ascii="Arial" w:hAnsi="Arial" w:cs="Arial"/>
          <w:b/>
          <w:bCs/>
          <w:sz w:val="24"/>
          <w:szCs w:val="24"/>
        </w:rPr>
        <w:t xml:space="preserve"> </w:t>
      </w:r>
      <w:proofErr w:type="spellStart"/>
      <w:r w:rsidR="00F376CD">
        <w:rPr>
          <w:rFonts w:ascii="Arial" w:hAnsi="Arial" w:cs="Arial"/>
          <w:b/>
          <w:bCs/>
          <w:sz w:val="24"/>
          <w:szCs w:val="24"/>
        </w:rPr>
        <w:t>Calin</w:t>
      </w:r>
      <w:proofErr w:type="spellEnd"/>
    </w:p>
    <w:p w14:paraId="73999574" w14:textId="600BE230" w:rsidR="0008278A" w:rsidRPr="007942DC" w:rsidRDefault="0008278A" w:rsidP="0008278A">
      <w:pPr>
        <w:jc w:val="center"/>
        <w:rPr>
          <w:rFonts w:ascii="Arial" w:hAnsi="Arial" w:cs="Arial"/>
          <w:b/>
          <w:bCs/>
          <w:sz w:val="24"/>
          <w:szCs w:val="24"/>
        </w:rPr>
      </w:pPr>
      <w:r w:rsidRPr="007942DC">
        <w:rPr>
          <w:rFonts w:ascii="Arial" w:hAnsi="Arial" w:cs="Arial"/>
          <w:b/>
          <w:bCs/>
          <w:sz w:val="24"/>
          <w:szCs w:val="24"/>
        </w:rPr>
        <w:t>STUDENT ID:</w:t>
      </w:r>
      <w:r w:rsidR="00F376CD">
        <w:rPr>
          <w:rFonts w:ascii="Arial" w:hAnsi="Arial" w:cs="Arial"/>
          <w:b/>
          <w:bCs/>
          <w:sz w:val="24"/>
          <w:szCs w:val="24"/>
        </w:rPr>
        <w:t xml:space="preserve"> 2438720</w:t>
      </w:r>
    </w:p>
    <w:p w14:paraId="66078A76" w14:textId="77777777" w:rsidR="0008278A" w:rsidRPr="007942DC" w:rsidRDefault="0008278A" w:rsidP="0008278A">
      <w:pPr>
        <w:jc w:val="center"/>
        <w:rPr>
          <w:rFonts w:ascii="Arial" w:hAnsi="Arial" w:cs="Arial"/>
          <w:b/>
          <w:bCs/>
          <w:sz w:val="24"/>
          <w:szCs w:val="24"/>
        </w:rPr>
      </w:pPr>
    </w:p>
    <w:p w14:paraId="4A57AC81" w14:textId="77777777" w:rsidR="0008278A" w:rsidRPr="007942DC" w:rsidRDefault="0008278A" w:rsidP="0008278A">
      <w:pPr>
        <w:jc w:val="center"/>
        <w:rPr>
          <w:rFonts w:ascii="Arial" w:hAnsi="Arial" w:cs="Arial"/>
          <w:b/>
          <w:bCs/>
          <w:sz w:val="24"/>
          <w:szCs w:val="24"/>
        </w:rPr>
      </w:pPr>
      <w:r w:rsidRPr="007942DC">
        <w:rPr>
          <w:rFonts w:ascii="Arial" w:hAnsi="Arial" w:cs="Arial"/>
          <w:b/>
          <w:bCs/>
          <w:sz w:val="24"/>
          <w:szCs w:val="24"/>
        </w:rPr>
        <w:t>COMPONENTS INCLUDED:</w:t>
      </w:r>
    </w:p>
    <w:p w14:paraId="7F601699" w14:textId="77777777" w:rsidR="0008278A" w:rsidRDefault="0008278A" w:rsidP="0008278A">
      <w:pPr>
        <w:jc w:val="center"/>
        <w:rPr>
          <w:rFonts w:ascii="Arial" w:hAnsi="Arial" w:cs="Arial"/>
          <w:sz w:val="24"/>
          <w:szCs w:val="24"/>
        </w:rPr>
      </w:pPr>
      <w:r w:rsidRPr="007942DC">
        <w:rPr>
          <w:rFonts w:ascii="Arial" w:hAnsi="Arial" w:cs="Arial"/>
          <w:b/>
          <w:bCs/>
          <w:sz w:val="24"/>
          <w:szCs w:val="24"/>
        </w:rPr>
        <w:t xml:space="preserve">- Component 2: </w:t>
      </w:r>
      <w:r w:rsidRPr="007942DC">
        <w:rPr>
          <w:rFonts w:ascii="Arial" w:hAnsi="Arial" w:cs="Arial"/>
          <w:sz w:val="24"/>
          <w:szCs w:val="24"/>
        </w:rPr>
        <w:t>Academic Report – Time Management: An Essential Skill for Student Success in Higher Education</w:t>
      </w:r>
    </w:p>
    <w:p w14:paraId="2D05EC50" w14:textId="77777777" w:rsidR="00D951D6" w:rsidRPr="007942DC" w:rsidRDefault="00D951D6" w:rsidP="00D951D6">
      <w:pPr>
        <w:jc w:val="center"/>
        <w:rPr>
          <w:rFonts w:ascii="Arial" w:hAnsi="Arial" w:cs="Arial"/>
          <w:b/>
          <w:bCs/>
          <w:sz w:val="24"/>
          <w:szCs w:val="24"/>
        </w:rPr>
      </w:pPr>
    </w:p>
    <w:p w14:paraId="57478723" w14:textId="77777777" w:rsidR="00D951D6" w:rsidRPr="007942DC" w:rsidRDefault="00D951D6" w:rsidP="00D951D6">
      <w:pPr>
        <w:jc w:val="center"/>
        <w:rPr>
          <w:rFonts w:ascii="Arial" w:hAnsi="Arial" w:cs="Arial"/>
          <w:b/>
          <w:bCs/>
          <w:sz w:val="24"/>
          <w:szCs w:val="24"/>
        </w:rPr>
      </w:pPr>
      <w:r w:rsidRPr="007942DC">
        <w:rPr>
          <w:rFonts w:ascii="Arial" w:hAnsi="Arial" w:cs="Arial"/>
          <w:b/>
          <w:bCs/>
          <w:sz w:val="24"/>
          <w:szCs w:val="24"/>
        </w:rPr>
        <w:t>WORD COUNT:</w:t>
      </w:r>
    </w:p>
    <w:p w14:paraId="30A57E69" w14:textId="1E3311F8" w:rsidR="00D951D6" w:rsidRDefault="00D951D6" w:rsidP="00D951D6">
      <w:pPr>
        <w:jc w:val="center"/>
        <w:rPr>
          <w:rFonts w:ascii="Arial" w:hAnsi="Arial" w:cs="Arial"/>
          <w:sz w:val="24"/>
          <w:szCs w:val="24"/>
        </w:rPr>
      </w:pPr>
      <w:r w:rsidRPr="007942DC">
        <w:rPr>
          <w:rFonts w:ascii="Arial" w:hAnsi="Arial" w:cs="Arial"/>
          <w:b/>
          <w:bCs/>
          <w:sz w:val="24"/>
          <w:szCs w:val="24"/>
        </w:rPr>
        <w:t xml:space="preserve">- Report: </w:t>
      </w:r>
      <w:r w:rsidRPr="007942DC">
        <w:rPr>
          <w:rFonts w:ascii="Arial" w:hAnsi="Arial" w:cs="Arial"/>
          <w:sz w:val="24"/>
          <w:szCs w:val="24"/>
        </w:rPr>
        <w:t>702 words</w:t>
      </w:r>
    </w:p>
    <w:p w14:paraId="7FCC8581" w14:textId="77777777" w:rsidR="00587987" w:rsidRPr="007942DC" w:rsidRDefault="00587987" w:rsidP="00D951D6">
      <w:pPr>
        <w:jc w:val="center"/>
        <w:rPr>
          <w:rFonts w:ascii="Arial" w:hAnsi="Arial" w:cs="Arial"/>
          <w:b/>
          <w:bCs/>
          <w:sz w:val="24"/>
          <w:szCs w:val="24"/>
        </w:rPr>
      </w:pPr>
    </w:p>
    <w:p w14:paraId="57EF6247" w14:textId="77777777" w:rsidR="00D951D6" w:rsidRPr="007942DC" w:rsidRDefault="00D951D6" w:rsidP="00D951D6">
      <w:pPr>
        <w:jc w:val="center"/>
        <w:rPr>
          <w:rFonts w:ascii="Arial" w:hAnsi="Arial" w:cs="Arial"/>
          <w:b/>
          <w:bCs/>
          <w:sz w:val="24"/>
          <w:szCs w:val="24"/>
        </w:rPr>
      </w:pPr>
      <w:r w:rsidRPr="007942DC">
        <w:rPr>
          <w:rFonts w:ascii="Arial" w:hAnsi="Arial" w:cs="Arial"/>
          <w:b/>
          <w:bCs/>
          <w:sz w:val="24"/>
          <w:szCs w:val="24"/>
        </w:rPr>
        <w:t>(*Word counts exclude reference lists*)</w:t>
      </w:r>
    </w:p>
    <w:p w14:paraId="385842C2" w14:textId="159A195C" w:rsidR="00D951D6" w:rsidRDefault="00D951D6" w:rsidP="00D951D6">
      <w:pPr>
        <w:jc w:val="center"/>
        <w:rPr>
          <w:rFonts w:ascii="Arial" w:hAnsi="Arial" w:cs="Arial"/>
          <w:sz w:val="24"/>
          <w:szCs w:val="24"/>
        </w:rPr>
      </w:pPr>
      <w:r w:rsidRPr="007942DC">
        <w:rPr>
          <w:rFonts w:ascii="Arial" w:hAnsi="Arial" w:cs="Arial"/>
          <w:b/>
          <w:bCs/>
          <w:sz w:val="24"/>
          <w:szCs w:val="24"/>
        </w:rPr>
        <w:t>SUBMISSION DATE</w:t>
      </w:r>
      <w:r w:rsidRPr="007942DC">
        <w:rPr>
          <w:rFonts w:ascii="Arial" w:hAnsi="Arial" w:cs="Arial"/>
          <w:sz w:val="24"/>
          <w:szCs w:val="24"/>
        </w:rPr>
        <w:t>: 6 June 2025</w:t>
      </w:r>
    </w:p>
    <w:p w14:paraId="4BFFF317" w14:textId="77777777" w:rsidR="00D951D6" w:rsidRDefault="00D951D6" w:rsidP="00D951D6">
      <w:pPr>
        <w:jc w:val="center"/>
        <w:rPr>
          <w:rFonts w:ascii="Arial" w:hAnsi="Arial" w:cs="Arial"/>
          <w:sz w:val="24"/>
          <w:szCs w:val="24"/>
        </w:rPr>
      </w:pPr>
    </w:p>
    <w:p w14:paraId="4BF507B4" w14:textId="77777777" w:rsidR="00D951D6" w:rsidRDefault="00D951D6" w:rsidP="00D951D6">
      <w:pPr>
        <w:jc w:val="center"/>
        <w:rPr>
          <w:rFonts w:ascii="Arial" w:hAnsi="Arial" w:cs="Arial"/>
          <w:sz w:val="24"/>
          <w:szCs w:val="24"/>
        </w:rPr>
      </w:pPr>
    </w:p>
    <w:p w14:paraId="26D6D34D" w14:textId="77777777" w:rsidR="00D951D6" w:rsidRDefault="00D951D6" w:rsidP="00D951D6">
      <w:pPr>
        <w:jc w:val="center"/>
        <w:rPr>
          <w:rFonts w:ascii="Arial" w:hAnsi="Arial" w:cs="Arial"/>
          <w:sz w:val="24"/>
          <w:szCs w:val="24"/>
        </w:rPr>
      </w:pPr>
    </w:p>
    <w:p w14:paraId="168E865A" w14:textId="77777777" w:rsidR="00D951D6" w:rsidRDefault="00D951D6" w:rsidP="00D951D6">
      <w:pPr>
        <w:jc w:val="center"/>
        <w:rPr>
          <w:rFonts w:ascii="Arial" w:hAnsi="Arial" w:cs="Arial"/>
          <w:sz w:val="24"/>
          <w:szCs w:val="24"/>
        </w:rPr>
      </w:pPr>
    </w:p>
    <w:p w14:paraId="3EF3B683" w14:textId="77777777" w:rsidR="00D951D6" w:rsidRDefault="00D951D6" w:rsidP="00D951D6">
      <w:pPr>
        <w:jc w:val="center"/>
        <w:rPr>
          <w:rFonts w:ascii="Arial" w:hAnsi="Arial" w:cs="Arial"/>
          <w:sz w:val="24"/>
          <w:szCs w:val="24"/>
        </w:rPr>
      </w:pPr>
    </w:p>
    <w:p w14:paraId="6B123795" w14:textId="77777777" w:rsidR="00D951D6" w:rsidRDefault="00D951D6" w:rsidP="00D951D6">
      <w:pPr>
        <w:jc w:val="center"/>
        <w:rPr>
          <w:rFonts w:ascii="Arial" w:hAnsi="Arial" w:cs="Arial"/>
          <w:sz w:val="24"/>
          <w:szCs w:val="24"/>
        </w:rPr>
      </w:pPr>
    </w:p>
    <w:p w14:paraId="3ECE69FA" w14:textId="77777777" w:rsidR="00D951D6" w:rsidRDefault="00D951D6" w:rsidP="00D951D6">
      <w:pPr>
        <w:jc w:val="center"/>
        <w:rPr>
          <w:rFonts w:ascii="Arial" w:hAnsi="Arial" w:cs="Arial"/>
          <w:sz w:val="24"/>
          <w:szCs w:val="24"/>
        </w:rPr>
      </w:pPr>
    </w:p>
    <w:p w14:paraId="7D13DAE2" w14:textId="77777777" w:rsidR="00D951D6" w:rsidRDefault="00D951D6" w:rsidP="00D951D6">
      <w:pPr>
        <w:jc w:val="center"/>
        <w:rPr>
          <w:rFonts w:ascii="Arial" w:hAnsi="Arial" w:cs="Arial"/>
          <w:sz w:val="24"/>
          <w:szCs w:val="24"/>
        </w:rPr>
      </w:pPr>
    </w:p>
    <w:p w14:paraId="743C1F41" w14:textId="77777777" w:rsidR="00D951D6" w:rsidRDefault="00D951D6" w:rsidP="00D951D6">
      <w:pPr>
        <w:jc w:val="center"/>
        <w:rPr>
          <w:rFonts w:ascii="Arial" w:hAnsi="Arial" w:cs="Arial"/>
          <w:sz w:val="24"/>
          <w:szCs w:val="24"/>
        </w:rPr>
      </w:pPr>
    </w:p>
    <w:p w14:paraId="1635CA79" w14:textId="77777777" w:rsidR="00D951D6" w:rsidRDefault="00D951D6" w:rsidP="00D951D6">
      <w:pPr>
        <w:jc w:val="center"/>
        <w:rPr>
          <w:rFonts w:ascii="Arial" w:hAnsi="Arial" w:cs="Arial"/>
          <w:sz w:val="24"/>
          <w:szCs w:val="24"/>
        </w:rPr>
      </w:pPr>
    </w:p>
    <w:p w14:paraId="6793F4BE" w14:textId="77777777" w:rsidR="00D951D6" w:rsidRDefault="00D951D6" w:rsidP="00D951D6">
      <w:pPr>
        <w:jc w:val="center"/>
        <w:rPr>
          <w:rFonts w:ascii="Arial" w:hAnsi="Arial" w:cs="Arial"/>
          <w:sz w:val="24"/>
          <w:szCs w:val="24"/>
        </w:rPr>
      </w:pPr>
    </w:p>
    <w:p w14:paraId="36B6A1EE" w14:textId="77777777" w:rsidR="00D951D6" w:rsidRDefault="00D951D6" w:rsidP="00D951D6">
      <w:pPr>
        <w:jc w:val="center"/>
        <w:rPr>
          <w:rFonts w:ascii="Arial" w:hAnsi="Arial" w:cs="Arial"/>
          <w:sz w:val="24"/>
          <w:szCs w:val="24"/>
        </w:rPr>
      </w:pPr>
    </w:p>
    <w:p w14:paraId="2F8719E7" w14:textId="77777777" w:rsidR="00D951D6" w:rsidRDefault="00D951D6" w:rsidP="00D951D6">
      <w:pPr>
        <w:jc w:val="center"/>
        <w:rPr>
          <w:rFonts w:ascii="Arial" w:hAnsi="Arial" w:cs="Arial"/>
          <w:sz w:val="24"/>
          <w:szCs w:val="24"/>
        </w:rPr>
      </w:pPr>
    </w:p>
    <w:p w14:paraId="37E53EAC" w14:textId="77777777" w:rsidR="00D951D6" w:rsidRDefault="00D951D6" w:rsidP="00D951D6">
      <w:pPr>
        <w:jc w:val="center"/>
        <w:rPr>
          <w:rFonts w:ascii="Arial" w:hAnsi="Arial" w:cs="Arial"/>
          <w:sz w:val="24"/>
          <w:szCs w:val="24"/>
        </w:rPr>
      </w:pPr>
    </w:p>
    <w:p w14:paraId="188ED8C7" w14:textId="77777777" w:rsidR="00D951D6" w:rsidRPr="007942DC" w:rsidRDefault="00D951D6" w:rsidP="00D951D6">
      <w:pPr>
        <w:jc w:val="center"/>
        <w:rPr>
          <w:rFonts w:ascii="Arial" w:hAnsi="Arial" w:cs="Arial"/>
          <w:b/>
          <w:bCs/>
          <w:sz w:val="24"/>
          <w:szCs w:val="24"/>
        </w:rPr>
      </w:pPr>
    </w:p>
    <w:p w14:paraId="69BC8D73" w14:textId="77777777" w:rsidR="00503D78" w:rsidRPr="005D4430" w:rsidRDefault="00503D78" w:rsidP="00503D78">
      <w:pPr>
        <w:spacing w:line="360" w:lineRule="auto"/>
        <w:rPr>
          <w:rFonts w:ascii="Arial" w:hAnsi="Arial" w:cs="Arial"/>
          <w:b/>
          <w:bCs/>
          <w:sz w:val="24"/>
          <w:szCs w:val="24"/>
        </w:rPr>
      </w:pPr>
      <w:r w:rsidRPr="005D4430">
        <w:rPr>
          <w:rFonts w:ascii="Arial" w:hAnsi="Arial" w:cs="Arial"/>
          <w:b/>
          <w:bCs/>
          <w:sz w:val="24"/>
          <w:szCs w:val="24"/>
        </w:rPr>
        <w:t>Component 2</w:t>
      </w:r>
    </w:p>
    <w:p w14:paraId="018B7236" w14:textId="77777777" w:rsidR="00503D78" w:rsidRPr="005D4430" w:rsidRDefault="00503D78" w:rsidP="00503D78">
      <w:pPr>
        <w:spacing w:line="360" w:lineRule="auto"/>
        <w:jc w:val="center"/>
        <w:rPr>
          <w:rFonts w:ascii="Arial" w:hAnsi="Arial" w:cs="Arial"/>
          <w:b/>
          <w:bCs/>
          <w:sz w:val="32"/>
          <w:szCs w:val="32"/>
        </w:rPr>
      </w:pPr>
      <w:r w:rsidRPr="005D4430">
        <w:rPr>
          <w:rFonts w:ascii="Arial" w:hAnsi="Arial" w:cs="Arial"/>
          <w:b/>
          <w:bCs/>
          <w:sz w:val="32"/>
          <w:szCs w:val="32"/>
        </w:rPr>
        <w:t>Time Management: An Essential Skill for Student Success in Higher Education</w:t>
      </w:r>
    </w:p>
    <w:p w14:paraId="5DA937A4" w14:textId="77777777" w:rsidR="00503D78" w:rsidRDefault="00503D78" w:rsidP="00503D78">
      <w:pPr>
        <w:spacing w:line="360" w:lineRule="auto"/>
        <w:rPr>
          <w:rFonts w:ascii="Arial" w:hAnsi="Arial" w:cs="Arial"/>
          <w:sz w:val="24"/>
          <w:szCs w:val="24"/>
        </w:rPr>
      </w:pPr>
    </w:p>
    <w:p w14:paraId="3FC866FF" w14:textId="77777777" w:rsidR="00503D78" w:rsidRDefault="00503D78" w:rsidP="00503D78">
      <w:pPr>
        <w:spacing w:line="360" w:lineRule="auto"/>
        <w:rPr>
          <w:rFonts w:ascii="Arial" w:hAnsi="Arial" w:cs="Arial"/>
          <w:sz w:val="24"/>
          <w:szCs w:val="24"/>
        </w:rPr>
      </w:pPr>
    </w:p>
    <w:p w14:paraId="06241078" w14:textId="77777777" w:rsidR="00503D78" w:rsidRPr="00A47097" w:rsidRDefault="00503D78" w:rsidP="00503D78">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t>Introduction</w:t>
      </w:r>
    </w:p>
    <w:p w14:paraId="3098782D" w14:textId="77777777" w:rsidR="00503D78" w:rsidRDefault="00503D78" w:rsidP="00503D78">
      <w:pPr>
        <w:spacing w:line="360" w:lineRule="auto"/>
        <w:rPr>
          <w:rFonts w:ascii="Arial" w:hAnsi="Arial" w:cs="Arial"/>
          <w:sz w:val="24"/>
          <w:szCs w:val="24"/>
        </w:rPr>
      </w:pPr>
      <w:r w:rsidRPr="0011463A">
        <w:rPr>
          <w:rFonts w:ascii="Arial" w:hAnsi="Arial" w:cs="Arial"/>
          <w:sz w:val="24"/>
          <w:szCs w:val="24"/>
        </w:rPr>
        <w:t>Higher education now recognises effective time management as a crucial academic skill. The move towards self-directed learning in digital settings requires students to independently organise tasks according to priority and finish them without much supervision. Students find it difficult to handle multiple responsibilities, which results in stress alongside missed deadlines and reduced academic performance. This report investigates the importance of time management for academic success while identifying typical obstacles and assessing digital methods that boost student time management practices.</w:t>
      </w:r>
      <w:r>
        <w:rPr>
          <w:rFonts w:ascii="Arial" w:hAnsi="Arial" w:cs="Arial"/>
          <w:sz w:val="24"/>
          <w:szCs w:val="24"/>
        </w:rPr>
        <w:br w:type="page"/>
      </w:r>
    </w:p>
    <w:p w14:paraId="6447331B" w14:textId="77777777" w:rsidR="00503D78" w:rsidRPr="00A47097" w:rsidRDefault="00503D78" w:rsidP="00503D78">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lastRenderedPageBreak/>
        <w:t>Importance of Time Management in Higher Education</w:t>
      </w:r>
    </w:p>
    <w:p w14:paraId="1A808E11" w14:textId="77777777" w:rsidR="00503D78" w:rsidRPr="00A47097" w:rsidRDefault="00503D78" w:rsidP="00503D78">
      <w:pPr>
        <w:spacing w:line="360" w:lineRule="auto"/>
        <w:rPr>
          <w:rFonts w:ascii="Arial" w:hAnsi="Arial" w:cs="Arial"/>
          <w:sz w:val="24"/>
          <w:szCs w:val="24"/>
        </w:rPr>
      </w:pPr>
      <w:r w:rsidRPr="00A47097">
        <w:rPr>
          <w:rFonts w:ascii="Arial" w:hAnsi="Arial" w:cs="Arial"/>
          <w:sz w:val="24"/>
          <w:szCs w:val="24"/>
        </w:rPr>
        <w:t>The academic success of students and their general well-being both depend on effective time management. Studies indicate that students who practice effective time management display lower levels of anxiety, achieve better academic results, and report higher satisfaction with their educational experience (Trueman and Hartley, 1996). Effective time use extends beyond just meeting deadlines to include setting aside adequate time for reflection, revision, and self-directed learning. The autonomous learning environment and heavy workloads of higher education necessitate effective time management to predict student success (Claessens et al., 2007).</w:t>
      </w:r>
    </w:p>
    <w:p w14:paraId="50D6F44C" w14:textId="77777777" w:rsidR="00503D78" w:rsidRDefault="00503D78" w:rsidP="00503D78">
      <w:pPr>
        <w:spacing w:line="360" w:lineRule="auto"/>
        <w:rPr>
          <w:rFonts w:ascii="Arial" w:hAnsi="Arial" w:cs="Arial"/>
          <w:sz w:val="24"/>
          <w:szCs w:val="24"/>
        </w:rPr>
      </w:pPr>
      <w:r w:rsidRPr="00A47097">
        <w:rPr>
          <w:rFonts w:ascii="Arial" w:hAnsi="Arial" w:cs="Arial"/>
          <w:sz w:val="24"/>
          <w:szCs w:val="24"/>
        </w:rPr>
        <w:t>Time management abilities can be developed through learning rather than being a permanent trait. Research demonstrates that time-use diaries, along with goal-setting workshops, lead to enhanced academic engagement and self-efficacy among students (Britton and Tesser, 1991). The study emphasises the importance of institutional assistance in helping students develop effective time management strategies rather than assuming that students already possess these skills.</w:t>
      </w:r>
    </w:p>
    <w:p w14:paraId="6166E472" w14:textId="77777777" w:rsidR="00503D78" w:rsidRDefault="00503D78" w:rsidP="00503D78">
      <w:pPr>
        <w:spacing w:line="360" w:lineRule="auto"/>
        <w:rPr>
          <w:rFonts w:ascii="Arial" w:hAnsi="Arial" w:cs="Arial"/>
          <w:sz w:val="24"/>
          <w:szCs w:val="24"/>
        </w:rPr>
      </w:pPr>
    </w:p>
    <w:p w14:paraId="4356C547" w14:textId="77777777" w:rsidR="00503D78" w:rsidRPr="003058AB" w:rsidRDefault="00503D78" w:rsidP="00503D78">
      <w:pPr>
        <w:pStyle w:val="ListParagraph"/>
        <w:numPr>
          <w:ilvl w:val="0"/>
          <w:numId w:val="1"/>
        </w:numPr>
        <w:spacing w:line="360" w:lineRule="auto"/>
        <w:rPr>
          <w:rFonts w:ascii="Arial" w:hAnsi="Arial" w:cs="Arial"/>
          <w:b/>
          <w:bCs/>
          <w:sz w:val="26"/>
          <w:szCs w:val="26"/>
        </w:rPr>
      </w:pPr>
      <w:r w:rsidRPr="00A47097">
        <w:rPr>
          <w:rFonts w:ascii="Arial" w:hAnsi="Arial" w:cs="Arial"/>
          <w:b/>
          <w:bCs/>
          <w:sz w:val="26"/>
          <w:szCs w:val="26"/>
        </w:rPr>
        <w:t>Challenges Faced by Students</w:t>
      </w:r>
    </w:p>
    <w:p w14:paraId="72DB02CA" w14:textId="77777777" w:rsidR="00503D78" w:rsidRDefault="00503D78" w:rsidP="00503D78">
      <w:pPr>
        <w:spacing w:line="360" w:lineRule="auto"/>
        <w:rPr>
          <w:rFonts w:ascii="Arial" w:hAnsi="Arial" w:cs="Arial"/>
          <w:sz w:val="26"/>
          <w:szCs w:val="26"/>
        </w:rPr>
      </w:pPr>
      <w:r w:rsidRPr="003058AB">
        <w:rPr>
          <w:rFonts w:ascii="Arial" w:hAnsi="Arial" w:cs="Arial"/>
          <w:sz w:val="26"/>
          <w:szCs w:val="26"/>
        </w:rPr>
        <w:t>Many students find it challenging to manage their time, although it remains a crucial skill. Procrastination stands as a primary obstacle because perfectionism, together with fear of failure and task aversion, frequently drives it (Steel, 2007). Students regularly miscalculate how long academic work will take when they have part-time work and social and family responsibilities.</w:t>
      </w:r>
    </w:p>
    <w:p w14:paraId="570702F5" w14:textId="77777777" w:rsidR="00503D78" w:rsidRDefault="00503D78" w:rsidP="00503D78">
      <w:pPr>
        <w:spacing w:line="360" w:lineRule="auto"/>
        <w:rPr>
          <w:rFonts w:ascii="Arial" w:hAnsi="Arial" w:cs="Arial"/>
          <w:sz w:val="26"/>
          <w:szCs w:val="26"/>
        </w:rPr>
      </w:pPr>
      <w:r w:rsidRPr="003058AB">
        <w:rPr>
          <w:rFonts w:ascii="Arial" w:hAnsi="Arial" w:cs="Arial"/>
          <w:sz w:val="26"/>
          <w:szCs w:val="26"/>
        </w:rPr>
        <w:t>The digital environment creates substantial distractions that students must contend with. The presence of social media applications, such as Instagram, TikTok, and YouTube, frequently disrupts students' study time, resulting in diminished focus and irregular use of time slots (Rosen et al., 2013). Research shows that students generally believe they can balance multiple activities simultaneously without performance losses, yet evidence proves otherwise (Junco, 2012).</w:t>
      </w:r>
    </w:p>
    <w:p w14:paraId="43094958" w14:textId="77777777" w:rsidR="00503D78" w:rsidRPr="003058AB" w:rsidRDefault="00503D78" w:rsidP="00503D78">
      <w:pPr>
        <w:spacing w:line="360" w:lineRule="auto"/>
        <w:rPr>
          <w:rFonts w:ascii="Arial" w:hAnsi="Arial" w:cs="Arial"/>
          <w:sz w:val="26"/>
          <w:szCs w:val="26"/>
        </w:rPr>
      </w:pPr>
    </w:p>
    <w:p w14:paraId="564F94BA" w14:textId="77777777" w:rsidR="00503D78" w:rsidRPr="00C30FB6" w:rsidRDefault="00503D78" w:rsidP="00503D78">
      <w:pPr>
        <w:pStyle w:val="ListParagraph"/>
        <w:numPr>
          <w:ilvl w:val="0"/>
          <w:numId w:val="1"/>
        </w:numPr>
        <w:spacing w:line="360" w:lineRule="auto"/>
        <w:rPr>
          <w:rFonts w:ascii="Arial" w:hAnsi="Arial" w:cs="Arial"/>
          <w:b/>
          <w:bCs/>
          <w:sz w:val="26"/>
          <w:szCs w:val="26"/>
        </w:rPr>
      </w:pPr>
      <w:r w:rsidRPr="00C30FB6">
        <w:rPr>
          <w:rFonts w:ascii="Arial" w:hAnsi="Arial" w:cs="Arial"/>
          <w:b/>
          <w:bCs/>
          <w:sz w:val="26"/>
          <w:szCs w:val="26"/>
        </w:rPr>
        <w:t>Digital Tools and Strategies for Better Time Use</w:t>
      </w:r>
    </w:p>
    <w:p w14:paraId="460982A7" w14:textId="77777777" w:rsidR="00503D78" w:rsidRPr="00C30FB6" w:rsidRDefault="00503D78" w:rsidP="00503D78">
      <w:pPr>
        <w:spacing w:line="360" w:lineRule="auto"/>
        <w:rPr>
          <w:rFonts w:ascii="Arial" w:hAnsi="Arial" w:cs="Arial"/>
          <w:sz w:val="26"/>
          <w:szCs w:val="26"/>
        </w:rPr>
      </w:pPr>
      <w:r w:rsidRPr="00C30FB6">
        <w:rPr>
          <w:rFonts w:ascii="Arial" w:hAnsi="Arial" w:cs="Arial"/>
          <w:sz w:val="26"/>
          <w:szCs w:val="26"/>
        </w:rPr>
        <w:t>Digital technologies serve as both obstacles and aids for managing time efficiently. Students can benefit from numerous tools that help them organise their time, track their progress, and minimise distractions.</w:t>
      </w:r>
    </w:p>
    <w:p w14:paraId="75E62DC3" w14:textId="77777777" w:rsidR="00503D78" w:rsidRDefault="00503D78" w:rsidP="00503D78">
      <w:pPr>
        <w:spacing w:line="360" w:lineRule="auto"/>
        <w:rPr>
          <w:rFonts w:ascii="Arial" w:hAnsi="Arial" w:cs="Arial"/>
          <w:sz w:val="26"/>
          <w:szCs w:val="26"/>
        </w:rPr>
      </w:pPr>
      <w:r w:rsidRPr="00C30FB6">
        <w:rPr>
          <w:rFonts w:ascii="Arial" w:hAnsi="Arial" w:cs="Arial"/>
          <w:sz w:val="26"/>
          <w:szCs w:val="26"/>
        </w:rPr>
        <w:t>Students can use calendar applications like Google Calendar or Outlook to plan their tasks visually, schedule study times, and set up deadlines. Studies indicate that students who utilise these management tools experience better adherence to their schedules while minimising last-minute stress (Kearns and Gardiner, 2007).</w:t>
      </w:r>
    </w:p>
    <w:p w14:paraId="1A767DAA" w14:textId="77777777" w:rsidR="00503D78" w:rsidRPr="00DE6AE3" w:rsidRDefault="00503D78" w:rsidP="00503D78">
      <w:pPr>
        <w:spacing w:line="360" w:lineRule="auto"/>
        <w:rPr>
          <w:rFonts w:ascii="Arial" w:hAnsi="Arial" w:cs="Arial"/>
          <w:sz w:val="26"/>
          <w:szCs w:val="26"/>
        </w:rPr>
      </w:pPr>
      <w:proofErr w:type="spellStart"/>
      <w:r w:rsidRPr="00DE6AE3">
        <w:rPr>
          <w:rFonts w:ascii="Arial" w:hAnsi="Arial" w:cs="Arial"/>
          <w:sz w:val="26"/>
          <w:szCs w:val="26"/>
        </w:rPr>
        <w:t>Todoist</w:t>
      </w:r>
      <w:proofErr w:type="spellEnd"/>
      <w:r w:rsidRPr="00DE6AE3">
        <w:rPr>
          <w:rFonts w:ascii="Arial" w:hAnsi="Arial" w:cs="Arial"/>
          <w:sz w:val="26"/>
          <w:szCs w:val="26"/>
        </w:rPr>
        <w:t xml:space="preserve"> and Trello task management platforms enable users to plan tasks methodically and follow their progress. Task management platforms feature support for the “Eisenhower Matrix” and the Pomodoro Technique, which represent proven methods for task prioritisation and focus enhancement (Cirillo, 2006; Covey, 1989).</w:t>
      </w:r>
    </w:p>
    <w:p w14:paraId="4EBFA4EB" w14:textId="77777777" w:rsidR="00503D78" w:rsidRPr="00DE6AE3" w:rsidRDefault="00503D78" w:rsidP="00503D78">
      <w:pPr>
        <w:spacing w:line="360" w:lineRule="auto"/>
        <w:rPr>
          <w:rFonts w:ascii="Arial" w:hAnsi="Arial" w:cs="Arial"/>
          <w:sz w:val="26"/>
          <w:szCs w:val="26"/>
        </w:rPr>
      </w:pPr>
      <w:r w:rsidRPr="00DE6AE3">
        <w:rPr>
          <w:rFonts w:ascii="Arial" w:hAnsi="Arial" w:cs="Arial"/>
          <w:sz w:val="26"/>
          <w:szCs w:val="26"/>
        </w:rPr>
        <w:t xml:space="preserve">Distraction-blocking applications, including Forest, Cold Turkey, and </w:t>
      </w:r>
      <w:proofErr w:type="spellStart"/>
      <w:r w:rsidRPr="00DE6AE3">
        <w:rPr>
          <w:rFonts w:ascii="Arial" w:hAnsi="Arial" w:cs="Arial"/>
          <w:sz w:val="26"/>
          <w:szCs w:val="26"/>
        </w:rPr>
        <w:t>FocusMe</w:t>
      </w:r>
      <w:proofErr w:type="spellEnd"/>
      <w:r w:rsidRPr="00DE6AE3">
        <w:rPr>
          <w:rFonts w:ascii="Arial" w:hAnsi="Arial" w:cs="Arial"/>
          <w:sz w:val="26"/>
          <w:szCs w:val="26"/>
        </w:rPr>
        <w:t>, minimise the usage of websites that are not educational. Students who struggle with impulse control and concentration lapses benefit most from these apps, according to Panek (2014).</w:t>
      </w:r>
    </w:p>
    <w:p w14:paraId="2926B41F" w14:textId="77777777" w:rsidR="00503D78" w:rsidRPr="00C30FB6" w:rsidRDefault="00503D78" w:rsidP="00503D78">
      <w:pPr>
        <w:spacing w:line="360" w:lineRule="auto"/>
        <w:rPr>
          <w:rFonts w:ascii="Arial" w:hAnsi="Arial" w:cs="Arial"/>
          <w:sz w:val="26"/>
          <w:szCs w:val="26"/>
        </w:rPr>
      </w:pPr>
      <w:r w:rsidRPr="00DE6AE3">
        <w:rPr>
          <w:rFonts w:ascii="Arial" w:hAnsi="Arial" w:cs="Arial"/>
          <w:sz w:val="26"/>
          <w:szCs w:val="26"/>
        </w:rPr>
        <w:t>However, digital solutions must be used intentionally. A time management app download alone fails to ensure any fundamental behavioural transformation. Students require training to employ these tools both critically and consistently within a comprehensive self-regulation framework (Zimmerman, 2000).</w:t>
      </w:r>
    </w:p>
    <w:p w14:paraId="4CD8E08D" w14:textId="77777777" w:rsidR="00503D78" w:rsidRDefault="00503D78" w:rsidP="00503D78">
      <w:pPr>
        <w:spacing w:line="360" w:lineRule="auto"/>
        <w:rPr>
          <w:rFonts w:ascii="Arial" w:hAnsi="Arial" w:cs="Arial"/>
          <w:sz w:val="24"/>
          <w:szCs w:val="24"/>
        </w:rPr>
      </w:pPr>
      <w:r>
        <w:rPr>
          <w:rFonts w:ascii="Arial" w:hAnsi="Arial" w:cs="Arial"/>
          <w:sz w:val="24"/>
          <w:szCs w:val="24"/>
        </w:rPr>
        <w:br w:type="page"/>
      </w:r>
    </w:p>
    <w:p w14:paraId="372B7284" w14:textId="77777777" w:rsidR="00503D78" w:rsidRPr="00DE6AE3" w:rsidRDefault="00503D78" w:rsidP="00503D78">
      <w:pPr>
        <w:pStyle w:val="ListParagraph"/>
        <w:numPr>
          <w:ilvl w:val="0"/>
          <w:numId w:val="1"/>
        </w:numPr>
        <w:spacing w:line="360" w:lineRule="auto"/>
        <w:rPr>
          <w:rFonts w:ascii="Arial" w:hAnsi="Arial" w:cs="Arial"/>
          <w:b/>
          <w:bCs/>
          <w:sz w:val="26"/>
          <w:szCs w:val="26"/>
        </w:rPr>
      </w:pPr>
      <w:r w:rsidRPr="00DE6AE3">
        <w:rPr>
          <w:rFonts w:ascii="Arial" w:hAnsi="Arial" w:cs="Arial"/>
          <w:b/>
          <w:bCs/>
          <w:sz w:val="26"/>
          <w:szCs w:val="26"/>
        </w:rPr>
        <w:lastRenderedPageBreak/>
        <w:t>Recommendations</w:t>
      </w:r>
    </w:p>
    <w:p w14:paraId="18D4FE02" w14:textId="77777777" w:rsidR="00503D78" w:rsidRPr="00DE6AE3" w:rsidRDefault="00503D78" w:rsidP="00503D78">
      <w:pPr>
        <w:spacing w:line="360" w:lineRule="auto"/>
        <w:rPr>
          <w:rFonts w:ascii="Arial" w:hAnsi="Arial" w:cs="Arial"/>
          <w:sz w:val="24"/>
          <w:szCs w:val="24"/>
        </w:rPr>
      </w:pPr>
      <w:r w:rsidRPr="00DE6AE3">
        <w:rPr>
          <w:rFonts w:ascii="Arial" w:hAnsi="Arial" w:cs="Arial"/>
          <w:sz w:val="24"/>
          <w:szCs w:val="24"/>
        </w:rPr>
        <w:t>Universities should incorporate time-management education into their curricula to enhance students' time-management skills. Students can gain practical benefits from workshops that teach them planning, goal-setting, and the use of digital tools. Academic advisors need to consistently evaluate students' workload management and commitment balance through regular check-ins.</w:t>
      </w:r>
    </w:p>
    <w:p w14:paraId="3E215437" w14:textId="77777777" w:rsidR="00503D78" w:rsidRDefault="00503D78" w:rsidP="00503D78">
      <w:pPr>
        <w:spacing w:line="360" w:lineRule="auto"/>
        <w:rPr>
          <w:rFonts w:ascii="Arial" w:hAnsi="Arial" w:cs="Arial"/>
          <w:sz w:val="24"/>
          <w:szCs w:val="24"/>
        </w:rPr>
      </w:pPr>
      <w:r w:rsidRPr="00DE6AE3">
        <w:rPr>
          <w:rFonts w:ascii="Arial" w:hAnsi="Arial" w:cs="Arial"/>
          <w:sz w:val="24"/>
          <w:szCs w:val="24"/>
        </w:rPr>
        <w:t>Teachers can enhance students' time management skills by implementing scaffolded deadlines in their course structures, which helps students develop effective habits gradually. Students need to take control of their time and employ tools and strategies which suit both their learning style and daily routines.</w:t>
      </w:r>
    </w:p>
    <w:p w14:paraId="1FA89261" w14:textId="77777777" w:rsidR="00503D78" w:rsidRPr="00DE6AE3" w:rsidRDefault="00503D78" w:rsidP="00503D78">
      <w:pPr>
        <w:spacing w:line="360" w:lineRule="auto"/>
        <w:rPr>
          <w:rFonts w:ascii="Arial" w:hAnsi="Arial" w:cs="Arial"/>
          <w:sz w:val="24"/>
          <w:szCs w:val="24"/>
        </w:rPr>
      </w:pPr>
    </w:p>
    <w:p w14:paraId="21046942" w14:textId="77777777" w:rsidR="00503D78" w:rsidRPr="00DE6AE3" w:rsidRDefault="00503D78" w:rsidP="00503D78">
      <w:pPr>
        <w:pStyle w:val="ListParagraph"/>
        <w:numPr>
          <w:ilvl w:val="0"/>
          <w:numId w:val="1"/>
        </w:numPr>
        <w:spacing w:line="360" w:lineRule="auto"/>
        <w:rPr>
          <w:rFonts w:ascii="Arial" w:hAnsi="Arial" w:cs="Arial"/>
          <w:b/>
          <w:bCs/>
          <w:sz w:val="24"/>
          <w:szCs w:val="24"/>
        </w:rPr>
      </w:pPr>
      <w:r w:rsidRPr="00DE6AE3">
        <w:rPr>
          <w:rFonts w:ascii="Arial" w:hAnsi="Arial" w:cs="Arial"/>
          <w:b/>
          <w:bCs/>
          <w:sz w:val="24"/>
          <w:szCs w:val="24"/>
        </w:rPr>
        <w:t>Conclusion</w:t>
      </w:r>
    </w:p>
    <w:p w14:paraId="4146D089" w14:textId="77777777" w:rsidR="00503D78" w:rsidRDefault="00503D78" w:rsidP="00503D78">
      <w:pPr>
        <w:spacing w:line="360" w:lineRule="auto"/>
        <w:rPr>
          <w:rFonts w:ascii="Arial" w:hAnsi="Arial" w:cs="Arial"/>
          <w:sz w:val="24"/>
          <w:szCs w:val="24"/>
        </w:rPr>
      </w:pPr>
      <w:r w:rsidRPr="00DE6AE3">
        <w:rPr>
          <w:rFonts w:ascii="Arial" w:hAnsi="Arial" w:cs="Arial"/>
          <w:sz w:val="24"/>
          <w:szCs w:val="24"/>
        </w:rPr>
        <w:t>Students in higher education need to master time management because it significantly impacts their academic performance as well as their mental health and educational development. Students encounter various obstacles, with digital distractions standing out among them; however, evidence-based methods and supportive institutional practices offer solutions. Students can leverage digital tools for improved planning and organisation, but they need to apply these resources with intentionality. The adoption of structured routines, combined with the development of time-management skills, enables students to enhance their educational experience and achieve lasting success.</w:t>
      </w:r>
    </w:p>
    <w:p w14:paraId="54BADD27" w14:textId="77777777" w:rsidR="00503D78" w:rsidRDefault="00503D78" w:rsidP="00503D78">
      <w:pPr>
        <w:spacing w:line="360" w:lineRule="auto"/>
        <w:rPr>
          <w:rFonts w:ascii="Arial" w:hAnsi="Arial" w:cs="Arial"/>
          <w:sz w:val="24"/>
          <w:szCs w:val="24"/>
        </w:rPr>
      </w:pPr>
      <w:r>
        <w:rPr>
          <w:rFonts w:ascii="Arial" w:hAnsi="Arial" w:cs="Arial"/>
          <w:sz w:val="24"/>
          <w:szCs w:val="24"/>
        </w:rPr>
        <w:br w:type="page"/>
      </w:r>
    </w:p>
    <w:p w14:paraId="1FC302A7" w14:textId="77777777" w:rsidR="00503D78" w:rsidRPr="0011463A" w:rsidRDefault="00503D78" w:rsidP="00503D78">
      <w:pPr>
        <w:pStyle w:val="ListParagraph"/>
        <w:numPr>
          <w:ilvl w:val="0"/>
          <w:numId w:val="1"/>
        </w:numPr>
        <w:spacing w:line="360" w:lineRule="auto"/>
        <w:rPr>
          <w:rFonts w:ascii="Arial" w:hAnsi="Arial" w:cs="Arial"/>
          <w:b/>
          <w:bCs/>
          <w:sz w:val="24"/>
          <w:szCs w:val="24"/>
        </w:rPr>
      </w:pPr>
      <w:r w:rsidRPr="00DE6AE3">
        <w:rPr>
          <w:rFonts w:ascii="Arial" w:hAnsi="Arial" w:cs="Arial"/>
          <w:b/>
          <w:bCs/>
          <w:sz w:val="24"/>
          <w:szCs w:val="24"/>
        </w:rPr>
        <w:lastRenderedPageBreak/>
        <w:t>References</w:t>
      </w:r>
    </w:p>
    <w:p w14:paraId="17498036" w14:textId="77777777" w:rsidR="00503D78" w:rsidRPr="00A250EE" w:rsidRDefault="00503D78" w:rsidP="00503D78">
      <w:pPr>
        <w:spacing w:before="240" w:line="360" w:lineRule="auto"/>
        <w:rPr>
          <w:rFonts w:ascii="Arial" w:hAnsi="Arial" w:cs="Arial"/>
          <w:sz w:val="24"/>
          <w:szCs w:val="24"/>
        </w:rPr>
      </w:pPr>
      <w:r w:rsidRPr="00A250EE">
        <w:rPr>
          <w:rFonts w:ascii="Arial" w:hAnsi="Arial" w:cs="Arial"/>
          <w:sz w:val="24"/>
          <w:szCs w:val="24"/>
        </w:rPr>
        <w:t>Britton, B.K. and Tesser, A. (1991) ‘Effects of time</w:t>
      </w:r>
      <w:r w:rsidRPr="00A250EE">
        <w:rPr>
          <w:rFonts w:ascii="Cambria Math" w:hAnsi="Cambria Math" w:cs="Cambria Math"/>
          <w:sz w:val="24"/>
          <w:szCs w:val="24"/>
        </w:rPr>
        <w:t>‐</w:t>
      </w:r>
      <w:r w:rsidRPr="00A250EE">
        <w:rPr>
          <w:rFonts w:ascii="Arial" w:hAnsi="Arial" w:cs="Arial"/>
          <w:sz w:val="24"/>
          <w:szCs w:val="24"/>
        </w:rPr>
        <w:t xml:space="preserve">management practices on college grades’, </w:t>
      </w:r>
      <w:r w:rsidRPr="00A250EE">
        <w:rPr>
          <w:rFonts w:ascii="Arial" w:hAnsi="Arial" w:cs="Arial"/>
          <w:i/>
          <w:iCs/>
          <w:sz w:val="24"/>
          <w:szCs w:val="24"/>
        </w:rPr>
        <w:t>Journal of Educational Psychology</w:t>
      </w:r>
      <w:r w:rsidRPr="00A250EE">
        <w:rPr>
          <w:rFonts w:ascii="Arial" w:hAnsi="Arial" w:cs="Arial"/>
          <w:sz w:val="24"/>
          <w:szCs w:val="24"/>
        </w:rPr>
        <w:t>, 83(3), pp. 405–410.</w:t>
      </w:r>
      <w:r w:rsidRPr="00A250EE">
        <w:rPr>
          <w:rFonts w:ascii="Arial" w:hAnsi="Arial" w:cs="Arial"/>
          <w:sz w:val="24"/>
          <w:szCs w:val="24"/>
        </w:rPr>
        <w:br/>
      </w:r>
      <w:proofErr w:type="spellStart"/>
      <w:r w:rsidRPr="00A250EE">
        <w:rPr>
          <w:rFonts w:ascii="Arial" w:hAnsi="Arial" w:cs="Arial"/>
          <w:sz w:val="24"/>
          <w:szCs w:val="24"/>
        </w:rPr>
        <w:t>Claessens</w:t>
      </w:r>
      <w:proofErr w:type="spellEnd"/>
      <w:r w:rsidRPr="00A250EE">
        <w:rPr>
          <w:rFonts w:ascii="Arial" w:hAnsi="Arial" w:cs="Arial"/>
          <w:sz w:val="24"/>
          <w:szCs w:val="24"/>
        </w:rPr>
        <w:t xml:space="preserve">, B.J.C., van </w:t>
      </w:r>
      <w:proofErr w:type="spellStart"/>
      <w:r w:rsidRPr="00A250EE">
        <w:rPr>
          <w:rFonts w:ascii="Arial" w:hAnsi="Arial" w:cs="Arial"/>
          <w:sz w:val="24"/>
          <w:szCs w:val="24"/>
        </w:rPr>
        <w:t>Eerde</w:t>
      </w:r>
      <w:proofErr w:type="spellEnd"/>
      <w:r w:rsidRPr="00A250EE">
        <w:rPr>
          <w:rFonts w:ascii="Arial" w:hAnsi="Arial" w:cs="Arial"/>
          <w:sz w:val="24"/>
          <w:szCs w:val="24"/>
        </w:rPr>
        <w:t xml:space="preserve">, W., Rutte, C.G. and Roe, R.A. (2007) ‘A review of the time management literature’, </w:t>
      </w:r>
      <w:r w:rsidRPr="00A250EE">
        <w:rPr>
          <w:rFonts w:ascii="Arial" w:hAnsi="Arial" w:cs="Arial"/>
          <w:i/>
          <w:iCs/>
          <w:sz w:val="24"/>
          <w:szCs w:val="24"/>
        </w:rPr>
        <w:t>Personnel Review</w:t>
      </w:r>
      <w:r w:rsidRPr="00A250EE">
        <w:rPr>
          <w:rFonts w:ascii="Arial" w:hAnsi="Arial" w:cs="Arial"/>
          <w:sz w:val="24"/>
          <w:szCs w:val="24"/>
        </w:rPr>
        <w:t>, 36(2), pp. 255–276.</w:t>
      </w:r>
      <w:r w:rsidRPr="00A250EE">
        <w:rPr>
          <w:rFonts w:ascii="Arial" w:hAnsi="Arial" w:cs="Arial"/>
          <w:sz w:val="24"/>
          <w:szCs w:val="24"/>
        </w:rPr>
        <w:br/>
        <w:t xml:space="preserve">Junco, R. (2012) ‘The relationship between frequency of Facebook use, participation in Facebook activities, and student engagement’, </w:t>
      </w:r>
      <w:r w:rsidRPr="00A250EE">
        <w:rPr>
          <w:rFonts w:ascii="Arial" w:hAnsi="Arial" w:cs="Arial"/>
          <w:i/>
          <w:iCs/>
          <w:sz w:val="24"/>
          <w:szCs w:val="24"/>
        </w:rPr>
        <w:t>Computers &amp; Education</w:t>
      </w:r>
      <w:r w:rsidRPr="00A250EE">
        <w:rPr>
          <w:rFonts w:ascii="Arial" w:hAnsi="Arial" w:cs="Arial"/>
          <w:sz w:val="24"/>
          <w:szCs w:val="24"/>
        </w:rPr>
        <w:t>, 58(1), pp. 162–171.</w:t>
      </w:r>
      <w:r w:rsidRPr="00A250EE">
        <w:rPr>
          <w:rFonts w:ascii="Arial" w:hAnsi="Arial" w:cs="Arial"/>
          <w:sz w:val="24"/>
          <w:szCs w:val="24"/>
        </w:rPr>
        <w:br/>
        <w:t>Kearns, H. and Gardiner, M. (2007) ‘Is it time well spent? The relationship between time management behaviours, perceived effectiveness and work</w:t>
      </w:r>
      <w:r w:rsidRPr="00A250EE">
        <w:rPr>
          <w:rFonts w:ascii="Cambria Math" w:hAnsi="Cambria Math" w:cs="Cambria Math"/>
          <w:sz w:val="24"/>
          <w:szCs w:val="24"/>
        </w:rPr>
        <w:t>‐</w:t>
      </w:r>
      <w:r w:rsidRPr="00A250EE">
        <w:rPr>
          <w:rFonts w:ascii="Arial" w:hAnsi="Arial" w:cs="Arial"/>
          <w:sz w:val="24"/>
          <w:szCs w:val="24"/>
        </w:rPr>
        <w:t xml:space="preserve">related morale and distress in a university context’, </w:t>
      </w:r>
      <w:r w:rsidRPr="00A250EE">
        <w:rPr>
          <w:rFonts w:ascii="Arial" w:hAnsi="Arial" w:cs="Arial"/>
          <w:i/>
          <w:iCs/>
          <w:sz w:val="24"/>
          <w:szCs w:val="24"/>
        </w:rPr>
        <w:t>Higher Education Research &amp; Development</w:t>
      </w:r>
      <w:r w:rsidRPr="00A250EE">
        <w:rPr>
          <w:rFonts w:ascii="Arial" w:hAnsi="Arial" w:cs="Arial"/>
          <w:sz w:val="24"/>
          <w:szCs w:val="24"/>
        </w:rPr>
        <w:t>, 26(2), pp. 235–247.</w:t>
      </w:r>
      <w:r w:rsidRPr="00A250EE">
        <w:rPr>
          <w:rFonts w:ascii="Arial" w:hAnsi="Arial" w:cs="Arial"/>
          <w:sz w:val="24"/>
          <w:szCs w:val="24"/>
        </w:rPr>
        <w:br/>
        <w:t xml:space="preserve">Panek, E.T. (2014) ‘College students’ media use and time management: A self-regulation perspective’, </w:t>
      </w:r>
      <w:r w:rsidRPr="00A250EE">
        <w:rPr>
          <w:rFonts w:ascii="Arial" w:hAnsi="Arial" w:cs="Arial"/>
          <w:i/>
          <w:iCs/>
          <w:sz w:val="24"/>
          <w:szCs w:val="24"/>
        </w:rPr>
        <w:t>Communication Research</w:t>
      </w:r>
      <w:r w:rsidRPr="00A250EE">
        <w:rPr>
          <w:rFonts w:ascii="Arial" w:hAnsi="Arial" w:cs="Arial"/>
          <w:sz w:val="24"/>
          <w:szCs w:val="24"/>
        </w:rPr>
        <w:t>, 41(4), pp. 561–577.</w:t>
      </w:r>
      <w:r w:rsidRPr="00A250EE">
        <w:rPr>
          <w:rFonts w:ascii="Arial" w:hAnsi="Arial" w:cs="Arial"/>
          <w:sz w:val="24"/>
          <w:szCs w:val="24"/>
        </w:rPr>
        <w:br/>
        <w:t xml:space="preserve">Rosen, L.D., Carrier, L.M. and Cheever, N.A. (2013) ‘Facebook and texting made me do it: Media-induced task-switching while studying’, </w:t>
      </w:r>
      <w:r w:rsidRPr="00A250EE">
        <w:rPr>
          <w:rFonts w:ascii="Arial" w:hAnsi="Arial" w:cs="Arial"/>
          <w:i/>
          <w:iCs/>
          <w:sz w:val="24"/>
          <w:szCs w:val="24"/>
        </w:rPr>
        <w:t xml:space="preserve">Computers in Human </w:t>
      </w:r>
      <w:proofErr w:type="spellStart"/>
      <w:r w:rsidRPr="00A250EE">
        <w:rPr>
          <w:rFonts w:ascii="Arial" w:hAnsi="Arial" w:cs="Arial"/>
          <w:i/>
          <w:iCs/>
          <w:sz w:val="24"/>
          <w:szCs w:val="24"/>
        </w:rPr>
        <w:t>Behavior</w:t>
      </w:r>
      <w:proofErr w:type="spellEnd"/>
      <w:r w:rsidRPr="00A250EE">
        <w:rPr>
          <w:rFonts w:ascii="Arial" w:hAnsi="Arial" w:cs="Arial"/>
          <w:sz w:val="24"/>
          <w:szCs w:val="24"/>
        </w:rPr>
        <w:t>, 29(3), pp. 948–958.</w:t>
      </w:r>
      <w:r w:rsidRPr="00A250EE">
        <w:rPr>
          <w:rFonts w:ascii="Arial" w:hAnsi="Arial" w:cs="Arial"/>
          <w:sz w:val="24"/>
          <w:szCs w:val="24"/>
        </w:rPr>
        <w:br/>
        <w:t xml:space="preserve">Steel, P. (2007) ‘The nature of procrastination: A meta-analytic and theoretical review of quintessential self-regulatory failure’, </w:t>
      </w:r>
      <w:r w:rsidRPr="00A250EE">
        <w:rPr>
          <w:rFonts w:ascii="Arial" w:hAnsi="Arial" w:cs="Arial"/>
          <w:i/>
          <w:iCs/>
          <w:sz w:val="24"/>
          <w:szCs w:val="24"/>
        </w:rPr>
        <w:t>Psychological Bulletin</w:t>
      </w:r>
      <w:r w:rsidRPr="00A250EE">
        <w:rPr>
          <w:rFonts w:ascii="Arial" w:hAnsi="Arial" w:cs="Arial"/>
          <w:sz w:val="24"/>
          <w:szCs w:val="24"/>
        </w:rPr>
        <w:t>, 133(1), pp. 65–94.</w:t>
      </w:r>
      <w:r w:rsidRPr="00A250EE">
        <w:rPr>
          <w:rFonts w:ascii="Arial" w:hAnsi="Arial" w:cs="Arial"/>
          <w:sz w:val="24"/>
          <w:szCs w:val="24"/>
        </w:rPr>
        <w:br/>
        <w:t xml:space="preserve">Trueman, M. and Hartley, J. (1996) ‘A comparison between the time-management skills and academic performance of mature and traditional-entry university students’, </w:t>
      </w:r>
      <w:r w:rsidRPr="00A250EE">
        <w:rPr>
          <w:rFonts w:ascii="Arial" w:hAnsi="Arial" w:cs="Arial"/>
          <w:i/>
          <w:iCs/>
          <w:sz w:val="24"/>
          <w:szCs w:val="24"/>
        </w:rPr>
        <w:t>Higher Education</w:t>
      </w:r>
      <w:r w:rsidRPr="00A250EE">
        <w:rPr>
          <w:rFonts w:ascii="Arial" w:hAnsi="Arial" w:cs="Arial"/>
          <w:sz w:val="24"/>
          <w:szCs w:val="24"/>
        </w:rPr>
        <w:t>, 32(2), pp. 199–215.</w:t>
      </w:r>
      <w:r w:rsidRPr="00A250EE">
        <w:rPr>
          <w:rFonts w:ascii="Arial" w:hAnsi="Arial" w:cs="Arial"/>
          <w:sz w:val="24"/>
          <w:szCs w:val="24"/>
        </w:rPr>
        <w:br/>
        <w:t xml:space="preserve">Wolters, C.A., Won, S. and Hussain, M. (2017) ‘Examining the relations of time management and procrastination within a model of self-regulated learning’, </w:t>
      </w:r>
      <w:r w:rsidRPr="00A250EE">
        <w:rPr>
          <w:rFonts w:ascii="Arial" w:hAnsi="Arial" w:cs="Arial"/>
          <w:i/>
          <w:iCs/>
          <w:sz w:val="24"/>
          <w:szCs w:val="24"/>
        </w:rPr>
        <w:t>Metacognition and Learning</w:t>
      </w:r>
      <w:r w:rsidRPr="00A250EE">
        <w:rPr>
          <w:rFonts w:ascii="Arial" w:hAnsi="Arial" w:cs="Arial"/>
          <w:sz w:val="24"/>
          <w:szCs w:val="24"/>
        </w:rPr>
        <w:t>, 12(3), pp. 381–399.</w:t>
      </w:r>
      <w:r w:rsidRPr="00A250EE">
        <w:rPr>
          <w:rFonts w:ascii="Arial" w:hAnsi="Arial" w:cs="Arial"/>
          <w:sz w:val="24"/>
          <w:szCs w:val="24"/>
        </w:rPr>
        <w:br/>
        <w:t xml:space="preserve">Zimmerman, B.J. (2000) ‘Attaining self-regulation: A social cognitive perspective’, in </w:t>
      </w:r>
      <w:proofErr w:type="spellStart"/>
      <w:r w:rsidRPr="00A250EE">
        <w:rPr>
          <w:rFonts w:ascii="Arial" w:hAnsi="Arial" w:cs="Arial"/>
          <w:sz w:val="24"/>
          <w:szCs w:val="24"/>
        </w:rPr>
        <w:t>Boekaerts</w:t>
      </w:r>
      <w:proofErr w:type="spellEnd"/>
      <w:r w:rsidRPr="00A250EE">
        <w:rPr>
          <w:rFonts w:ascii="Arial" w:hAnsi="Arial" w:cs="Arial"/>
          <w:sz w:val="24"/>
          <w:szCs w:val="24"/>
        </w:rPr>
        <w:t xml:space="preserve">, M., </w:t>
      </w:r>
      <w:proofErr w:type="spellStart"/>
      <w:r w:rsidRPr="00A250EE">
        <w:rPr>
          <w:rFonts w:ascii="Arial" w:hAnsi="Arial" w:cs="Arial"/>
          <w:sz w:val="24"/>
          <w:szCs w:val="24"/>
        </w:rPr>
        <w:t>Pintrich</w:t>
      </w:r>
      <w:proofErr w:type="spellEnd"/>
      <w:r w:rsidRPr="00A250EE">
        <w:rPr>
          <w:rFonts w:ascii="Arial" w:hAnsi="Arial" w:cs="Arial"/>
          <w:sz w:val="24"/>
          <w:szCs w:val="24"/>
        </w:rPr>
        <w:t xml:space="preserve">, P.R. and </w:t>
      </w:r>
      <w:proofErr w:type="spellStart"/>
      <w:r w:rsidRPr="00A250EE">
        <w:rPr>
          <w:rFonts w:ascii="Arial" w:hAnsi="Arial" w:cs="Arial"/>
          <w:sz w:val="24"/>
          <w:szCs w:val="24"/>
        </w:rPr>
        <w:t>Zeidner</w:t>
      </w:r>
      <w:proofErr w:type="spellEnd"/>
      <w:r w:rsidRPr="00A250EE">
        <w:rPr>
          <w:rFonts w:ascii="Arial" w:hAnsi="Arial" w:cs="Arial"/>
          <w:sz w:val="24"/>
          <w:szCs w:val="24"/>
        </w:rPr>
        <w:t xml:space="preserve">, M. (eds.) </w:t>
      </w:r>
      <w:r w:rsidRPr="00A250EE">
        <w:rPr>
          <w:rFonts w:ascii="Arial" w:hAnsi="Arial" w:cs="Arial"/>
          <w:i/>
          <w:iCs/>
          <w:sz w:val="24"/>
          <w:szCs w:val="24"/>
        </w:rPr>
        <w:t>Handbook of Self-Regulation</w:t>
      </w:r>
      <w:r w:rsidRPr="00A250EE">
        <w:rPr>
          <w:rFonts w:ascii="Arial" w:hAnsi="Arial" w:cs="Arial"/>
          <w:sz w:val="24"/>
          <w:szCs w:val="24"/>
        </w:rPr>
        <w:t>. San Diego: Academic Press, pp. 13–39.</w:t>
      </w:r>
    </w:p>
    <w:p w14:paraId="1548F2EE" w14:textId="77777777" w:rsidR="00F71671" w:rsidRDefault="00F71671"/>
    <w:sectPr w:rsidR="00F71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42016"/>
    <w:multiLevelType w:val="hybridMultilevel"/>
    <w:tmpl w:val="40FED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9417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D78"/>
    <w:rsid w:val="0008278A"/>
    <w:rsid w:val="000D78B2"/>
    <w:rsid w:val="00111748"/>
    <w:rsid w:val="001819D5"/>
    <w:rsid w:val="0035467C"/>
    <w:rsid w:val="00365906"/>
    <w:rsid w:val="00473E0B"/>
    <w:rsid w:val="004A0E42"/>
    <w:rsid w:val="00503D78"/>
    <w:rsid w:val="00587987"/>
    <w:rsid w:val="0063506C"/>
    <w:rsid w:val="00737589"/>
    <w:rsid w:val="00882087"/>
    <w:rsid w:val="00B0312B"/>
    <w:rsid w:val="00B81385"/>
    <w:rsid w:val="00D951D6"/>
    <w:rsid w:val="00DA63F2"/>
    <w:rsid w:val="00EA1B05"/>
    <w:rsid w:val="00F376CD"/>
    <w:rsid w:val="00F71671"/>
    <w:rsid w:val="00F840F9"/>
    <w:rsid w:val="00FC3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27F1DE"/>
  <w15:chartTrackingRefBased/>
  <w15:docId w15:val="{376275CC-C004-43A3-8DCA-E632CCCD8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D78"/>
  </w:style>
  <w:style w:type="paragraph" w:styleId="Heading1">
    <w:name w:val="heading 1"/>
    <w:basedOn w:val="Normal"/>
    <w:next w:val="Normal"/>
    <w:link w:val="Heading1Char"/>
    <w:uiPriority w:val="9"/>
    <w:qFormat/>
    <w:rsid w:val="00503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3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3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3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3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3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3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3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3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3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3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3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3D78"/>
    <w:rPr>
      <w:rFonts w:eastAsiaTheme="majorEastAsia" w:cstheme="majorBidi"/>
      <w:color w:val="272727" w:themeColor="text1" w:themeTint="D8"/>
    </w:rPr>
  </w:style>
  <w:style w:type="paragraph" w:styleId="Title">
    <w:name w:val="Title"/>
    <w:basedOn w:val="Normal"/>
    <w:next w:val="Normal"/>
    <w:link w:val="TitleChar"/>
    <w:uiPriority w:val="10"/>
    <w:qFormat/>
    <w:rsid w:val="00503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3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3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3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3D78"/>
    <w:pPr>
      <w:spacing w:before="160"/>
      <w:jc w:val="center"/>
    </w:pPr>
    <w:rPr>
      <w:i/>
      <w:iCs/>
      <w:color w:val="404040" w:themeColor="text1" w:themeTint="BF"/>
    </w:rPr>
  </w:style>
  <w:style w:type="character" w:customStyle="1" w:styleId="QuoteChar">
    <w:name w:val="Quote Char"/>
    <w:basedOn w:val="DefaultParagraphFont"/>
    <w:link w:val="Quote"/>
    <w:uiPriority w:val="29"/>
    <w:rsid w:val="00503D78"/>
    <w:rPr>
      <w:i/>
      <w:iCs/>
      <w:color w:val="404040" w:themeColor="text1" w:themeTint="BF"/>
    </w:rPr>
  </w:style>
  <w:style w:type="paragraph" w:styleId="ListParagraph">
    <w:name w:val="List Paragraph"/>
    <w:basedOn w:val="Normal"/>
    <w:uiPriority w:val="34"/>
    <w:qFormat/>
    <w:rsid w:val="00503D78"/>
    <w:pPr>
      <w:ind w:left="720"/>
      <w:contextualSpacing/>
    </w:pPr>
  </w:style>
  <w:style w:type="character" w:styleId="IntenseEmphasis">
    <w:name w:val="Intense Emphasis"/>
    <w:basedOn w:val="DefaultParagraphFont"/>
    <w:uiPriority w:val="21"/>
    <w:qFormat/>
    <w:rsid w:val="00503D78"/>
    <w:rPr>
      <w:i/>
      <w:iCs/>
      <w:color w:val="0F4761" w:themeColor="accent1" w:themeShade="BF"/>
    </w:rPr>
  </w:style>
  <w:style w:type="paragraph" w:styleId="IntenseQuote">
    <w:name w:val="Intense Quote"/>
    <w:basedOn w:val="Normal"/>
    <w:next w:val="Normal"/>
    <w:link w:val="IntenseQuoteChar"/>
    <w:uiPriority w:val="30"/>
    <w:qFormat/>
    <w:rsid w:val="00503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3D78"/>
    <w:rPr>
      <w:i/>
      <w:iCs/>
      <w:color w:val="0F4761" w:themeColor="accent1" w:themeShade="BF"/>
    </w:rPr>
  </w:style>
  <w:style w:type="character" w:styleId="IntenseReference">
    <w:name w:val="Intense Reference"/>
    <w:basedOn w:val="DefaultParagraphFont"/>
    <w:uiPriority w:val="32"/>
    <w:qFormat/>
    <w:rsid w:val="00503D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1080</Words>
  <Characters>6879</Characters>
  <Application>Microsoft Office Word</Application>
  <DocSecurity>0</DocSecurity>
  <Lines>57</Lines>
  <Paragraphs>15</Paragraphs>
  <ScaleCrop>false</ScaleCrop>
  <Company/>
  <LinksUpToDate>false</LinksUpToDate>
  <CharactersWithSpaces>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Mandache</dc:creator>
  <cp:keywords/>
  <dc:description/>
  <cp:lastModifiedBy>Alina Calin</cp:lastModifiedBy>
  <cp:revision>2</cp:revision>
  <cp:lastPrinted>2025-06-06T13:56:00Z</cp:lastPrinted>
  <dcterms:created xsi:type="dcterms:W3CDTF">2025-06-06T15:24:00Z</dcterms:created>
  <dcterms:modified xsi:type="dcterms:W3CDTF">2025-06-06T15:24:00Z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428d69e8-31fc-4031-9c18-056fac959b38</vt:lpwstr>
  </property>
</Properties>
</file>