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48B7D" w14:textId="77777777" w:rsidR="00800E7C" w:rsidRDefault="00000000">
      <w:pPr>
        <w:spacing w:before="200" w:after="200"/>
        <w:jc w:val="center"/>
      </w:pPr>
      <w:r>
        <w:rPr>
          <w:noProof/>
        </w:rPr>
        <w:drawing>
          <wp:inline distT="19050" distB="19050" distL="19050" distR="19050" wp14:anchorId="17F1B8BA" wp14:editId="2F488546">
            <wp:extent cx="1235075" cy="116903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referRelativeResize="0"/>
                  </pic:nvPicPr>
                  <pic:blipFill>
                    <a:blip r:embed="rId8"/>
                    <a:srcRect/>
                    <a:stretch>
                      <a:fillRect/>
                    </a:stretch>
                  </pic:blipFill>
                  <pic:spPr>
                    <a:xfrm>
                      <a:off x="0" y="0"/>
                      <a:ext cx="1235075" cy="1169098"/>
                    </a:xfrm>
                    <a:prstGeom prst="rect">
                      <a:avLst/>
                    </a:prstGeom>
                  </pic:spPr>
                </pic:pic>
              </a:graphicData>
            </a:graphic>
          </wp:inline>
        </w:drawing>
      </w:r>
    </w:p>
    <w:p w14:paraId="75481046" w14:textId="6F636303" w:rsidR="00800E7C"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 Name: </w:t>
      </w:r>
      <w:r w:rsidR="00C85139">
        <w:rPr>
          <w:rFonts w:ascii="Times New Roman" w:eastAsia="Times New Roman" w:hAnsi="Times New Roman" w:cs="Times New Roman"/>
          <w:sz w:val="24"/>
          <w:szCs w:val="24"/>
        </w:rPr>
        <w:t>RIKUL</w:t>
      </w:r>
      <w:r>
        <w:rPr>
          <w:rFonts w:ascii="Times New Roman" w:eastAsia="Times New Roman" w:hAnsi="Times New Roman" w:cs="Times New Roman"/>
          <w:sz w:val="24"/>
          <w:szCs w:val="24"/>
        </w:rPr>
        <w:t xml:space="preserve"> R</w:t>
      </w:r>
      <w:r w:rsidR="00C85139">
        <w:rPr>
          <w:rFonts w:ascii="Times New Roman" w:eastAsia="Times New Roman" w:hAnsi="Times New Roman" w:cs="Times New Roman"/>
          <w:sz w:val="24"/>
          <w:szCs w:val="24"/>
        </w:rPr>
        <w:t>ANA</w:t>
      </w:r>
    </w:p>
    <w:p w14:paraId="68A553C6" w14:textId="77777777" w:rsidR="00800E7C"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  2427668</w:t>
      </w:r>
    </w:p>
    <w:p w14:paraId="298BC6FF" w14:textId="77777777" w:rsidR="00800E7C"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Module Name: Marketing Management Module Code: LCMB7024 </w:t>
      </w:r>
    </w:p>
    <w:p w14:paraId="725DE5F9" w14:textId="77777777" w:rsidR="00800E7C"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Lecturer’s Name: Dr. Laila Maazouz</w:t>
      </w:r>
    </w:p>
    <w:p w14:paraId="174C6A49" w14:textId="39D9C122" w:rsidR="00800E7C"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Work Count: 25</w:t>
      </w:r>
      <w:r w:rsidR="00BD277D">
        <w:rPr>
          <w:rFonts w:ascii="Times New Roman" w:eastAsia="Times New Roman" w:hAnsi="Times New Roman" w:cs="Times New Roman"/>
          <w:sz w:val="24"/>
          <w:szCs w:val="24"/>
        </w:rPr>
        <w:t>86</w:t>
      </w:r>
    </w:p>
    <w:p w14:paraId="69962A7D" w14:textId="77777777" w:rsidR="00800E7C" w:rsidRDefault="00000000">
      <w:pPr>
        <w:spacing w:before="200" w:after="200" w:line="360" w:lineRule="auto"/>
        <w:jc w:val="center"/>
        <w:rPr>
          <w:rFonts w:ascii="Times New Roman" w:eastAsia="Times New Roman" w:hAnsi="Times New Roman" w:cs="Times New Roman"/>
          <w:sz w:val="24"/>
          <w:szCs w:val="24"/>
        </w:rPr>
        <w:sectPr w:rsidR="00800E7C">
          <w:pgSz w:w="11909" w:h="16834"/>
          <w:pgMar w:top="1440" w:right="1440" w:bottom="1440" w:left="1440" w:header="720" w:footer="720" w:gutter="0"/>
          <w:pgNumType w:start="1"/>
          <w:cols w:space="720"/>
        </w:sectPr>
      </w:pPr>
      <w:r>
        <w:rPr>
          <w:rFonts w:ascii="Times New Roman" w:eastAsia="Times New Roman" w:hAnsi="Times New Roman" w:cs="Times New Roman"/>
          <w:sz w:val="24"/>
          <w:szCs w:val="24"/>
        </w:rPr>
        <w:t>Term 1</w:t>
      </w:r>
    </w:p>
    <w:p w14:paraId="40E8F18D" w14:textId="77777777" w:rsidR="00800E7C" w:rsidRDefault="00000000">
      <w:pPr>
        <w:spacing w:before="200" w:after="200" w:line="360" w:lineRule="auto"/>
        <w:jc w:val="center"/>
        <w:rPr>
          <w:rFonts w:ascii="Times New Roman" w:eastAsia="Times New Roman" w:hAnsi="Times New Roman" w:cs="Times New Roman"/>
          <w:b/>
          <w:sz w:val="30"/>
          <w:szCs w:val="30"/>
        </w:rPr>
      </w:pPr>
      <w:r>
        <w:rPr>
          <w:rFonts w:ascii="Times New Roman" w:eastAsia="Times New Roman" w:hAnsi="Times New Roman" w:cs="Times New Roman"/>
          <w:b/>
          <w:sz w:val="30"/>
          <w:szCs w:val="30"/>
        </w:rPr>
        <w:lastRenderedPageBreak/>
        <w:t>Table of Contents</w:t>
      </w:r>
    </w:p>
    <w:sdt>
      <w:sdtPr>
        <w:id w:val="147469327"/>
        <w:docPartObj>
          <w:docPartGallery w:val="Table of Contents"/>
          <w:docPartUnique/>
        </w:docPartObj>
      </w:sdtPr>
      <w:sdtContent>
        <w:p w14:paraId="43877687" w14:textId="77777777" w:rsidR="00800E7C"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heading=h.frcex16ekr9q">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r>
          </w:hyperlink>
          <w:r>
            <w:fldChar w:fldCharType="begin"/>
          </w:r>
          <w:r>
            <w:instrText xml:space="preserve"> PAGEREF _heading=h.frcex16ekr9q \h </w:instrText>
          </w:r>
          <w:r>
            <w:fldChar w:fldCharType="separate"/>
          </w:r>
          <w:r>
            <w:rPr>
              <w:rFonts w:ascii="Times New Roman" w:eastAsia="Times New Roman" w:hAnsi="Times New Roman" w:cs="Times New Roman"/>
              <w:sz w:val="24"/>
              <w:szCs w:val="24"/>
            </w:rPr>
            <w:t>3</w:t>
          </w:r>
          <w:hyperlink w:anchor="_heading=h.frcex16ekr9q" w:history="1"/>
        </w:p>
        <w:p w14:paraId="3EDAFDBF" w14:textId="77777777" w:rsidR="00800E7C"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end"/>
          </w:r>
          <w:hyperlink w:anchor="_heading=h.66m0o26otiqe">
            <w:r>
              <w:rPr>
                <w:rFonts w:ascii="Times New Roman" w:eastAsia="Times New Roman" w:hAnsi="Times New Roman" w:cs="Times New Roman"/>
                <w:color w:val="000000"/>
                <w:sz w:val="24"/>
                <w:szCs w:val="24"/>
              </w:rPr>
              <w:t>The advantages of being a pioneer Company</w:t>
            </w:r>
            <w:r>
              <w:rPr>
                <w:rFonts w:ascii="Times New Roman" w:eastAsia="Times New Roman" w:hAnsi="Times New Roman" w:cs="Times New Roman"/>
                <w:color w:val="000000"/>
                <w:sz w:val="24"/>
                <w:szCs w:val="24"/>
              </w:rPr>
              <w:tab/>
            </w:r>
          </w:hyperlink>
          <w:r>
            <w:fldChar w:fldCharType="begin"/>
          </w:r>
          <w:r>
            <w:instrText xml:space="preserve"> PAGEREF _heading=h.66m0o26otiqe \h </w:instrText>
          </w:r>
          <w:r>
            <w:fldChar w:fldCharType="separate"/>
          </w:r>
          <w:r>
            <w:rPr>
              <w:rFonts w:ascii="Times New Roman" w:eastAsia="Times New Roman" w:hAnsi="Times New Roman" w:cs="Times New Roman"/>
              <w:sz w:val="24"/>
              <w:szCs w:val="24"/>
            </w:rPr>
            <w:t>3</w:t>
          </w:r>
          <w:hyperlink w:anchor="_heading=h.66m0o26otiqe" w:history="1"/>
        </w:p>
        <w:p w14:paraId="72456705" w14:textId="77777777" w:rsidR="00800E7C"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end"/>
          </w:r>
          <w:hyperlink w:anchor="_heading=h.3jyf6cpkid38">
            <w:r>
              <w:rPr>
                <w:rFonts w:ascii="Times New Roman" w:eastAsia="Times New Roman" w:hAnsi="Times New Roman" w:cs="Times New Roman"/>
                <w:color w:val="000000"/>
                <w:sz w:val="24"/>
                <w:szCs w:val="24"/>
              </w:rPr>
              <w:t>The advantages of being a follower company</w:t>
            </w:r>
            <w:r>
              <w:rPr>
                <w:rFonts w:ascii="Times New Roman" w:eastAsia="Times New Roman" w:hAnsi="Times New Roman" w:cs="Times New Roman"/>
                <w:color w:val="000000"/>
                <w:sz w:val="24"/>
                <w:szCs w:val="24"/>
              </w:rPr>
              <w:tab/>
            </w:r>
          </w:hyperlink>
          <w:r>
            <w:fldChar w:fldCharType="begin"/>
          </w:r>
          <w:r>
            <w:instrText xml:space="preserve"> PAGEREF _heading=h.3jyf6cpkid38 \h </w:instrText>
          </w:r>
          <w:r>
            <w:fldChar w:fldCharType="separate"/>
          </w:r>
          <w:r>
            <w:rPr>
              <w:rFonts w:ascii="Times New Roman" w:eastAsia="Times New Roman" w:hAnsi="Times New Roman" w:cs="Times New Roman"/>
              <w:sz w:val="24"/>
              <w:szCs w:val="24"/>
            </w:rPr>
            <w:t>5</w:t>
          </w:r>
          <w:hyperlink w:anchor="_heading=h.3jyf6cpkid38" w:history="1"/>
        </w:p>
        <w:p w14:paraId="6B8E1477" w14:textId="77777777" w:rsidR="00800E7C"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end"/>
          </w:r>
          <w:hyperlink w:anchor="_heading=h.yv1205rff5uc">
            <w:r>
              <w:rPr>
                <w:rFonts w:ascii="Times New Roman" w:eastAsia="Times New Roman" w:hAnsi="Times New Roman" w:cs="Times New Roman"/>
                <w:color w:val="000000"/>
                <w:sz w:val="24"/>
                <w:szCs w:val="24"/>
              </w:rPr>
              <w:t>PLC Strategies in the Growth and Maturity Stages:</w:t>
            </w:r>
            <w:r>
              <w:rPr>
                <w:rFonts w:ascii="Times New Roman" w:eastAsia="Times New Roman" w:hAnsi="Times New Roman" w:cs="Times New Roman"/>
                <w:color w:val="000000"/>
                <w:sz w:val="24"/>
                <w:szCs w:val="24"/>
              </w:rPr>
              <w:tab/>
            </w:r>
          </w:hyperlink>
          <w:r>
            <w:fldChar w:fldCharType="begin"/>
          </w:r>
          <w:r>
            <w:instrText xml:space="preserve"> PAGEREF _heading=h.yv1205rff5uc \h </w:instrText>
          </w:r>
          <w:r>
            <w:fldChar w:fldCharType="separate"/>
          </w:r>
          <w:r>
            <w:rPr>
              <w:rFonts w:ascii="Times New Roman" w:eastAsia="Times New Roman" w:hAnsi="Times New Roman" w:cs="Times New Roman"/>
              <w:sz w:val="24"/>
              <w:szCs w:val="24"/>
            </w:rPr>
            <w:t>6</w:t>
          </w:r>
          <w:hyperlink w:anchor="_heading=h.yv1205rff5uc" w:history="1"/>
        </w:p>
        <w:p w14:paraId="44B3F791" w14:textId="77777777" w:rsidR="00800E7C"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end"/>
          </w:r>
          <w:hyperlink w:anchor="_heading=h.wijjmuxqbu4i">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r>
          </w:hyperlink>
          <w:r>
            <w:fldChar w:fldCharType="begin"/>
          </w:r>
          <w:r>
            <w:instrText xml:space="preserve"> PAGEREF _heading=h.wijjmuxqbu4i \h </w:instrText>
          </w:r>
          <w:r>
            <w:fldChar w:fldCharType="separate"/>
          </w:r>
          <w:r>
            <w:rPr>
              <w:rFonts w:ascii="Times New Roman" w:eastAsia="Times New Roman" w:hAnsi="Times New Roman" w:cs="Times New Roman"/>
              <w:sz w:val="24"/>
              <w:szCs w:val="24"/>
            </w:rPr>
            <w:t>10</w:t>
          </w:r>
          <w:r>
            <w:fldChar w:fldCharType="end"/>
          </w:r>
          <w:r>
            <w:fldChar w:fldCharType="end"/>
          </w:r>
        </w:p>
      </w:sdtContent>
    </w:sdt>
    <w:p w14:paraId="472D4387" w14:textId="77777777" w:rsidR="00800E7C" w:rsidRDefault="00800E7C">
      <w:pPr>
        <w:spacing w:before="200" w:after="200" w:line="360" w:lineRule="auto"/>
        <w:jc w:val="center"/>
        <w:rPr>
          <w:rFonts w:ascii="Times New Roman" w:eastAsia="Times New Roman" w:hAnsi="Times New Roman" w:cs="Times New Roman"/>
          <w:b/>
          <w:sz w:val="30"/>
          <w:szCs w:val="30"/>
        </w:rPr>
        <w:sectPr w:rsidR="00800E7C">
          <w:pgSz w:w="11909" w:h="16834"/>
          <w:pgMar w:top="1440" w:right="1440" w:bottom="1440" w:left="1440" w:header="720" w:footer="720" w:gutter="0"/>
          <w:cols w:space="720"/>
        </w:sectPr>
      </w:pPr>
    </w:p>
    <w:p w14:paraId="2E846152" w14:textId="77777777" w:rsidR="00800E7C" w:rsidRDefault="00000000">
      <w:pPr>
        <w:pStyle w:val="Heading1"/>
        <w:spacing w:before="200" w:after="200" w:line="360" w:lineRule="auto"/>
        <w:jc w:val="both"/>
        <w:rPr>
          <w:rFonts w:ascii="Times New Roman" w:eastAsia="Times New Roman" w:hAnsi="Times New Roman" w:cs="Times New Roman"/>
          <w:b/>
          <w:sz w:val="24"/>
          <w:szCs w:val="24"/>
        </w:rPr>
      </w:pPr>
      <w:bookmarkStart w:id="0" w:name="_heading=h.frcex16ekr9q" w:colFirst="0" w:colLast="0"/>
      <w:bookmarkEnd w:id="0"/>
      <w:r>
        <w:rPr>
          <w:rFonts w:ascii="Times New Roman" w:eastAsia="Times New Roman" w:hAnsi="Times New Roman" w:cs="Times New Roman"/>
          <w:b/>
          <w:sz w:val="24"/>
          <w:szCs w:val="24"/>
        </w:rPr>
        <w:lastRenderedPageBreak/>
        <w:t xml:space="preserve">Introduction </w:t>
      </w:r>
    </w:p>
    <w:p w14:paraId="27964103" w14:textId="77777777" w:rsidR="00800E7C"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marketing management segment, the existence of pioneer companies and follower organizations has leveraged competition. The augmentation of disruptive technology and innovation has influenced a competitive scenario where both organizational genres initiate various strategies for sustainability. Apple, being a pioneer company in the new age of smartphones, is facing tough competition from Samsung and Xioami in developing countries (Huang et al., 2022). Netflix has overthrown Blockbuster's rental DVD culture (Tuohy, 2024). Therefore, if pioneer companies who have been there since the inception of the product or service development could not cope with market demand and customer desires then follower companies who have diagnosed the marketing loophole of the pioneer companies and apply strategies to mitigate the gaps will sustain.</w:t>
      </w:r>
    </w:p>
    <w:p w14:paraId="4A48C8BC" w14:textId="77777777" w:rsidR="00800E7C" w:rsidRDefault="00000000">
      <w:pPr>
        <w:pStyle w:val="Heading1"/>
        <w:spacing w:before="200" w:after="200" w:line="360" w:lineRule="auto"/>
        <w:jc w:val="both"/>
        <w:rPr>
          <w:rFonts w:ascii="Times New Roman" w:eastAsia="Times New Roman" w:hAnsi="Times New Roman" w:cs="Times New Roman"/>
          <w:b/>
          <w:sz w:val="24"/>
          <w:szCs w:val="24"/>
        </w:rPr>
      </w:pPr>
      <w:bookmarkStart w:id="1" w:name="_heading=h.66m0o26otiqe" w:colFirst="0" w:colLast="0"/>
      <w:bookmarkEnd w:id="1"/>
      <w:r>
        <w:rPr>
          <w:rFonts w:ascii="Times New Roman" w:eastAsia="Times New Roman" w:hAnsi="Times New Roman" w:cs="Times New Roman"/>
          <w:b/>
          <w:sz w:val="24"/>
          <w:szCs w:val="24"/>
        </w:rPr>
        <w:t xml:space="preserve">The advantages of being a pioneer company </w:t>
      </w:r>
    </w:p>
    <w:p w14:paraId="6549BA6C" w14:textId="77777777" w:rsidR="00800E7C"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 management faces a huge lot of decisions regularly and these routine decisions can be important for the business's survival. The optimization of the significant strategic strategy is one of the most important decisions that a company needs to formulate and also ensure regarding its implementation (Gómez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Executive management has different methods to choose from but in terms of innovation, one can choose to be a pioneer rather than a follower.</w:t>
      </w:r>
    </w:p>
    <w:p w14:paraId="5881B12D" w14:textId="77777777" w:rsidR="00800E7C"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Pioneer company enters a market and introduces a new product or service that offers different advantages.</w:t>
      </w:r>
    </w:p>
    <w:p w14:paraId="0276F36D" w14:textId="77777777" w:rsidR="00800E7C" w:rsidRDefault="00000000">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market leadership and brand recognition, pioneers often become symmetrical with the products and services that gain stringent brand recognition and market leadership. Therefore, being first in the market helps the company build its brand and reputation before the entrance of competitors (Carreno, 2024). For example, Amazon was one of the primary online Bookstores that leveraged into early adaptors towards dominating e-commerce.</w:t>
      </w:r>
    </w:p>
    <w:p w14:paraId="28655B8A" w14:textId="77777777" w:rsidR="00800E7C" w:rsidRDefault="00000000">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in the market can capture an essential market share before competitors respond to the scenario. This can involve increasing sales, customer loyalty and market dominance (The Strategy Institute, 2024). For example, Coca-Cola became the dominant soft drink brand when it entered the market early and established a strict global distribution.</w:t>
      </w:r>
    </w:p>
    <w:p w14:paraId="537586CA" w14:textId="77777777" w:rsidR="00800E7C" w:rsidRDefault="00000000">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With the introduction of a novel product or service, these pioneer companies have the opportunity to build strong customer loyalty. The companies which are early adopters are often increasingly loyal to the brand that has introduced innovation especially when a product or service has met significant requirements (Pioneer, 2024). The introduction of a platform where third-party businesses can rely on and also procure a high-end communication system for attracting developers, service providers, and businesses is Facebook (</w:t>
      </w:r>
      <w:r>
        <w:rPr>
          <w:rFonts w:ascii="Times New Roman" w:eastAsia="Times New Roman" w:hAnsi="Times New Roman" w:cs="Times New Roman"/>
          <w:color w:val="222222"/>
          <w:sz w:val="24"/>
          <w:szCs w:val="24"/>
          <w:highlight w:val="white"/>
        </w:rPr>
        <w:t>Yuliati and Huda, 2022</w:t>
      </w:r>
      <w:r>
        <w:rPr>
          <w:rFonts w:ascii="Times New Roman" w:eastAsia="Times New Roman" w:hAnsi="Times New Roman" w:cs="Times New Roman"/>
          <w:sz w:val="24"/>
          <w:szCs w:val="24"/>
        </w:rPr>
        <w:t xml:space="preserve">). It has rapidly grown into prominence because of early adoption which attracted both businesses and users. It has made it harder for other social networks like Orkut to compete. </w:t>
      </w:r>
    </w:p>
    <w:p w14:paraId="5EC0D311" w14:textId="77777777" w:rsidR="00800E7C" w:rsidRDefault="00000000">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Pioneer companies have the opportunity to secure their patents, trademarks and other intellectual property protections that have made it difficult for rivals to replicate their offerings. This creates a legal boundary that enhances market share. For example, according to Shi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Tesla has revolutionized the automobile industry with the introduction of electric vehicles by making innovations regarding battery technology and infrastructure which means that automakers all over the world have been following.</w:t>
      </w:r>
    </w:p>
    <w:p w14:paraId="266E0B4B" w14:textId="77777777" w:rsidR="00800E7C" w:rsidRDefault="00000000">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certain scenarios being the pioneer company within the market has allowed organizations to fix to have profit margins before the competitors enter and they start establishing prices for products and services (Growth List, 2025). Investors need to often witness Pioneer organisations be more innovative and forward thinking which has made it easier for those organisations that can attract capital to sponsor growth and expansion (Growth List, 2025). In this scenario, the introduction of the iPhone as a smartphone product of Apple in the market set early high price points which were accepted by consumers because of its innovation (Huan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2025).</w:t>
      </w:r>
    </w:p>
    <w:p w14:paraId="66B40719" w14:textId="77777777" w:rsidR="00800E7C" w:rsidRDefault="00000000">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the building of the reputation of a company in the first place as a pioneer helps to get into control of the new technology, supply and distribution channels leading to a decrease of overall expenses (Chen, 2024). This is laid to the creation of a possibility for building loyalty, strengthening relationships with their customer and in most scenarios having the largest market share. For example, Nike has pioneered athletic marketing with their athletic endorsements of Michael Jordan and their innovative show technology (Chen, 2024). The Just Do It campaign and quality products have established an in-depth loyal customer base.</w:t>
      </w:r>
    </w:p>
    <w:p w14:paraId="23813588" w14:textId="77777777" w:rsidR="00800E7C" w:rsidRDefault="00000000">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barrier can be established in terms of controlling resources, technology and human capital. The resource based view analysis will provide the advantage to exploit and control valuable, scarce and hard to immediate resources (Palm, 2020). In addition to the advantages of being a pioneer within the industry can help to refine strategy and opt for significant elements that require technology and immense source of growth.</w:t>
      </w:r>
    </w:p>
    <w:p w14:paraId="2EEF6804" w14:textId="77777777" w:rsidR="00800E7C"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C2D8FC5" wp14:editId="4AF13B07">
            <wp:extent cx="4606290" cy="2019300"/>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referRelativeResize="0"/>
                  </pic:nvPicPr>
                  <pic:blipFill>
                    <a:blip r:embed="rId9"/>
                    <a:srcRect t="23726" b="13366"/>
                    <a:stretch>
                      <a:fillRect/>
                    </a:stretch>
                  </pic:blipFill>
                  <pic:spPr>
                    <a:xfrm>
                      <a:off x="0" y="0"/>
                      <a:ext cx="4606722" cy="2019300"/>
                    </a:xfrm>
                    <a:prstGeom prst="rect">
                      <a:avLst/>
                    </a:prstGeom>
                    <a:ln w="12700">
                      <a:solidFill>
                        <a:srgbClr val="000000"/>
                      </a:solidFill>
                      <a:prstDash val="solid"/>
                    </a:ln>
                  </pic:spPr>
                </pic:pic>
              </a:graphicData>
            </a:graphic>
          </wp:inline>
        </w:drawing>
      </w:r>
    </w:p>
    <w:p w14:paraId="3176317A" w14:textId="77777777" w:rsidR="00800E7C" w:rsidRDefault="00000000">
      <w:pP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Pioneering vs Following </w:t>
      </w:r>
    </w:p>
    <w:p w14:paraId="1E54EEDD" w14:textId="77777777" w:rsidR="00800E7C"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Gómez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w:t>
      </w:r>
    </w:p>
    <w:p w14:paraId="3B5C4A16" w14:textId="77777777" w:rsidR="00800E7C" w:rsidRDefault="00000000">
      <w:pPr>
        <w:pStyle w:val="Heading1"/>
        <w:spacing w:before="200" w:after="200" w:line="360" w:lineRule="auto"/>
        <w:jc w:val="both"/>
        <w:rPr>
          <w:rFonts w:ascii="Times New Roman" w:eastAsia="Times New Roman" w:hAnsi="Times New Roman" w:cs="Times New Roman"/>
          <w:b/>
          <w:sz w:val="24"/>
          <w:szCs w:val="24"/>
        </w:rPr>
      </w:pPr>
      <w:bookmarkStart w:id="2" w:name="_heading=h.3jyf6cpkid38" w:colFirst="0" w:colLast="0"/>
      <w:bookmarkEnd w:id="2"/>
      <w:r>
        <w:rPr>
          <w:rFonts w:ascii="Times New Roman" w:eastAsia="Times New Roman" w:hAnsi="Times New Roman" w:cs="Times New Roman"/>
          <w:b/>
          <w:sz w:val="24"/>
          <w:szCs w:val="24"/>
        </w:rPr>
        <w:t xml:space="preserve">The advantages of being a follower company </w:t>
      </w:r>
    </w:p>
    <w:p w14:paraId="5E92F180" w14:textId="77777777" w:rsidR="00800E7C"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follower company can be explained as an organisation entering into a market after establishment of the pioneers. There are many successful businesses that have thrived well by learning from the mistakes of the early adaptors and improving upon within their models. </w:t>
      </w:r>
    </w:p>
    <w:p w14:paraId="4647AE97" w14:textId="77777777" w:rsidR="00800E7C" w:rsidRDefault="00000000">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Follower companies avoid the trial and error that pioneers initially go through and they can analyse what they have worked on and what have failed before making any kind of investment (Sekar, 2024). For example, Google has entered the search engine market after Yahoo and AltaVista have also improved their challenges with superior algorithms (Sekar, 2024). With proper refining of the search technology institute of binary need, Google has dominated the market with lower risk.</w:t>
      </w:r>
    </w:p>
    <w:p w14:paraId="4701B0B2" w14:textId="77777777" w:rsidR="00800E7C" w:rsidRDefault="00000000">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Follower companies will always be in an advantageous position because they have an opportunity to learn from the Pioneer's mistakes (Inderjeet and Scheepers, 2022). Their ability to refine and enable scalability of the products based on the feedback from users from the pioneer's version can help to examine market demand which is already validated and can reduce uncertainty. </w:t>
      </w:r>
    </w:p>
    <w:p w14:paraId="26E46E56" w14:textId="3F0BBCED" w:rsidR="00800E7C" w:rsidRDefault="00000000">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Followers have the credibility to launch products with fresh effectiveness highly in cooperating and cheaper technology than </w:t>
      </w:r>
      <w:r w:rsidR="00C85139">
        <w:rPr>
          <w:rFonts w:ascii="Times New Roman" w:eastAsia="Times New Roman" w:hAnsi="Times New Roman" w:cs="Times New Roman"/>
          <w:sz w:val="24"/>
          <w:szCs w:val="24"/>
        </w:rPr>
        <w:t>pioneers (</w:t>
      </w:r>
      <w:r>
        <w:rPr>
          <w:rFonts w:ascii="Times New Roman" w:eastAsia="Times New Roman" w:hAnsi="Times New Roman" w:cs="Times New Roman"/>
          <w:sz w:val="24"/>
          <w:szCs w:val="24"/>
        </w:rPr>
        <w:t xml:space="preserve">Inderjeet and Scheepers, 2022). For example, Samsung entered the smartphone market after Apple but they have gained significant market share by offering a similar kind of broader range of device model specifications at varied price points that have attracted people with cost-effective budgets (Huang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p w14:paraId="2469B2A2" w14:textId="16907980" w:rsidR="00800E7C" w:rsidRDefault="00000000">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ability of the following companies to move fast based on the market trends by target gapping by pioneering the offering of underserved customer </w:t>
      </w:r>
      <w:r w:rsidR="00C85139">
        <w:rPr>
          <w:rFonts w:ascii="Times New Roman" w:eastAsia="Times New Roman" w:hAnsi="Times New Roman" w:cs="Times New Roman"/>
          <w:sz w:val="24"/>
          <w:szCs w:val="24"/>
        </w:rPr>
        <w:t>segments (</w:t>
      </w:r>
      <w:r>
        <w:rPr>
          <w:rFonts w:ascii="Times New Roman" w:eastAsia="Times New Roman" w:hAnsi="Times New Roman" w:cs="Times New Roman"/>
          <w:sz w:val="24"/>
          <w:szCs w:val="24"/>
        </w:rPr>
        <w:t xml:space="preserve">Inderjeet and Scheepers, 2022). For example, a primary reason for the downfall of Blockbuster's retail rental service for entertainment purposes was because of the introduction of the DVD rental service by Netflix (Tuohy, 2024). It quickly devoted itself to streaming when technology became viable which has overthrown the pioneer. </w:t>
      </w:r>
    </w:p>
    <w:p w14:paraId="05F6BF15" w14:textId="77777777" w:rsidR="00800E7C" w:rsidRDefault="00000000">
      <w:pPr>
        <w:pStyle w:val="Heading1"/>
        <w:spacing w:before="200" w:after="200" w:line="360" w:lineRule="auto"/>
        <w:jc w:val="both"/>
        <w:rPr>
          <w:rFonts w:ascii="Times New Roman" w:eastAsia="Times New Roman" w:hAnsi="Times New Roman" w:cs="Times New Roman"/>
          <w:b/>
          <w:sz w:val="24"/>
          <w:szCs w:val="24"/>
        </w:rPr>
      </w:pPr>
      <w:bookmarkStart w:id="3" w:name="_heading=h.yv1205rff5uc" w:colFirst="0" w:colLast="0"/>
      <w:bookmarkEnd w:id="3"/>
      <w:r>
        <w:rPr>
          <w:rFonts w:ascii="Times New Roman" w:eastAsia="Times New Roman" w:hAnsi="Times New Roman" w:cs="Times New Roman"/>
          <w:b/>
          <w:sz w:val="24"/>
          <w:szCs w:val="24"/>
        </w:rPr>
        <w:t>PLC Strategies in the Growth and Maturity Stages:</w:t>
      </w:r>
    </w:p>
    <w:p w14:paraId="660D2E04" w14:textId="77777777" w:rsidR="00800E7C"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understanding and the management of product life cycle are important for long-term success and organisations that are pioneers or followers are adaptive towards effective strategies (Sala</w:t>
      </w:r>
      <w:r>
        <w:rPr>
          <w:rFonts w:ascii="Times New Roman" w:eastAsia="Times New Roman" w:hAnsi="Times New Roman" w:cs="Times New Roman"/>
          <w:i/>
          <w:sz w:val="24"/>
          <w:szCs w:val="24"/>
        </w:rPr>
        <w:t xml:space="preserve"> et al., </w:t>
      </w:r>
      <w:r>
        <w:rPr>
          <w:rFonts w:ascii="Times New Roman" w:eastAsia="Times New Roman" w:hAnsi="Times New Roman" w:cs="Times New Roman"/>
          <w:sz w:val="24"/>
          <w:szCs w:val="24"/>
        </w:rPr>
        <w:t xml:space="preserve">2021). Their products remain competitive throughout their life cycle. The product life cycle in marketing refers to the phases that a product goes through from its inception to its decline. These phases involved introduction, growth, maturity and decline and each stage involved certain specific strategies for maximizing the potentiality and profitability of the product. </w:t>
      </w:r>
    </w:p>
    <w:p w14:paraId="22AB41CC" w14:textId="77777777" w:rsidR="00800E7C" w:rsidRDefault="00000000">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Introduction </w:t>
      </w:r>
    </w:p>
    <w:p w14:paraId="1F07E9A1" w14:textId="77777777" w:rsidR="00800E7C"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the launch stage of the product where marketing effects focus on formality awareness and stimulating demand (Sala</w:t>
      </w:r>
      <w:r>
        <w:rPr>
          <w:rFonts w:ascii="Times New Roman" w:eastAsia="Times New Roman" w:hAnsi="Times New Roman" w:cs="Times New Roman"/>
          <w:i/>
          <w:sz w:val="24"/>
          <w:szCs w:val="24"/>
        </w:rPr>
        <w:t xml:space="preserve"> et al., </w:t>
      </w:r>
      <w:r>
        <w:rPr>
          <w:rFonts w:ascii="Times New Roman" w:eastAsia="Times New Roman" w:hAnsi="Times New Roman" w:cs="Times New Roman"/>
          <w:sz w:val="24"/>
          <w:szCs w:val="24"/>
        </w:rPr>
        <w:t xml:space="preserve">2021). The primary challengers to convince the early adopters who happen to be pioneers to try the product for instance Tesla first to introduce electric cars and those products were in this stage. </w:t>
      </w:r>
    </w:p>
    <w:p w14:paraId="0D9A9A03" w14:textId="77777777" w:rsidR="00800E7C" w:rsidRDefault="00000000">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Growth </w:t>
      </w:r>
    </w:p>
    <w:p w14:paraId="7F13145E" w14:textId="77777777" w:rsidR="00800E7C"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this stage of the product life cycle the product of the services games acceptance and sales rate increases vehemently. Marketing strategies focus and differentiate the product from the competitors and initiate market expansion. The challenges include management of </w:t>
      </w:r>
      <w:r>
        <w:rPr>
          <w:rFonts w:ascii="Times New Roman" w:eastAsia="Times New Roman" w:hAnsi="Times New Roman" w:cs="Times New Roman"/>
          <w:sz w:val="24"/>
          <w:szCs w:val="24"/>
        </w:rPr>
        <w:lastRenderedPageBreak/>
        <w:t>increasing customer base and also initiating a competition. For example, the introduction of smartphones in the mid-2000s is a prominent example of a product in the growth stage.</w:t>
      </w:r>
    </w:p>
    <w:p w14:paraId="1A014B98" w14:textId="32369FC4" w:rsidR="00800E7C" w:rsidRDefault="00000000">
      <w:pPr>
        <w:spacing w:before="200"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Strategies for Pioneer Companies </w:t>
      </w:r>
      <w:r w:rsidR="00C85139">
        <w:rPr>
          <w:rFonts w:ascii="Times New Roman" w:eastAsia="Times New Roman" w:hAnsi="Times New Roman" w:cs="Times New Roman"/>
          <w:b/>
          <w:i/>
          <w:sz w:val="24"/>
          <w:szCs w:val="24"/>
        </w:rPr>
        <w:t>-fortress strategy in pioneer and attack strategy for follower</w:t>
      </w:r>
    </w:p>
    <w:p w14:paraId="3EBDB9FF" w14:textId="77777777" w:rsidR="00800E7C"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Primarily product life cycle strategy for pioneer companies in the growth stage need to focus on market share expansion, increasing brand loyalty operation and optimisation and defending against new competitors. </w:t>
      </w:r>
    </w:p>
    <w:p w14:paraId="0F9532D2" w14:textId="77777777" w:rsidR="00800E7C" w:rsidRDefault="00000000">
      <w:pPr>
        <w:numPr>
          <w:ilvl w:val="0"/>
          <w:numId w:val="3"/>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market expansion and demand growth, there should be proper identification and marketing to the additional customer groups (Shao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The introduction of investment in new feature models and improved services can strengthen brand identity with consistent messaging and storytelling.</w:t>
      </w:r>
    </w:p>
    <w:p w14:paraId="69CB6B31" w14:textId="77777777" w:rsidR="00800E7C" w:rsidRDefault="00000000">
      <w:pPr>
        <w:numPr>
          <w:ilvl w:val="0"/>
          <w:numId w:val="3"/>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scenario, the introduction of electric vehicles by Tesla has leveraged market penetration through government incentives, early adapted and premium positioning. They have improved battery technology and introduced new models like Model 3 and Model Y along with opening companies in showrooms to improve online direct sales (Shao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Their projection as a sustainability leader has leveraged cutting-edge technology. This mechanism has invested highly in Supercharger Infrastructure and Autopilot features that initiated competitive positioning. The capability of Tesla to shape and solidify the brand identity with electric car mechanisms has gained traction and values which strongly influence customer loyalty, industry recognition and whole reputation. </w:t>
      </w:r>
    </w:p>
    <w:p w14:paraId="3BDC2CE3" w14:textId="1C8621AD" w:rsidR="00800E7C" w:rsidRDefault="00000000">
      <w:pPr>
        <w:numPr>
          <w:ilvl w:val="0"/>
          <w:numId w:val="3"/>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acceleration of revenue generation has allowed Tesla to reinvest in further expansion. To maintain profitability Tesla has increased its efficiency and minimized the expenses by expanding their manufacturing capacity (Han, 2021). The company has almost completed manufacturing of Gigafactory 3 in Shanghai which will produce cars which are 50% cost effective per unit capacity than the current production lines (Tesla, 2025). Their emphasis on creating a complete sustainable energy-based transportation ecosystem from solar generation and storage of energy to all the electric vehicles had procured zero tailpipe </w:t>
      </w:r>
      <w:r w:rsidR="00C85139">
        <w:rPr>
          <w:rFonts w:ascii="Times New Roman" w:eastAsia="Times New Roman" w:hAnsi="Times New Roman" w:cs="Times New Roman"/>
          <w:sz w:val="24"/>
          <w:szCs w:val="24"/>
        </w:rPr>
        <w:t>emissions (</w:t>
      </w:r>
      <w:r>
        <w:rPr>
          <w:rFonts w:ascii="Times New Roman" w:eastAsia="Times New Roman" w:hAnsi="Times New Roman" w:cs="Times New Roman"/>
          <w:sz w:val="24"/>
          <w:szCs w:val="24"/>
        </w:rPr>
        <w:t>Tesla, 2025). This has generated around 72 billion in profit in 2023 85 billion dollars in 2024 and an approximate profit of 132 million in 2025 (Tesla, 2025).</w:t>
      </w:r>
    </w:p>
    <w:p w14:paraId="08B2E47F" w14:textId="77777777" w:rsidR="00800E7C" w:rsidRDefault="00800E7C">
      <w:pPr>
        <w:spacing w:before="200" w:after="200" w:line="360" w:lineRule="auto"/>
        <w:jc w:val="both"/>
        <w:rPr>
          <w:rFonts w:ascii="Times New Roman" w:eastAsia="Times New Roman" w:hAnsi="Times New Roman" w:cs="Times New Roman"/>
          <w:b/>
          <w:i/>
          <w:sz w:val="24"/>
          <w:szCs w:val="24"/>
        </w:rPr>
      </w:pPr>
    </w:p>
    <w:p w14:paraId="51F4A26B" w14:textId="77777777" w:rsidR="00800E7C" w:rsidRPr="00C85139" w:rsidRDefault="00000000">
      <w:pPr>
        <w:spacing w:before="200" w:after="200" w:line="360" w:lineRule="auto"/>
        <w:jc w:val="both"/>
        <w:rPr>
          <w:rFonts w:ascii="Times New Roman" w:eastAsia="Times New Roman" w:hAnsi="Times New Roman" w:cs="Times New Roman"/>
          <w:b/>
          <w:bCs/>
          <w:color w:val="000000" w:themeColor="text1"/>
          <w:sz w:val="24"/>
          <w:szCs w:val="24"/>
        </w:rPr>
      </w:pPr>
      <w:r w:rsidRPr="00C85139">
        <w:rPr>
          <w:rFonts w:ascii="Times New Roman" w:eastAsia="Times New Roman" w:hAnsi="Times New Roman" w:cs="Times New Roman"/>
          <w:b/>
          <w:bCs/>
          <w:color w:val="000000" w:themeColor="text1"/>
          <w:sz w:val="24"/>
          <w:szCs w:val="24"/>
        </w:rPr>
        <w:t xml:space="preserve">Fortress Strategy </w:t>
      </w:r>
    </w:p>
    <w:p w14:paraId="3107CB3F" w14:textId="609B0EF6" w:rsidR="00800E7C" w:rsidRPr="00C85139" w:rsidRDefault="00000000">
      <w:pPr>
        <w:spacing w:before="200" w:after="200" w:line="360" w:lineRule="auto"/>
        <w:jc w:val="both"/>
        <w:rPr>
          <w:rFonts w:ascii="Times New Roman" w:eastAsia="Times New Roman" w:hAnsi="Times New Roman" w:cs="Times New Roman"/>
          <w:b/>
          <w:i/>
          <w:color w:val="000000" w:themeColor="text1"/>
          <w:sz w:val="24"/>
          <w:szCs w:val="24"/>
        </w:rPr>
      </w:pPr>
      <w:r w:rsidRPr="00C85139">
        <w:rPr>
          <w:rFonts w:ascii="Times New Roman" w:eastAsia="Times New Roman" w:hAnsi="Times New Roman" w:cs="Times New Roman"/>
          <w:color w:val="000000" w:themeColor="text1"/>
          <w:sz w:val="24"/>
          <w:szCs w:val="24"/>
        </w:rPr>
        <w:t xml:space="preserve">The application of </w:t>
      </w:r>
      <w:r w:rsidRPr="00C85139">
        <w:rPr>
          <w:rFonts w:ascii="Times New Roman" w:eastAsia="Times New Roman" w:hAnsi="Times New Roman" w:cs="Times New Roman"/>
          <w:b/>
          <w:i/>
          <w:color w:val="000000" w:themeColor="text1"/>
          <w:sz w:val="24"/>
          <w:szCs w:val="24"/>
        </w:rPr>
        <w:t>Fortress Strategy</w:t>
      </w:r>
      <w:r w:rsidRPr="00C85139">
        <w:rPr>
          <w:rFonts w:ascii="Times New Roman" w:eastAsia="Times New Roman" w:hAnsi="Times New Roman" w:cs="Times New Roman"/>
          <w:color w:val="000000" w:themeColor="text1"/>
          <w:sz w:val="24"/>
          <w:szCs w:val="24"/>
        </w:rPr>
        <w:t xml:space="preserve"> for Tesla involves building from a defensive position so that they can protect their market share and go ahead of their competitors (Liu </w:t>
      </w:r>
      <w:r w:rsidRPr="00C85139">
        <w:rPr>
          <w:rFonts w:ascii="Times New Roman" w:eastAsia="Times New Roman" w:hAnsi="Times New Roman" w:cs="Times New Roman"/>
          <w:i/>
          <w:color w:val="000000" w:themeColor="text1"/>
          <w:sz w:val="24"/>
          <w:szCs w:val="24"/>
        </w:rPr>
        <w:t xml:space="preserve">et al., </w:t>
      </w:r>
      <w:r w:rsidRPr="00C85139">
        <w:rPr>
          <w:rFonts w:ascii="Times New Roman" w:eastAsia="Times New Roman" w:hAnsi="Times New Roman" w:cs="Times New Roman"/>
          <w:color w:val="000000" w:themeColor="text1"/>
          <w:sz w:val="24"/>
          <w:szCs w:val="24"/>
        </w:rPr>
        <w:t xml:space="preserve">2023). The initiation of vertical integration, aggressive expansion and focusing on Innovation and sustainability can secure the market position of Tesla driving down the expenses and accelerating the transition of the world into sustainable energy (Liu </w:t>
      </w:r>
      <w:r w:rsidRPr="00C85139">
        <w:rPr>
          <w:rFonts w:ascii="Times New Roman" w:eastAsia="Times New Roman" w:hAnsi="Times New Roman" w:cs="Times New Roman"/>
          <w:i/>
          <w:color w:val="000000" w:themeColor="text1"/>
          <w:sz w:val="24"/>
          <w:szCs w:val="24"/>
        </w:rPr>
        <w:t xml:space="preserve">et al., </w:t>
      </w:r>
      <w:r w:rsidRPr="00C85139">
        <w:rPr>
          <w:rFonts w:ascii="Times New Roman" w:eastAsia="Times New Roman" w:hAnsi="Times New Roman" w:cs="Times New Roman"/>
          <w:color w:val="000000" w:themeColor="text1"/>
          <w:sz w:val="24"/>
          <w:szCs w:val="24"/>
        </w:rPr>
        <w:t xml:space="preserve">2023). This approach is taken by Tesla towards the construction of </w:t>
      </w:r>
      <w:r w:rsidR="00C85139" w:rsidRPr="00C85139">
        <w:rPr>
          <w:rFonts w:ascii="Times New Roman" w:eastAsia="Times New Roman" w:hAnsi="Times New Roman" w:cs="Times New Roman"/>
          <w:color w:val="000000" w:themeColor="text1"/>
          <w:sz w:val="24"/>
          <w:szCs w:val="24"/>
        </w:rPr>
        <w:t>Giga Factory</w:t>
      </w:r>
      <w:r w:rsidRPr="00C85139">
        <w:rPr>
          <w:rFonts w:ascii="Times New Roman" w:eastAsia="Times New Roman" w:hAnsi="Times New Roman" w:cs="Times New Roman"/>
          <w:color w:val="000000" w:themeColor="text1"/>
          <w:sz w:val="24"/>
          <w:szCs w:val="24"/>
        </w:rPr>
        <w:t xml:space="preserve"> in Austin Texas. The company has been optimising integrated amalgamation of technology and sustainability for the production of Cybertrucks and Model Y. </w:t>
      </w:r>
      <w:r w:rsidR="00C85139" w:rsidRPr="00C85139">
        <w:rPr>
          <w:rFonts w:ascii="Times New Roman" w:eastAsia="Times New Roman" w:hAnsi="Times New Roman" w:cs="Times New Roman"/>
          <w:color w:val="000000" w:themeColor="text1"/>
          <w:sz w:val="24"/>
          <w:szCs w:val="24"/>
        </w:rPr>
        <w:t>Therefore,</w:t>
      </w:r>
      <w:r w:rsidRPr="00C85139">
        <w:rPr>
          <w:rFonts w:ascii="Times New Roman" w:eastAsia="Times New Roman" w:hAnsi="Times New Roman" w:cs="Times New Roman"/>
          <w:color w:val="000000" w:themeColor="text1"/>
          <w:sz w:val="24"/>
          <w:szCs w:val="24"/>
        </w:rPr>
        <w:t xml:space="preserve"> this vertical integration designing of Tesla consisting of a highly developed batteries software system has controlled the whole production process.  </w:t>
      </w:r>
    </w:p>
    <w:p w14:paraId="130D0AB4" w14:textId="77777777" w:rsidR="00800E7C" w:rsidRDefault="00000000">
      <w:pPr>
        <w:spacing w:before="200"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Strategies for Follower Companies</w:t>
      </w:r>
    </w:p>
    <w:p w14:paraId="7660548F" w14:textId="77777777" w:rsidR="00800E7C"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growth stage of the product life cycle is important for a following organisation because it determines the capability for establishing a strong market presence, maintaining long-term agility and competing effectively. The company needs to leverage the growth stage to refine its value proposition, develop product offerings and focus on improving market gaps.</w:t>
      </w:r>
    </w:p>
    <w:p w14:paraId="6898E27D" w14:textId="77777777" w:rsidR="00800E7C" w:rsidRDefault="00000000">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phase companies need to identify those underserved market segments to get product offering to the needs and develop certain services for setting a brand (Pels and Sheth, 2021). They need to form alliances with complementary businesses for expanding reach and engage into joint ventures with already existing strong pairs for sharing resources and distribution. </w:t>
      </w:r>
    </w:p>
    <w:p w14:paraId="4C35CF05" w14:textId="77777777" w:rsidR="00800E7C" w:rsidRDefault="00000000">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has suggested that the iteration of the current products by improving consumer experience and quality to leverage customer feedback for continuous improvement and providing value at the services can be focused. </w:t>
      </w:r>
    </w:p>
    <w:p w14:paraId="4753C516" w14:textId="4FAE4F34" w:rsidR="00800E7C" w:rsidRDefault="00000000">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w:t>
      </w:r>
      <w:r w:rsidR="00C85139">
        <w:rPr>
          <w:rFonts w:ascii="Times New Roman" w:eastAsia="Times New Roman" w:hAnsi="Times New Roman" w:cs="Times New Roman"/>
          <w:sz w:val="24"/>
          <w:szCs w:val="24"/>
        </w:rPr>
        <w:t>example,</w:t>
      </w:r>
      <w:r>
        <w:rPr>
          <w:rFonts w:ascii="Times New Roman" w:eastAsia="Times New Roman" w:hAnsi="Times New Roman" w:cs="Times New Roman"/>
          <w:sz w:val="24"/>
          <w:szCs w:val="24"/>
        </w:rPr>
        <w:t xml:space="preserve"> in the case of vertical expansion Xiaomi has expanded aggressively in emerging markets like Asia, and Africa where Apple and Samsung are focused on gaining significant market share (Maistre, 2025). Schmidberger (2022) has aimed that in the constant competition of aggressive marketing among TikTok, Instagram and YouTube Tik TikTok </w:t>
      </w:r>
      <w:r w:rsidR="00C85139">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marketed its brand with the help of influencer campaigns </w:t>
      </w:r>
      <w:r>
        <w:rPr>
          <w:rFonts w:ascii="Times New Roman" w:eastAsia="Times New Roman" w:hAnsi="Times New Roman" w:cs="Times New Roman"/>
          <w:sz w:val="24"/>
          <w:szCs w:val="24"/>
        </w:rPr>
        <w:lastRenderedPageBreak/>
        <w:t>and different referral incentives that have initiated traction against these established rivals.</w:t>
      </w:r>
    </w:p>
    <w:p w14:paraId="73BCC7C3" w14:textId="335A90AB" w:rsidR="00800E7C" w:rsidRPr="00C85139" w:rsidRDefault="00000000">
      <w:pPr>
        <w:numPr>
          <w:ilvl w:val="0"/>
          <w:numId w:val="4"/>
        </w:numPr>
        <w:spacing w:before="200" w:after="200" w:line="360" w:lineRule="auto"/>
        <w:jc w:val="both"/>
        <w:rPr>
          <w:rFonts w:ascii="Times New Roman" w:eastAsia="Times New Roman" w:hAnsi="Times New Roman" w:cs="Times New Roman"/>
          <w:color w:val="000000" w:themeColor="text1"/>
          <w:sz w:val="24"/>
          <w:szCs w:val="24"/>
        </w:rPr>
      </w:pPr>
      <w:r w:rsidRPr="00C85139">
        <w:rPr>
          <w:rFonts w:ascii="Times New Roman" w:eastAsia="Times New Roman" w:hAnsi="Times New Roman" w:cs="Times New Roman"/>
          <w:color w:val="000000" w:themeColor="text1"/>
          <w:sz w:val="24"/>
          <w:szCs w:val="24"/>
        </w:rPr>
        <w:t xml:space="preserve">The </w:t>
      </w:r>
      <w:r w:rsidRPr="00C85139">
        <w:rPr>
          <w:rFonts w:ascii="Times New Roman" w:eastAsia="Times New Roman" w:hAnsi="Times New Roman" w:cs="Times New Roman"/>
          <w:b/>
          <w:i/>
          <w:color w:val="000000" w:themeColor="text1"/>
          <w:sz w:val="24"/>
          <w:szCs w:val="24"/>
        </w:rPr>
        <w:t>Attack strategy</w:t>
      </w:r>
      <w:r w:rsidRPr="00C85139">
        <w:rPr>
          <w:rFonts w:ascii="Times New Roman" w:eastAsia="Times New Roman" w:hAnsi="Times New Roman" w:cs="Times New Roman"/>
          <w:b/>
          <w:color w:val="000000" w:themeColor="text1"/>
          <w:sz w:val="24"/>
          <w:szCs w:val="24"/>
        </w:rPr>
        <w:t xml:space="preserve"> </w:t>
      </w:r>
      <w:r w:rsidRPr="00C85139">
        <w:rPr>
          <w:rFonts w:ascii="Times New Roman" w:eastAsia="Times New Roman" w:hAnsi="Times New Roman" w:cs="Times New Roman"/>
          <w:color w:val="000000" w:themeColor="text1"/>
          <w:sz w:val="24"/>
          <w:szCs w:val="24"/>
        </w:rPr>
        <w:t xml:space="preserve">of Spotify needs to be based on premium model customized recommendation and </w:t>
      </w:r>
      <w:r w:rsidR="00C85139" w:rsidRPr="00C85139">
        <w:rPr>
          <w:rFonts w:ascii="Times New Roman" w:eastAsia="Times New Roman" w:hAnsi="Times New Roman" w:cs="Times New Roman"/>
          <w:color w:val="000000" w:themeColor="text1"/>
          <w:sz w:val="24"/>
          <w:szCs w:val="24"/>
        </w:rPr>
        <w:t>user-based</w:t>
      </w:r>
      <w:r w:rsidRPr="00C85139">
        <w:rPr>
          <w:rFonts w:ascii="Times New Roman" w:eastAsia="Times New Roman" w:hAnsi="Times New Roman" w:cs="Times New Roman"/>
          <w:color w:val="000000" w:themeColor="text1"/>
          <w:sz w:val="24"/>
          <w:szCs w:val="24"/>
        </w:rPr>
        <w:t xml:space="preserve"> approach towards discovery of new music along with strategic digital marketing with the idea of expanding into podcast (Shastri, 2022). This freemium model suggests a free range of advertisements with unlimited features to encourage users so that they can upgrade into premium subscription for advertisement listening downloads when the user is offline and also other advantages (Shastri, 2022). Customers can listen to a song on repeat mode, but now this version can only be availed in the premium version. </w:t>
      </w:r>
    </w:p>
    <w:p w14:paraId="2C487DD3" w14:textId="77777777" w:rsidR="00800E7C" w:rsidRDefault="00800E7C">
      <w:pPr>
        <w:spacing w:before="200" w:after="200" w:line="360" w:lineRule="auto"/>
        <w:jc w:val="both"/>
        <w:rPr>
          <w:rFonts w:ascii="Times New Roman" w:eastAsia="Times New Roman" w:hAnsi="Times New Roman" w:cs="Times New Roman"/>
          <w:b/>
          <w:sz w:val="24"/>
          <w:szCs w:val="24"/>
        </w:rPr>
      </w:pPr>
    </w:p>
    <w:p w14:paraId="740FD666" w14:textId="77777777" w:rsidR="00800E7C" w:rsidRDefault="00000000">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Maturity</w:t>
      </w:r>
    </w:p>
    <w:p w14:paraId="1EA10396" w14:textId="77777777" w:rsidR="00800E7C" w:rsidRDefault="00000000">
      <w:pPr>
        <w:spacing w:before="200" w:after="20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maturity phase of the model the sales growth slows down and the project product of the services reaches a market saturation. This means that marketing of these products will leverage strategic focus on maintaining a significant market share and extending the products life cycle (Iveson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The challenge is to innovate and provide features so that they can stay relevant. </w:t>
      </w:r>
    </w:p>
    <w:p w14:paraId="22136723" w14:textId="77777777" w:rsidR="00800E7C" w:rsidRDefault="00000000">
      <w:pPr>
        <w:spacing w:before="200"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Strategies for Pioneer Companies</w:t>
      </w:r>
    </w:p>
    <w:p w14:paraId="5D6874CB" w14:textId="77777777" w:rsidR="00800E7C" w:rsidRDefault="00000000">
      <w:pPr>
        <w:spacing w:before="200" w:after="20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pioneer campers need to maintain their marketing authority in a cut throat competition with the follower companies (</w:t>
      </w:r>
      <w:r>
        <w:rPr>
          <w:rFonts w:ascii="Times New Roman" w:eastAsia="Times New Roman" w:hAnsi="Times New Roman" w:cs="Times New Roman"/>
          <w:sz w:val="24"/>
          <w:szCs w:val="24"/>
          <w:highlight w:val="white"/>
        </w:rPr>
        <w:t xml:space="preserve">Luthfiandana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2023)</w:t>
      </w:r>
      <w:r>
        <w:rPr>
          <w:rFonts w:ascii="Times New Roman" w:eastAsia="Times New Roman" w:hAnsi="Times New Roman" w:cs="Times New Roman"/>
          <w:sz w:val="24"/>
          <w:szCs w:val="24"/>
        </w:rPr>
        <w:t xml:space="preserve">. Like Apple needs to focus on market modification, optimising multifaceted segmentation strategy that will encompass demographic, geographical and behaviour factors. </w:t>
      </w:r>
    </w:p>
    <w:p w14:paraId="0B5569BD" w14:textId="77777777" w:rsidR="00800E7C" w:rsidRDefault="00000000">
      <w:pPr>
        <w:spacing w:before="200"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Strategies for Follower Companies</w:t>
      </w:r>
    </w:p>
    <w:p w14:paraId="66C630E7" w14:textId="77777777" w:rsidR="00800E7C" w:rsidRDefault="00000000">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Spotify, a music entertainment platform, has the core library of songs in place and it is definitely in its maturity state. In the current scenario, the company has been collaborating with different music production companies and is building new products to bring into new territory (Skog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Apart from streaming podcasts they also produce their own music, launching audiobooks, partnering with cinema projects, ruling out millions of titles on the platform. </w:t>
      </w:r>
    </w:p>
    <w:p w14:paraId="5C4F056D" w14:textId="77777777" w:rsidR="00800E7C" w:rsidRDefault="00000000">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Therefore, according to the company example in the maturity phase experimentation of the product and self-disruption are important (Skog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Certain measures need to be taken care of for managing product differentiation. The business engine or any kind of proprietary technology is protected.</w:t>
      </w:r>
    </w:p>
    <w:p w14:paraId="5E901BEF" w14:textId="77777777" w:rsidR="00800E7C" w:rsidRDefault="00000000">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enhancement of research and development of the follower companies need to be necessary to innovate their product so that they can build interest for new product areas as their building team cohesion (van der Voet and Steijn, 2020).</w:t>
      </w:r>
    </w:p>
    <w:p w14:paraId="598C8AE5" w14:textId="77777777" w:rsidR="00800E7C" w:rsidRDefault="00000000">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amalgamation of different pricing strategies like competitive pricing to attract a huge customer base, promotional pricing and value-based pricing for creating a diverse product and service range (Faiz Zainal Abidin,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2023). This value-added expansion of the companies helps to sustain in the maturity stage without hitting the decline stage. </w:t>
      </w:r>
    </w:p>
    <w:p w14:paraId="7FB962AE" w14:textId="77777777" w:rsidR="00800E7C" w:rsidRDefault="00000000">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Product modifications is one prime element that both follower and pioneer companies need to maintain in the maturity stage to achieve competitive advantage. The features enhancement, product diversification and differentiation would be highly appreciated. </w:t>
      </w:r>
    </w:p>
    <w:p w14:paraId="060BB835" w14:textId="77777777" w:rsidR="00800E7C" w:rsidRPr="00C85139" w:rsidRDefault="00000000">
      <w:pPr>
        <w:numPr>
          <w:ilvl w:val="0"/>
          <w:numId w:val="4"/>
        </w:numPr>
        <w:spacing w:before="200" w:after="200" w:line="360" w:lineRule="auto"/>
        <w:jc w:val="both"/>
        <w:rPr>
          <w:rFonts w:ascii="Times New Roman" w:eastAsia="Times New Roman" w:hAnsi="Times New Roman" w:cs="Times New Roman"/>
          <w:color w:val="000000" w:themeColor="text1"/>
          <w:sz w:val="24"/>
          <w:szCs w:val="24"/>
        </w:rPr>
      </w:pPr>
      <w:r w:rsidRPr="00C85139">
        <w:rPr>
          <w:rFonts w:ascii="Times New Roman" w:eastAsia="Times New Roman" w:hAnsi="Times New Roman" w:cs="Times New Roman"/>
          <w:color w:val="000000" w:themeColor="text1"/>
          <w:sz w:val="24"/>
          <w:szCs w:val="24"/>
        </w:rPr>
        <w:t>The organisation provides a very minimalistic price range of the premium packs for different consumers that includes a family pack with 6 accounts on subscription plan, individual plan and couple plan (Shastri, 2022). Algorithms are optimised by Spotify to examine the preferences and history of new artists so that the company value can be achieved</w:t>
      </w:r>
    </w:p>
    <w:p w14:paraId="0AA67AA3" w14:textId="77777777" w:rsidR="00800E7C" w:rsidRDefault="00000000">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Decline </w:t>
      </w:r>
    </w:p>
    <w:p w14:paraId="2FBB673A" w14:textId="77777777" w:rsidR="00800E7C"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decline stage is demarcated by the decreasing sales rate as a product as the services become obsolete or overthrown by new innovations. Marketing strategies can involve product diversification or harvesting. The challenge here is to decide whether to make the product rejuvenate or let it drown. For example, DVD players are the classical examples of products on the stage.</w:t>
      </w:r>
    </w:p>
    <w:p w14:paraId="4373F5C2" w14:textId="77777777" w:rsidR="00800E7C" w:rsidRDefault="00000000">
      <w:pPr>
        <w:pStyle w:val="Heading1"/>
        <w:spacing w:before="200" w:after="200" w:line="360" w:lineRule="auto"/>
        <w:jc w:val="both"/>
        <w:rPr>
          <w:rFonts w:ascii="Times New Roman" w:eastAsia="Times New Roman" w:hAnsi="Times New Roman" w:cs="Times New Roman"/>
          <w:b/>
          <w:sz w:val="24"/>
          <w:szCs w:val="24"/>
        </w:rPr>
      </w:pPr>
      <w:bookmarkStart w:id="4" w:name="_heading=h.wijjmuxqbu4i" w:colFirst="0" w:colLast="0"/>
      <w:bookmarkEnd w:id="4"/>
      <w:r>
        <w:rPr>
          <w:rFonts w:ascii="Times New Roman" w:eastAsia="Times New Roman" w:hAnsi="Times New Roman" w:cs="Times New Roman"/>
          <w:b/>
          <w:sz w:val="24"/>
          <w:szCs w:val="24"/>
        </w:rPr>
        <w:t xml:space="preserve">Conclusion </w:t>
      </w:r>
    </w:p>
    <w:p w14:paraId="52A7FD93" w14:textId="77777777" w:rsidR="00800E7C" w:rsidRDefault="00000000">
      <w:pPr>
        <w:spacing w:before="200" w:after="200" w:line="360" w:lineRule="auto"/>
        <w:jc w:val="both"/>
        <w:rPr>
          <w:rFonts w:ascii="Times New Roman" w:eastAsia="Times New Roman" w:hAnsi="Times New Roman" w:cs="Times New Roman"/>
          <w:sz w:val="24"/>
          <w:szCs w:val="24"/>
        </w:rPr>
        <w:sectPr w:rsidR="00800E7C">
          <w:pgSz w:w="11909" w:h="16834"/>
          <w:pgMar w:top="1440" w:right="1440" w:bottom="1440" w:left="1440" w:header="720" w:footer="720" w:gutter="0"/>
          <w:cols w:space="720"/>
        </w:sectPr>
      </w:pPr>
      <w:r>
        <w:rPr>
          <w:rFonts w:ascii="Times New Roman" w:eastAsia="Times New Roman" w:hAnsi="Times New Roman" w:cs="Times New Roman"/>
          <w:sz w:val="24"/>
          <w:szCs w:val="24"/>
        </w:rPr>
        <w:t xml:space="preserve">The underlying research easily leveraged an understanding of where a pioneer company can often establish pricing standards for the industry because being first to offer something new that customers are not yet accustomed to but in dire need of allowing their organization to </w:t>
      </w:r>
      <w:r>
        <w:rPr>
          <w:rFonts w:ascii="Times New Roman" w:eastAsia="Times New Roman" w:hAnsi="Times New Roman" w:cs="Times New Roman"/>
          <w:sz w:val="24"/>
          <w:szCs w:val="24"/>
        </w:rPr>
        <w:lastRenderedPageBreak/>
        <w:t>initiate their pricing strategies that can lead to better profit margins.  The product life cycle model has leveraged an understanding that is rooted in the concept that the growth stage is the crucial stage for a pioneer company because here they have already moved beyond the primary idea phase and have begun to validate product services in the market. This is the period by which the company begins to provide evidence that there is a demand regarding their offering and it is the milestone to reach long-term success.</w:t>
      </w:r>
    </w:p>
    <w:p w14:paraId="11B7D209" w14:textId="77777777" w:rsidR="00800E7C" w:rsidRDefault="00000000">
      <w:pPr>
        <w:pStyle w:val="Heading1"/>
        <w:spacing w:before="200" w:after="200" w:line="360" w:lineRule="auto"/>
        <w:jc w:val="both"/>
      </w:pPr>
      <w:bookmarkStart w:id="5" w:name="_heading=h.3wn3xu6p7skq" w:colFirst="0" w:colLast="0"/>
      <w:bookmarkEnd w:id="5"/>
      <w:r>
        <w:rPr>
          <w:rFonts w:ascii="Times New Roman" w:eastAsia="Times New Roman" w:hAnsi="Times New Roman" w:cs="Times New Roman"/>
          <w:b/>
          <w:sz w:val="24"/>
          <w:szCs w:val="24"/>
        </w:rPr>
        <w:lastRenderedPageBreak/>
        <w:t>References</w:t>
      </w:r>
      <w:r>
        <w:t xml:space="preserve"> </w:t>
      </w:r>
    </w:p>
    <w:p w14:paraId="540170BF" w14:textId="77777777" w:rsidR="00800E7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Shi, M., Zhang, Y. and Zhu, C. (2022). A Review of Factors Affecting Tesla’s Profitability. [online] ResearchGate. Available at: </w:t>
      </w:r>
      <w:hyperlink r:id="rId10">
        <w:r>
          <w:rPr>
            <w:rFonts w:ascii="Times New Roman" w:eastAsia="Times New Roman" w:hAnsi="Times New Roman" w:cs="Times New Roman"/>
            <w:color w:val="1155CC"/>
            <w:sz w:val="24"/>
            <w:szCs w:val="24"/>
            <w:u w:val="single"/>
          </w:rPr>
          <w:t>https://www.researchgate.net/publication/364568647_A_Review_of_Factors_Affecti_Tesla</w:t>
        </w:r>
      </w:hyperlink>
      <w:r>
        <w:rPr>
          <w:rFonts w:ascii="Times New Roman" w:eastAsia="Times New Roman" w:hAnsi="Times New Roman" w:cs="Times New Roman"/>
          <w:sz w:val="24"/>
          <w:szCs w:val="24"/>
        </w:rPr>
        <w:t>. [Accessed 18 Mar. 2025].</w:t>
      </w:r>
    </w:p>
    <w:p w14:paraId="564F222E" w14:textId="77777777" w:rsidR="00800E7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van der Voet, J. and Steijn, B. (2020). Team innovation through collaboration: how visionary leadership spurs innovation via team cohesion. </w:t>
      </w:r>
      <w:r>
        <w:rPr>
          <w:rFonts w:ascii="Times New Roman" w:eastAsia="Times New Roman" w:hAnsi="Times New Roman" w:cs="Times New Roman"/>
          <w:i/>
          <w:sz w:val="24"/>
          <w:szCs w:val="24"/>
        </w:rPr>
        <w:t>Public Management Review</w:t>
      </w:r>
      <w:r>
        <w:rPr>
          <w:rFonts w:ascii="Times New Roman" w:eastAsia="Times New Roman" w:hAnsi="Times New Roman" w:cs="Times New Roman"/>
          <w:sz w:val="24"/>
          <w:szCs w:val="24"/>
        </w:rPr>
        <w:t>, [online] 23(9), pp.1–20. doi:</w:t>
      </w:r>
      <w:hyperlink r:id="rId11">
        <w:r>
          <w:rPr>
            <w:rFonts w:ascii="Times New Roman" w:eastAsia="Times New Roman" w:hAnsi="Times New Roman" w:cs="Times New Roman"/>
            <w:color w:val="1155CC"/>
            <w:sz w:val="24"/>
            <w:szCs w:val="24"/>
            <w:u w:val="single"/>
          </w:rPr>
          <w:t>https://doi.org/10.1080/14719037.2020.1743344</w:t>
        </w:r>
      </w:hyperlink>
      <w:r>
        <w:rPr>
          <w:rFonts w:ascii="Times New Roman" w:eastAsia="Times New Roman" w:hAnsi="Times New Roman" w:cs="Times New Roman"/>
          <w:sz w:val="24"/>
          <w:szCs w:val="24"/>
        </w:rPr>
        <w:t xml:space="preserve">. </w:t>
      </w:r>
    </w:p>
    <w:p w14:paraId="34DF33E6" w14:textId="77777777" w:rsidR="00800E7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Faiz Zainal Abidin, Adibah Jamaluddin, Vani Tanggamani and Afidah Sapari (2023). </w:t>
      </w:r>
      <w:r>
        <w:rPr>
          <w:rFonts w:ascii="Times New Roman" w:eastAsia="Times New Roman" w:hAnsi="Times New Roman" w:cs="Times New Roman"/>
          <w:i/>
          <w:sz w:val="24"/>
          <w:szCs w:val="24"/>
        </w:rPr>
        <w:t>Pricing Strategies: Determining the Best Strategy to Create Competitive Advantage</w:t>
      </w:r>
      <w:r>
        <w:rPr>
          <w:rFonts w:ascii="Times New Roman" w:eastAsia="Times New Roman" w:hAnsi="Times New Roman" w:cs="Times New Roman"/>
          <w:sz w:val="24"/>
          <w:szCs w:val="24"/>
        </w:rPr>
        <w:t xml:space="preserve">. [online] ResearchGate. Available at: </w:t>
      </w:r>
      <w:hyperlink r:id="rId12">
        <w:r>
          <w:rPr>
            <w:rFonts w:ascii="Times New Roman" w:eastAsia="Times New Roman" w:hAnsi="Times New Roman" w:cs="Times New Roman"/>
            <w:color w:val="1155CC"/>
            <w:sz w:val="24"/>
            <w:szCs w:val="24"/>
            <w:u w:val="single"/>
          </w:rPr>
          <w:t>https://www.researchgate.net/publication/371900143_Pricing_Strategies_Determining_the_Best_Strategy_to_Create_Competitive_Advantage</w:t>
        </w:r>
      </w:hyperlink>
      <w:r>
        <w:rPr>
          <w:rFonts w:ascii="Times New Roman" w:eastAsia="Times New Roman" w:hAnsi="Times New Roman" w:cs="Times New Roman"/>
          <w:sz w:val="24"/>
          <w:szCs w:val="24"/>
        </w:rPr>
        <w:t xml:space="preserve">. </w:t>
      </w:r>
    </w:p>
    <w:p w14:paraId="71D6DBB0" w14:textId="77777777" w:rsidR="00800E7C" w:rsidRDefault="00000000">
      <w:pPr>
        <w:spacing w:after="240" w:line="360" w:lineRule="auto"/>
        <w:jc w:val="both"/>
        <w:rPr>
          <w:rFonts w:ascii="Times New Roman" w:eastAsia="Times New Roman" w:hAnsi="Times New Roman" w:cs="Times New Roman"/>
          <w:sz w:val="24"/>
          <w:szCs w:val="24"/>
        </w:rPr>
      </w:pPr>
      <w:r>
        <w:rPr>
          <w:color w:val="222222"/>
          <w:sz w:val="20"/>
          <w:szCs w:val="20"/>
          <w:highlight w:val="white"/>
        </w:rPr>
        <w:t xml:space="preserve">Skog, D.A., Sandberg, J. and Wimelius, H., 2021. How Spotify Balanced Trade-Offs in Pursuing Digital Platform Growth. </w:t>
      </w:r>
      <w:r>
        <w:rPr>
          <w:i/>
          <w:color w:val="222222"/>
          <w:sz w:val="20"/>
          <w:szCs w:val="20"/>
          <w:highlight w:val="white"/>
        </w:rPr>
        <w:t>MIS Quarterly Executive</w:t>
      </w:r>
      <w:r>
        <w:rPr>
          <w:color w:val="222222"/>
          <w:sz w:val="20"/>
          <w:szCs w:val="20"/>
          <w:highlight w:val="white"/>
        </w:rPr>
        <w:t xml:space="preserve">, </w:t>
      </w:r>
      <w:r>
        <w:rPr>
          <w:i/>
          <w:color w:val="222222"/>
          <w:sz w:val="20"/>
          <w:szCs w:val="20"/>
          <w:highlight w:val="white"/>
        </w:rPr>
        <w:t>20</w:t>
      </w:r>
      <w:r>
        <w:rPr>
          <w:color w:val="222222"/>
          <w:sz w:val="20"/>
          <w:szCs w:val="20"/>
          <w:highlight w:val="white"/>
        </w:rPr>
        <w:t>(4).</w:t>
      </w:r>
      <w:hyperlink r:id="rId13">
        <w:r>
          <w:rPr>
            <w:color w:val="1155CC"/>
            <w:sz w:val="20"/>
            <w:szCs w:val="20"/>
            <w:highlight w:val="white"/>
            <w:u w:val="single"/>
          </w:rPr>
          <w:t>https://www.researchgate.net/profile/Johan-Sandberg-4/publication/357186682_How_Spotify_Balanced_Trade-Offs_in_Pursuing_Digital_Platform_Growth/links/61c0c3204b318a6970f63a1b/How-Spotify-Balanced-Trade-Offs-in-Pursuing-Digital-Platform-Growth.pdf</w:t>
        </w:r>
      </w:hyperlink>
      <w:r>
        <w:rPr>
          <w:color w:val="222222"/>
          <w:sz w:val="20"/>
          <w:szCs w:val="20"/>
          <w:highlight w:val="white"/>
        </w:rPr>
        <w:t xml:space="preserve"> </w:t>
      </w:r>
    </w:p>
    <w:p w14:paraId="5AB6E6AC" w14:textId="77777777" w:rsidR="00800E7C" w:rsidRDefault="00000000">
      <w:pPr>
        <w:spacing w:line="360" w:lineRule="auto"/>
        <w:jc w:val="both"/>
        <w:rPr>
          <w:rFonts w:ascii="Times New Roman" w:eastAsia="Times New Roman" w:hAnsi="Times New Roman" w:cs="Times New Roman"/>
          <w:sz w:val="24"/>
          <w:szCs w:val="24"/>
        </w:rPr>
      </w:pPr>
      <w:r>
        <w:rPr>
          <w:color w:val="222222"/>
          <w:sz w:val="20"/>
          <w:szCs w:val="20"/>
          <w:highlight w:val="white"/>
        </w:rPr>
        <w:t xml:space="preserve">Luthfiandana, R., Barus, G.A., Nuraeni, N., Yanthy, S. and Pujiati, H., (2024). Marketing Strategy: Segmenting, Targeting, and Positioning for Digital Business (Literature Review). </w:t>
      </w:r>
      <w:r>
        <w:rPr>
          <w:i/>
          <w:color w:val="222222"/>
          <w:sz w:val="20"/>
          <w:szCs w:val="20"/>
          <w:highlight w:val="white"/>
        </w:rPr>
        <w:t>Siber International Journal of Digital Business (SIJDB)</w:t>
      </w:r>
      <w:r>
        <w:rPr>
          <w:color w:val="222222"/>
          <w:sz w:val="20"/>
          <w:szCs w:val="20"/>
          <w:highlight w:val="white"/>
        </w:rPr>
        <w:t xml:space="preserve">, </w:t>
      </w:r>
      <w:r>
        <w:rPr>
          <w:i/>
          <w:color w:val="222222"/>
          <w:sz w:val="20"/>
          <w:szCs w:val="20"/>
          <w:highlight w:val="white"/>
        </w:rPr>
        <w:t>1</w:t>
      </w:r>
      <w:r>
        <w:rPr>
          <w:color w:val="222222"/>
          <w:sz w:val="20"/>
          <w:szCs w:val="20"/>
          <w:highlight w:val="white"/>
        </w:rPr>
        <w:t>(4), pp.11-22.</w:t>
      </w:r>
      <w:hyperlink r:id="rId14">
        <w:r>
          <w:rPr>
            <w:color w:val="1155CC"/>
            <w:sz w:val="20"/>
            <w:szCs w:val="20"/>
            <w:highlight w:val="white"/>
            <w:u w:val="single"/>
          </w:rPr>
          <w:t>https://review.e-siber.org/SIJDB/article/view/30</w:t>
        </w:r>
      </w:hyperlink>
      <w:r>
        <w:rPr>
          <w:color w:val="222222"/>
          <w:sz w:val="20"/>
          <w:szCs w:val="20"/>
          <w:highlight w:val="white"/>
        </w:rPr>
        <w:t xml:space="preserve"> </w:t>
      </w:r>
    </w:p>
    <w:p w14:paraId="35BC3884" w14:textId="77777777" w:rsidR="00800E7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Rane, N., Achari, A. and Choudhary, S.P. (2023). </w:t>
      </w:r>
      <w:r>
        <w:rPr>
          <w:rFonts w:ascii="Times New Roman" w:eastAsia="Times New Roman" w:hAnsi="Times New Roman" w:cs="Times New Roman"/>
          <w:i/>
          <w:sz w:val="24"/>
          <w:szCs w:val="24"/>
        </w:rPr>
        <w:t>Enhancing Customer Loyalty through Quality of service: Effective Strategies to Improve Customer satisfaction, experience, relationship, and Engagement</w:t>
      </w:r>
      <w:r>
        <w:rPr>
          <w:rFonts w:ascii="Times New Roman" w:eastAsia="Times New Roman" w:hAnsi="Times New Roman" w:cs="Times New Roman"/>
          <w:sz w:val="24"/>
          <w:szCs w:val="24"/>
        </w:rPr>
        <w:t xml:space="preserve">. [online] Researchgate. Available at: </w:t>
      </w:r>
      <w:hyperlink r:id="rId15">
        <w:r>
          <w:rPr>
            <w:rFonts w:ascii="Times New Roman" w:eastAsia="Times New Roman" w:hAnsi="Times New Roman" w:cs="Times New Roman"/>
            <w:color w:val="1155CC"/>
            <w:sz w:val="24"/>
            <w:szCs w:val="24"/>
            <w:u w:val="single"/>
          </w:rPr>
          <w:t>https://www.researchgate.net/publication/370561455_Enhancing_customer_loyalty_through_quality_of_service_Effective_strategies_to_improve_customer_satisfaction_experience_relationship_and_engagement</w:t>
        </w:r>
      </w:hyperlink>
      <w:r>
        <w:rPr>
          <w:rFonts w:ascii="Times New Roman" w:eastAsia="Times New Roman" w:hAnsi="Times New Roman" w:cs="Times New Roman"/>
          <w:sz w:val="24"/>
          <w:szCs w:val="24"/>
        </w:rPr>
        <w:t xml:space="preserve">. </w:t>
      </w:r>
    </w:p>
    <w:p w14:paraId="10D0E63D" w14:textId="77777777" w:rsidR="00800E7C" w:rsidRDefault="00000000">
      <w:pPr>
        <w:spacing w:after="240" w:line="360" w:lineRule="auto"/>
        <w:jc w:val="both"/>
        <w:rPr>
          <w:rFonts w:ascii="Times New Roman" w:eastAsia="Times New Roman" w:hAnsi="Times New Roman" w:cs="Times New Roman"/>
          <w:sz w:val="24"/>
          <w:szCs w:val="24"/>
        </w:rPr>
      </w:pPr>
      <w:r>
        <w:rPr>
          <w:color w:val="222222"/>
          <w:sz w:val="20"/>
          <w:szCs w:val="20"/>
          <w:highlight w:val="white"/>
        </w:rPr>
        <w:t xml:space="preserve">Iveson, A., Hultman, M. and Davvetas, V., 2022. The product life cycle revisited: an integrative review and research agenda. </w:t>
      </w:r>
      <w:r>
        <w:rPr>
          <w:i/>
          <w:color w:val="222222"/>
          <w:sz w:val="20"/>
          <w:szCs w:val="20"/>
          <w:highlight w:val="white"/>
        </w:rPr>
        <w:t>European Journal of Marketing</w:t>
      </w:r>
      <w:r>
        <w:rPr>
          <w:color w:val="222222"/>
          <w:sz w:val="20"/>
          <w:szCs w:val="20"/>
          <w:highlight w:val="white"/>
        </w:rPr>
        <w:t xml:space="preserve">, </w:t>
      </w:r>
      <w:r>
        <w:rPr>
          <w:i/>
          <w:color w:val="222222"/>
          <w:sz w:val="20"/>
          <w:szCs w:val="20"/>
          <w:highlight w:val="white"/>
        </w:rPr>
        <w:t>56</w:t>
      </w:r>
      <w:r>
        <w:rPr>
          <w:color w:val="222222"/>
          <w:sz w:val="20"/>
          <w:szCs w:val="20"/>
          <w:highlight w:val="white"/>
        </w:rPr>
        <w:t>(2), pp.467-499.</w:t>
      </w:r>
      <w:hyperlink r:id="rId16">
        <w:r>
          <w:rPr>
            <w:color w:val="1155CC"/>
            <w:sz w:val="20"/>
            <w:szCs w:val="20"/>
            <w:highlight w:val="white"/>
            <w:u w:val="single"/>
          </w:rPr>
          <w:t>https://www.emerald.com/insight/content/doi/10.1108/EJM-08-2020-0594/full/html</w:t>
        </w:r>
      </w:hyperlink>
      <w:r>
        <w:rPr>
          <w:color w:val="222222"/>
          <w:sz w:val="20"/>
          <w:szCs w:val="20"/>
          <w:highlight w:val="white"/>
        </w:rPr>
        <w:t xml:space="preserve"> </w:t>
      </w:r>
    </w:p>
    <w:p w14:paraId="391D742C" w14:textId="77777777" w:rsidR="00800E7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Huang, J., Shen, Y., Zhang, L. and Zhuang, Y. (2022). Research on Trends, similarities and differences between Chinese and overseas' smartphone brands——Take Apple and Xiaomi as </w:t>
      </w:r>
      <w:r>
        <w:rPr>
          <w:rFonts w:ascii="Times New Roman" w:eastAsia="Times New Roman" w:hAnsi="Times New Roman" w:cs="Times New Roman"/>
          <w:sz w:val="24"/>
          <w:szCs w:val="24"/>
        </w:rPr>
        <w:lastRenderedPageBreak/>
        <w:t xml:space="preserve">an Example. </w:t>
      </w:r>
      <w:r>
        <w:rPr>
          <w:rFonts w:ascii="Times New Roman" w:eastAsia="Times New Roman" w:hAnsi="Times New Roman" w:cs="Times New Roman"/>
          <w:i/>
          <w:sz w:val="24"/>
          <w:szCs w:val="24"/>
        </w:rPr>
        <w:t>BCP Business &amp; Management</w:t>
      </w:r>
      <w:r>
        <w:rPr>
          <w:rFonts w:ascii="Times New Roman" w:eastAsia="Times New Roman" w:hAnsi="Times New Roman" w:cs="Times New Roman"/>
          <w:sz w:val="24"/>
          <w:szCs w:val="24"/>
        </w:rPr>
        <w:t>, 23, pp.41–48. doi:</w:t>
      </w:r>
      <w:hyperlink r:id="rId17">
        <w:r>
          <w:rPr>
            <w:rFonts w:ascii="Times New Roman" w:eastAsia="Times New Roman" w:hAnsi="Times New Roman" w:cs="Times New Roman"/>
            <w:color w:val="1155CC"/>
            <w:sz w:val="24"/>
            <w:szCs w:val="24"/>
            <w:u w:val="single"/>
          </w:rPr>
          <w:t>https://doi.org/10.54691/bcpbm.v23i.1334</w:t>
        </w:r>
      </w:hyperlink>
      <w:r>
        <w:rPr>
          <w:rFonts w:ascii="Times New Roman" w:eastAsia="Times New Roman" w:hAnsi="Times New Roman" w:cs="Times New Roman"/>
          <w:sz w:val="24"/>
          <w:szCs w:val="24"/>
        </w:rPr>
        <w:t>.</w:t>
      </w:r>
    </w:p>
    <w:p w14:paraId="39FE96CC" w14:textId="77777777" w:rsidR="00800E7C" w:rsidRDefault="00000000">
      <w:pPr>
        <w:spacing w:after="240" w:line="360" w:lineRule="auto"/>
        <w:jc w:val="both"/>
        <w:rPr>
          <w:rFonts w:ascii="Times New Roman" w:eastAsia="Times New Roman" w:hAnsi="Times New Roman" w:cs="Times New Roman"/>
          <w:sz w:val="24"/>
          <w:szCs w:val="24"/>
        </w:rPr>
      </w:pPr>
      <w:r>
        <w:rPr>
          <w:color w:val="222222"/>
          <w:sz w:val="20"/>
          <w:szCs w:val="20"/>
          <w:highlight w:val="white"/>
        </w:rPr>
        <w:t xml:space="preserve">Pels, J. and Sheth, J.N., 2021. Serving the invisible poor: Segmenting the market. </w:t>
      </w:r>
      <w:r>
        <w:rPr>
          <w:i/>
          <w:color w:val="222222"/>
          <w:sz w:val="20"/>
          <w:szCs w:val="20"/>
          <w:highlight w:val="white"/>
        </w:rPr>
        <w:t>Journal of Global Marketing</w:t>
      </w:r>
      <w:r>
        <w:rPr>
          <w:color w:val="222222"/>
          <w:sz w:val="20"/>
          <w:szCs w:val="20"/>
          <w:highlight w:val="white"/>
        </w:rPr>
        <w:t xml:space="preserve">, </w:t>
      </w:r>
      <w:r>
        <w:rPr>
          <w:i/>
          <w:color w:val="222222"/>
          <w:sz w:val="20"/>
          <w:szCs w:val="20"/>
          <w:highlight w:val="white"/>
        </w:rPr>
        <w:t>34</w:t>
      </w:r>
      <w:r>
        <w:rPr>
          <w:color w:val="222222"/>
          <w:sz w:val="20"/>
          <w:szCs w:val="20"/>
          <w:highlight w:val="white"/>
        </w:rPr>
        <w:t>(4), pp.270-281.</w:t>
      </w:r>
      <w:hyperlink r:id="rId18">
        <w:r>
          <w:rPr>
            <w:color w:val="1155CC"/>
            <w:sz w:val="20"/>
            <w:szCs w:val="20"/>
            <w:highlight w:val="white"/>
            <w:u w:val="single"/>
          </w:rPr>
          <w:t>https://www.tandfonline.com/doi/abs/10.1080/08911762.2021.1886386</w:t>
        </w:r>
      </w:hyperlink>
      <w:r>
        <w:rPr>
          <w:color w:val="222222"/>
          <w:sz w:val="20"/>
          <w:szCs w:val="20"/>
          <w:highlight w:val="white"/>
        </w:rPr>
        <w:t xml:space="preserve"> </w:t>
      </w:r>
      <w:r>
        <w:rPr>
          <w:rFonts w:ascii="Times New Roman" w:eastAsia="Times New Roman" w:hAnsi="Times New Roman" w:cs="Times New Roman"/>
          <w:sz w:val="24"/>
          <w:szCs w:val="24"/>
        </w:rPr>
        <w:t xml:space="preserve"> </w:t>
      </w:r>
    </w:p>
    <w:p w14:paraId="76EBEFA4" w14:textId="77777777" w:rsidR="00800E7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Schmidberger, F. (2022). </w:t>
      </w:r>
      <w:r>
        <w:rPr>
          <w:rFonts w:ascii="Times New Roman" w:eastAsia="Times New Roman" w:hAnsi="Times New Roman" w:cs="Times New Roman"/>
          <w:i/>
          <w:sz w:val="24"/>
          <w:szCs w:val="24"/>
        </w:rPr>
        <w:t>TikTok and Instagram: Using both platforms for ultimate success</w:t>
      </w:r>
      <w:r>
        <w:rPr>
          <w:rFonts w:ascii="Times New Roman" w:eastAsia="Times New Roman" w:hAnsi="Times New Roman" w:cs="Times New Roman"/>
          <w:sz w:val="24"/>
          <w:szCs w:val="24"/>
        </w:rPr>
        <w:t xml:space="preserve">. [online] Marketing Dive. Available at: </w:t>
      </w:r>
      <w:hyperlink r:id="rId19">
        <w:r>
          <w:rPr>
            <w:rFonts w:ascii="Times New Roman" w:eastAsia="Times New Roman" w:hAnsi="Times New Roman" w:cs="Times New Roman"/>
            <w:color w:val="1155CC"/>
            <w:sz w:val="24"/>
            <w:szCs w:val="24"/>
            <w:u w:val="single"/>
          </w:rPr>
          <w:t>https://www.marketingdive.com/news/tiktok-and-instagram-using-both-platforms-for-ultimate-success/617002/</w:t>
        </w:r>
      </w:hyperlink>
      <w:r>
        <w:rPr>
          <w:rFonts w:ascii="Times New Roman" w:eastAsia="Times New Roman" w:hAnsi="Times New Roman" w:cs="Times New Roman"/>
          <w:sz w:val="24"/>
          <w:szCs w:val="24"/>
        </w:rPr>
        <w:t xml:space="preserve">. </w:t>
      </w:r>
    </w:p>
    <w:p w14:paraId="5455571F" w14:textId="77777777" w:rsidR="00800E7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Maistre, R.L. (2025). </w:t>
      </w:r>
      <w:r>
        <w:rPr>
          <w:rFonts w:ascii="Times New Roman" w:eastAsia="Times New Roman" w:hAnsi="Times New Roman" w:cs="Times New Roman"/>
          <w:i/>
          <w:sz w:val="24"/>
          <w:szCs w:val="24"/>
        </w:rPr>
        <w:t>Xiaomi closes in on Apple and Samsung in the global smartphone market</w:t>
      </w:r>
      <w:r>
        <w:rPr>
          <w:rFonts w:ascii="Times New Roman" w:eastAsia="Times New Roman" w:hAnsi="Times New Roman" w:cs="Times New Roman"/>
          <w:sz w:val="24"/>
          <w:szCs w:val="24"/>
        </w:rPr>
        <w:t xml:space="preserve">. [online] TelecomTV. Available at: </w:t>
      </w:r>
      <w:hyperlink r:id="rId20">
        <w:r>
          <w:rPr>
            <w:rFonts w:ascii="Times New Roman" w:eastAsia="Times New Roman" w:hAnsi="Times New Roman" w:cs="Times New Roman"/>
            <w:color w:val="1155CC"/>
            <w:sz w:val="24"/>
            <w:szCs w:val="24"/>
            <w:u w:val="single"/>
          </w:rPr>
          <w:t>https://www.telecomtv.com/content/access-evolution/xiaomi-closes-in-on-apple-and-samsung-in-global-smartphone-market-52121/</w:t>
        </w:r>
      </w:hyperlink>
      <w:r>
        <w:rPr>
          <w:rFonts w:ascii="Times New Roman" w:eastAsia="Times New Roman" w:hAnsi="Times New Roman" w:cs="Times New Roman"/>
          <w:sz w:val="24"/>
          <w:szCs w:val="24"/>
        </w:rPr>
        <w:t xml:space="preserve">. </w:t>
      </w:r>
    </w:p>
    <w:p w14:paraId="68FC1381" w14:textId="77777777" w:rsidR="00800E7C" w:rsidRDefault="00000000">
      <w:pPr>
        <w:spacing w:after="240" w:line="360" w:lineRule="auto"/>
        <w:jc w:val="both"/>
        <w:rPr>
          <w:color w:val="222222"/>
          <w:sz w:val="20"/>
          <w:szCs w:val="20"/>
          <w:highlight w:val="white"/>
        </w:rPr>
      </w:pPr>
      <w:r>
        <w:rPr>
          <w:color w:val="222222"/>
          <w:sz w:val="20"/>
          <w:szCs w:val="20"/>
          <w:highlight w:val="white"/>
        </w:rPr>
        <w:t>Shao, X., Wang, Q. and Yang, H., 2021. Business Analysis and Future Development of an Electric Vehicle Company--Tesla.</w:t>
      </w:r>
      <w:hyperlink r:id="rId21">
        <w:r>
          <w:rPr>
            <w:color w:val="1155CC"/>
            <w:sz w:val="20"/>
            <w:szCs w:val="20"/>
            <w:highlight w:val="white"/>
            <w:u w:val="single"/>
          </w:rPr>
          <w:t>https://digitalcommons.odu.edu/psychology_fac_pubs/124/</w:t>
        </w:r>
      </w:hyperlink>
      <w:r>
        <w:rPr>
          <w:color w:val="222222"/>
          <w:sz w:val="20"/>
          <w:szCs w:val="20"/>
          <w:highlight w:val="white"/>
        </w:rPr>
        <w:t xml:space="preserve"> </w:t>
      </w:r>
    </w:p>
    <w:p w14:paraId="29853480" w14:textId="77777777" w:rsidR="00800E7C" w:rsidRDefault="00000000">
      <w:pPr>
        <w:spacing w:after="240" w:line="360" w:lineRule="auto"/>
        <w:jc w:val="both"/>
        <w:rPr>
          <w:color w:val="222222"/>
          <w:sz w:val="20"/>
          <w:szCs w:val="20"/>
          <w:highlight w:val="white"/>
        </w:rPr>
      </w:pPr>
      <w:r>
        <w:rPr>
          <w:color w:val="222222"/>
          <w:sz w:val="24"/>
          <w:szCs w:val="24"/>
          <w:highlight w:val="white"/>
        </w:rPr>
        <w:t xml:space="preserve">Tesla (2025). </w:t>
      </w:r>
      <w:r>
        <w:rPr>
          <w:i/>
          <w:color w:val="222222"/>
          <w:sz w:val="24"/>
          <w:szCs w:val="24"/>
          <w:highlight w:val="white"/>
        </w:rPr>
        <w:t>Impact Report 2023</w:t>
      </w:r>
      <w:r>
        <w:rPr>
          <w:color w:val="222222"/>
          <w:sz w:val="24"/>
          <w:szCs w:val="24"/>
          <w:highlight w:val="white"/>
        </w:rPr>
        <w:t xml:space="preserve">. [online] Tesla. Available at: </w:t>
      </w:r>
      <w:hyperlink r:id="rId22">
        <w:r>
          <w:rPr>
            <w:color w:val="1155CC"/>
            <w:sz w:val="24"/>
            <w:szCs w:val="24"/>
            <w:highlight w:val="white"/>
            <w:u w:val="single"/>
          </w:rPr>
          <w:t>https://www.tesla.com/impact</w:t>
        </w:r>
      </w:hyperlink>
      <w:r>
        <w:rPr>
          <w:color w:val="222222"/>
          <w:sz w:val="24"/>
          <w:szCs w:val="24"/>
          <w:highlight w:val="white"/>
        </w:rPr>
        <w:t xml:space="preserve">. </w:t>
      </w:r>
    </w:p>
    <w:p w14:paraId="763BD6E8" w14:textId="77777777" w:rsidR="00800E7C" w:rsidRDefault="00000000">
      <w:pPr>
        <w:spacing w:after="240" w:line="360" w:lineRule="auto"/>
        <w:jc w:val="both"/>
        <w:rPr>
          <w:color w:val="222222"/>
          <w:sz w:val="20"/>
          <w:szCs w:val="20"/>
          <w:highlight w:val="white"/>
        </w:rPr>
      </w:pPr>
      <w:r>
        <w:rPr>
          <w:color w:val="222222"/>
          <w:sz w:val="24"/>
          <w:szCs w:val="24"/>
          <w:highlight w:val="white"/>
        </w:rPr>
        <w:t xml:space="preserve">Han, J. (2021). How Does Tesla Motors Achieve Competitive Advantage in the Global Automobile Industry? </w:t>
      </w:r>
      <w:r>
        <w:rPr>
          <w:i/>
          <w:color w:val="222222"/>
          <w:sz w:val="24"/>
          <w:szCs w:val="24"/>
          <w:highlight w:val="white"/>
        </w:rPr>
        <w:t>Journal of Next-generation Convergence Information Services Technology</w:t>
      </w:r>
      <w:r>
        <w:rPr>
          <w:color w:val="222222"/>
          <w:sz w:val="24"/>
          <w:szCs w:val="24"/>
          <w:highlight w:val="white"/>
        </w:rPr>
        <w:t>, 10(5), pp.573–582. doi:</w:t>
      </w:r>
      <w:hyperlink r:id="rId23">
        <w:r>
          <w:rPr>
            <w:color w:val="1155CC"/>
            <w:sz w:val="24"/>
            <w:szCs w:val="24"/>
            <w:highlight w:val="white"/>
            <w:u w:val="single"/>
          </w:rPr>
          <w:t>https://doi.org/10.29056/jncist.2021.10.09</w:t>
        </w:r>
      </w:hyperlink>
      <w:r>
        <w:rPr>
          <w:color w:val="222222"/>
          <w:sz w:val="24"/>
          <w:szCs w:val="24"/>
          <w:highlight w:val="white"/>
        </w:rPr>
        <w:t xml:space="preserve">. </w:t>
      </w:r>
    </w:p>
    <w:p w14:paraId="70B07C43" w14:textId="77777777" w:rsidR="00800E7C" w:rsidRDefault="00000000">
      <w:pPr>
        <w:spacing w:after="240" w:line="360" w:lineRule="auto"/>
        <w:jc w:val="both"/>
        <w:rPr>
          <w:rFonts w:ascii="Times New Roman" w:eastAsia="Times New Roman" w:hAnsi="Times New Roman" w:cs="Times New Roman"/>
          <w:sz w:val="24"/>
          <w:szCs w:val="24"/>
        </w:rPr>
      </w:pPr>
      <w:r>
        <w:rPr>
          <w:color w:val="222222"/>
          <w:sz w:val="20"/>
          <w:szCs w:val="20"/>
          <w:highlight w:val="white"/>
        </w:rPr>
        <w:t xml:space="preserve">Sala, S., Amadei, A.M., Beylot, A. and Ardente, F., 2021. The evolution of life cycle assessment in European policies over three decades. </w:t>
      </w:r>
      <w:r>
        <w:rPr>
          <w:i/>
          <w:color w:val="222222"/>
          <w:sz w:val="20"/>
          <w:szCs w:val="20"/>
          <w:highlight w:val="white"/>
        </w:rPr>
        <w:t>The International Journal of Life Cycle Assessment</w:t>
      </w:r>
      <w:r>
        <w:rPr>
          <w:color w:val="222222"/>
          <w:sz w:val="20"/>
          <w:szCs w:val="20"/>
          <w:highlight w:val="white"/>
        </w:rPr>
        <w:t xml:space="preserve">, </w:t>
      </w:r>
      <w:r>
        <w:rPr>
          <w:i/>
          <w:color w:val="222222"/>
          <w:sz w:val="20"/>
          <w:szCs w:val="20"/>
          <w:highlight w:val="white"/>
        </w:rPr>
        <w:t>26</w:t>
      </w:r>
      <w:r>
        <w:rPr>
          <w:color w:val="222222"/>
          <w:sz w:val="20"/>
          <w:szCs w:val="20"/>
          <w:highlight w:val="white"/>
        </w:rPr>
        <w:t>, pp.2295-2314.</w:t>
      </w:r>
      <w:hyperlink r:id="rId24">
        <w:r>
          <w:rPr>
            <w:color w:val="1155CC"/>
            <w:sz w:val="20"/>
            <w:szCs w:val="20"/>
            <w:highlight w:val="white"/>
            <w:u w:val="single"/>
          </w:rPr>
          <w:t>https://link.springer.com/article/10.1007/s11367-021-01893-2</w:t>
        </w:r>
      </w:hyperlink>
      <w:r>
        <w:rPr>
          <w:color w:val="222222"/>
          <w:sz w:val="20"/>
          <w:szCs w:val="20"/>
          <w:highlight w:val="white"/>
        </w:rPr>
        <w:t xml:space="preserve"> </w:t>
      </w:r>
    </w:p>
    <w:p w14:paraId="3D9C0B74" w14:textId="77777777" w:rsidR="00800E7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Gómez, J., Perez-Aradros, B. and Salazar, I., 2022. How to beat early movers: The role of competitive strategy and industry dynamism on followers’ performance in the telecommunications industry. Long Range Planning, 55(5), p.102244.</w:t>
      </w:r>
      <w:hyperlink r:id="rId25">
        <w:r>
          <w:rPr>
            <w:rFonts w:ascii="Times New Roman" w:eastAsia="Times New Roman" w:hAnsi="Times New Roman" w:cs="Times New Roman"/>
            <w:color w:val="1155CC"/>
            <w:sz w:val="24"/>
            <w:szCs w:val="24"/>
            <w:u w:val="single"/>
          </w:rPr>
          <w:t>https://www.sciencedirect.com/science/article/pii/S0024630122000632</w:t>
        </w:r>
      </w:hyperlink>
      <w:r>
        <w:rPr>
          <w:rFonts w:ascii="Times New Roman" w:eastAsia="Times New Roman" w:hAnsi="Times New Roman" w:cs="Times New Roman"/>
          <w:sz w:val="24"/>
          <w:szCs w:val="24"/>
        </w:rPr>
        <w:t xml:space="preserve"> </w:t>
      </w:r>
    </w:p>
    <w:p w14:paraId="26703763" w14:textId="77777777" w:rsidR="00800E7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Tuohy, J.P. (2024). Remember Blockbuster? [online] The Verge. Available at: </w:t>
      </w:r>
      <w:hyperlink r:id="rId26">
        <w:r>
          <w:rPr>
            <w:rFonts w:ascii="Times New Roman" w:eastAsia="Times New Roman" w:hAnsi="Times New Roman" w:cs="Times New Roman"/>
            <w:color w:val="1155CC"/>
            <w:sz w:val="24"/>
            <w:szCs w:val="24"/>
            <w:u w:val="single"/>
          </w:rPr>
          <w:t>https://www.theverge.com/c/24243754/blockbuster-video-netflix-streaming-dvd-transition-2000s</w:t>
        </w:r>
      </w:hyperlink>
      <w:r>
        <w:rPr>
          <w:rFonts w:ascii="Times New Roman" w:eastAsia="Times New Roman" w:hAnsi="Times New Roman" w:cs="Times New Roman"/>
          <w:sz w:val="24"/>
          <w:szCs w:val="24"/>
        </w:rPr>
        <w:t>. [Accessed 18 Mar. 2025].</w:t>
      </w:r>
    </w:p>
    <w:p w14:paraId="3A098710" w14:textId="77777777" w:rsidR="00800E7C" w:rsidRDefault="00000000">
      <w:pPr>
        <w:spacing w:line="360" w:lineRule="auto"/>
        <w:jc w:val="both"/>
        <w:rPr>
          <w:rFonts w:ascii="Times New Roman" w:eastAsia="Times New Roman" w:hAnsi="Times New Roman" w:cs="Times New Roman"/>
          <w:sz w:val="24"/>
          <w:szCs w:val="24"/>
        </w:rPr>
      </w:pPr>
      <w:r>
        <w:rPr>
          <w:color w:val="222222"/>
          <w:sz w:val="20"/>
          <w:szCs w:val="20"/>
          <w:highlight w:val="white"/>
        </w:rPr>
        <w:t xml:space="preserve">Yuliati, A. and Huda, S., 2022. Analysis of Influencer's Influence As Digital Marketing. </w:t>
      </w:r>
      <w:r>
        <w:rPr>
          <w:i/>
          <w:color w:val="222222"/>
          <w:sz w:val="20"/>
          <w:szCs w:val="20"/>
          <w:highlight w:val="white"/>
        </w:rPr>
        <w:t>Eduvest-Journal of Universal Studies</w:t>
      </w:r>
      <w:r>
        <w:rPr>
          <w:color w:val="222222"/>
          <w:sz w:val="20"/>
          <w:szCs w:val="20"/>
          <w:highlight w:val="white"/>
        </w:rPr>
        <w:t xml:space="preserve">, </w:t>
      </w:r>
      <w:r>
        <w:rPr>
          <w:i/>
          <w:color w:val="222222"/>
          <w:sz w:val="20"/>
          <w:szCs w:val="20"/>
          <w:highlight w:val="white"/>
        </w:rPr>
        <w:t>2</w:t>
      </w:r>
      <w:r>
        <w:rPr>
          <w:color w:val="222222"/>
          <w:sz w:val="20"/>
          <w:szCs w:val="20"/>
          <w:highlight w:val="white"/>
        </w:rPr>
        <w:t>(11), pp.2288-2294.</w:t>
      </w:r>
    </w:p>
    <w:p w14:paraId="1A8F5033" w14:textId="77777777" w:rsidR="00800E7C"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Carreno, A.M. (2024). Analyzing Amazon's Evolution from an Online Bookstore to a Global Tech Giant. [online] Researchgate. Doi:</w:t>
      </w:r>
      <w:hyperlink r:id="rId27">
        <w:r>
          <w:rPr>
            <w:rFonts w:ascii="Times New Roman" w:eastAsia="Times New Roman" w:hAnsi="Times New Roman" w:cs="Times New Roman"/>
            <w:color w:val="1155CC"/>
            <w:sz w:val="24"/>
            <w:szCs w:val="24"/>
            <w:u w:val="single"/>
          </w:rPr>
          <w:t>https://doi.org/10.5281/zenodo.14261927</w:t>
        </w:r>
      </w:hyperlink>
      <w:r>
        <w:rPr>
          <w:rFonts w:ascii="Times New Roman" w:eastAsia="Times New Roman" w:hAnsi="Times New Roman" w:cs="Times New Roman"/>
          <w:sz w:val="24"/>
          <w:szCs w:val="24"/>
        </w:rPr>
        <w:t>. [Accessed 18 Mar. 2025].</w:t>
      </w:r>
    </w:p>
    <w:p w14:paraId="070470C6" w14:textId="77777777" w:rsidR="00800E7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strategy institute (2024). </w:t>
      </w:r>
      <w:r>
        <w:rPr>
          <w:rFonts w:ascii="Times New Roman" w:eastAsia="Times New Roman" w:hAnsi="Times New Roman" w:cs="Times New Roman"/>
          <w:i/>
          <w:sz w:val="24"/>
          <w:szCs w:val="24"/>
        </w:rPr>
        <w:t>Coca-Cola’s Global Dominance - Decoding the Beverage Giant’s Business Strategy</w:t>
      </w:r>
      <w:r>
        <w:rPr>
          <w:rFonts w:ascii="Times New Roman" w:eastAsia="Times New Roman" w:hAnsi="Times New Roman" w:cs="Times New Roman"/>
          <w:sz w:val="24"/>
          <w:szCs w:val="24"/>
        </w:rPr>
        <w:t xml:space="preserve">. [online] The Strategy Institute. Available at: </w:t>
      </w:r>
      <w:hyperlink r:id="rId28">
        <w:r>
          <w:rPr>
            <w:rFonts w:ascii="Times New Roman" w:eastAsia="Times New Roman" w:hAnsi="Times New Roman" w:cs="Times New Roman"/>
            <w:color w:val="1155CC"/>
            <w:sz w:val="24"/>
            <w:szCs w:val="24"/>
            <w:u w:val="single"/>
          </w:rPr>
          <w:t>https://www.thestrategyinstitute.org/insights/coca-colas-global-dominance-decoding-the-beverage-giants-business-strategy</w:t>
        </w:r>
      </w:hyperlink>
      <w:r>
        <w:rPr>
          <w:rFonts w:ascii="Times New Roman" w:eastAsia="Times New Roman" w:hAnsi="Times New Roman" w:cs="Times New Roman"/>
          <w:sz w:val="24"/>
          <w:szCs w:val="24"/>
        </w:rPr>
        <w:t xml:space="preserve">. </w:t>
      </w:r>
    </w:p>
    <w:p w14:paraId="506710E7" w14:textId="77777777" w:rsidR="00800E7C" w:rsidRDefault="00000000">
      <w:pPr>
        <w:spacing w:after="240" w:line="360" w:lineRule="auto"/>
        <w:jc w:val="both"/>
        <w:rPr>
          <w:color w:val="222222"/>
          <w:sz w:val="20"/>
          <w:szCs w:val="20"/>
          <w:highlight w:val="white"/>
        </w:rPr>
      </w:pPr>
      <w:r>
        <w:rPr>
          <w:color w:val="222222"/>
          <w:sz w:val="20"/>
          <w:szCs w:val="20"/>
          <w:highlight w:val="white"/>
        </w:rPr>
        <w:t xml:space="preserve">Yuliati, A. and Huda, S., 2022. Analysis of Influencer's Influence As Digital Marketing. </w:t>
      </w:r>
      <w:r>
        <w:rPr>
          <w:i/>
          <w:color w:val="222222"/>
          <w:sz w:val="20"/>
          <w:szCs w:val="20"/>
          <w:highlight w:val="white"/>
        </w:rPr>
        <w:t>Eduvest-Journal of Universal Studies</w:t>
      </w:r>
      <w:r>
        <w:rPr>
          <w:color w:val="222222"/>
          <w:sz w:val="20"/>
          <w:szCs w:val="20"/>
          <w:highlight w:val="white"/>
        </w:rPr>
        <w:t xml:space="preserve">, </w:t>
      </w:r>
      <w:r>
        <w:rPr>
          <w:i/>
          <w:color w:val="222222"/>
          <w:sz w:val="20"/>
          <w:szCs w:val="20"/>
          <w:highlight w:val="white"/>
        </w:rPr>
        <w:t>2</w:t>
      </w:r>
      <w:r>
        <w:rPr>
          <w:color w:val="222222"/>
          <w:sz w:val="20"/>
          <w:szCs w:val="20"/>
          <w:highlight w:val="white"/>
        </w:rPr>
        <w:t>(11), pp.2288-2294.</w:t>
      </w:r>
      <w:hyperlink r:id="rId29">
        <w:r>
          <w:rPr>
            <w:color w:val="1155CC"/>
            <w:sz w:val="20"/>
            <w:szCs w:val="20"/>
            <w:highlight w:val="white"/>
            <w:u w:val="single"/>
          </w:rPr>
          <w:t>https://eduvest.greenvest.co.id/index.php/edv/article/view/643</w:t>
        </w:r>
      </w:hyperlink>
      <w:r>
        <w:rPr>
          <w:color w:val="222222"/>
          <w:sz w:val="20"/>
          <w:szCs w:val="20"/>
          <w:highlight w:val="white"/>
        </w:rPr>
        <w:t xml:space="preserve"> </w:t>
      </w:r>
    </w:p>
    <w:p w14:paraId="1D0057DE" w14:textId="77777777" w:rsidR="00800E7C" w:rsidRDefault="00000000">
      <w:pPr>
        <w:spacing w:after="240" w:line="360" w:lineRule="auto"/>
        <w:jc w:val="both"/>
        <w:rPr>
          <w:color w:val="222222"/>
          <w:sz w:val="24"/>
          <w:szCs w:val="24"/>
          <w:highlight w:val="white"/>
        </w:rPr>
      </w:pPr>
      <w:r>
        <w:rPr>
          <w:color w:val="222222"/>
          <w:sz w:val="24"/>
          <w:szCs w:val="24"/>
          <w:highlight w:val="white"/>
        </w:rPr>
        <w:t xml:space="preserve">Growth List (2025). </w:t>
      </w:r>
      <w:r>
        <w:rPr>
          <w:i/>
          <w:color w:val="222222"/>
          <w:sz w:val="24"/>
          <w:szCs w:val="24"/>
          <w:highlight w:val="white"/>
        </w:rPr>
        <w:t>Charge Early Adopters - Growth tactic for your business</w:t>
      </w:r>
      <w:r>
        <w:rPr>
          <w:color w:val="222222"/>
          <w:sz w:val="24"/>
          <w:szCs w:val="24"/>
          <w:highlight w:val="white"/>
        </w:rPr>
        <w:t xml:space="preserve">. [online] Thegrowthlist.co. Available at: </w:t>
      </w:r>
      <w:hyperlink r:id="rId30">
        <w:r>
          <w:rPr>
            <w:color w:val="1155CC"/>
            <w:sz w:val="24"/>
            <w:szCs w:val="24"/>
            <w:highlight w:val="white"/>
            <w:u w:val="single"/>
          </w:rPr>
          <w:t>https://thegrowthlist.co/tactics/charge-early-adopters</w:t>
        </w:r>
      </w:hyperlink>
      <w:r>
        <w:rPr>
          <w:color w:val="222222"/>
          <w:sz w:val="24"/>
          <w:szCs w:val="24"/>
          <w:highlight w:val="white"/>
        </w:rPr>
        <w:t xml:space="preserve">. </w:t>
      </w:r>
    </w:p>
    <w:p w14:paraId="3137B358" w14:textId="77777777" w:rsidR="00800E7C" w:rsidRDefault="00000000">
      <w:pPr>
        <w:spacing w:after="240" w:line="360" w:lineRule="auto"/>
        <w:jc w:val="both"/>
        <w:rPr>
          <w:color w:val="222222"/>
          <w:sz w:val="24"/>
          <w:szCs w:val="24"/>
          <w:highlight w:val="white"/>
        </w:rPr>
      </w:pPr>
      <w:r>
        <w:rPr>
          <w:color w:val="222222"/>
          <w:sz w:val="24"/>
          <w:szCs w:val="24"/>
          <w:highlight w:val="white"/>
        </w:rPr>
        <w:t xml:space="preserve">Chen, T. (2024). A study on Nike’s digital marketing strategy based on the 4Ps theory and analysis of competitiveness maintenance methods. </w:t>
      </w:r>
      <w:r>
        <w:rPr>
          <w:i/>
          <w:color w:val="222222"/>
          <w:sz w:val="24"/>
          <w:szCs w:val="24"/>
          <w:highlight w:val="white"/>
        </w:rPr>
        <w:t>SHS Web of Conferences</w:t>
      </w:r>
      <w:r>
        <w:rPr>
          <w:color w:val="222222"/>
          <w:sz w:val="24"/>
          <w:szCs w:val="24"/>
          <w:highlight w:val="white"/>
        </w:rPr>
        <w:t>, [online] 207, pp.01007–01007. doi:</w:t>
      </w:r>
      <w:hyperlink r:id="rId31">
        <w:r>
          <w:rPr>
            <w:color w:val="1155CC"/>
            <w:sz w:val="24"/>
            <w:szCs w:val="24"/>
            <w:highlight w:val="white"/>
            <w:u w:val="single"/>
          </w:rPr>
          <w:t>https://doi.org/10.1051/shsconf/202420701007</w:t>
        </w:r>
      </w:hyperlink>
      <w:r>
        <w:rPr>
          <w:color w:val="222222"/>
          <w:sz w:val="24"/>
          <w:szCs w:val="24"/>
          <w:highlight w:val="white"/>
        </w:rPr>
        <w:t xml:space="preserve">. </w:t>
      </w:r>
    </w:p>
    <w:p w14:paraId="40E80CB0" w14:textId="77777777" w:rsidR="00800E7C" w:rsidRDefault="00000000">
      <w:pPr>
        <w:spacing w:after="240" w:line="360" w:lineRule="auto"/>
        <w:jc w:val="both"/>
        <w:rPr>
          <w:color w:val="222222"/>
          <w:sz w:val="24"/>
          <w:szCs w:val="24"/>
          <w:highlight w:val="white"/>
        </w:rPr>
      </w:pPr>
      <w:r>
        <w:rPr>
          <w:color w:val="222222"/>
          <w:sz w:val="24"/>
          <w:szCs w:val="24"/>
          <w:highlight w:val="white"/>
        </w:rPr>
        <w:t xml:space="preserve">Palm, A. (2020). Early adopters and their motives: Differences between earlier and later adopters of residential solar photovoltaics. </w:t>
      </w:r>
      <w:r>
        <w:rPr>
          <w:i/>
          <w:color w:val="222222"/>
          <w:sz w:val="24"/>
          <w:szCs w:val="24"/>
          <w:highlight w:val="white"/>
        </w:rPr>
        <w:t>Renewable and Sustainable Energy Reviews</w:t>
      </w:r>
      <w:r>
        <w:rPr>
          <w:color w:val="222222"/>
          <w:sz w:val="24"/>
          <w:szCs w:val="24"/>
          <w:highlight w:val="white"/>
        </w:rPr>
        <w:t>, 133, p.110142. doi:</w:t>
      </w:r>
      <w:hyperlink r:id="rId32">
        <w:r>
          <w:rPr>
            <w:color w:val="1155CC"/>
            <w:sz w:val="24"/>
            <w:szCs w:val="24"/>
            <w:highlight w:val="white"/>
            <w:u w:val="single"/>
          </w:rPr>
          <w:t>https://doi.org/10.1016/j.rser.2020.110142</w:t>
        </w:r>
      </w:hyperlink>
      <w:r>
        <w:rPr>
          <w:color w:val="222222"/>
          <w:sz w:val="24"/>
          <w:szCs w:val="24"/>
          <w:highlight w:val="white"/>
        </w:rPr>
        <w:t xml:space="preserve">. </w:t>
      </w:r>
    </w:p>
    <w:p w14:paraId="213B8DFC" w14:textId="77777777" w:rsidR="00800E7C" w:rsidRDefault="00000000">
      <w:pPr>
        <w:spacing w:after="240" w:line="360" w:lineRule="auto"/>
        <w:jc w:val="both"/>
        <w:rPr>
          <w:color w:val="222222"/>
          <w:sz w:val="20"/>
          <w:szCs w:val="20"/>
          <w:highlight w:val="white"/>
        </w:rPr>
      </w:pPr>
      <w:r>
        <w:rPr>
          <w:color w:val="222222"/>
          <w:sz w:val="20"/>
          <w:szCs w:val="20"/>
          <w:highlight w:val="white"/>
        </w:rPr>
        <w:t xml:space="preserve">Inderjeet, A. and Scheepers, C.B., 2022. The influence of follower orientation on follower behaviour in the leadership process. </w:t>
      </w:r>
      <w:r>
        <w:rPr>
          <w:i/>
          <w:color w:val="222222"/>
          <w:sz w:val="20"/>
          <w:szCs w:val="20"/>
          <w:highlight w:val="white"/>
        </w:rPr>
        <w:t>SA Journal of Human Resource Management</w:t>
      </w:r>
      <w:r>
        <w:rPr>
          <w:color w:val="222222"/>
          <w:sz w:val="20"/>
          <w:szCs w:val="20"/>
          <w:highlight w:val="white"/>
        </w:rPr>
        <w:t xml:space="preserve">, </w:t>
      </w:r>
      <w:r>
        <w:rPr>
          <w:i/>
          <w:color w:val="222222"/>
          <w:sz w:val="20"/>
          <w:szCs w:val="20"/>
          <w:highlight w:val="white"/>
        </w:rPr>
        <w:t>20</w:t>
      </w:r>
      <w:r>
        <w:rPr>
          <w:color w:val="222222"/>
          <w:sz w:val="20"/>
          <w:szCs w:val="20"/>
          <w:highlight w:val="white"/>
        </w:rPr>
        <w:t>, p.1718.</w:t>
      </w:r>
      <w:hyperlink r:id="rId33">
        <w:r>
          <w:rPr>
            <w:color w:val="1155CC"/>
            <w:sz w:val="20"/>
            <w:szCs w:val="20"/>
            <w:highlight w:val="white"/>
            <w:u w:val="single"/>
          </w:rPr>
          <w:t>https://journals.co.za/doi/abs/10.4102/sajhrm.v20i0.1718</w:t>
        </w:r>
      </w:hyperlink>
      <w:r>
        <w:rPr>
          <w:color w:val="222222"/>
          <w:sz w:val="20"/>
          <w:szCs w:val="20"/>
          <w:highlight w:val="white"/>
        </w:rPr>
        <w:t xml:space="preserve"> </w:t>
      </w:r>
    </w:p>
    <w:p w14:paraId="04C2D26B" w14:textId="77777777" w:rsidR="00800E7C" w:rsidRDefault="00000000">
      <w:pPr>
        <w:spacing w:after="240" w:line="360" w:lineRule="auto"/>
        <w:jc w:val="both"/>
        <w:rPr>
          <w:color w:val="222222"/>
          <w:sz w:val="24"/>
          <w:szCs w:val="24"/>
          <w:highlight w:val="white"/>
        </w:rPr>
      </w:pPr>
      <w:r>
        <w:rPr>
          <w:color w:val="222222"/>
          <w:sz w:val="24"/>
          <w:szCs w:val="24"/>
          <w:highlight w:val="white"/>
        </w:rPr>
        <w:t xml:space="preserve">Shastri, A. (2022). </w:t>
      </w:r>
      <w:r>
        <w:rPr>
          <w:i/>
          <w:color w:val="222222"/>
          <w:sz w:val="24"/>
          <w:szCs w:val="24"/>
          <w:highlight w:val="white"/>
        </w:rPr>
        <w:t>Elaborate Marketing Strategy of Spotify | IIDE</w:t>
      </w:r>
      <w:r>
        <w:rPr>
          <w:color w:val="222222"/>
          <w:sz w:val="24"/>
          <w:szCs w:val="24"/>
          <w:highlight w:val="white"/>
        </w:rPr>
        <w:t xml:space="preserve">. [online] IIDE. Available at: </w:t>
      </w:r>
      <w:hyperlink r:id="rId34">
        <w:r>
          <w:rPr>
            <w:color w:val="1155CC"/>
            <w:sz w:val="24"/>
            <w:szCs w:val="24"/>
            <w:highlight w:val="white"/>
            <w:u w:val="single"/>
          </w:rPr>
          <w:t>https://iide.co/case-studies/marketing-strategy-of-spotify/</w:t>
        </w:r>
      </w:hyperlink>
      <w:r>
        <w:rPr>
          <w:color w:val="222222"/>
          <w:sz w:val="24"/>
          <w:szCs w:val="24"/>
          <w:highlight w:val="white"/>
        </w:rPr>
        <w:t xml:space="preserve">. </w:t>
      </w:r>
    </w:p>
    <w:p w14:paraId="410F0C7E" w14:textId="77777777" w:rsidR="00800E7C" w:rsidRDefault="00000000">
      <w:pPr>
        <w:spacing w:after="240" w:line="360" w:lineRule="auto"/>
        <w:jc w:val="both"/>
        <w:rPr>
          <w:color w:val="222222"/>
          <w:sz w:val="24"/>
          <w:szCs w:val="24"/>
          <w:highlight w:val="white"/>
        </w:rPr>
      </w:pPr>
      <w:r>
        <w:rPr>
          <w:color w:val="222222"/>
          <w:sz w:val="24"/>
          <w:szCs w:val="24"/>
          <w:highlight w:val="white"/>
        </w:rPr>
        <w:t xml:space="preserve">Liu, Y., Wei, Y., Wu, Z. and Zhao, Y. (2023). </w:t>
      </w:r>
      <w:r>
        <w:rPr>
          <w:i/>
          <w:color w:val="222222"/>
          <w:sz w:val="24"/>
          <w:szCs w:val="24"/>
          <w:highlight w:val="white"/>
        </w:rPr>
        <w:t>Revolutionizing The Automotive Industry: Tesla’s Innovative Marketing Strategies in The Face of Changes</w:t>
      </w:r>
      <w:r>
        <w:rPr>
          <w:color w:val="222222"/>
          <w:sz w:val="24"/>
          <w:szCs w:val="24"/>
          <w:highlight w:val="white"/>
        </w:rPr>
        <w:t xml:space="preserve">. [online] ResearchGate. Available at: </w:t>
      </w:r>
      <w:hyperlink r:id="rId35">
        <w:r>
          <w:rPr>
            <w:color w:val="1155CC"/>
            <w:sz w:val="24"/>
            <w:szCs w:val="24"/>
            <w:highlight w:val="white"/>
            <w:u w:val="single"/>
          </w:rPr>
          <w:t>https://www.researchgate.net/publication/381563573_Revolutionizing_The_Automotive_Industry_Tesla</w:t>
        </w:r>
      </w:hyperlink>
      <w:r>
        <w:rPr>
          <w:color w:val="222222"/>
          <w:sz w:val="24"/>
          <w:szCs w:val="24"/>
          <w:highlight w:val="white"/>
        </w:rPr>
        <w:t xml:space="preserve">. </w:t>
      </w:r>
    </w:p>
    <w:p w14:paraId="795F0B65" w14:textId="77777777" w:rsidR="00800E7C" w:rsidRDefault="00800E7C"/>
    <w:p w14:paraId="4E4528C9" w14:textId="77777777" w:rsidR="00800E7C" w:rsidRDefault="00800E7C"/>
    <w:p w14:paraId="4E3A940A" w14:textId="77777777" w:rsidR="00800E7C" w:rsidRDefault="00800E7C"/>
    <w:p w14:paraId="384E287D" w14:textId="77777777" w:rsidR="00800E7C" w:rsidRDefault="00800E7C"/>
    <w:p w14:paraId="2974099F" w14:textId="77777777" w:rsidR="00800E7C" w:rsidRDefault="00800E7C"/>
    <w:p w14:paraId="63A1D3CE" w14:textId="77777777" w:rsidR="00800E7C" w:rsidRDefault="00800E7C">
      <w:pPr>
        <w:spacing w:before="200" w:after="200" w:line="360" w:lineRule="auto"/>
        <w:jc w:val="both"/>
        <w:rPr>
          <w:rFonts w:ascii="Times New Roman" w:eastAsia="Times New Roman" w:hAnsi="Times New Roman" w:cs="Times New Roman"/>
          <w:sz w:val="24"/>
          <w:szCs w:val="24"/>
        </w:rPr>
      </w:pPr>
    </w:p>
    <w:p w14:paraId="524764C5" w14:textId="77777777" w:rsidR="00800E7C" w:rsidRDefault="00800E7C">
      <w:pPr>
        <w:spacing w:before="200" w:after="200"/>
        <w:jc w:val="center"/>
      </w:pPr>
    </w:p>
    <w:sectPr w:rsidR="00800E7C">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67EC6" w14:textId="77777777" w:rsidR="00494BD0" w:rsidRDefault="00494BD0">
      <w:pPr>
        <w:spacing w:line="240" w:lineRule="auto"/>
      </w:pPr>
      <w:r>
        <w:separator/>
      </w:r>
    </w:p>
  </w:endnote>
  <w:endnote w:type="continuationSeparator" w:id="0">
    <w:p w14:paraId="2378FEE8" w14:textId="77777777" w:rsidR="00494BD0" w:rsidRDefault="00494B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5FA59" w14:textId="77777777" w:rsidR="00494BD0" w:rsidRDefault="00494BD0">
      <w:r>
        <w:separator/>
      </w:r>
    </w:p>
  </w:footnote>
  <w:footnote w:type="continuationSeparator" w:id="0">
    <w:p w14:paraId="26EFFE5B" w14:textId="77777777" w:rsidR="00494BD0" w:rsidRDefault="00494B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4EDF9C5"/>
    <w:multiLevelType w:val="multilevel"/>
    <w:tmpl w:val="94EDF9C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AF768112"/>
    <w:multiLevelType w:val="multilevel"/>
    <w:tmpl w:val="AF768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F078B6"/>
    <w:multiLevelType w:val="multilevel"/>
    <w:tmpl w:val="21F078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9650363"/>
    <w:multiLevelType w:val="multilevel"/>
    <w:tmpl w:val="496503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12593854">
    <w:abstractNumId w:val="3"/>
  </w:num>
  <w:num w:numId="2" w16cid:durableId="1664972989">
    <w:abstractNumId w:val="0"/>
  </w:num>
  <w:num w:numId="3" w16cid:durableId="730884047">
    <w:abstractNumId w:val="1"/>
  </w:num>
  <w:num w:numId="4" w16cid:durableId="13687217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E7C"/>
    <w:rsid w:val="00003473"/>
    <w:rsid w:val="00494BD0"/>
    <w:rsid w:val="00800E7C"/>
    <w:rsid w:val="008D62C1"/>
    <w:rsid w:val="00BD277D"/>
    <w:rsid w:val="00C85139"/>
    <w:rsid w:val="384F5F3D"/>
    <w:rsid w:val="3B6E4E2F"/>
    <w:rsid w:val="3FD67703"/>
    <w:rsid w:val="7B3D0C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5CE3C"/>
  <w15:docId w15:val="{757A7B28-2A54-4EC5-B89E-FEC96DA7D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IN" w:eastAsia="en-I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2" w:qFormat="1"/>
    <w:lsdException w:name="index 4" w:qFormat="1"/>
    <w:lsdException w:name="index 6" w:qFormat="1"/>
    <w:lsdException w:name="index 7" w:qFormat="1"/>
    <w:lsdException w:name="index 9" w:qFormat="1"/>
    <w:lsdException w:name="toc 1" w:qFormat="1"/>
    <w:lsdException w:name="toc 2" w:qFormat="1"/>
    <w:lsdException w:name="toc 3" w:qFormat="1"/>
    <w:lsdException w:name="toc 5" w:qFormat="1"/>
    <w:lsdException w:name="toc 7" w:qFormat="1"/>
    <w:lsdException w:name="Normal Indent" w:qFormat="1"/>
    <w:lsdException w:name="footnote text" w:qFormat="1"/>
    <w:lsdException w:name="annotation text" w:qFormat="1"/>
    <w:lsdException w:name="header" w:qFormat="1"/>
    <w:lsdException w:name="footer" w:qFormat="1"/>
    <w:lsdException w:name="index heading" w:qFormat="1"/>
    <w:lsdException w:name="caption" w:semiHidden="1" w:unhideWhenUsed="1" w:qFormat="1"/>
    <w:lsdException w:name="envelope address" w:qFormat="1"/>
    <w:lsdException w:name="envelope return" w:qFormat="1"/>
    <w:lsdException w:name="footnote reference" w:qFormat="1"/>
    <w:lsdException w:name="annotation reference" w:qFormat="1"/>
    <w:lsdException w:name="page number" w:qFormat="1"/>
    <w:lsdException w:name="table of authorities" w:qFormat="1"/>
    <w:lsdException w:name="toa heading" w:qFormat="1"/>
    <w:lsdException w:name="List Number" w:qFormat="1"/>
    <w:lsdException w:name="List 5" w:qFormat="1"/>
    <w:lsdException w:name="List Bullet 2" w:qFormat="1"/>
    <w:lsdException w:name="List Bullet 3" w:qFormat="1"/>
    <w:lsdException w:name="List Bullet 4" w:qFormat="1"/>
    <w:lsdException w:name="List Bullet 5"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semiHidden="1"/>
    <w:lsdException w:name="List Continue" w:qFormat="1"/>
    <w:lsdException w:name="List Continue 2" w:qFormat="1"/>
    <w:lsdException w:name="List Continue 5" w:qFormat="1"/>
    <w:lsdException w:name="Message Header" w:qFormat="1"/>
    <w:lsdException w:name="Subtitle" w:qFormat="1"/>
    <w:lsdException w:name="Salutation" w:qFormat="1"/>
    <w:lsdException w:name="Date" w:qFormat="1"/>
    <w:lsdException w:name="Note Heading" w:qFormat="1"/>
    <w:lsdException w:name="Body Text 2" w:qFormat="1"/>
    <w:lsdException w:name="Body Text 3" w:qFormat="1"/>
    <w:lsdException w:name="Body Text Indent 3" w:qFormat="1"/>
    <w:lsdException w:name="Strong" w:qFormat="1"/>
    <w:lsdException w:name="Emphasis"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qFormat="1"/>
    <w:lsdException w:name="HTML Preformatted" w:qFormat="1"/>
    <w:lsdException w:name="HTML Sample"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qFormat="1"/>
    <w:lsdException w:name="Table Simple 2" w:semiHidden="1" w:unhideWhenUsed="1"/>
    <w:lsdException w:name="Table Simple 3" w:semiHidden="1" w:unhideWhenUsed="1" w:qFormat="1"/>
    <w:lsdException w:name="Table Classic 1" w:semiHidden="1" w:unhideWhenUsed="1" w:qFormat="1"/>
    <w:lsdException w:name="Table Classic 2" w:semiHidden="1" w:unhideWhenUsed="1"/>
    <w:lsdException w:name="Table Classic 3" w:semiHidden="1" w:unhideWhenUsed="1" w:qFormat="1"/>
    <w:lsdException w:name="Table Classic 4" w:semiHidden="1" w:unhideWhenUsed="1" w:qFormat="1"/>
    <w:lsdException w:name="Table Colorful 1" w:semiHidden="1" w:unhideWhenUsed="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lsdException w:name="Table Columns 5" w:semiHidden="1" w:unhideWhenUsed="1" w:qFormat="1"/>
    <w:lsdException w:name="Table Grid 1" w:semiHidden="1" w:unhideWhenUsed="1" w:qFormat="1"/>
    <w:lsdException w:name="Table Grid 2" w:semiHidden="1" w:unhideWhenUsed="1"/>
    <w:lsdException w:name="Table Grid 3" w:semiHidden="1" w:unhideWhenUsed="1" w:qFormat="1"/>
    <w:lsdException w:name="Table Grid 4" w:semiHidden="1" w:unhideWhenUsed="1" w:qFormat="1"/>
    <w:lsdException w:name="Table Grid 5" w:semiHidden="1" w:unhideWhenUsed="1"/>
    <w:lsdException w:name="Table Grid 6" w:semiHidden="1" w:unhideWhenUsed="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lsdException w:name="Table Subtle 2" w:semiHidden="1" w:unhideWhenUsed="1" w:qFormat="1"/>
    <w:lsdException w:name="Table Web 1" w:semiHidden="1" w:unhideWhenUsed="1"/>
    <w:lsdException w:name="Table Web 2" w:semiHidden="1" w:unhideWhenUsed="1"/>
    <w:lsdException w:name="Table Web 3" w:semiHidden="1" w:unhideWhenUsed="1" w:qFormat="1"/>
    <w:lsdException w:name="Balloon Text" w:qFormat="1"/>
    <w:lsdException w:name="Table Grid" w:qFormat="1"/>
    <w:lsdException w:name="Table Theme" w:semiHidden="1" w:unhideWhenUsed="1" w:qFormat="1"/>
    <w:lsdException w:name="Placeholder Text" w:semiHidden="1" w:uiPriority="99" w:unhideWhenUsed="1"/>
    <w:lsdException w:name="No Spacing" w:semiHidden="1" w:uiPriority="99" w:unhideWhenUsed="1"/>
    <w:lsdException w:name="Light Shading" w:uiPriority="60" w:qFormat="1"/>
    <w:lsdException w:name="Light List" w:uiPriority="61" w:qFormat="1"/>
    <w:lsdException w:name="Light Grid" w:uiPriority="62" w:qFormat="1"/>
    <w:lsdException w:name="Medium Shading 1" w:uiPriority="63"/>
    <w:lsdException w:name="Medium Shading 2" w:uiPriority="64" w:qFormat="1"/>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qFormat="1"/>
    <w:lsdException w:name="Light List Accent 1" w:uiPriority="61" w:qFormat="1"/>
    <w:lsdException w:name="Light Grid Accent 1" w:uiPriority="62" w:qFormat="1"/>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qFormat="1"/>
    <w:lsdException w:name="Light Grid Accent 2" w:uiPriority="62" w:qFormat="1"/>
    <w:lsdException w:name="Medium Shading 1 Accent 2" w:uiPriority="63" w:qFormat="1"/>
    <w:lsdException w:name="Medium Shading 2 Accent 2" w:uiPriority="64"/>
    <w:lsdException w:name="Medium List 1 Accent 2" w:uiPriority="65"/>
    <w:lsdException w:name="Medium List 2 Accent 2" w:uiPriority="66" w:qFormat="1"/>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qFormat="1"/>
    <w:lsdException w:name="Light Grid Accent 3" w:uiPriority="62" w:qFormat="1"/>
    <w:lsdException w:name="Medium Shading 1 Accent 3" w:uiPriority="63" w:qFormat="1"/>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lsdException w:name="Light Grid Accent 4" w:uiPriority="62" w:qFormat="1"/>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lsdException w:name="Light Grid Accent 5" w:uiPriority="62" w:qFormat="1"/>
    <w:lsdException w:name="Medium Shading 1 Accent 5" w:uiPriority="63" w:qFormat="1"/>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qFormat="1"/>
    <w:lsdException w:name="Light Grid Accent 6" w:uiPriority="62" w:qFormat="1"/>
    <w:lsdException w:name="Medium Shading 1 Accent 6" w:uiPriority="63" w:qFormat="1"/>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76" w:lineRule="auto"/>
    </w:pPr>
    <w:rPr>
      <w:sz w:val="22"/>
      <w:szCs w:val="22"/>
    </w:rPr>
  </w:style>
  <w:style w:type="paragraph" w:styleId="Heading1">
    <w:name w:val="heading 1"/>
    <w:next w:val="Normal"/>
    <w:qFormat/>
    <w:pPr>
      <w:keepNext/>
      <w:keepLines/>
      <w:spacing w:before="400" w:after="120" w:line="276" w:lineRule="auto"/>
      <w:outlineLvl w:val="0"/>
    </w:pPr>
    <w:rPr>
      <w:sz w:val="40"/>
      <w:szCs w:val="40"/>
    </w:rPr>
  </w:style>
  <w:style w:type="paragraph" w:styleId="Heading2">
    <w:name w:val="heading 2"/>
    <w:next w:val="Normal"/>
    <w:qFormat/>
    <w:pPr>
      <w:keepNext/>
      <w:keepLines/>
      <w:spacing w:before="360" w:after="120" w:line="276" w:lineRule="auto"/>
      <w:outlineLvl w:val="1"/>
    </w:pPr>
    <w:rPr>
      <w:sz w:val="32"/>
      <w:szCs w:val="32"/>
    </w:rPr>
  </w:style>
  <w:style w:type="paragraph" w:styleId="Heading3">
    <w:name w:val="heading 3"/>
    <w:next w:val="Normal"/>
    <w:qFormat/>
    <w:pPr>
      <w:keepNext/>
      <w:keepLines/>
      <w:spacing w:before="320" w:after="80" w:line="276" w:lineRule="auto"/>
      <w:outlineLvl w:val="2"/>
    </w:pPr>
    <w:rPr>
      <w:color w:val="434343"/>
      <w:sz w:val="28"/>
      <w:szCs w:val="28"/>
    </w:rPr>
  </w:style>
  <w:style w:type="paragraph" w:styleId="Heading4">
    <w:name w:val="heading 4"/>
    <w:next w:val="Normal"/>
    <w:pPr>
      <w:keepNext/>
      <w:keepLines/>
      <w:spacing w:before="280" w:after="80" w:line="276" w:lineRule="auto"/>
      <w:outlineLvl w:val="3"/>
    </w:pPr>
    <w:rPr>
      <w:color w:val="666666"/>
      <w:sz w:val="24"/>
      <w:szCs w:val="24"/>
    </w:rPr>
  </w:style>
  <w:style w:type="paragraph" w:styleId="Heading5">
    <w:name w:val="heading 5"/>
    <w:next w:val="Normal"/>
    <w:pPr>
      <w:keepNext/>
      <w:keepLines/>
      <w:spacing w:before="240" w:after="80" w:line="276" w:lineRule="auto"/>
      <w:outlineLvl w:val="4"/>
    </w:pPr>
    <w:rPr>
      <w:color w:val="666666"/>
      <w:sz w:val="22"/>
      <w:szCs w:val="22"/>
    </w:rPr>
  </w:style>
  <w:style w:type="paragraph" w:styleId="Heading6">
    <w:name w:val="heading 6"/>
    <w:next w:val="Normal"/>
    <w:qFormat/>
    <w:pPr>
      <w:keepNext/>
      <w:keepLines/>
      <w:spacing w:before="240" w:after="80" w:line="276" w:lineRule="auto"/>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next w:val="Normal"/>
    <w:qFormat/>
    <w:pPr>
      <w:keepNext/>
      <w:keepLines/>
      <w:spacing w:after="320" w:line="276" w:lineRule="auto"/>
    </w:pPr>
    <w:rPr>
      <w:color w:val="666666"/>
      <w:sz w:val="30"/>
      <w:szCs w:val="30"/>
    </w:rPr>
  </w:style>
  <w:style w:type="paragraph" w:styleId="Title">
    <w:name w:val="Title"/>
    <w:next w:val="Normal"/>
    <w:qFormat/>
    <w:pPr>
      <w:keepNext/>
      <w:keepLines/>
      <w:spacing w:after="60" w:line="276" w:lineRule="auto"/>
    </w:pPr>
    <w:rPr>
      <w:sz w:val="52"/>
      <w:szCs w:val="52"/>
    </w:rPr>
  </w:style>
  <w:style w:type="table" w:customStyle="1" w:styleId="TableNormal1">
    <w:name w:val="Table Normal1"/>
    <w:qFormat/>
    <w:tblPr>
      <w:tblCellMar>
        <w:top w:w="0" w:type="dxa"/>
        <w:left w:w="0" w:type="dxa"/>
        <w:bottom w:w="0" w:type="dxa"/>
        <w:right w:w="0" w:type="dxa"/>
      </w:tblCellMar>
    </w:tblPr>
  </w:style>
  <w:style w:type="table" w:customStyle="1" w:styleId="TableNormal2">
    <w:name w:val="Table Normal2"/>
    <w:qFormat/>
    <w:tblPr>
      <w:tblCellMar>
        <w:top w:w="0" w:type="dxa"/>
        <w:left w:w="0" w:type="dxa"/>
        <w:bottom w:w="0" w:type="dxa"/>
        <w:right w:w="0" w:type="dxa"/>
      </w:tblCellMar>
    </w:tblPr>
  </w:style>
  <w:style w:type="table" w:customStyle="1" w:styleId="TableNormal3">
    <w:name w:val="Table Normal3"/>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Johan-Sandberg-4/publication/357186682_How_Spotify_Balanced_Trade-Offs_in_Pursuing_Digital_Platform_Growth/links/61c0c3204b318a6970f63a1b/How-Spotify-Balanced-Trade-Offs-in-Pursuing-Digital-Platform-Growth.pdf" TargetMode="External"/><Relationship Id="rId18" Type="http://schemas.openxmlformats.org/officeDocument/2006/relationships/hyperlink" Target="https://www.tandfonline.com/doi/abs/10.1080/08911762.2021.1886386" TargetMode="External"/><Relationship Id="rId26" Type="http://schemas.openxmlformats.org/officeDocument/2006/relationships/hyperlink" Target="https://www.theverge.com/c/24243754/blockbuster-video-netflix-streaming-dvd-transition-2000s" TargetMode="External"/><Relationship Id="rId21" Type="http://schemas.openxmlformats.org/officeDocument/2006/relationships/hyperlink" Target="https://digitalcommons.odu.edu/psychology_fac_pubs/124/" TargetMode="External"/><Relationship Id="rId34" Type="http://schemas.openxmlformats.org/officeDocument/2006/relationships/hyperlink" Target="https://iide.co/case-studies/marketing-strategy-of-spotify/" TargetMode="External"/><Relationship Id="rId7" Type="http://schemas.openxmlformats.org/officeDocument/2006/relationships/endnotes" Target="endnotes.xml"/><Relationship Id="rId12" Type="http://schemas.openxmlformats.org/officeDocument/2006/relationships/hyperlink" Target="https://www.researchgate.net/publication/371900143_Pricing_Strategies_Determining_the_Best_Strategy_to_Create_Competitive_Advantage" TargetMode="External"/><Relationship Id="rId17" Type="http://schemas.openxmlformats.org/officeDocument/2006/relationships/hyperlink" Target="https://doi.org/10.54691/bcpbm.v23i.1334" TargetMode="External"/><Relationship Id="rId25" Type="http://schemas.openxmlformats.org/officeDocument/2006/relationships/hyperlink" Target="https://www.sciencedirect.com/science/article/pii/S0024630122000632" TargetMode="External"/><Relationship Id="rId33" Type="http://schemas.openxmlformats.org/officeDocument/2006/relationships/hyperlink" Target="https://journals.co.za/doi/abs/10.4102/sajhrm.v20i0.1718" TargetMode="External"/><Relationship Id="rId2" Type="http://schemas.openxmlformats.org/officeDocument/2006/relationships/numbering" Target="numbering.xml"/><Relationship Id="rId16" Type="http://schemas.openxmlformats.org/officeDocument/2006/relationships/hyperlink" Target="https://www.emerald.com/insight/content/doi/10.1108/EJM-08-2020-0594/full/html" TargetMode="External"/><Relationship Id="rId20" Type="http://schemas.openxmlformats.org/officeDocument/2006/relationships/hyperlink" Target="https://www.telecomtv.com/content/access-evolution/xiaomi-closes-in-on-apple-and-samsung-in-global-smartphone-market-52121/" TargetMode="External"/><Relationship Id="rId29" Type="http://schemas.openxmlformats.org/officeDocument/2006/relationships/hyperlink" Target="https://eduvest.greenvest.co.id/index.php/edv/article/view/64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4719037.2020.1743344" TargetMode="External"/><Relationship Id="rId24" Type="http://schemas.openxmlformats.org/officeDocument/2006/relationships/hyperlink" Target="https://link.springer.com/article/10.1007/s11367-021-01893-2" TargetMode="External"/><Relationship Id="rId32" Type="http://schemas.openxmlformats.org/officeDocument/2006/relationships/hyperlink" Target="https://doi.org/10.1016/j.rser.2020.110142"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searchgate.net/publication/370561455_Enhancing_customer_loyalty_through_quality_of_service_Effective_strategies_to_improve_customer_satisfaction_experience_relationship_and_engagement" TargetMode="External"/><Relationship Id="rId23" Type="http://schemas.openxmlformats.org/officeDocument/2006/relationships/hyperlink" Target="https://doi.org/10.29056/jncist.2021.10.09" TargetMode="External"/><Relationship Id="rId28" Type="http://schemas.openxmlformats.org/officeDocument/2006/relationships/hyperlink" Target="https://www.thestrategyinstitute.org/insights/coca-colas-global-dominance-decoding-the-beverage-giants-business-strategy" TargetMode="External"/><Relationship Id="rId36" Type="http://schemas.openxmlformats.org/officeDocument/2006/relationships/fontTable" Target="fontTable.xml"/><Relationship Id="rId10" Type="http://schemas.openxmlformats.org/officeDocument/2006/relationships/hyperlink" Target="https://www.researchgate.net/publication/364568647_A_Review_of_Factors_Affecting_Tesla" TargetMode="External"/><Relationship Id="rId19" Type="http://schemas.openxmlformats.org/officeDocument/2006/relationships/hyperlink" Target="https://www.marketingdive.com/news/tiktok-and-instagram-using-both-platforms-for-ultimate-success/617002/" TargetMode="External"/><Relationship Id="rId31" Type="http://schemas.openxmlformats.org/officeDocument/2006/relationships/hyperlink" Target="https://doi.org/10.1051/shsconf/20242070100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view.e-siber.org/SIJDB/article/view/30" TargetMode="External"/><Relationship Id="rId22" Type="http://schemas.openxmlformats.org/officeDocument/2006/relationships/hyperlink" Target="https://www.tesla.com/impact" TargetMode="External"/><Relationship Id="rId27" Type="http://schemas.openxmlformats.org/officeDocument/2006/relationships/hyperlink" Target="https://doi.org/10.5281/zenodo.14261927" TargetMode="External"/><Relationship Id="rId30" Type="http://schemas.openxmlformats.org/officeDocument/2006/relationships/hyperlink" Target="https://thegrowthlist.co/tactics/charge-early-adopters" TargetMode="External"/><Relationship Id="rId35" Type="http://schemas.openxmlformats.org/officeDocument/2006/relationships/hyperlink" Target="https://www.researchgate.net/publication/381563573_Revolutionizing_The_Automotive_Industry_Tesla"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gVRzI60tCehlN9Y/12hqxiwKuA==">CgMxLjAyDmguZnJjZXgxNmVrcjlxMg5oLjY2bTBvMjZvdGlxZTIOaC4zanlmNmNwa2lkMzgyDmgueXYxMjA1cmZmNXVjMg5oLndpamptdXhxYnU0aTIOaC4zd24zeHU2cDdza3E4AHIhMWRQcXRUdUluMEJ6elZKZDIweG1ZSlFfTHVINU5melJ6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4222</Words>
  <Characters>24068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RIKUL RANA</cp:lastModifiedBy>
  <cp:revision>3</cp:revision>
  <dcterms:created xsi:type="dcterms:W3CDTF">2025-03-25T11:36:00Z</dcterms:created>
  <dcterms:modified xsi:type="dcterms:W3CDTF">2025-03-26T12:45:00Z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929E1DC8132041A58D841FACFCCBE263_13</vt:lpwstr>
  </property>
</Properties>
</file>