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8F60D32" w14:paraId="0DC75725" wp14:textId="721077E1">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r w:rsidRPr="38F60D32" w:rsidR="38F60D32">
        <w:rPr>
          <w:rFonts w:ascii="Calibri Light" w:hAnsi="Calibri Light" w:eastAsia="Calibri Light" w:cs="Calibri Light"/>
          <w:b w:val="0"/>
          <w:bCs w:val="0"/>
          <w:i w:val="0"/>
          <w:iCs w:val="0"/>
          <w:caps w:val="0"/>
          <w:smallCaps w:val="0"/>
          <w:strike w:val="0"/>
          <w:dstrike w:val="0"/>
          <w:noProof w:val="0"/>
          <w:color w:val="000000" w:themeColor="text1" w:themeTint="FF" w:themeShade="FF"/>
          <w:sz w:val="22"/>
          <w:szCs w:val="22"/>
          <w:u w:val="none"/>
          <w:lang w:val="cy-GB"/>
        </w:rPr>
        <w:t xml:space="preserve">Tesni Elena Stevens </w:t>
      </w:r>
    </w:p>
    <w:p xmlns:wp14="http://schemas.microsoft.com/office/word/2010/wordml" w:rsidP="38F60D32" w14:paraId="6A25347A" wp14:textId="02FB3B87">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r w:rsidRPr="38F60D32" w:rsidR="38F60D32">
        <w:rPr>
          <w:rFonts w:ascii="Calibri Light" w:hAnsi="Calibri Light" w:eastAsia="Calibri Light" w:cs="Calibri Light"/>
          <w:b w:val="0"/>
          <w:bCs w:val="0"/>
          <w:i w:val="0"/>
          <w:iCs w:val="0"/>
          <w:caps w:val="0"/>
          <w:smallCaps w:val="0"/>
          <w:strike w:val="0"/>
          <w:dstrike w:val="0"/>
          <w:noProof w:val="0"/>
          <w:color w:val="000000" w:themeColor="text1" w:themeTint="FF" w:themeShade="FF"/>
          <w:sz w:val="22"/>
          <w:szCs w:val="22"/>
          <w:u w:val="none"/>
          <w:lang w:val="cy-GB"/>
        </w:rPr>
        <w:t>1902500.</w:t>
      </w:r>
    </w:p>
    <w:p xmlns:wp14="http://schemas.microsoft.com/office/word/2010/wordml" w:rsidP="38F60D32" w14:paraId="1649A610" wp14:textId="1CB4E5B2">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Pr="38F60D32" w:rsidR="38F60D32">
        <w:rPr>
          <w:rFonts w:ascii="Calibri Light" w:hAnsi="Calibri Light" w:eastAsia="Calibri Light" w:cs="Calibri Light"/>
          <w:b w:val="0"/>
          <w:bCs w:val="0"/>
          <w:i w:val="0"/>
          <w:iCs w:val="0"/>
          <w:caps w:val="0"/>
          <w:smallCaps w:val="0"/>
          <w:strike w:val="0"/>
          <w:dstrike w:val="0"/>
          <w:noProof w:val="0"/>
          <w:color w:val="000000" w:themeColor="text1" w:themeTint="FF" w:themeShade="FF"/>
          <w:sz w:val="28"/>
          <w:szCs w:val="28"/>
          <w:u w:val="single"/>
          <w:lang w:val="cy-GB"/>
        </w:rPr>
        <w:t xml:space="preserve">ECAD6008-C  </w:t>
      </w:r>
    </w:p>
    <w:p xmlns:wp14="http://schemas.microsoft.com/office/word/2010/wordml" w:rsidP="38F60D32" w14:paraId="09145901" wp14:textId="14F00E7F">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Pr="38F60D32" w:rsidR="38F60D32">
        <w:rPr>
          <w:rFonts w:ascii="Calibri Light" w:hAnsi="Calibri Light" w:eastAsia="Calibri Light" w:cs="Calibri Light"/>
          <w:b w:val="0"/>
          <w:bCs w:val="0"/>
          <w:i w:val="0"/>
          <w:iCs w:val="0"/>
          <w:caps w:val="0"/>
          <w:smallCaps w:val="0"/>
          <w:strike w:val="0"/>
          <w:dstrike w:val="0"/>
          <w:noProof w:val="0"/>
          <w:color w:val="000000" w:themeColor="text1" w:themeTint="FF" w:themeShade="FF"/>
          <w:sz w:val="28"/>
          <w:szCs w:val="28"/>
          <w:u w:val="single"/>
          <w:lang w:val="cy-GB"/>
        </w:rPr>
        <w:t xml:space="preserve">Astudiaethau proffesiyn ol a phedagogaidd: </w:t>
      </w:r>
    </w:p>
    <w:p xmlns:wp14="http://schemas.microsoft.com/office/word/2010/wordml" w:rsidP="38F60D32" w14:paraId="1A5E1FA9" wp14:textId="2994340C">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Pr="38F60D32" w:rsidR="38F60D32">
        <w:rPr>
          <w:rFonts w:ascii="Calibri Light" w:hAnsi="Calibri Light" w:eastAsia="Calibri Light" w:cs="Calibri Light"/>
          <w:b w:val="0"/>
          <w:bCs w:val="0"/>
          <w:i w:val="0"/>
          <w:iCs w:val="0"/>
          <w:caps w:val="0"/>
          <w:smallCaps w:val="0"/>
          <w:strike w:val="0"/>
          <w:dstrike w:val="0"/>
          <w:noProof w:val="0"/>
          <w:color w:val="000000" w:themeColor="text1" w:themeTint="FF" w:themeShade="FF"/>
          <w:sz w:val="28"/>
          <w:szCs w:val="28"/>
          <w:u w:val="single"/>
          <w:lang w:val="cy-GB"/>
        </w:rPr>
        <w:t>Arwain y Dysgu; beth, sut a pham ydw i'n addysgu?</w:t>
      </w:r>
    </w:p>
    <w:p xmlns:wp14="http://schemas.microsoft.com/office/word/2010/wordml" w:rsidP="38F60D32" w14:paraId="275EB105" wp14:textId="6A63C58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0"/>
          <w:szCs w:val="20"/>
          <w:lang w:val="en-GB"/>
        </w:rPr>
      </w:pPr>
    </w:p>
    <w:p xmlns:wp14="http://schemas.microsoft.com/office/word/2010/wordml" w:rsidP="38F60D32" w14:paraId="15302C0F" wp14:textId="79BD957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8F60D32" w14:paraId="1C56822C" wp14:textId="2D4623CC">
      <w:pPr>
        <w:spacing w:after="160" w:line="405" w:lineRule="exact"/>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Yn ystod yr aseiniad yma fe fyddai i yn adfyfyrio’n feirniadol ar gynnydd wrth gynllunio, paratoi ac addysgu gwersi sy’n ymgorffori egwyddorion pedagogaidd penodol. Dwi wedi dewis tair egwyddor pedagogaidd gwahanol i ganolbwyntio arno fel maes ar gyfer datblygu a chyfiawnhau yr camau nesaf ar fy natblygiad personol fel athrawes. Dewisais i ganolbwyntio ar rhif chwech. Cyd- destunau dilys bywyd go iawn,  rhif saith. Asesu ar gyfer dysgu oherwydd mae’n egwyddor hollol pwysig yn bywydau disgyblion ar gwricwlwm newydd ac yn olaf rhif naw; Cyfrifoldebau Trawsgwricwlaidd. Wrth ddefnyddio fy mhasbort dysgu proffesiynol dwi wedi dilyn y pedwar safon sydd yn cyd fynd gyda’r addysgedau.  Fel y gwelwyd yn rhan 1 dwi wedi dangos pedwar enghraifft o fwrw safonau addysgeg dros y tair mlynedd diwethaf fel darpar athrawes; asesu ar gyfer dysgu, profiadau dysgu cyfunol, cyd-destunau dilys go iawn ac yn olaf themâu trawsgwricwlaidd. Wrth wneud hyn fe fyddai i yn dangos y cysylltiad rhwng y pasbort dysgu proffesiynol, safonau, egwyddorion pedagogaidd ar pedwar diben. Wrth edrych yn fanwl ar lenyddiaeth a darllen ymchwil mi fyddaf yn cyfeirio atynt trwy gydol yr aseiniad isod. Mae’r Fframwaith Cwricwlwm i Gymru yn ddatganiad clir o’r hyn sy’n bwysig wrth ddarparu addysg eang a chytbwys. “</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cy-GB"/>
        </w:rPr>
        <w:t xml:space="preserve">Pedwar diben y cwricwlwm yw ein cyd-weledigaeth a dyhead ar gyfer pob plentyn a pherson ifanc. Nod ein holl ddiwygiadau a’n system addysg yw galluogi holl blant a phobl ifanc Cymru i fod yn; dysgwyr uchelgeisiol, galluog, cyfranwyr mentrus, creadigol, dinasyddion egwyddorol, gwybodus ac unigolion iach, hyderus.- (Llyw Cymru, 2022). </w:t>
      </w: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Wrth fod yn ysgolion roedd hyn wrth wraidd fy mhrofiad drwy ysbrydoli yr hyn sydd gennyf y frwdfrydedd drosto o ran dadansoddi a phwysleisio y pwysigrwydd o’r cwricwlwm newydd i Gymru “dyfodol llwyddiannus” gan Donaldson yn enwedig fel darpar athrawes yn barod i fod yn athrawes go iawn dilys. </w:t>
      </w:r>
    </w:p>
    <w:p xmlns:wp14="http://schemas.microsoft.com/office/word/2010/wordml" w:rsidP="38F60D32" w14:paraId="0E89366B" wp14:textId="7BC5CE8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Dibenion y cwricwlwm yng Nghymru yw ceisio sicrhau bod plant a phobl ifanc yn datblygu i fod yn; ddysgwyr uchelgeisiol galluog sy’n barod i ddysgu drwy gydol eu hoes; Cyfranwyr mentrus, creadigol sy’n barod i chwarae eu rhan yn llawn yn eu bywyd a’u gwaith; Dinasyddion egwyddorol, gwybodus Cymru a’r byd ac yn olaf unigolion iach, hyderus sy’n barod i fyw bywyd gan wireddu eu dyheadau fel aelodau gwerthfawr o gymdeithas. Dyna beth yw’r pedwar diben rydym ni’n ei ddilyn i gofio rhoi’r profiadau yma i'r plant yn ei bywydau addysgol. Dywed Donaldson “ </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cy-GB"/>
        </w:rPr>
        <w:t>Os bydd y dibenion hyn yn ennill cefnogaeth gyffredinol ledled Cymru, dylent fod yn sail i’r holl benderfyniadau yn y dyfodol am flaenoriaethau addysgol cenedlaethol a lleol ac yn sylfaen i’r holl addysgu a dysgu yng Nghymru</w:t>
      </w: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 (Donaldson, 2018). Wrth fod yn yr ystafell dosbarth mae disgyblion yn sicrhau eu haddysg a’u dyfodol drwy gael blaenoriaeth yn eu haddysg ac mae gwrando ar lais y disgybl yn atgyfnerthu eu datblygiad unigolion a dysgwyr heriol ac annibynnol.  Mae hyn yn dangos pwysigrwydd defnyddio’r pedwar diben cytuna Llywodraeth Cymru hyn gan ddweud “</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cy-GB"/>
        </w:rPr>
        <w:t>Mae perthnasau cadarnhaol sydd yn galluogi dysgwyr i gymhwyso defnyddio cyfleoedd ac ymestyn sgiliau yw hannog i fod yn annibynnol a mynegi eu barn er mwyn bod athrawon yn cynnwys pob dysgwyr a rhoi cyfleoedd dysgu dilys iddyn nhw.</w:t>
      </w: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-(llywodraeth Cymru, 2022). Mae’r pedwar diben yn sicrhau ansawdd dda ac yn yswirio gweledigaeth, cyfyngiadau a datblygiad llais y plentyn wrth gael gwersi hwylus a phrofiadol. Wrth symud ymlaen gyda’r cwricwlwm i Gymru mae’n hanfodol fel athrawes sydd yn dilyn y cwricwlwm newydd donaldson yn defnyddio’r camau cynnydd I'r gorau a chreu gwersi trawsgwricwlaidd. </w:t>
      </w:r>
    </w:p>
    <w:p xmlns:wp14="http://schemas.microsoft.com/office/word/2010/wordml" w:rsidP="38F60D32" w14:paraId="00B0BCA3" wp14:textId="791E209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Yn fy marn i ein swydd ni fel athrawon a cynorthwywyr yn yr ysgol wrth addysgu yn ôl y pedwar diben yw i ddod o hyd i arddangos gwybodaeth am anghenion pob dysgwyr, a dealltwriaeth o’r anghenion hynny, wrth gynllunio, paratoi ac addysgu. Hefyd wrth i ni wneud hyn mae’n gwneud yn siŵr mai'r pedwar diben sydd yn gyrru profiadau’r dysgwyr i'r gorau oherwydd mae’r ffordd y mae’r pedwar diben wedi’u ymgorffori’r, datblygu a ymestyn wedi gwneud swydd da a glir o gasglu tystiolaeth addysgeg I'r gydweithwyr. Fel athrawes dyle ni fod yn ymwybodol a gwybod yr egwyddorion sydd ynghlwm wrth ddylunio'r cwricwlwm ac arloesi, a beth sydd i wneud gyda nhw. Hefyd dangos y pwysigrwydd o ddatblygu themâu trawsgwricwlaidd sy’n berthnasol i feysydd dysgu ac mae’n gallu cyfiawnhau ei benderfyniadau.</w:t>
      </w:r>
    </w:p>
    <w:p xmlns:wp14="http://schemas.microsoft.com/office/word/2010/wordml" w:rsidP="38F60D32" w14:paraId="7AA12E56" wp14:textId="41D557E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Dylai pob addysgu a dysgu anelu at gyflawni’r pedwar diben cwricwlwm. Dylai athrawon ddilyn yr egwyddorion addysgol sydd wedi’u nodi yn y cwricwlwm newydd wrth gynllunio eu dysgu ac addysgu, er mwyn sicrhau bod y gweithgareddau’n ymwneud yn uniongyrchol â’r dibenion cwricwlwm. O ganlyniad wrth wneud hyn dylai’r plant a phobl ifanc gael cyfleoedd i ddysgu o arbenigedd a phrofiad o’r tu allan i’r ysgol a thu hwnt. Wrth edrych o safbwynt personol darpar athrawes dwi wedi sylweddoli wrth astudio gwricwlwm i Gymru yn fanwl yn ystod y tair mlynedd diwethaf bod yr addysgedau yn rhywbeth i ni’n weithio arno o ddydd i ddydd ac yna y safonau yw hateb  yn unol i hyn mae’r pedwar diben yn clymu’r addysgedau ar safonau gyda’i gilydd. </w:t>
      </w:r>
    </w:p>
    <w:p xmlns:wp14="http://schemas.microsoft.com/office/word/2010/wordml" w:rsidP="38F60D32" w14:paraId="59AF377F" wp14:textId="222E0B4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Mae’r dull asesu ar gyfer dysgu yn galluogi ymarferwyr i ddeall effeithiolrwydd y dysgu ac yn golygu rhoi adborth rheolaidd ac ystyrlon ac addasu addysgu a deunyddiau i gwrdd ag anghenion unigolion. Yn ogystal â hyn mae Donaldson hefyd yn dweud bod asesu ar gyfer dysgu yn y dosbarth yn “</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cy-GB"/>
        </w:rPr>
        <w:t xml:space="preserve">helpu dysgwyr i godi safonau a meithrin uchelgais: gall dysgu fod yn effeithiol iawn os rhoddir adborth i ddysgwyr sy’n eu helpu i ystyried materion ac yn rhoi cyfarwyddyd iddynt ar y camau nesaf. Yn yr un modd, mae cydweithio ac adborth rhwng cyfoedion yn gallu creu amgylchedd diogel i gyfleu syniadau a rhoi prawf arnynt.” (Donaldson, 2018). </w:t>
      </w: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Sicrha hyn fod y disgyblion yn cymryd y camau sydd angen arnynt i ddatblygu fel unigolion o fewn dosbarth iachus ac hapus. </w:t>
      </w:r>
    </w:p>
    <w:p xmlns:wp14="http://schemas.microsoft.com/office/word/2010/wordml" w:rsidP="38F60D32" w14:paraId="01A271A1" wp14:textId="6498ECA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Cytunir Dylan William hyn gan ddweud “mae </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cy-GB"/>
        </w:rPr>
        <w:t>asesu effeithiol gan athrawon yn gallu ‘dyblu’ cyflymder y dysgu – hynny yw, os caiff ei weithredu’n briodol, gallai dysgwyr wneud yr hyn a oedd yn flwyddyn o gynnydd o fewn chwe mis. Yn ôl Wiliam, mater cymharol syml yw gweithredu strategaethau asesu ar gyfer dysgu; yr her yw newid ymddygiad yr ymarferwr er mwyn cynnwys arferion asesu ar gyfer dysgu yn gyson yn yr arferion ystafell ddosbarth.” (William, 2016).</w:t>
      </w: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Wrth edrych ar asesu ar gyfer dysgu o fewn ystafell ddosbarth, mae hyn yn datblygu sgiliau ac heriau ychwanegol y disgyblion o fewn y meysydd dysgu a phrofiad. O brofiad mae newid y strategaethau i gyd-fynd gydag oed, tasg ffocws, a’r weithgaredd rydym yn dilyn yn y wers. Mae cael awyrgylch hapus yn sicrhau dysgu ac addysgu hapus I'r disgyblion (Pennaeth A, 2022). Mae hyn yn datblygu disgyblion ac yn ateb un o’r pedwar diben sef ‘unigolion iach, hyderus’. Sicrha hyn hwylustod yn eu dysgu ac i ni fel athrawon a staff yr ysgol er mwyn sicrhau datblygiad iachus o ran staff a chynorthwywyr yr ysgol. </w:t>
      </w:r>
    </w:p>
    <w:p xmlns:wp14="http://schemas.microsoft.com/office/word/2010/wordml" w:rsidP="38F60D32" w14:paraId="52CBD329" wp14:textId="12097D2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Yn ystod fy mhrofiadau yn ysgolion dwi yn defnyddio asesu ar gyfer dysgu yn dyddiol a bron ymhob peth dwi’n gwneud fel darpar athro. Dwi’n defnyddio sawl strategaeth yn ôl gallu ac ymateb yr unigolyn. Mae’n bwysig asesu beth mae’r plant yn gwneud i allu deall safonau nhw a helpu nhw am y gorau. Meddylir Llywodraeth gogledd Iwerddon gan ddweud “</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Assessment is an integral part of the learning process. Through ongoing integrated assessment, teachers build a comprehensive picture of the progress and learning needs of each child in order to plan future work and ultimately improve learning. Improvement in learning is enhanced by taking account of any information that is available about a child’s progression in learning to date. (Llywodraeth Iwerddon, 2007). </w:t>
      </w:r>
    </w:p>
    <w:p xmlns:wp14="http://schemas.microsoft.com/office/word/2010/wordml" w:rsidP="38F60D32" w14:paraId="64802199" wp14:textId="471D1C1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Dwi’n hoff o ddefnyddio gwahanol strategaethau yn ôl y pwnc, yr unigolyn sydd yn ateb ac awyrgylch y dosbarth. Er enghraifft un o fy hoff strategaethau fydd yw defnyddio ffyn loli wrth ofyn cwestiynau fel grwp mawr neu dosbarth cyfan. Mae hyn yn rhoi’r teg rwydd I unrhyw un gael ateb os welwn I fod rhywun sydd ddim yn galluog iawn ddim yn gallu ateb dwi wedyn ni yn gofyn os ydyn nhw am “ffonio ffrind” sydd yn gallu helpu ateb y cwestiwn ac yna gallwn nhw gweithio fel tîm I ddod o hyd a ateb. </w:t>
      </w:r>
    </w:p>
    <w:p xmlns:wp14="http://schemas.microsoft.com/office/word/2010/wordml" w:rsidP="38F60D32" w14:paraId="39E7AF5C" wp14:textId="7C8B684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cy-GB"/>
        </w:rPr>
        <w:t>“Yr her o ran addysgu o ganlyniad i fabwysiadu’r Cyfrifoldebau Trawsgwricwlaidd fydd parhau i ganolbwyntio ar y cyfrifoldebau hyn yn ystod y broses addysgu a dysgu fel y byddant yn cael eu cymhwyso mewn ffordd naturiol a dilys yn hytrach nag fel elfennau ychwanegol.”-(Hwb Cymru, 2022).</w:t>
      </w:r>
    </w:p>
    <w:p xmlns:wp14="http://schemas.microsoft.com/office/word/2010/wordml" w:rsidP="38F60D32" w14:paraId="4288C313" wp14:textId="71214C1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Wrth fod yn athrawes mae’r cwricwlwm yn ddweud dylai fod gan ysgolion ac ymarferwyr fethodoleg ar gyfer gynllunio cwricwlwm sy’n ymgorffori cyfleoedd ar gyfer dysgu ac ystyriaeth o elfennau trawsgwricwlaidd, lle y bo’n briodol e.e ystyried cyd-destunau lleol, cenedlaethol a rhyngwladol ac hefyd mae dysgu’n trawsgwricwlaidd yn meithrin dealltwriaeth o addysg cydberthynas a rhywioldeb, addysg hawliau dynol ac amrywiaeth, ac addysg gyrfaoedd a phrofiadau sy’n gysylltiedig a byd gwaith. Defnyddir themâu trawsgwricwlaidd i feithrin cysylltiadau rhwng meysydd dysgu a gall yr hyn a ddysgir o fewn pob cydran gael ei fynegi. </w:t>
      </w:r>
    </w:p>
    <w:p xmlns:wp14="http://schemas.microsoft.com/office/word/2010/wordml" w:rsidP="38F60D32" w14:paraId="3364ABD5" wp14:textId="6231C61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Fel y gwelwyd yn rhan 1 gwnes i ddydd llawn gwersi trawsgwricwlaidd y roeddwn ni wedi clymu’r thema i fewn i bethau oedd yn digwydd yn bywyd tu allan i’r ysgol fel; dydd gŵyl dewi ar chwe gwlad. </w:t>
      </w:r>
    </w:p>
    <w:p xmlns:wp14="http://schemas.microsoft.com/office/word/2010/wordml" w:rsidP="38F60D32" w14:paraId="710ADFBB" wp14:textId="572D9DF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Yr sgiliau trawsgwricwlaidd gorfodol o fewn y cwricwlwm newydd i Gymru yw llythrennedd, rhifedd a chymhwysedd digidol. Mae cyfrifoldeb gennym ni fel athrawon a chynorthwywyr yr ysgol ac yn y byd addysg ar draws pob maes dysgu a phrofiad y cwricwlwm i sicrhau fy mod ni’n datblygu cynnydd y sgiliau yna. Penderfyna’r ysgol sut i ddatblygu y fframweithiau o fewn y cynllun datblygu ysgol ar dulliau gweithredu. “</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Cross-curricular work offers a creative way to develop children's knowledge, skills and understanding while motivating them to learn through stimulating, interconnected topics. A study which crosses subject boundaries allows for investigations that engage children's imagination. It also gives teachers opportunities to encourage active enquiry, taking the initiative, and discussion and debate by children.”- (History Channel, 2022). </w:t>
      </w: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Dwi’n meddwl bod yr datganiad yma o’r cwricwlwm Saesneg yn un arbennig I gyfeirio ohono o rhan disgrifio pam bod sgiliau trawsgwricwlaidd yn un bwysig fel un or 12 egwyddor pedagogaidd. Yn ystod fy mhrofiad yn yr ysgol cyfeiriais I nol at hyn wrth gynllunio yn wythnosol gyda athrawon eraill.</w:t>
      </w:r>
    </w:p>
    <w:p xmlns:wp14="http://schemas.microsoft.com/office/word/2010/wordml" w:rsidP="38F60D32" w14:paraId="23572C66" wp14:textId="1A64A9A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Yn ystod ein thema Cymru a Cymreictod, ar fy mhrofiad dysgu diweddaraf, dilynom sawl agwedd cadarnhaol a brwdfrydig I'r disgyblion wrth baratoi a’u dysgu am Gymru fel gwlad a rhywle i garu. Roedd dydd gŵyl dewi yn ddiwrnod ysbrydoledig o ran cyfuno ein thema, y wlad, trafodaethau a’r addysg yn un. Gwnaethom ddawnsio ein dawns rhyngwladol sef dawnsio gwerin yn dilyn y cerddoriaeth traddodiadol, y ddawns traddodiadol a’n mam iaith Cymraeg. I wneud y wers yn drawsgwricwlaidd roeddwn wedi cyfuno iaith, llythrennedd a chyfathrebu a chelfyddydau mynegiannol wrth defnyddio iaith a chanu am ein gwlad a defnyddio cerddoriaeth a dawns fel modd o ddatblygu meysydd creadigol. Sicrha hyn ddatblygiad o fewn y cwricwlwm i Gymru a sut i leisio llais y plentyn a gwrando arno. </w:t>
      </w:r>
    </w:p>
    <w:p xmlns:wp14="http://schemas.microsoft.com/office/word/2010/wordml" w:rsidP="38F60D32" w14:paraId="79D7C72A" wp14:textId="632F52E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8F60D32" w14:paraId="17080324" wp14:textId="4F2351D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Mae dibenion cwricwlwm a’r Camau Cynnydd yn ategu’r angen i sicrhau bod y dysgu’n ystyrlon ac yn ddilys. Mae’n bwysig bod plant a phobl ifanc yn gweld bod eu dysgu’n berthnasol i’r byd y tu allan i’r ysgol a bod cyfleoedd i ffurfio cysylltiadau â’r byd hwnnw’n cael eu gwireddu. Yn ystod fy amser yn yr ysgol yn y trydydd blwyddyn y thema oedd Cymru ac yn ffodus i mi roedd dydd gŵyl dewi ar chwe gwlad yn digwydd ar y pryd, oherwydd hyn roedd yna sawl siawns i fi greu a gwneud y gorau mas or sefyllfa roedd gen i ar y pryd. Gofynais i i chwaraewr o’r ospreys a Chymru mewn i'r ysgol i wneud sesiwn gyda’r disgyblion. Roedd lot heb chwarae rygbi or blaen heb law am gael help o rhywun sydd yn chwarae rygbi i Gymru yn ystod y thema ac allwn ni cysylltu gyda’r chwe gwlad. Wrth ddefnyddio a cyfeirio at yr 4 diben mae’r gweithgaredd yma yn cysylltu iddyn nhw ond yn enwedig i ddysgu nhw i fod yn unigolion iach ac hyderus. Iach o rhan fod yn heini ac iachus wrth chwarae a gwneud ymarfer corff ond hefyd meddyliais i amdano yr hyder mae’n cymryd i blant siarad a fod yn barod i wrando a fod yn rhan o rhywbeth gyda person tu allan o’r ysgol. </w:t>
      </w:r>
    </w:p>
    <w:p xmlns:wp14="http://schemas.microsoft.com/office/word/2010/wordml" w:rsidP="38F60D32" w14:paraId="7B5E8106" wp14:textId="6056F4C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cy-GB"/>
        </w:rPr>
        <w:t xml:space="preserve">Mae’r athro sydd mewn rôl arweinyddiol ffurfiol yn creu amodau sy’n sicrhau bod pawb yn fodlon helpu ei gilydd a chydweithio’n effeithiol o fewn a thu hwnt I'r ysgol i ledaenu addysgeg effeithiol.” (GweGogCymru, 2018). </w:t>
      </w: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Yn ôl yr geiriau yna dyma beth yw ein swydd fel athrawon i ddilyn a dyma beth bydd yn cefnogi fy ngwaith wrth sicrhau gwaith i wneud ar egwyddor cyd-destun go iawn dilys yn ystod fy ngyrfa.  </w:t>
      </w:r>
    </w:p>
    <w:p xmlns:wp14="http://schemas.microsoft.com/office/word/2010/wordml" w:rsidP="38F60D32" w14:paraId="67BB8BC4" wp14:textId="10EA9522">
      <w:pPr>
        <w:spacing w:after="160" w:line="259" w:lineRule="auto"/>
        <w:jc w:val="both"/>
        <w:rPr>
          <w:rFonts w:ascii="PT Sans" w:hAnsi="PT Sans" w:eastAsia="PT Sans" w:cs="PT Sans"/>
          <w:b w:val="0"/>
          <w:bCs w:val="0"/>
          <w:i w:val="0"/>
          <w:iCs w:val="0"/>
          <w:caps w:val="0"/>
          <w:smallCaps w:val="0"/>
          <w:noProof w:val="0"/>
          <w:color w:val="0B0C0C"/>
          <w:sz w:val="28"/>
          <w:szCs w:val="28"/>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Yn ystod y sesiwn roedd siawns iddyn nhw ofyn I'r ddyn cwestiynau am ei swydd a beth oedd ei gyrfa fe fel. O ganlyniad i hyn roedd hyn wedi sbarduno siarad am beth hoffen nhw fel disgyblion wneud fel swydd. Roedd hyn wedyn ni wedi ddod a cyfle i ni drafod am yr byd a beth sydd yna. Mae ysgol gynradd Cadoxton yn Glamorgan yn ysgol sydd a llawr i wneud ar gwricwlwm newydd credwn nhw - “</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cy-GB"/>
        </w:rPr>
        <w:t xml:space="preserve">Mae’n galluogi disgyblion i ddatblygu dychymyg byw trwy gyd-destunau dilys, cyfoethog.”- (Estyn, 2018). </w:t>
      </w: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Gwnaeth ysgol Cadoxton “pentref” yn ysgol gynradd Tregatwg i annog plant yn y cyfnod sylfaen i ddatblygu llawer o fedrau trwy ddarparu profiadau mewn cyd-destun bywyd go iawn. Digwyddodd rhywbeth fel hyn yn ystod yr amser yn yr ysgol wrth gael pobl o thu hwnt ac or gymuned i fewn I'r ysgol i nhw ystyried safbwyntiau gwahanol i wedyn ni ysbrydoli nhw fel unigolion. Wrth ddechrau fel athrawes go iawn yn ysgol fy hun dwi am bwysleisio’r angen o gysylltu a cyfeirio at yr egwyddor cyd-destun go iawn dilys er gorau plant ond hefyd yn gymunedol. “</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cy-GB"/>
        </w:rPr>
        <w:t xml:space="preserve">Caiff ymgysylltu â rhieni a’r gymuned ei gydnabod yn un o’r strategaethau pwysicaf o ran gwella’r ysgol, a chaiff ei ystyried yn rhan annatod o wella lles a chyflawniad disgyblion. Mae ffocws clir ar ymgysylltu â theuluoedd a’r gymuned, gweithio mewn partneriaeth a defnyddio cyfleusterau’r ysgol er budd y gymuned ehangach.”-(Llyw Cymru, 2020). </w:t>
      </w: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Mae hyn yn cefnogi fy mhwynt o gysylltu tu allan o byd go iawn ac yn fy marn i mae’r cysylltiad rhwng yr ysgol ar gymuned yn rhoi cyfleoedd arbennig I'r disgyblion. </w:t>
      </w:r>
      <w:r>
        <w:br/>
      </w:r>
    </w:p>
    <w:p xmlns:wp14="http://schemas.microsoft.com/office/word/2010/wordml" w:rsidP="38F60D32" w14:paraId="10AB0282" wp14:textId="7256A69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Wrth wneud yr aseiniad yma mae’n dangos yn glir pwyslais a phwysigrwydd defnyddio pob agwedd o’r cwricwlwm newydd donaldson er y gorau disgyblion. Gan fy mod i yn fy mlwyddyn olaf yn yr prif ysgol a wedi cael profiadau bywyd go iawn dilys yn y dosbarth, ardal allanol yr ysgol, gymuned a thu hwnt. Dwi am ysgogi a dylanwadu hyn o law gyntaf yn dosbarth fy hun yn y dyfodol. Yn enwedig wrth fod yn ysgolion i ddangos fy mrwdfrydedd tuag at yr cwricwlwm newydd a ddangos fy nealltwriaeth o beth sydd angen i ni wneud a beth allai i fel athrawes newydd sydd wedi treillio llawer o amser yn astudio’r cwricwlwm newydd Donaldson yn fanwl a allai i ddod a rhywbeth I'r ysgol a pwysleisio’r pwysigrwydd a syniadau fy hunan.</w:t>
      </w:r>
    </w:p>
    <w:p xmlns:wp14="http://schemas.microsoft.com/office/word/2010/wordml" w:rsidP="38F60D32" w14:paraId="1C346DC5" wp14:textId="1C16EFA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Mae hyn yn cynnig ymhellach y bydd pedwar diben y cwricwlwm yn cael eu datblygu yn nhermau eu nodweddion allweddol a fydd yn amlygu’r diben drwy ymarfer ac y dylid datblygu drwy’r cwricwlwm. dros y dair mlynedd diwethaf mae hyn i gyd wedi adeiladau i mi fod yr athrawes orau er mwyn lles y disgyblion a’u datblygiad nhw fel dysgwyr unigol annibynnol. Trwy ddarllen ac ymchwilio I'r cwricwlwm i Gymru gan Donaldson, rwyf wedi dysgu pwysigrwydd cael y plentyn fel dysgwr canolog i fyd addysg, yr ystafell ddosbarth a’r ysgol gyfan. Mae pob unigolyn yn cael ie gyfri fel un dysgwr cadarnhaol sydd yn medru datblygu ar lefel a meddylfryd eu hun. Sicrha hyn yr atebion sydd angen er mwyn ateb yr heriau a’u datblygiadau fel dysgwyr sydd yn dysgu gydol oes (Llyw Cymru 2022). </w:t>
      </w:r>
    </w:p>
    <w:p xmlns:wp14="http://schemas.microsoft.com/office/word/2010/wordml" w:rsidP="38F60D32" w14:paraId="4D5BD7F2" wp14:textId="5DDFD26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Un o fy mlaenoriaethau fel athrawes ydy asesu ar gyfer dysgu ac mae gwahanol strategaethau yn fy natblygu a datblygu’r disgyblion o fewn tasgau ffocws a gweithgareddau amrywiol o fewn yr ystafell ddosbarth a thu hwnt. Nid yn unig defnyddio’r strategaethau yma er mwyn datblygiad addysgol y disgyblion sy’n bwysig ond hefyd mae’n datblygu’r disgyblion i feddwl yn gritigol yn ôl gallu a sefyllfaoedd gwahanol yn y dosbarth er mwyn lles yr unigolyn ac mewn modd lle mae pawb yn cael eu trin yn gyfartal. Yn glir mae yna fwy na 1 egwyddor dwi am ganolbwyntio arno wrth gario ymlaen yn ystod fy ngyrfa fel athrawes, yn y dyfodol mae’r siawns yna gyda fi i newid rhywbeth yn yr byd addysg. Yn grwn pwrpas ni fel athrawon yw i gael y gorau mas o’r plant ond dyna beth dwi’n hoffi amcano'r cwricwlwm newydd donadlson oherwydd dim ddim ond yn addysgol rydym ni’n canolbwyntio arno ond hefyd i helpu nhw fel y dywed i fod yn unigolion yn gwmws fel beth yw datganiad y pedwar diben. </w:t>
      </w:r>
    </w:p>
    <w:p xmlns:wp14="http://schemas.microsoft.com/office/word/2010/wordml" w:rsidP="38F60D32" w14:paraId="1C68C0CA" wp14:textId="3AF806D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Mae'r pedwar diben yn dylanwadu’r gryf ac yn gadarnhaol ar sut mae’r disgyblion yn mynd i edrych ar y dyfodol a sut maen nhw’n mynd i ddatblygu fel dysgwyr unigol ac annibynnol. Wrth ganolbwyntio ar y disgybl fel person i gael y gorau drwy les y disgybl mae’n gymorth tuag at hapusrwydd y disgybl o fewn yr ystafell ddosbarth a’u datblygiad o fewn yr ysgol a’u haddysg. Mae'r cwricwlwm i Gymru, yn mynd i newid y ffordd nid yn unig rydym ni’n addysgu ond hefyd y modd mae disgyblion yn cael eu dylanwadu gyda ni fel athrawon ond hefyd y dylanwad maen nhw’n eu cael ar ein thema ni drwy wrando ar lais y disgybl a beth maen nhw’n meddwl o’r hyn rydym yn canolbwyntio arno o fewn tymor o waith. Wrth astudio dros y tair mlynedd diwethaf dwi’n edrych ymlaen rhoi a cynnig beth ydw i wedi dysgu wrth wneud aseiniadau a darllen fel yma i wneud a ysbrydoli eraill i wneud y pethau bychain o’r cwricwlwm newydd o ddydd i ddydd. </w:t>
      </w:r>
      <w:r w:rsidRPr="38F60D32" w:rsidR="38F60D32">
        <w:rPr>
          <w:rFonts w:ascii="Calibri" w:hAnsi="Calibri" w:eastAsia="Calibri" w:cs="Calibri"/>
          <w:b w:val="0"/>
          <w:bCs w:val="0"/>
          <w:i w:val="1"/>
          <w:iCs w:val="1"/>
          <w:caps w:val="0"/>
          <w:smallCaps w:val="0"/>
          <w:noProof w:val="0"/>
          <w:color w:val="000000" w:themeColor="text1" w:themeTint="FF" w:themeShade="FF"/>
          <w:sz w:val="22"/>
          <w:szCs w:val="22"/>
          <w:lang w:val="en-GB"/>
        </w:rPr>
        <w:t>“If we teach today as we taught yesterday, we rob our children of tomorrow.”-(</w:t>
      </w:r>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Dewey, J. 1944). </w:t>
      </w:r>
    </w:p>
    <w:p xmlns:wp14="http://schemas.microsoft.com/office/word/2010/wordml" w:rsidP="38F60D32" w14:paraId="4F2B37DD" wp14:textId="18BA002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8F60D32" w14:paraId="61E8BD98" wp14:textId="44E65CB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8F60D32" w14:paraId="258FE35E" wp14:textId="41BAED3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cy-GB"/>
        </w:rPr>
        <w:t xml:space="preserve">Atodiad Rhan 1: </w:t>
      </w:r>
    </w:p>
    <w:p xmlns:wp14="http://schemas.microsoft.com/office/word/2010/wordml" w:rsidP="38F60D32" w14:paraId="54C5EBC1" wp14:textId="1DA81E6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caa6338779714e5b">
        <w:r w:rsidRPr="38F60D32" w:rsidR="38F60D32">
          <w:rPr>
            <w:rStyle w:val="Hyperlink"/>
            <w:rFonts w:ascii="Calibri" w:hAnsi="Calibri" w:eastAsia="Calibri" w:cs="Calibri"/>
            <w:b w:val="0"/>
            <w:bCs w:val="0"/>
            <w:i w:val="0"/>
            <w:iCs w:val="0"/>
            <w:caps w:val="0"/>
            <w:smallCaps w:val="0"/>
            <w:strike w:val="0"/>
            <w:dstrike w:val="0"/>
            <w:noProof w:val="0"/>
            <w:sz w:val="22"/>
            <w:szCs w:val="22"/>
            <w:lang w:val="cy-GB"/>
          </w:rPr>
          <w:t>Aseiniad Rhan 1 (1).docx</w:t>
        </w:r>
      </w:hyperlink>
      <w:r w:rsidRPr="38F60D32" w:rsidR="38F60D32">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
    <w:p xmlns:wp14="http://schemas.microsoft.com/office/word/2010/wordml" w:rsidP="38F60D32" w14:paraId="45DB0F46" wp14:textId="3292025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8F60D32" w14:paraId="2923A93A" wp14:textId="1E324CA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8F60D32" w14:paraId="78A27A3A" wp14:textId="07680B9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F60D32" w:rsidR="38F60D32">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cy-GB"/>
        </w:rPr>
        <w:t>Cyfeirnodi:</w:t>
      </w:r>
    </w:p>
    <w:p xmlns:wp14="http://schemas.microsoft.com/office/word/2010/wordml" w:rsidP="38F60D32" w14:paraId="15CFDADD" wp14:textId="5BA5A99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9ee7ef7c30cc4db6">
        <w:r w:rsidRPr="38F60D32" w:rsidR="38F60D32">
          <w:rPr>
            <w:rStyle w:val="Hyperlink"/>
            <w:rFonts w:ascii="Calibri" w:hAnsi="Calibri" w:eastAsia="Calibri" w:cs="Calibri"/>
            <w:b w:val="0"/>
            <w:bCs w:val="0"/>
            <w:i w:val="0"/>
            <w:iCs w:val="0"/>
            <w:caps w:val="0"/>
            <w:smallCaps w:val="0"/>
            <w:strike w:val="0"/>
            <w:dstrike w:val="0"/>
            <w:noProof w:val="0"/>
            <w:sz w:val="22"/>
            <w:szCs w:val="22"/>
            <w:lang w:val="cy-GB"/>
          </w:rPr>
          <w:t>https://hwb.gov.wales/cwricwlwm-i-gymru/cynllunio-eich-cwricwlwm/themau-trawsgwricwlaidd-ar-gyfer-cynllunio-eich-cwricwlwm/</w:t>
        </w:r>
      </w:hyperlink>
      <w:r w:rsidRPr="38F60D32" w:rsidR="38F60D32">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cy-GB"/>
        </w:rPr>
        <w:t xml:space="preserve"> </w:t>
      </w:r>
    </w:p>
    <w:p xmlns:wp14="http://schemas.microsoft.com/office/word/2010/wordml" w:rsidP="38F60D32" w14:paraId="62481F64" wp14:textId="6FBBC68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946794a79efc445d">
        <w:r w:rsidRPr="38F60D32" w:rsidR="38F60D32">
          <w:rPr>
            <w:rStyle w:val="Hyperlink"/>
            <w:rFonts w:ascii="Calibri" w:hAnsi="Calibri" w:eastAsia="Calibri" w:cs="Calibri"/>
            <w:b w:val="0"/>
            <w:bCs w:val="0"/>
            <w:i w:val="0"/>
            <w:iCs w:val="0"/>
            <w:caps w:val="0"/>
            <w:smallCaps w:val="0"/>
            <w:strike w:val="0"/>
            <w:dstrike w:val="0"/>
            <w:noProof w:val="0"/>
            <w:sz w:val="24"/>
            <w:szCs w:val="24"/>
            <w:lang w:val="cy-GB"/>
          </w:rPr>
          <w:t>https://llyw.cymru/sites/default/files/publications/2018-03/dyfodol-llwyddiannus.pdf</w:t>
        </w:r>
      </w:hyperlink>
      <w:r w:rsidRPr="38F60D32" w:rsidR="38F60D32">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cy-GB"/>
        </w:rPr>
        <w:t xml:space="preserve"> </w:t>
      </w:r>
    </w:p>
    <w:p xmlns:wp14="http://schemas.microsoft.com/office/word/2010/wordml" w:rsidP="38F60D32" w14:paraId="6A4194AE" wp14:textId="02BC818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a78fe117e6194e33">
        <w:r w:rsidRPr="38F60D32" w:rsidR="38F60D32">
          <w:rPr>
            <w:rStyle w:val="Hyperlink"/>
            <w:rFonts w:ascii="Calibri" w:hAnsi="Calibri" w:eastAsia="Calibri" w:cs="Calibri"/>
            <w:b w:val="0"/>
            <w:bCs w:val="0"/>
            <w:i w:val="0"/>
            <w:iCs w:val="0"/>
            <w:caps w:val="0"/>
            <w:smallCaps w:val="0"/>
            <w:strike w:val="0"/>
            <w:dstrike w:val="0"/>
            <w:noProof w:val="0"/>
            <w:sz w:val="24"/>
            <w:szCs w:val="24"/>
            <w:lang w:val="cy-GB"/>
          </w:rPr>
          <w:t>https://hwb.gov.wales/curriculum-for-wales</w:t>
        </w:r>
      </w:hyperlink>
      <w:r w:rsidRPr="38F60D32" w:rsidR="38F60D32">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cy-GB"/>
        </w:rPr>
        <w:t xml:space="preserve"> </w:t>
      </w:r>
    </w:p>
    <w:p xmlns:wp14="http://schemas.microsoft.com/office/word/2010/wordml" w:rsidP="38F60D32" w14:paraId="513CFD60" wp14:textId="5B1D2E7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92981144bf4d4e04">
        <w:r w:rsidRPr="38F60D32" w:rsidR="38F60D32">
          <w:rPr>
            <w:rStyle w:val="Hyperlink"/>
            <w:rFonts w:ascii="Calibri" w:hAnsi="Calibri" w:eastAsia="Calibri" w:cs="Calibri"/>
            <w:b w:val="0"/>
            <w:bCs w:val="0"/>
            <w:i w:val="0"/>
            <w:iCs w:val="0"/>
            <w:caps w:val="0"/>
            <w:smallCaps w:val="0"/>
            <w:strike w:val="0"/>
            <w:dstrike w:val="0"/>
            <w:noProof w:val="0"/>
            <w:sz w:val="24"/>
            <w:szCs w:val="24"/>
            <w:lang w:val="cy-GB"/>
          </w:rPr>
          <w:t>http://www.jouneytoexcellence.org.uk/videos/expertspeakers/assessmentforlearningdylanwilliam.asp</w:t>
        </w:r>
      </w:hyperlink>
      <w:r w:rsidRPr="38F60D32" w:rsidR="38F60D32">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cy-GB"/>
        </w:rPr>
        <w:t xml:space="preserve"> </w:t>
      </w:r>
    </w:p>
    <w:p xmlns:wp14="http://schemas.microsoft.com/office/word/2010/wordml" w:rsidP="38F60D32" w14:paraId="051AC039" wp14:textId="21A6355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80052b63e1cf4e9c">
        <w:r w:rsidRPr="38F60D32" w:rsidR="38F60D32">
          <w:rPr>
            <w:rStyle w:val="Hyperlink"/>
            <w:rFonts w:ascii="Calibri" w:hAnsi="Calibri" w:eastAsia="Calibri" w:cs="Calibri"/>
            <w:b w:val="0"/>
            <w:bCs w:val="0"/>
            <w:i w:val="0"/>
            <w:iCs w:val="0"/>
            <w:caps w:val="0"/>
            <w:smallCaps w:val="0"/>
            <w:strike w:val="0"/>
            <w:dstrike w:val="0"/>
            <w:noProof w:val="0"/>
            <w:sz w:val="24"/>
            <w:szCs w:val="24"/>
            <w:lang w:val="cy-GB"/>
          </w:rPr>
          <w:t>https://ccea.org.uk/downloads/docs/ccea-asset/Curriculum/The%20Northern%20Ireland%20Curriculum%20-%20Primary.pdf</w:t>
        </w:r>
      </w:hyperlink>
    </w:p>
    <w:p xmlns:wp14="http://schemas.microsoft.com/office/word/2010/wordml" w:rsidP="38F60D32" w14:paraId="7C0C2050" wp14:textId="3BD87CA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e2fdb9d6b9de4dd9">
        <w:r w:rsidRPr="38F60D32" w:rsidR="38F60D32">
          <w:rPr>
            <w:rStyle w:val="Hyperlink"/>
            <w:rFonts w:ascii="Calibri" w:hAnsi="Calibri" w:eastAsia="Calibri" w:cs="Calibri"/>
            <w:b w:val="0"/>
            <w:bCs w:val="0"/>
            <w:i w:val="0"/>
            <w:iCs w:val="0"/>
            <w:caps w:val="0"/>
            <w:smallCaps w:val="0"/>
            <w:strike w:val="0"/>
            <w:dstrike w:val="0"/>
            <w:noProof w:val="0"/>
            <w:sz w:val="24"/>
            <w:szCs w:val="24"/>
            <w:lang w:val="cy-GB"/>
          </w:rPr>
          <w:t>https://hwb.gov.wales/cwricwlwm-i-gymru/cwricwlwm-i-gymru-cynllun-gweithredu/</w:t>
        </w:r>
      </w:hyperlink>
      <w:r w:rsidRPr="38F60D32" w:rsidR="38F60D3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
    <w:p xmlns:wp14="http://schemas.microsoft.com/office/word/2010/wordml" w:rsidP="38F60D32" w14:paraId="1AB9D9A0" wp14:textId="4C95752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aa5250e98b96464c">
        <w:r w:rsidRPr="38F60D32" w:rsidR="38F60D32">
          <w:rPr>
            <w:rStyle w:val="Hyperlink"/>
            <w:rFonts w:ascii="Calibri" w:hAnsi="Calibri" w:eastAsia="Calibri" w:cs="Calibri"/>
            <w:b w:val="0"/>
            <w:bCs w:val="0"/>
            <w:i w:val="0"/>
            <w:iCs w:val="0"/>
            <w:caps w:val="0"/>
            <w:smallCaps w:val="0"/>
            <w:strike w:val="0"/>
            <w:dstrike w:val="0"/>
            <w:noProof w:val="0"/>
            <w:sz w:val="24"/>
            <w:szCs w:val="24"/>
            <w:lang w:val="cy-GB"/>
          </w:rPr>
          <w:t>https://www.estyn.llyw.cymru/arfer-effeithiol/dysgu-trwy-chwarae-mewn-cyd-destun-bywyd-go-iawn</w:t>
        </w:r>
      </w:hyperlink>
      <w:r w:rsidRPr="38F60D32" w:rsidR="38F60D3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
    <w:p xmlns:wp14="http://schemas.microsoft.com/office/word/2010/wordml" w:rsidP="38F60D32" w14:paraId="48E6324D" wp14:textId="78AF1E9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3a466e3b130e45f2">
        <w:r w:rsidRPr="38F60D32" w:rsidR="38F60D32">
          <w:rPr>
            <w:rStyle w:val="Hyperlink"/>
            <w:rFonts w:ascii="Calibri" w:hAnsi="Calibri" w:eastAsia="Calibri" w:cs="Calibri"/>
            <w:b w:val="0"/>
            <w:bCs w:val="0"/>
            <w:i w:val="0"/>
            <w:iCs w:val="0"/>
            <w:caps w:val="0"/>
            <w:smallCaps w:val="0"/>
            <w:strike w:val="0"/>
            <w:dstrike w:val="0"/>
            <w:noProof w:val="0"/>
            <w:sz w:val="24"/>
            <w:szCs w:val="24"/>
            <w:lang w:val="cy-GB"/>
          </w:rPr>
          <w:t>https://llyw.cymru/sites/default/files/publications/2020-07/ymateb-llywodraeth-cymru-ysgolion-cymunedol-teuluoedd-a-chymunedau-wrth-wraidd-bywyd-ysgol.pdf</w:t>
        </w:r>
      </w:hyperlink>
      <w:r w:rsidRPr="38F60D32" w:rsidR="38F60D32">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cy-GB"/>
        </w:rPr>
        <w:t xml:space="preserve"> </w:t>
      </w:r>
    </w:p>
    <w:p xmlns:wp14="http://schemas.microsoft.com/office/word/2010/wordml" w:rsidP="38F60D32" w14:paraId="1A635780" wp14:textId="71E7F22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8F60D32" w14:paraId="1C94FCCE" wp14:textId="1B88FE3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071f8ab6cc524eb0">
        <w:r w:rsidRPr="38F60D32" w:rsidR="38F60D32">
          <w:rPr>
            <w:rStyle w:val="Hyperlink"/>
            <w:rFonts w:ascii="Calibri" w:hAnsi="Calibri" w:eastAsia="Calibri" w:cs="Calibri"/>
            <w:b w:val="0"/>
            <w:bCs w:val="0"/>
            <w:i w:val="0"/>
            <w:iCs w:val="0"/>
            <w:caps w:val="0"/>
            <w:smallCaps w:val="0"/>
            <w:strike w:val="0"/>
            <w:dstrike w:val="0"/>
            <w:noProof w:val="0"/>
            <w:sz w:val="24"/>
            <w:szCs w:val="24"/>
            <w:lang w:val="cy-GB"/>
          </w:rPr>
          <w:t>https://www.history.org.uk/primary/module/3638/leading-primary-history/3653/cross-curricular-learning</w:t>
        </w:r>
      </w:hyperlink>
      <w:r w:rsidRPr="38F60D32" w:rsidR="38F60D32">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cy-GB"/>
        </w:rPr>
        <w:t xml:space="preserve"> </w:t>
      </w:r>
    </w:p>
    <w:p xmlns:wp14="http://schemas.microsoft.com/office/word/2010/wordml" w:rsidP="38F60D32" w14:paraId="5F0A72CB" wp14:textId="1A38C3D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f76dee6f70da465b">
        <w:r w:rsidRPr="38F60D32" w:rsidR="38F60D32">
          <w:rPr>
            <w:rStyle w:val="Hyperlink"/>
            <w:rFonts w:ascii="Calibri" w:hAnsi="Calibri" w:eastAsia="Calibri" w:cs="Calibri"/>
            <w:b w:val="0"/>
            <w:bCs w:val="0"/>
            <w:i w:val="0"/>
            <w:iCs w:val="0"/>
            <w:caps w:val="0"/>
            <w:smallCaps w:val="0"/>
            <w:strike w:val="0"/>
            <w:dstrike w:val="0"/>
            <w:noProof w:val="0"/>
            <w:sz w:val="24"/>
            <w:szCs w:val="24"/>
            <w:lang w:val="cy-GB"/>
          </w:rPr>
          <w:t>https://www.gwegogledd.cymru/wp-content/uploads/2018/10/Llyfryn-Cwricwlwm-i-Gymru-Cymraeg.pdf</w:t>
        </w:r>
      </w:hyperlink>
      <w:r w:rsidRPr="38F60D32" w:rsidR="38F60D32">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cy-GB"/>
        </w:rPr>
        <w:t xml:space="preserve"> </w:t>
      </w:r>
    </w:p>
    <w:p xmlns:wp14="http://schemas.microsoft.com/office/word/2010/wordml" w:rsidP="38F60D32" w14:paraId="531811B3" wp14:textId="3FD8AAEC">
      <w:pPr>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cy-GB"/>
        </w:rPr>
      </w:pPr>
      <w:hyperlink r:id="Rbbbbc5a136d64f83">
        <w:r w:rsidRPr="38F60D32" w:rsidR="38F60D32">
          <w:rPr>
            <w:rStyle w:val="Hyperlink"/>
            <w:rFonts w:ascii="Calibri" w:hAnsi="Calibri" w:eastAsia="Calibri" w:cs="Calibri"/>
            <w:b w:val="0"/>
            <w:bCs w:val="0"/>
            <w:i w:val="0"/>
            <w:iCs w:val="0"/>
            <w:caps w:val="0"/>
            <w:smallCaps w:val="0"/>
            <w:strike w:val="0"/>
            <w:dstrike w:val="0"/>
            <w:noProof w:val="0"/>
            <w:sz w:val="24"/>
            <w:szCs w:val="24"/>
            <w:lang w:val="cy-GB"/>
          </w:rPr>
          <w:t>https://www.uwc.org/attachments/download.asp?file=4960&amp;type=pdf</w:t>
        </w:r>
      </w:hyperlink>
    </w:p>
    <w:p xmlns:wp14="http://schemas.microsoft.com/office/word/2010/wordml" w:rsidP="38F60D32" w14:paraId="5E5787A5" wp14:textId="7AFC43C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1A8FBA"/>
    <w:rsid w:val="38F60D32"/>
    <w:rsid w:val="501A8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A8FBA"/>
  <w15:chartTrackingRefBased/>
  <w15:docId w15:val="{30F32073-2566-48D8-9DB0-9525FB30EC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F60D32"/>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8F60D32"/>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38F60D32"/>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38F60D32"/>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38F60D32"/>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38F60D32"/>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38F60D32"/>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38F60D32"/>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38F60D32"/>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38F60D32"/>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38F60D3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8F60D3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8F60D3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8F60D3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8F60D32"/>
    <w:pPr>
      <w:spacing/>
      <w:ind w:left="720"/>
      <w:contextualSpacing/>
    </w:pPr>
  </w:style>
  <w:style w:type="character" w:styleId="Heading1Char" w:customStyle="true">
    <w:uiPriority w:val="9"/>
    <w:name w:val="Heading 1 Char"/>
    <w:basedOn w:val="DefaultParagraphFont"/>
    <w:link w:val="Heading1"/>
    <w:rsid w:val="38F60D32"/>
    <w:rPr>
      <w:rFonts w:ascii="Calibri Light" w:hAnsi="Calibri Light" w:eastAsia="" w:cs="" w:asciiTheme="majorAscii" w:hAnsiTheme="majorAscii" w:eastAsiaTheme="majorEastAsia" w:cstheme="majorBidi"/>
      <w:noProof w:val="0"/>
      <w:color w:val="2F5496" w:themeColor="accent1" w:themeTint="FF" w:themeShade="BF"/>
      <w:sz w:val="32"/>
      <w:szCs w:val="32"/>
      <w:lang w:val="cy-GB"/>
    </w:rPr>
  </w:style>
  <w:style w:type="character" w:styleId="Heading2Char" w:customStyle="true">
    <w:uiPriority w:val="9"/>
    <w:name w:val="Heading 2 Char"/>
    <w:basedOn w:val="DefaultParagraphFont"/>
    <w:link w:val="Heading2"/>
    <w:rsid w:val="38F60D32"/>
    <w:rPr>
      <w:rFonts w:ascii="Calibri Light" w:hAnsi="Calibri Light" w:eastAsia="" w:cs="" w:asciiTheme="majorAscii" w:hAnsiTheme="majorAscii" w:eastAsiaTheme="majorEastAsia" w:cstheme="majorBidi"/>
      <w:noProof w:val="0"/>
      <w:color w:val="2F5496" w:themeColor="accent1" w:themeTint="FF" w:themeShade="BF"/>
      <w:sz w:val="26"/>
      <w:szCs w:val="26"/>
      <w:lang w:val="cy-GB"/>
    </w:rPr>
  </w:style>
  <w:style w:type="character" w:styleId="Heading3Char" w:customStyle="true">
    <w:uiPriority w:val="9"/>
    <w:name w:val="Heading 3 Char"/>
    <w:basedOn w:val="DefaultParagraphFont"/>
    <w:link w:val="Heading3"/>
    <w:rsid w:val="38F60D32"/>
    <w:rPr>
      <w:rFonts w:ascii="Calibri Light" w:hAnsi="Calibri Light" w:eastAsia="" w:cs="" w:asciiTheme="majorAscii" w:hAnsiTheme="majorAscii" w:eastAsiaTheme="majorEastAsia" w:cstheme="majorBidi"/>
      <w:noProof w:val="0"/>
      <w:color w:val="1F3763"/>
      <w:sz w:val="24"/>
      <w:szCs w:val="24"/>
      <w:lang w:val="cy-GB"/>
    </w:rPr>
  </w:style>
  <w:style w:type="character" w:styleId="Heading4Char" w:customStyle="true">
    <w:uiPriority w:val="9"/>
    <w:name w:val="Heading 4 Char"/>
    <w:basedOn w:val="DefaultParagraphFont"/>
    <w:link w:val="Heading4"/>
    <w:rsid w:val="38F60D32"/>
    <w:rPr>
      <w:rFonts w:ascii="Calibri Light" w:hAnsi="Calibri Light" w:eastAsia="" w:cs="" w:asciiTheme="majorAscii" w:hAnsiTheme="majorAscii" w:eastAsiaTheme="majorEastAsia" w:cstheme="majorBidi"/>
      <w:i w:val="1"/>
      <w:iCs w:val="1"/>
      <w:noProof w:val="0"/>
      <w:color w:val="2F5496" w:themeColor="accent1" w:themeTint="FF" w:themeShade="BF"/>
      <w:lang w:val="cy-GB"/>
    </w:rPr>
  </w:style>
  <w:style w:type="character" w:styleId="Heading5Char" w:customStyle="true">
    <w:uiPriority w:val="9"/>
    <w:name w:val="Heading 5 Char"/>
    <w:basedOn w:val="DefaultParagraphFont"/>
    <w:link w:val="Heading5"/>
    <w:rsid w:val="38F60D32"/>
    <w:rPr>
      <w:rFonts w:ascii="Calibri Light" w:hAnsi="Calibri Light" w:eastAsia="" w:cs="" w:asciiTheme="majorAscii" w:hAnsiTheme="majorAscii" w:eastAsiaTheme="majorEastAsia" w:cstheme="majorBidi"/>
      <w:noProof w:val="0"/>
      <w:color w:val="2F5496" w:themeColor="accent1" w:themeTint="FF" w:themeShade="BF"/>
      <w:lang w:val="cy-GB"/>
    </w:rPr>
  </w:style>
  <w:style w:type="character" w:styleId="Heading6Char" w:customStyle="true">
    <w:uiPriority w:val="9"/>
    <w:name w:val="Heading 6 Char"/>
    <w:basedOn w:val="DefaultParagraphFont"/>
    <w:link w:val="Heading6"/>
    <w:rsid w:val="38F60D32"/>
    <w:rPr>
      <w:rFonts w:ascii="Calibri Light" w:hAnsi="Calibri Light" w:eastAsia="" w:cs="" w:asciiTheme="majorAscii" w:hAnsiTheme="majorAscii" w:eastAsiaTheme="majorEastAsia" w:cstheme="majorBidi"/>
      <w:noProof w:val="0"/>
      <w:color w:val="1F3763"/>
      <w:lang w:val="cy-GB"/>
    </w:rPr>
  </w:style>
  <w:style w:type="character" w:styleId="Heading7Char" w:customStyle="true">
    <w:uiPriority w:val="9"/>
    <w:name w:val="Heading 7 Char"/>
    <w:basedOn w:val="DefaultParagraphFont"/>
    <w:link w:val="Heading7"/>
    <w:rsid w:val="38F60D32"/>
    <w:rPr>
      <w:rFonts w:ascii="Calibri Light" w:hAnsi="Calibri Light" w:eastAsia="" w:cs="" w:asciiTheme="majorAscii" w:hAnsiTheme="majorAscii" w:eastAsiaTheme="majorEastAsia" w:cstheme="majorBidi"/>
      <w:i w:val="1"/>
      <w:iCs w:val="1"/>
      <w:noProof w:val="0"/>
      <w:color w:val="1F3763"/>
      <w:lang w:val="cy-GB"/>
    </w:rPr>
  </w:style>
  <w:style w:type="character" w:styleId="Heading8Char" w:customStyle="true">
    <w:uiPriority w:val="9"/>
    <w:name w:val="Heading 8 Char"/>
    <w:basedOn w:val="DefaultParagraphFont"/>
    <w:link w:val="Heading8"/>
    <w:rsid w:val="38F60D32"/>
    <w:rPr>
      <w:rFonts w:ascii="Calibri Light" w:hAnsi="Calibri Light" w:eastAsia="" w:cs="" w:asciiTheme="majorAscii" w:hAnsiTheme="majorAscii" w:eastAsiaTheme="majorEastAsia" w:cstheme="majorBidi"/>
      <w:noProof w:val="0"/>
      <w:color w:val="272727"/>
      <w:sz w:val="21"/>
      <w:szCs w:val="21"/>
      <w:lang w:val="cy-GB"/>
    </w:rPr>
  </w:style>
  <w:style w:type="character" w:styleId="Heading9Char" w:customStyle="true">
    <w:uiPriority w:val="9"/>
    <w:name w:val="Heading 9 Char"/>
    <w:basedOn w:val="DefaultParagraphFont"/>
    <w:link w:val="Heading9"/>
    <w:rsid w:val="38F60D32"/>
    <w:rPr>
      <w:rFonts w:ascii="Calibri Light" w:hAnsi="Calibri Light" w:eastAsia="" w:cs="" w:asciiTheme="majorAscii" w:hAnsiTheme="majorAscii" w:eastAsiaTheme="majorEastAsia" w:cstheme="majorBidi"/>
      <w:i w:val="1"/>
      <w:iCs w:val="1"/>
      <w:noProof w:val="0"/>
      <w:color w:val="272727"/>
      <w:sz w:val="21"/>
      <w:szCs w:val="21"/>
      <w:lang w:val="cy-GB"/>
    </w:rPr>
  </w:style>
  <w:style w:type="character" w:styleId="TitleChar" w:customStyle="true">
    <w:uiPriority w:val="10"/>
    <w:name w:val="Title Char"/>
    <w:basedOn w:val="DefaultParagraphFont"/>
    <w:link w:val="Title"/>
    <w:rsid w:val="38F60D32"/>
    <w:rPr>
      <w:rFonts w:ascii="Calibri Light" w:hAnsi="Calibri Light" w:eastAsia="" w:cs="" w:asciiTheme="majorAscii" w:hAnsiTheme="majorAscii" w:eastAsiaTheme="majorEastAsia" w:cstheme="majorBidi"/>
      <w:noProof w:val="0"/>
      <w:sz w:val="56"/>
      <w:szCs w:val="56"/>
      <w:lang w:val="cy-GB"/>
    </w:rPr>
  </w:style>
  <w:style w:type="character" w:styleId="SubtitleChar" w:customStyle="true">
    <w:uiPriority w:val="11"/>
    <w:name w:val="Subtitle Char"/>
    <w:basedOn w:val="DefaultParagraphFont"/>
    <w:link w:val="Subtitle"/>
    <w:rsid w:val="38F60D32"/>
    <w:rPr>
      <w:rFonts w:ascii="Calibri" w:hAnsi="Calibri" w:eastAsia="" w:cs="" w:asciiTheme="minorAscii" w:hAnsiTheme="minorAscii" w:eastAsiaTheme="minorEastAsia" w:cstheme="minorBidi"/>
      <w:noProof w:val="0"/>
      <w:color w:val="5A5A5A"/>
      <w:lang w:val="cy-GB"/>
    </w:rPr>
  </w:style>
  <w:style w:type="character" w:styleId="QuoteChar" w:customStyle="true">
    <w:uiPriority w:val="29"/>
    <w:name w:val="Quote Char"/>
    <w:basedOn w:val="DefaultParagraphFont"/>
    <w:link w:val="Quote"/>
    <w:rsid w:val="38F60D32"/>
    <w:rPr>
      <w:i w:val="1"/>
      <w:iCs w:val="1"/>
      <w:noProof w:val="0"/>
      <w:color w:val="404040" w:themeColor="text1" w:themeTint="BF" w:themeShade="FF"/>
      <w:lang w:val="cy-GB"/>
    </w:rPr>
  </w:style>
  <w:style w:type="character" w:styleId="IntenseQuoteChar" w:customStyle="true">
    <w:uiPriority w:val="30"/>
    <w:name w:val="Intense Quote Char"/>
    <w:basedOn w:val="DefaultParagraphFont"/>
    <w:link w:val="IntenseQuote"/>
    <w:rsid w:val="38F60D32"/>
    <w:rPr>
      <w:i w:val="1"/>
      <w:iCs w:val="1"/>
      <w:noProof w:val="0"/>
      <w:color w:val="4472C4" w:themeColor="accent1" w:themeTint="FF" w:themeShade="FF"/>
      <w:lang w:val="cy-GB"/>
    </w:rPr>
  </w:style>
  <w:style w:type="paragraph" w:styleId="TOC1">
    <w:uiPriority w:val="39"/>
    <w:name w:val="toc 1"/>
    <w:basedOn w:val="Normal"/>
    <w:next w:val="Normal"/>
    <w:unhideWhenUsed/>
    <w:rsid w:val="38F60D32"/>
    <w:pPr>
      <w:spacing w:after="100"/>
    </w:pPr>
  </w:style>
  <w:style w:type="paragraph" w:styleId="TOC2">
    <w:uiPriority w:val="39"/>
    <w:name w:val="toc 2"/>
    <w:basedOn w:val="Normal"/>
    <w:next w:val="Normal"/>
    <w:unhideWhenUsed/>
    <w:rsid w:val="38F60D32"/>
    <w:pPr>
      <w:spacing w:after="100"/>
      <w:ind w:left="220"/>
    </w:pPr>
  </w:style>
  <w:style w:type="paragraph" w:styleId="TOC3">
    <w:uiPriority w:val="39"/>
    <w:name w:val="toc 3"/>
    <w:basedOn w:val="Normal"/>
    <w:next w:val="Normal"/>
    <w:unhideWhenUsed/>
    <w:rsid w:val="38F60D32"/>
    <w:pPr>
      <w:spacing w:after="100"/>
      <w:ind w:left="440"/>
    </w:pPr>
  </w:style>
  <w:style w:type="paragraph" w:styleId="TOC4">
    <w:uiPriority w:val="39"/>
    <w:name w:val="toc 4"/>
    <w:basedOn w:val="Normal"/>
    <w:next w:val="Normal"/>
    <w:unhideWhenUsed/>
    <w:rsid w:val="38F60D32"/>
    <w:pPr>
      <w:spacing w:after="100"/>
      <w:ind w:left="660"/>
    </w:pPr>
  </w:style>
  <w:style w:type="paragraph" w:styleId="TOC5">
    <w:uiPriority w:val="39"/>
    <w:name w:val="toc 5"/>
    <w:basedOn w:val="Normal"/>
    <w:next w:val="Normal"/>
    <w:unhideWhenUsed/>
    <w:rsid w:val="38F60D32"/>
    <w:pPr>
      <w:spacing w:after="100"/>
      <w:ind w:left="880"/>
    </w:pPr>
  </w:style>
  <w:style w:type="paragraph" w:styleId="TOC6">
    <w:uiPriority w:val="39"/>
    <w:name w:val="toc 6"/>
    <w:basedOn w:val="Normal"/>
    <w:next w:val="Normal"/>
    <w:unhideWhenUsed/>
    <w:rsid w:val="38F60D32"/>
    <w:pPr>
      <w:spacing w:after="100"/>
      <w:ind w:left="1100"/>
    </w:pPr>
  </w:style>
  <w:style w:type="paragraph" w:styleId="TOC7">
    <w:uiPriority w:val="39"/>
    <w:name w:val="toc 7"/>
    <w:basedOn w:val="Normal"/>
    <w:next w:val="Normal"/>
    <w:unhideWhenUsed/>
    <w:rsid w:val="38F60D32"/>
    <w:pPr>
      <w:spacing w:after="100"/>
      <w:ind w:left="1320"/>
    </w:pPr>
  </w:style>
  <w:style w:type="paragraph" w:styleId="TOC8">
    <w:uiPriority w:val="39"/>
    <w:name w:val="toc 8"/>
    <w:basedOn w:val="Normal"/>
    <w:next w:val="Normal"/>
    <w:unhideWhenUsed/>
    <w:rsid w:val="38F60D32"/>
    <w:pPr>
      <w:spacing w:after="100"/>
      <w:ind w:left="1540"/>
    </w:pPr>
  </w:style>
  <w:style w:type="paragraph" w:styleId="TOC9">
    <w:uiPriority w:val="39"/>
    <w:name w:val="toc 9"/>
    <w:basedOn w:val="Normal"/>
    <w:next w:val="Normal"/>
    <w:unhideWhenUsed/>
    <w:rsid w:val="38F60D32"/>
    <w:pPr>
      <w:spacing w:after="100"/>
      <w:ind w:left="1760"/>
    </w:pPr>
  </w:style>
  <w:style w:type="paragraph" w:styleId="EndnoteText">
    <w:uiPriority w:val="99"/>
    <w:name w:val="endnote text"/>
    <w:basedOn w:val="Normal"/>
    <w:semiHidden/>
    <w:unhideWhenUsed/>
    <w:link w:val="EndnoteTextChar"/>
    <w:rsid w:val="38F60D32"/>
    <w:rPr>
      <w:sz w:val="20"/>
      <w:szCs w:val="20"/>
    </w:rPr>
    <w:pPr>
      <w:spacing w:after="0"/>
    </w:pPr>
  </w:style>
  <w:style w:type="character" w:styleId="EndnoteTextChar" w:customStyle="true">
    <w:uiPriority w:val="99"/>
    <w:name w:val="Endnote Text Char"/>
    <w:basedOn w:val="DefaultParagraphFont"/>
    <w:semiHidden/>
    <w:link w:val="EndnoteText"/>
    <w:rsid w:val="38F60D32"/>
    <w:rPr>
      <w:noProof w:val="0"/>
      <w:sz w:val="20"/>
      <w:szCs w:val="20"/>
      <w:lang w:val="cy-GB"/>
    </w:rPr>
  </w:style>
  <w:style w:type="paragraph" w:styleId="Footer">
    <w:uiPriority w:val="99"/>
    <w:name w:val="footer"/>
    <w:basedOn w:val="Normal"/>
    <w:unhideWhenUsed/>
    <w:link w:val="FooterChar"/>
    <w:rsid w:val="38F60D3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8F60D32"/>
    <w:rPr>
      <w:noProof w:val="0"/>
      <w:lang w:val="cy-GB"/>
    </w:rPr>
  </w:style>
  <w:style w:type="paragraph" w:styleId="FootnoteText">
    <w:uiPriority w:val="99"/>
    <w:name w:val="footnote text"/>
    <w:basedOn w:val="Normal"/>
    <w:semiHidden/>
    <w:unhideWhenUsed/>
    <w:link w:val="FootnoteTextChar"/>
    <w:rsid w:val="38F60D32"/>
    <w:rPr>
      <w:sz w:val="20"/>
      <w:szCs w:val="20"/>
    </w:rPr>
    <w:pPr>
      <w:spacing w:after="0"/>
    </w:pPr>
  </w:style>
  <w:style w:type="character" w:styleId="FootnoteTextChar" w:customStyle="true">
    <w:uiPriority w:val="99"/>
    <w:name w:val="Footnote Text Char"/>
    <w:basedOn w:val="DefaultParagraphFont"/>
    <w:semiHidden/>
    <w:link w:val="FootnoteText"/>
    <w:rsid w:val="38F60D32"/>
    <w:rPr>
      <w:noProof w:val="0"/>
      <w:sz w:val="20"/>
      <w:szCs w:val="20"/>
      <w:lang w:val="cy-GB"/>
    </w:rPr>
  </w:style>
  <w:style w:type="paragraph" w:styleId="Header">
    <w:uiPriority w:val="99"/>
    <w:name w:val="header"/>
    <w:basedOn w:val="Normal"/>
    <w:unhideWhenUsed/>
    <w:link w:val="HeaderChar"/>
    <w:rsid w:val="38F60D3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8F60D32"/>
    <w:rPr>
      <w:noProof w:val="0"/>
      <w:lang w:val="cy-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w:/g/personal/1902500_student_uwtsd_ac_uk/EQX-pJkPjWhJjJVV1Fiz9O0B485vyOZeDgVmNTRSjmfcyg?e=obvmkw" TargetMode="External" Id="Rcaa6338779714e5b" /><Relationship Type="http://schemas.openxmlformats.org/officeDocument/2006/relationships/hyperlink" Target="https://hwb.gov.wales/cwricwlwm-i-gymru/cynllunio-eich-cwricwlwm/themau-trawsgwricwlaidd-ar-gyfer-cynllunio-eich-cwricwlwm/" TargetMode="External" Id="R9ee7ef7c30cc4db6" /><Relationship Type="http://schemas.openxmlformats.org/officeDocument/2006/relationships/hyperlink" Target="https://llyw.cymru/sites/default/files/publications/2018-03/dyfodol-llwyddiannus.pdf" TargetMode="External" Id="R946794a79efc445d" /><Relationship Type="http://schemas.openxmlformats.org/officeDocument/2006/relationships/hyperlink" Target="https://hwb.gov.wales/curriculum-for-wales" TargetMode="External" Id="Ra78fe117e6194e33" /><Relationship Type="http://schemas.openxmlformats.org/officeDocument/2006/relationships/hyperlink" Target="http://www.jouneytoexcellence.org.uk/videos/expertspeakers/assessmentforlearningdylanwilliam.asp" TargetMode="External" Id="R92981144bf4d4e04" /><Relationship Type="http://schemas.openxmlformats.org/officeDocument/2006/relationships/hyperlink" Target="https://ccea.org.uk/downloads/docs/ccea-asset/Curriculum/The%20Northern%20Ireland%20Curriculum%20-%20Primary.pdf" TargetMode="External" Id="R80052b63e1cf4e9c" /><Relationship Type="http://schemas.openxmlformats.org/officeDocument/2006/relationships/hyperlink" Target="https://hwb.gov.wales/cwricwlwm-i-gymru/cwricwlwm-i-gymru-cynllun-gweithredu/" TargetMode="External" Id="Re2fdb9d6b9de4dd9" /><Relationship Type="http://schemas.openxmlformats.org/officeDocument/2006/relationships/hyperlink" Target="https://www.estyn.llyw.cymru/arfer-effeithiol/dysgu-trwy-chwarae-mewn-cyd-destun-bywyd-go-iawn" TargetMode="External" Id="Raa5250e98b96464c" /><Relationship Type="http://schemas.openxmlformats.org/officeDocument/2006/relationships/hyperlink" Target="https://llyw.cymru/sites/default/files/publications/2020-07/ymateb-llywodraeth-cymru-ysgolion-cymunedol-teuluoedd-a-chymunedau-wrth-wraidd-bywyd-ysgol.pdf" TargetMode="External" Id="R3a466e3b130e45f2" /><Relationship Type="http://schemas.openxmlformats.org/officeDocument/2006/relationships/hyperlink" Target="https://www.history.org.uk/primary/module/3638/leading-primary-history/3653/cross-curricular-learning" TargetMode="External" Id="R071f8ab6cc524eb0" /><Relationship Type="http://schemas.openxmlformats.org/officeDocument/2006/relationships/hyperlink" Target="https://www.gwegogledd.cymru/wp-content/uploads/2018/10/Llyfryn-Cwricwlwm-i-Gymru-Cymraeg.pdf" TargetMode="External" Id="Rf76dee6f70da465b" /><Relationship Type="http://schemas.openxmlformats.org/officeDocument/2006/relationships/hyperlink" Target="https://www.uwc.org/attachments/download.asp?file=4960&amp;type=pdf" TargetMode="External" Id="Rbbbbc5a136d64f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Tesni Stevens (1902500)</dc:creator>
  <keywords/>
  <dc:description/>
  <lastModifiedBy>Tesni Stevens (1902500)</lastModifiedBy>
  <revision>2</revision>
  <dcterms:created xsi:type="dcterms:W3CDTF">2022-04-08T17:09:39.0673798Z</dcterms:created>
  <dcterms:modified xsi:type="dcterms:W3CDTF">2022-04-08T17:11:49.4020839Z</dcterms:modified>
</coreProperties>
</file>