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19DBC9" w14:textId="1E049F66" w:rsidR="00740139" w:rsidRPr="00740139" w:rsidRDefault="00740139" w:rsidP="00740139">
      <w:pPr>
        <w:spacing w:line="360" w:lineRule="auto"/>
        <w:jc w:val="both"/>
        <w:rPr>
          <w:rFonts w:ascii="Calibri" w:hAnsi="Calibri" w:cs="Calibri"/>
          <w:b/>
          <w:bCs/>
          <w:sz w:val="28"/>
          <w:szCs w:val="28"/>
        </w:rPr>
      </w:pPr>
      <w:r>
        <w:rPr>
          <w:rFonts w:ascii="Calibri" w:hAnsi="Calibri" w:cs="Calibri"/>
          <w:b/>
          <w:bCs/>
        </w:rPr>
        <w:t xml:space="preserve">                                                      </w:t>
      </w:r>
      <w:r w:rsidRPr="00740139">
        <w:rPr>
          <w:rFonts w:ascii="Calibri" w:hAnsi="Calibri" w:cs="Calibri"/>
          <w:b/>
          <w:bCs/>
          <w:sz w:val="28"/>
          <w:szCs w:val="28"/>
        </w:rPr>
        <w:t>Internal Memorandum</w:t>
      </w:r>
    </w:p>
    <w:p w14:paraId="2211828A" w14:textId="77777777" w:rsidR="00740139" w:rsidRPr="00740139" w:rsidRDefault="00740139" w:rsidP="00740139">
      <w:pPr>
        <w:spacing w:line="360" w:lineRule="auto"/>
        <w:jc w:val="both"/>
        <w:rPr>
          <w:rFonts w:ascii="Calibri" w:hAnsi="Calibri" w:cs="Calibri"/>
        </w:rPr>
      </w:pPr>
    </w:p>
    <w:p w14:paraId="14C9BDC7" w14:textId="77777777" w:rsidR="00740139" w:rsidRPr="00740139" w:rsidRDefault="00740139" w:rsidP="00740139">
      <w:pPr>
        <w:spacing w:line="360" w:lineRule="auto"/>
        <w:jc w:val="both"/>
        <w:rPr>
          <w:rFonts w:ascii="Calibri" w:hAnsi="Calibri" w:cs="Calibri"/>
        </w:rPr>
      </w:pPr>
      <w:r w:rsidRPr="00740139">
        <w:rPr>
          <w:rFonts w:ascii="Calibri" w:hAnsi="Calibri" w:cs="Calibri"/>
        </w:rPr>
        <w:t>TO: Ada Adebayo</w:t>
      </w:r>
    </w:p>
    <w:p w14:paraId="1A824660" w14:textId="1C780105" w:rsidR="00740139" w:rsidRPr="00740139" w:rsidRDefault="00740139" w:rsidP="00740139">
      <w:pPr>
        <w:spacing w:line="360" w:lineRule="auto"/>
        <w:jc w:val="both"/>
        <w:rPr>
          <w:rFonts w:ascii="Calibri" w:hAnsi="Calibri" w:cs="Calibri"/>
        </w:rPr>
      </w:pPr>
      <w:r w:rsidRPr="00740139">
        <w:rPr>
          <w:rFonts w:ascii="Calibri" w:hAnsi="Calibri" w:cs="Calibri"/>
        </w:rPr>
        <w:t xml:space="preserve">FROM: </w:t>
      </w:r>
      <w:r>
        <w:rPr>
          <w:rFonts w:ascii="Calibri" w:hAnsi="Calibri" w:cs="Calibri"/>
        </w:rPr>
        <w:t>Salimata Traore</w:t>
      </w:r>
    </w:p>
    <w:p w14:paraId="12D28481" w14:textId="77777777" w:rsidR="00740139" w:rsidRPr="00740139" w:rsidRDefault="00740139" w:rsidP="00740139">
      <w:pPr>
        <w:spacing w:line="360" w:lineRule="auto"/>
        <w:jc w:val="both"/>
        <w:rPr>
          <w:rFonts w:ascii="Calibri" w:hAnsi="Calibri" w:cs="Calibri"/>
        </w:rPr>
      </w:pPr>
      <w:r w:rsidRPr="00740139">
        <w:rPr>
          <w:rFonts w:ascii="Calibri" w:hAnsi="Calibri" w:cs="Calibri"/>
        </w:rPr>
        <w:t>MATTER: Case of Kim Cottrell</w:t>
      </w:r>
    </w:p>
    <w:p w14:paraId="6C7A3ED5" w14:textId="3831B150" w:rsidR="00740139" w:rsidRDefault="00740139" w:rsidP="00740139">
      <w:pPr>
        <w:spacing w:line="360" w:lineRule="auto"/>
        <w:jc w:val="both"/>
        <w:rPr>
          <w:rFonts w:ascii="Calibri" w:hAnsi="Calibri" w:cs="Calibri"/>
        </w:rPr>
      </w:pPr>
      <w:r w:rsidRPr="00740139">
        <w:rPr>
          <w:rFonts w:ascii="Calibri" w:hAnsi="Calibri" w:cs="Calibri"/>
        </w:rPr>
        <w:t>DATE: 1</w:t>
      </w:r>
      <w:r>
        <w:rPr>
          <w:rFonts w:ascii="Calibri" w:hAnsi="Calibri" w:cs="Calibri"/>
        </w:rPr>
        <w:t>4</w:t>
      </w:r>
      <w:r w:rsidRPr="00740139">
        <w:rPr>
          <w:rFonts w:ascii="Calibri" w:hAnsi="Calibri" w:cs="Calibri"/>
        </w:rPr>
        <w:t xml:space="preserve"> March 202</w:t>
      </w:r>
      <w:r>
        <w:rPr>
          <w:rFonts w:ascii="Calibri" w:hAnsi="Calibri" w:cs="Calibri"/>
        </w:rPr>
        <w:t>4</w:t>
      </w:r>
    </w:p>
    <w:p w14:paraId="00BE45B0" w14:textId="1E842D7B" w:rsidR="00740139" w:rsidRDefault="00740139" w:rsidP="00740139">
      <w:pPr>
        <w:spacing w:line="360" w:lineRule="auto"/>
        <w:jc w:val="both"/>
        <w:rPr>
          <w:rFonts w:ascii="Calibri" w:hAnsi="Calibri" w:cs="Calibri"/>
        </w:rPr>
      </w:pPr>
      <w:r>
        <w:rPr>
          <w:rFonts w:ascii="Calibri" w:hAnsi="Calibri" w:cs="Calibri"/>
        </w:rPr>
        <w:t xml:space="preserve"> </w:t>
      </w:r>
    </w:p>
    <w:p w14:paraId="460310E5" w14:textId="0A1F43D7" w:rsidR="00740139" w:rsidRPr="005D3A84" w:rsidRDefault="00740139" w:rsidP="00740139">
      <w:pPr>
        <w:spacing w:line="360" w:lineRule="auto"/>
        <w:jc w:val="both"/>
        <w:rPr>
          <w:rFonts w:ascii="Calibri" w:hAnsi="Calibri" w:cs="Calibri"/>
        </w:rPr>
      </w:pPr>
      <w:r w:rsidRPr="005D3A84">
        <w:rPr>
          <w:rFonts w:ascii="Calibri" w:hAnsi="Calibri" w:cs="Calibri"/>
        </w:rPr>
        <w:t>Dear Ada Adebayo,</w:t>
      </w:r>
    </w:p>
    <w:p w14:paraId="7EAC025F" w14:textId="77777777" w:rsidR="00740139" w:rsidRPr="005D3A84" w:rsidRDefault="00740139" w:rsidP="00740139">
      <w:pPr>
        <w:spacing w:line="360" w:lineRule="auto"/>
        <w:jc w:val="both"/>
        <w:rPr>
          <w:rFonts w:ascii="Calibri" w:hAnsi="Calibri" w:cs="Calibri"/>
          <w:b/>
          <w:bCs/>
        </w:rPr>
      </w:pPr>
      <w:r w:rsidRPr="005D3A84">
        <w:rPr>
          <w:rFonts w:ascii="Calibri" w:hAnsi="Calibri" w:cs="Calibri"/>
          <w:b/>
          <w:bCs/>
        </w:rPr>
        <w:t>Background</w:t>
      </w:r>
    </w:p>
    <w:p w14:paraId="27E3E6E8" w14:textId="64D45BE1" w:rsidR="00740139" w:rsidRPr="005D3A84" w:rsidRDefault="00740139" w:rsidP="00740139">
      <w:pPr>
        <w:spacing w:line="360" w:lineRule="auto"/>
        <w:jc w:val="both"/>
        <w:rPr>
          <w:rFonts w:ascii="Calibri" w:hAnsi="Calibri" w:cs="Calibri"/>
        </w:rPr>
      </w:pPr>
      <w:r w:rsidRPr="005D3A84">
        <w:rPr>
          <w:rFonts w:ascii="Calibri" w:hAnsi="Calibri" w:cs="Calibri"/>
        </w:rPr>
        <w:t>Kim Cottrell, aged 26, has been charged with one count of assault occasioning actual bodily harm following an altercation at the Dog and Duck public house. The incident</w:t>
      </w:r>
      <w:r w:rsidR="00F13410">
        <w:rPr>
          <w:rFonts w:ascii="Calibri" w:hAnsi="Calibri" w:cs="Calibri"/>
        </w:rPr>
        <w:t xml:space="preserve"> </w:t>
      </w:r>
      <w:proofErr w:type="gramStart"/>
      <w:r w:rsidR="00B132FD">
        <w:rPr>
          <w:rFonts w:ascii="Calibri" w:hAnsi="Calibri" w:cs="Calibri"/>
        </w:rPr>
        <w:t xml:space="preserve">had </w:t>
      </w:r>
      <w:r w:rsidRPr="005D3A84">
        <w:rPr>
          <w:rFonts w:ascii="Calibri" w:hAnsi="Calibri" w:cs="Calibri"/>
        </w:rPr>
        <w:t xml:space="preserve"> occurred</w:t>
      </w:r>
      <w:proofErr w:type="gramEnd"/>
      <w:r w:rsidRPr="005D3A84">
        <w:rPr>
          <w:rFonts w:ascii="Calibri" w:hAnsi="Calibri" w:cs="Calibri"/>
        </w:rPr>
        <w:t xml:space="preserve"> on Saturday, March 2nd, 2024, </w:t>
      </w:r>
      <w:r w:rsidR="002813A0">
        <w:rPr>
          <w:rFonts w:ascii="Calibri" w:hAnsi="Calibri" w:cs="Calibri"/>
        </w:rPr>
        <w:t>when</w:t>
      </w:r>
      <w:r w:rsidRPr="005D3A84">
        <w:rPr>
          <w:rFonts w:ascii="Calibri" w:hAnsi="Calibri" w:cs="Calibri"/>
        </w:rPr>
        <w:t xml:space="preserve"> Kim, in a state of grief over the sudden death of her aunt, allegedly slapped Bob Branning after he made an insulting comment about the deceased. Kim was arrested, fingerprinted, and interviewed at the police station. She asserts that she refused fingerprinting due to discomfort with physical contact and would have requested legal representation had she been informed of her rights. Currently on unconditional bail, Kim intends to plead not guilty.</w:t>
      </w:r>
    </w:p>
    <w:p w14:paraId="6D1E1770" w14:textId="77777777" w:rsidR="00740139" w:rsidRPr="005D3A84" w:rsidRDefault="00740139" w:rsidP="00740139">
      <w:pPr>
        <w:spacing w:line="360" w:lineRule="auto"/>
        <w:jc w:val="both"/>
        <w:rPr>
          <w:rFonts w:ascii="Calibri" w:hAnsi="Calibri" w:cs="Calibri"/>
        </w:rPr>
      </w:pPr>
    </w:p>
    <w:p w14:paraId="367616A1" w14:textId="77777777" w:rsidR="00740139" w:rsidRPr="005D3A84" w:rsidRDefault="00740139" w:rsidP="00740139">
      <w:pPr>
        <w:spacing w:line="360" w:lineRule="auto"/>
        <w:jc w:val="both"/>
        <w:rPr>
          <w:rFonts w:ascii="Calibri" w:hAnsi="Calibri" w:cs="Calibri"/>
          <w:b/>
          <w:bCs/>
        </w:rPr>
      </w:pPr>
      <w:r w:rsidRPr="005D3A84">
        <w:rPr>
          <w:rFonts w:ascii="Calibri" w:hAnsi="Calibri" w:cs="Calibri"/>
          <w:b/>
          <w:bCs/>
        </w:rPr>
        <w:t>Substantive Law</w:t>
      </w:r>
    </w:p>
    <w:p w14:paraId="6B4EEA8A" w14:textId="5B2DEB3A" w:rsidR="00740139" w:rsidRDefault="00740139" w:rsidP="00740139">
      <w:pPr>
        <w:spacing w:line="360" w:lineRule="auto"/>
        <w:jc w:val="both"/>
        <w:rPr>
          <w:rFonts w:ascii="Calibri" w:hAnsi="Calibri" w:cs="Calibri"/>
        </w:rPr>
      </w:pPr>
      <w:r w:rsidRPr="005D3A84">
        <w:rPr>
          <w:rFonts w:ascii="Calibri" w:hAnsi="Calibri" w:cs="Calibri"/>
        </w:rPr>
        <w:t xml:space="preserve">The Offences Against the Person Act 1861 delineates assault occasioning actual bodily harm (ABH) as any harm that "interferes with the health or comfort" of the victim. For the prosecution to secure a conviction, it must establish both the </w:t>
      </w:r>
      <w:proofErr w:type="spellStart"/>
      <w:r w:rsidRPr="005D3A84">
        <w:rPr>
          <w:rFonts w:ascii="Calibri" w:hAnsi="Calibri" w:cs="Calibri"/>
        </w:rPr>
        <w:t>mens</w:t>
      </w:r>
      <w:proofErr w:type="spellEnd"/>
      <w:r w:rsidRPr="005D3A84">
        <w:rPr>
          <w:rFonts w:ascii="Calibri" w:hAnsi="Calibri" w:cs="Calibri"/>
        </w:rPr>
        <w:t xml:space="preserve"> rea and actus reus elements. The </w:t>
      </w:r>
      <w:proofErr w:type="spellStart"/>
      <w:r w:rsidRPr="005D3A84">
        <w:rPr>
          <w:rFonts w:ascii="Calibri" w:hAnsi="Calibri" w:cs="Calibri"/>
        </w:rPr>
        <w:t>mens</w:t>
      </w:r>
      <w:proofErr w:type="spellEnd"/>
      <w:r w:rsidRPr="005D3A84">
        <w:rPr>
          <w:rFonts w:ascii="Calibri" w:hAnsi="Calibri" w:cs="Calibri"/>
        </w:rPr>
        <w:t xml:space="preserve"> rea necessitates intention or recklessness concerning causing harm, as elucidated in the case of R v. Cunningham [1957] 2 QB 396. Actus reus is established if the defendant's actions directly caused the harm, as demonstrated in R v. Miller [1954] 2 QB 282. Sentencing for ABH is variable, contingent on the gravity of the </w:t>
      </w:r>
      <w:r w:rsidR="002813A0">
        <w:rPr>
          <w:rFonts w:ascii="Calibri" w:hAnsi="Calibri" w:cs="Calibri"/>
        </w:rPr>
        <w:t>offence</w:t>
      </w:r>
      <w:r w:rsidRPr="005D3A84">
        <w:rPr>
          <w:rFonts w:ascii="Calibri" w:hAnsi="Calibri" w:cs="Calibri"/>
        </w:rPr>
        <w:t>, ranging from community orders to imprisonment (Sentencing Council, 2011).</w:t>
      </w:r>
    </w:p>
    <w:p w14:paraId="4D8897FC" w14:textId="466164C1" w:rsidR="00740139" w:rsidRDefault="00740139" w:rsidP="00740139">
      <w:pPr>
        <w:spacing w:line="360" w:lineRule="auto"/>
        <w:jc w:val="both"/>
        <w:rPr>
          <w:rFonts w:ascii="Calibri" w:hAnsi="Calibri" w:cs="Calibri"/>
          <w:b/>
          <w:bCs/>
        </w:rPr>
      </w:pPr>
    </w:p>
    <w:p w14:paraId="292D2BE3" w14:textId="729AF758" w:rsidR="00817A57" w:rsidRPr="00F40C6F" w:rsidRDefault="00740139" w:rsidP="00740139">
      <w:pPr>
        <w:spacing w:line="360" w:lineRule="auto"/>
        <w:jc w:val="both"/>
        <w:rPr>
          <w:rFonts w:ascii="Calibri" w:hAnsi="Calibri" w:cs="Calibri"/>
          <w:b/>
          <w:bCs/>
        </w:rPr>
      </w:pPr>
      <w:r w:rsidRPr="00A52AF0">
        <w:rPr>
          <w:rFonts w:ascii="Calibri" w:hAnsi="Calibri" w:cs="Calibri"/>
          <w:b/>
          <w:bCs/>
        </w:rPr>
        <w:t>Legal Framework</w:t>
      </w:r>
    </w:p>
    <w:p w14:paraId="2D2A25FB" w14:textId="532DF5D7" w:rsidR="00817A57" w:rsidRDefault="00014D73" w:rsidP="00740139">
      <w:pPr>
        <w:spacing w:line="360" w:lineRule="auto"/>
        <w:jc w:val="both"/>
        <w:rPr>
          <w:rFonts w:ascii="Calibri" w:hAnsi="Calibri" w:cs="Calibri"/>
        </w:rPr>
      </w:pPr>
      <w:r>
        <w:rPr>
          <w:rFonts w:ascii="Calibri" w:hAnsi="Calibri" w:cs="Calibri"/>
        </w:rPr>
        <w:t>To</w:t>
      </w:r>
      <w:r w:rsidR="00256D53">
        <w:rPr>
          <w:rFonts w:ascii="Calibri" w:hAnsi="Calibri" w:cs="Calibri"/>
        </w:rPr>
        <w:t xml:space="preserve"> </w:t>
      </w:r>
      <w:r>
        <w:rPr>
          <w:rFonts w:ascii="Calibri" w:hAnsi="Calibri" w:cs="Calibri"/>
        </w:rPr>
        <w:t>fully understand</w:t>
      </w:r>
      <w:r w:rsidR="00256D53" w:rsidRPr="00256D53">
        <w:rPr>
          <w:rFonts w:ascii="Calibri" w:hAnsi="Calibri" w:cs="Calibri"/>
        </w:rPr>
        <w:t xml:space="preserve"> the total repercussions of Kim's case and its legitimate suggestions, a comprehensive examination of different substantive laws is </w:t>
      </w:r>
      <w:r w:rsidR="00F40C6F">
        <w:rPr>
          <w:rFonts w:ascii="Calibri" w:hAnsi="Calibri" w:cs="Calibri"/>
        </w:rPr>
        <w:t>important</w:t>
      </w:r>
      <w:r w:rsidR="00256D53" w:rsidRPr="00256D53">
        <w:rPr>
          <w:rFonts w:ascii="Calibri" w:hAnsi="Calibri" w:cs="Calibri"/>
        </w:rPr>
        <w:t xml:space="preserve">. Kim's case likely includes different lawful statutes that oversee </w:t>
      </w:r>
      <w:r w:rsidR="00C62CDD">
        <w:rPr>
          <w:rFonts w:ascii="Calibri" w:hAnsi="Calibri" w:cs="Calibri"/>
        </w:rPr>
        <w:t>different</w:t>
      </w:r>
      <w:r w:rsidR="00256D53" w:rsidRPr="00256D53">
        <w:rPr>
          <w:rFonts w:ascii="Calibri" w:hAnsi="Calibri" w:cs="Calibri"/>
        </w:rPr>
        <w:t xml:space="preserve"> viewpoints of criminal law and procedure. Key administrative systems which will apply to Kim's case incorporate the Offenses Against the Individual Act 1861, which addresses </w:t>
      </w:r>
      <w:r w:rsidR="00F43CA4">
        <w:rPr>
          <w:rFonts w:ascii="Calibri" w:hAnsi="Calibri" w:cs="Calibri"/>
        </w:rPr>
        <w:t>offences</w:t>
      </w:r>
      <w:r w:rsidR="00256D53" w:rsidRPr="00256D53">
        <w:rPr>
          <w:rFonts w:ascii="Calibri" w:hAnsi="Calibri" w:cs="Calibri"/>
        </w:rPr>
        <w:t xml:space="preserve"> such as ambush, battery, and other violations against people. Moreover, the Police and Criminal Prove Act 1984 </w:t>
      </w:r>
      <w:r w:rsidR="009B740E">
        <w:rPr>
          <w:rFonts w:ascii="Calibri" w:hAnsi="Calibri" w:cs="Calibri"/>
        </w:rPr>
        <w:t>establishes</w:t>
      </w:r>
      <w:r w:rsidR="00256D53" w:rsidRPr="00256D53">
        <w:rPr>
          <w:rFonts w:ascii="Calibri" w:hAnsi="Calibri" w:cs="Calibri"/>
        </w:rPr>
        <w:t xml:space="preserve"> rules for police conduct amid examinations, counting rules for capture, detainment, and </w:t>
      </w:r>
      <w:r w:rsidR="00F43CA4">
        <w:rPr>
          <w:rFonts w:ascii="Calibri" w:hAnsi="Calibri" w:cs="Calibri"/>
        </w:rPr>
        <w:t>proof-gathering</w:t>
      </w:r>
      <w:r w:rsidR="00256D53" w:rsidRPr="00256D53">
        <w:rPr>
          <w:rFonts w:ascii="Calibri" w:hAnsi="Calibri" w:cs="Calibri"/>
        </w:rPr>
        <w:t xml:space="preserve"> strategies. The Human Rights Act 1998 plays a pivotal part in defending </w:t>
      </w:r>
      <w:r w:rsidR="009B740E">
        <w:rPr>
          <w:rFonts w:ascii="Calibri" w:hAnsi="Calibri" w:cs="Calibri"/>
        </w:rPr>
        <w:t>personal</w:t>
      </w:r>
      <w:r w:rsidR="00256D53" w:rsidRPr="00256D53">
        <w:rPr>
          <w:rFonts w:ascii="Calibri" w:hAnsi="Calibri" w:cs="Calibri"/>
        </w:rPr>
        <w:t xml:space="preserve"> rights and freedoms, guaranteeing that legitimate procedures are conducted reasonably and in understanding with principal human rights standards. Besides, the Criminal Equity and Open Arrange Act 1994 may contain arrangements significant to Kim's case, especially </w:t>
      </w:r>
      <w:r w:rsidR="003765D9">
        <w:rPr>
          <w:rFonts w:ascii="Calibri" w:hAnsi="Calibri" w:cs="Calibri"/>
        </w:rPr>
        <w:t>concerning</w:t>
      </w:r>
      <w:r w:rsidR="00256D53" w:rsidRPr="00256D53">
        <w:rPr>
          <w:rFonts w:ascii="Calibri" w:hAnsi="Calibri" w:cs="Calibri"/>
        </w:rPr>
        <w:t xml:space="preserve"> issues such as open arrange </w:t>
      </w:r>
      <w:r w:rsidR="003765D9">
        <w:rPr>
          <w:rFonts w:ascii="Calibri" w:hAnsi="Calibri" w:cs="Calibri"/>
        </w:rPr>
        <w:t>offences</w:t>
      </w:r>
      <w:r w:rsidR="00256D53" w:rsidRPr="00256D53">
        <w:rPr>
          <w:rFonts w:ascii="Calibri" w:hAnsi="Calibri" w:cs="Calibri"/>
        </w:rPr>
        <w:t xml:space="preserve"> and sentencing rules. At long last, the Safeguard Act </w:t>
      </w:r>
      <w:r w:rsidR="003765D9">
        <w:rPr>
          <w:rFonts w:ascii="Calibri" w:hAnsi="Calibri" w:cs="Calibri"/>
        </w:rPr>
        <w:t xml:space="preserve">of </w:t>
      </w:r>
      <w:r w:rsidR="00256D53" w:rsidRPr="00256D53">
        <w:rPr>
          <w:rFonts w:ascii="Calibri" w:hAnsi="Calibri" w:cs="Calibri"/>
        </w:rPr>
        <w:t xml:space="preserve">1976 administers the allowing of </w:t>
      </w:r>
      <w:r w:rsidR="003765D9">
        <w:rPr>
          <w:rFonts w:ascii="Calibri" w:hAnsi="Calibri" w:cs="Calibri"/>
        </w:rPr>
        <w:t>safeguards</w:t>
      </w:r>
      <w:r w:rsidR="00256D53" w:rsidRPr="00256D53">
        <w:rPr>
          <w:rFonts w:ascii="Calibri" w:hAnsi="Calibri" w:cs="Calibri"/>
        </w:rPr>
        <w:t xml:space="preserve"> to people anticipating trial, managing the conditions beneath which </w:t>
      </w:r>
      <w:r w:rsidR="003765D9">
        <w:rPr>
          <w:rFonts w:ascii="Calibri" w:hAnsi="Calibri" w:cs="Calibri"/>
        </w:rPr>
        <w:t>safeguards</w:t>
      </w:r>
      <w:r w:rsidR="00256D53" w:rsidRPr="00256D53">
        <w:rPr>
          <w:rFonts w:ascii="Calibri" w:hAnsi="Calibri" w:cs="Calibri"/>
        </w:rPr>
        <w:t xml:space="preserve"> may be allowed or denied. By looking at these administrative systems in conjunction with the specifics of Kim's case, a more comprehensive understanding of the lawful scene and potential suggestions can be </w:t>
      </w:r>
      <w:r w:rsidR="003765D9">
        <w:rPr>
          <w:rFonts w:ascii="Calibri" w:hAnsi="Calibri" w:cs="Calibri"/>
        </w:rPr>
        <w:t>obtained</w:t>
      </w:r>
      <w:r w:rsidR="00256D53" w:rsidRPr="00256D53">
        <w:rPr>
          <w:rFonts w:ascii="Calibri" w:hAnsi="Calibri" w:cs="Calibri"/>
        </w:rPr>
        <w:t>.</w:t>
      </w:r>
    </w:p>
    <w:p w14:paraId="284CC1AA" w14:textId="77777777" w:rsidR="00817A57" w:rsidRDefault="00817A57" w:rsidP="00740139">
      <w:pPr>
        <w:spacing w:line="360" w:lineRule="auto"/>
        <w:jc w:val="both"/>
        <w:rPr>
          <w:rFonts w:ascii="Calibri" w:hAnsi="Calibri" w:cs="Calibri"/>
        </w:rPr>
      </w:pPr>
    </w:p>
    <w:p w14:paraId="4E061464" w14:textId="7478F42E" w:rsidR="00740139" w:rsidRPr="008528D0" w:rsidRDefault="00740139" w:rsidP="00740139">
      <w:pPr>
        <w:spacing w:line="360" w:lineRule="auto"/>
        <w:jc w:val="both"/>
        <w:rPr>
          <w:rFonts w:ascii="Calibri" w:hAnsi="Calibri" w:cs="Calibri"/>
        </w:rPr>
      </w:pPr>
      <w:r w:rsidRPr="008528D0">
        <w:rPr>
          <w:rFonts w:ascii="Calibri" w:hAnsi="Calibri" w:cs="Calibri"/>
          <w:b/>
          <w:bCs/>
        </w:rPr>
        <w:t>Offence and Sentencing</w:t>
      </w:r>
      <w:r w:rsidRPr="008528D0">
        <w:rPr>
          <w:rFonts w:ascii="Calibri" w:hAnsi="Calibri" w:cs="Calibri"/>
        </w:rPr>
        <w:t>:</w:t>
      </w:r>
      <w:r>
        <w:rPr>
          <w:rFonts w:ascii="Calibri" w:hAnsi="Calibri" w:cs="Calibri"/>
        </w:rPr>
        <w:t xml:space="preserve"> </w:t>
      </w:r>
      <w:r w:rsidRPr="008528D0">
        <w:rPr>
          <w:rFonts w:ascii="Calibri" w:hAnsi="Calibri" w:cs="Calibri"/>
        </w:rPr>
        <w:t xml:space="preserve">Kim Cottrell's case involves charges under the Offences Against the Person Act 1861, specifically assault occasioning actual bodily harm (ABH), defined as any harm that "interferes with the health or comfort" of the victim (Offences Against the Person Act 1861, s.47). In understanding the charges, it's crucial to consider the </w:t>
      </w:r>
      <w:proofErr w:type="spellStart"/>
      <w:r w:rsidRPr="008528D0">
        <w:rPr>
          <w:rFonts w:ascii="Calibri" w:hAnsi="Calibri" w:cs="Calibri"/>
        </w:rPr>
        <w:t>mens</w:t>
      </w:r>
      <w:proofErr w:type="spellEnd"/>
      <w:r w:rsidRPr="008528D0">
        <w:rPr>
          <w:rFonts w:ascii="Calibri" w:hAnsi="Calibri" w:cs="Calibri"/>
        </w:rPr>
        <w:t xml:space="preserve"> rea and actus reus elements. </w:t>
      </w:r>
      <w:proofErr w:type="spellStart"/>
      <w:r w:rsidRPr="008528D0">
        <w:rPr>
          <w:rFonts w:ascii="Calibri" w:hAnsi="Calibri" w:cs="Calibri"/>
        </w:rPr>
        <w:t>Mens</w:t>
      </w:r>
      <w:proofErr w:type="spellEnd"/>
      <w:r w:rsidRPr="008528D0">
        <w:rPr>
          <w:rFonts w:ascii="Calibri" w:hAnsi="Calibri" w:cs="Calibri"/>
        </w:rPr>
        <w:t xml:space="preserve"> rea requires intention or recklessness as to causing harm, as established in R v. Cunningham [1957] 2 QB 396. Actus reus is satisfied if the defendant's actions directly caused the harm, as held in R v. Miller [1954] 2 QB 282. Sentencing guidelines for ABH range from community orders to imprisonment, with aggravating factors such as prior convictions and injury severity leading to higher sentences (Sentencing Council, Assault Offences - Definitive Guideline, 2011).</w:t>
      </w:r>
    </w:p>
    <w:p w14:paraId="4194B442" w14:textId="2F1B593E" w:rsidR="00740139" w:rsidRPr="00740139" w:rsidRDefault="00740139" w:rsidP="00740139">
      <w:pPr>
        <w:spacing w:line="360" w:lineRule="auto"/>
        <w:jc w:val="both"/>
        <w:rPr>
          <w:rFonts w:ascii="Calibri" w:hAnsi="Calibri" w:cs="Calibri"/>
          <w:b/>
          <w:bCs/>
        </w:rPr>
      </w:pPr>
      <w:r w:rsidRPr="00362314">
        <w:rPr>
          <w:rFonts w:ascii="Calibri" w:hAnsi="Calibri" w:cs="Calibri"/>
          <w:b/>
          <w:bCs/>
        </w:rPr>
        <w:lastRenderedPageBreak/>
        <w:t>Procedure for Trial Allocation:</w:t>
      </w:r>
      <w:r>
        <w:rPr>
          <w:rFonts w:ascii="Calibri" w:hAnsi="Calibri" w:cs="Calibri"/>
          <w:b/>
          <w:bCs/>
        </w:rPr>
        <w:t xml:space="preserve"> </w:t>
      </w:r>
      <w:r w:rsidRPr="008528D0">
        <w:rPr>
          <w:rFonts w:ascii="Calibri" w:hAnsi="Calibri" w:cs="Calibri"/>
        </w:rPr>
        <w:t>Kim's case will undergo trial allocation procedures outlined in the Police and Criminal Evidence Act 1984 (PACE). Section 24 of PACE requires cases to be allocated to the appropriate court based on seriousness, with considerations for summary, either-way, or indictable offences (Police and Criminal Evidence Act 1984, s.24). The decision on allocation is influenced by factors such as the defendant's plea, case complexity, and potential sentence.</w:t>
      </w:r>
    </w:p>
    <w:p w14:paraId="5770B3C1" w14:textId="06753507" w:rsidR="00740139" w:rsidRPr="008528D0" w:rsidRDefault="00740139" w:rsidP="00740139">
      <w:pPr>
        <w:spacing w:line="360" w:lineRule="auto"/>
        <w:jc w:val="both"/>
        <w:rPr>
          <w:rFonts w:ascii="Calibri" w:hAnsi="Calibri" w:cs="Calibri"/>
        </w:rPr>
      </w:pPr>
      <w:r w:rsidRPr="00362314">
        <w:rPr>
          <w:rFonts w:ascii="Calibri" w:hAnsi="Calibri" w:cs="Calibri"/>
          <w:b/>
          <w:bCs/>
        </w:rPr>
        <w:t>Available Trial Modes:</w:t>
      </w:r>
      <w:r>
        <w:rPr>
          <w:rFonts w:ascii="Calibri" w:hAnsi="Calibri" w:cs="Calibri"/>
          <w:b/>
          <w:bCs/>
        </w:rPr>
        <w:t xml:space="preserve"> </w:t>
      </w:r>
      <w:r w:rsidRPr="008528D0">
        <w:rPr>
          <w:rFonts w:ascii="Calibri" w:hAnsi="Calibri" w:cs="Calibri"/>
        </w:rPr>
        <w:t>Various trial modes are available under the Criminal Justice and Public Order Act 1994, including summary trial, trial by jury, and plea bargaining (Criminal Justice and Public Order Act 1994). Summary trial offers efficiency but may limit sentencing powers, while jury trial ensures a fair hearing but involves longer proceedings. Plea bargaining, as seen in R v. Jones [2010] EWCA Crim 90, allows for reduced charges or sentences in exchange for guilty pleas.</w:t>
      </w:r>
    </w:p>
    <w:p w14:paraId="18EE53E5" w14:textId="4FE21F7C" w:rsidR="00740139" w:rsidRPr="00740139" w:rsidRDefault="00740139" w:rsidP="00740139">
      <w:pPr>
        <w:spacing w:line="360" w:lineRule="auto"/>
        <w:jc w:val="both"/>
        <w:rPr>
          <w:rFonts w:ascii="Calibri" w:hAnsi="Calibri" w:cs="Calibri"/>
          <w:b/>
          <w:bCs/>
        </w:rPr>
      </w:pPr>
      <w:r w:rsidRPr="001330F1">
        <w:rPr>
          <w:rFonts w:ascii="Calibri" w:hAnsi="Calibri" w:cs="Calibri"/>
          <w:b/>
          <w:bCs/>
        </w:rPr>
        <w:t>Entitlement to Legal Aid:</w:t>
      </w:r>
      <w:r>
        <w:rPr>
          <w:rFonts w:ascii="Calibri" w:hAnsi="Calibri" w:cs="Calibri"/>
          <w:b/>
          <w:bCs/>
        </w:rPr>
        <w:t xml:space="preserve"> </w:t>
      </w:r>
      <w:r w:rsidRPr="008528D0">
        <w:rPr>
          <w:rFonts w:ascii="Calibri" w:hAnsi="Calibri" w:cs="Calibri"/>
        </w:rPr>
        <w:t>Kim's eligibility for legal aid is governed by the Legal Aid, Sentencing and Punishment of Offenders Act 2012. Section 12 of the Act outlines criteria for means and merits testing, ensuring access to legal representation for those unable to afford it (Legal Aid, Sentencing and Punishment of Offenders Act 2012, s.12).</w:t>
      </w:r>
    </w:p>
    <w:p w14:paraId="41C153AA" w14:textId="3FA21504" w:rsidR="00F17AEA" w:rsidRDefault="00740139" w:rsidP="006B616F">
      <w:pPr>
        <w:spacing w:line="360" w:lineRule="auto"/>
        <w:jc w:val="both"/>
        <w:rPr>
          <w:rFonts w:ascii="Calibri" w:hAnsi="Calibri" w:cs="Calibri"/>
          <w:b/>
          <w:bCs/>
        </w:rPr>
      </w:pPr>
      <w:r w:rsidRPr="001330F1">
        <w:rPr>
          <w:rFonts w:ascii="Calibri" w:hAnsi="Calibri" w:cs="Calibri"/>
          <w:b/>
          <w:bCs/>
        </w:rPr>
        <w:t>Relevance of Complaints:</w:t>
      </w:r>
      <w:r>
        <w:rPr>
          <w:rFonts w:ascii="Calibri" w:hAnsi="Calibri" w:cs="Calibri"/>
          <w:b/>
          <w:bCs/>
        </w:rPr>
        <w:t xml:space="preserve"> </w:t>
      </w:r>
      <w:r w:rsidRPr="008528D0">
        <w:rPr>
          <w:rFonts w:ascii="Calibri" w:hAnsi="Calibri" w:cs="Calibri"/>
        </w:rPr>
        <w:t>Kim's complaints regarding forced fingerprinting and unawareness of her right to legal representation raise concerns regarding police procedures and human rights violations. Section 6 of the Human Rights Act 1998 guarantees the right to a fair trial, including access to legal representation and protection from arbitrary interference (Human Rights Act 1998, s.6). These complaints necessitate careful consideration and may have implications for the overall fairness of the legal proceedings.</w:t>
      </w:r>
    </w:p>
    <w:p w14:paraId="411DAB13" w14:textId="47C3E8A8" w:rsidR="00F17AEA" w:rsidRDefault="006B616F" w:rsidP="006B616F">
      <w:pPr>
        <w:spacing w:line="360" w:lineRule="auto"/>
        <w:jc w:val="both"/>
        <w:rPr>
          <w:rFonts w:ascii="Calibri" w:hAnsi="Calibri" w:cs="Calibri"/>
        </w:rPr>
      </w:pPr>
      <w:r w:rsidRPr="005D3A84">
        <w:rPr>
          <w:rFonts w:ascii="Calibri" w:hAnsi="Calibri" w:cs="Calibri"/>
          <w:b/>
          <w:bCs/>
        </w:rPr>
        <w:t>Evaluation and Conclusion</w:t>
      </w:r>
    </w:p>
    <w:p w14:paraId="74214FC2" w14:textId="3E91AE17" w:rsidR="00974472" w:rsidRPr="00974472" w:rsidRDefault="006B616F" w:rsidP="00974472">
      <w:pPr>
        <w:spacing w:line="360" w:lineRule="auto"/>
        <w:jc w:val="both"/>
        <w:rPr>
          <w:rFonts w:ascii="Calibri" w:hAnsi="Calibri" w:cs="Calibri"/>
        </w:rPr>
      </w:pPr>
      <w:r w:rsidRPr="005D3A84">
        <w:rPr>
          <w:rFonts w:ascii="Calibri" w:hAnsi="Calibri" w:cs="Calibri"/>
        </w:rPr>
        <w:t xml:space="preserve">Upon evaluating Kim's case, it becomes apparent that she confronts grave charges with potential legal ramifications. The substantive law governing assault </w:t>
      </w:r>
      <w:r w:rsidR="00EA1963">
        <w:rPr>
          <w:rFonts w:ascii="Calibri" w:hAnsi="Calibri" w:cs="Calibri"/>
        </w:rPr>
        <w:t>offences</w:t>
      </w:r>
      <w:r w:rsidRPr="005D3A84">
        <w:rPr>
          <w:rFonts w:ascii="Calibri" w:hAnsi="Calibri" w:cs="Calibri"/>
        </w:rPr>
        <w:t xml:space="preserve"> and the procedural options at her disposal are intricate and necessitate careful deliberation. </w:t>
      </w:r>
      <w:r w:rsidR="00D44209">
        <w:rPr>
          <w:rFonts w:ascii="Calibri" w:hAnsi="Calibri" w:cs="Calibri"/>
        </w:rPr>
        <w:t>We</w:t>
      </w:r>
      <w:r w:rsidRPr="005D3A84">
        <w:rPr>
          <w:rFonts w:ascii="Calibri" w:hAnsi="Calibri" w:cs="Calibri"/>
        </w:rPr>
        <w:t xml:space="preserve"> must weigh the pros and cons of each trial mode, considering the specific circumstances of her case. Additionally, her entitlement to legal aid ensures access to legal representation despite her financial constraints. Kim's complaints about police procedures underscore the imperative of ensuring fair treatment throughout the legal process.</w:t>
      </w:r>
    </w:p>
    <w:p w14:paraId="6B0EDE90" w14:textId="2C4B697B" w:rsidR="00974472" w:rsidRPr="00974472" w:rsidRDefault="00974472" w:rsidP="00974472">
      <w:pPr>
        <w:spacing w:line="360" w:lineRule="auto"/>
        <w:jc w:val="both"/>
        <w:rPr>
          <w:rFonts w:ascii="Calibri" w:hAnsi="Calibri" w:cs="Calibri"/>
        </w:rPr>
      </w:pPr>
      <w:r w:rsidRPr="00974472">
        <w:rPr>
          <w:rFonts w:ascii="Calibri" w:hAnsi="Calibri" w:cs="Calibri"/>
        </w:rPr>
        <w:lastRenderedPageBreak/>
        <w:t xml:space="preserve">A thorough examination of the procedural options available to Kim reveals a complex landscape governed by statutes such as the Police and Criminal Evidence Act 1984 (PACE) and the Criminal Justice and Public Order Act 1994. Each trial mode presents distinct advantages and disadvantages, necessitating careful consideration </w:t>
      </w:r>
      <w:proofErr w:type="gramStart"/>
      <w:r w:rsidRPr="00974472">
        <w:rPr>
          <w:rFonts w:ascii="Calibri" w:hAnsi="Calibri" w:cs="Calibri"/>
        </w:rPr>
        <w:t>in light of</w:t>
      </w:r>
      <w:proofErr w:type="gramEnd"/>
      <w:r w:rsidRPr="00974472">
        <w:rPr>
          <w:rFonts w:ascii="Calibri" w:hAnsi="Calibri" w:cs="Calibri"/>
        </w:rPr>
        <w:t xml:space="preserve"> the specific circumstances of Kim's case. References to relevant case law, such as R v. Jones [2010] EWCA Crim 90, offer insights into the practical implications of various trial modes and their potential impact on the outcome of her case.</w:t>
      </w:r>
    </w:p>
    <w:p w14:paraId="42A81239" w14:textId="53DA9D02" w:rsidR="00974472" w:rsidRPr="00974472" w:rsidRDefault="00124BD1" w:rsidP="00974472">
      <w:pPr>
        <w:spacing w:line="360" w:lineRule="auto"/>
        <w:jc w:val="both"/>
        <w:rPr>
          <w:rFonts w:ascii="Calibri" w:hAnsi="Calibri" w:cs="Calibri"/>
        </w:rPr>
      </w:pPr>
      <w:r>
        <w:rPr>
          <w:rFonts w:ascii="Calibri" w:hAnsi="Calibri" w:cs="Calibri"/>
        </w:rPr>
        <w:t>Furthermore</w:t>
      </w:r>
      <w:r w:rsidR="00974472" w:rsidRPr="00974472">
        <w:rPr>
          <w:rFonts w:ascii="Calibri" w:hAnsi="Calibri" w:cs="Calibri"/>
        </w:rPr>
        <w:t>, Kim's entitlement to legal aid, as stipulated in the Legal Aid, Sentencing and Punishment of Offenders Act 2012, underscores the importance of ensuring access to justice regardless of financial circumstances. By availing herself of legal representation, Kim can navigate the complexities of the legal system with guidance and support, thereby safeguarding her legal rights effectively.</w:t>
      </w:r>
    </w:p>
    <w:p w14:paraId="44CFDA17" w14:textId="77777777" w:rsidR="00974472" w:rsidRPr="00974472" w:rsidRDefault="00974472" w:rsidP="00974472">
      <w:pPr>
        <w:spacing w:line="360" w:lineRule="auto"/>
        <w:jc w:val="both"/>
        <w:rPr>
          <w:rFonts w:ascii="Calibri" w:hAnsi="Calibri" w:cs="Calibri"/>
        </w:rPr>
      </w:pPr>
      <w:r w:rsidRPr="00974472">
        <w:rPr>
          <w:rFonts w:ascii="Calibri" w:hAnsi="Calibri" w:cs="Calibri"/>
        </w:rPr>
        <w:t>The significance of Kim's complaints regarding police procedures cannot be overstated. Allegations of forced fingerprinting and unawareness of her right to legal representation raise fundamental questions about procedural fairness and adherence to human rights principles. References to legal authorities such as the Human Rights Act 1998, particularly Section 6, emphasize the importance of upholding the right to a fair trial and protecting individuals from arbitrary interference by law enforcement authorities.</w:t>
      </w:r>
    </w:p>
    <w:p w14:paraId="2BF563BA" w14:textId="0E846732" w:rsidR="00F17AEA" w:rsidRDefault="00974472" w:rsidP="006B616F">
      <w:pPr>
        <w:spacing w:line="360" w:lineRule="auto"/>
        <w:jc w:val="both"/>
        <w:rPr>
          <w:rFonts w:ascii="Calibri" w:hAnsi="Calibri" w:cs="Calibri"/>
        </w:rPr>
      </w:pPr>
      <w:r w:rsidRPr="00974472">
        <w:rPr>
          <w:rFonts w:ascii="Calibri" w:hAnsi="Calibri" w:cs="Calibri"/>
        </w:rPr>
        <w:t xml:space="preserve">Kim's case underscores the intricate interplay between substantive law, procedural considerations, and fundamental principles of justice. </w:t>
      </w:r>
      <w:r w:rsidR="00173DFB">
        <w:rPr>
          <w:rFonts w:ascii="Calibri" w:hAnsi="Calibri" w:cs="Calibri"/>
        </w:rPr>
        <w:t>Therefore, t</w:t>
      </w:r>
      <w:r w:rsidRPr="00974472">
        <w:rPr>
          <w:rFonts w:ascii="Calibri" w:hAnsi="Calibri" w:cs="Calibri"/>
        </w:rPr>
        <w:t>hrough consideration of relevant legal authorities, we can provide Kim with informed counsel and support as she navigates the complexities of the legal process. By ensuring adherence to procedural fairness and upholding her entitlement to legal aid, we can strive to achieve a just outcome that respects Kim's rights and safeguards the integrity of the legal system.</w:t>
      </w:r>
    </w:p>
    <w:p w14:paraId="0AE98E51" w14:textId="77777777" w:rsidR="00F17AEA" w:rsidRDefault="00F17AEA" w:rsidP="006B616F">
      <w:pPr>
        <w:spacing w:line="360" w:lineRule="auto"/>
        <w:jc w:val="both"/>
        <w:rPr>
          <w:rFonts w:ascii="Calibri" w:hAnsi="Calibri" w:cs="Calibri"/>
        </w:rPr>
      </w:pPr>
    </w:p>
    <w:p w14:paraId="15C2197D" w14:textId="77777777" w:rsidR="00F17AEA" w:rsidRDefault="00F17AEA" w:rsidP="006B616F">
      <w:pPr>
        <w:spacing w:line="360" w:lineRule="auto"/>
        <w:jc w:val="both"/>
        <w:rPr>
          <w:rFonts w:ascii="Calibri" w:hAnsi="Calibri" w:cs="Calibri"/>
        </w:rPr>
      </w:pPr>
    </w:p>
    <w:p w14:paraId="1DEAB78B" w14:textId="77777777" w:rsidR="00DF74C7" w:rsidRDefault="00DF74C7" w:rsidP="006B616F">
      <w:pPr>
        <w:spacing w:line="360" w:lineRule="auto"/>
        <w:jc w:val="both"/>
        <w:rPr>
          <w:rFonts w:ascii="Calibri" w:hAnsi="Calibri" w:cs="Calibri"/>
        </w:rPr>
      </w:pPr>
    </w:p>
    <w:p w14:paraId="42BA3A81" w14:textId="77777777" w:rsidR="00DF74C7" w:rsidRDefault="00DF74C7" w:rsidP="006B616F">
      <w:pPr>
        <w:spacing w:line="360" w:lineRule="auto"/>
        <w:jc w:val="both"/>
        <w:rPr>
          <w:rFonts w:ascii="Calibri" w:hAnsi="Calibri" w:cs="Calibri"/>
        </w:rPr>
      </w:pPr>
    </w:p>
    <w:p w14:paraId="1CAEAF88" w14:textId="77777777" w:rsidR="00F17AEA" w:rsidRPr="005D3A84" w:rsidRDefault="00F17AEA" w:rsidP="00F17AEA">
      <w:pPr>
        <w:spacing w:line="360" w:lineRule="auto"/>
        <w:jc w:val="both"/>
        <w:rPr>
          <w:rFonts w:ascii="Calibri" w:hAnsi="Calibri" w:cs="Calibri"/>
        </w:rPr>
      </w:pPr>
    </w:p>
    <w:p w14:paraId="7490C480" w14:textId="77777777" w:rsidR="00F17AEA" w:rsidRPr="005D3A84" w:rsidRDefault="00F17AEA" w:rsidP="00F17AEA">
      <w:pPr>
        <w:spacing w:line="360" w:lineRule="auto"/>
        <w:jc w:val="both"/>
        <w:rPr>
          <w:rFonts w:ascii="Calibri" w:hAnsi="Calibri" w:cs="Calibri"/>
          <w:b/>
          <w:bCs/>
        </w:rPr>
      </w:pPr>
      <w:r w:rsidRPr="005D3A84">
        <w:rPr>
          <w:rFonts w:ascii="Calibri" w:hAnsi="Calibri" w:cs="Calibri"/>
          <w:b/>
          <w:bCs/>
        </w:rPr>
        <w:lastRenderedPageBreak/>
        <w:t>Reference List</w:t>
      </w:r>
    </w:p>
    <w:p w14:paraId="70CF695E"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Offences Against the Person Act 1861. </w:t>
      </w:r>
      <w:hyperlink r:id="rId4" w:history="1">
        <w:r w:rsidRPr="005D3A84">
          <w:rPr>
            <w:rStyle w:val="Hyperlink"/>
            <w:rFonts w:ascii="Calibri" w:hAnsi="Calibri" w:cs="Calibri"/>
          </w:rPr>
          <w:t>https://www.legislation.gov.uk/ukpga/Vict/24-25/100/contents</w:t>
        </w:r>
      </w:hyperlink>
    </w:p>
    <w:p w14:paraId="600A398D" w14:textId="77777777" w:rsidR="00F17AEA" w:rsidRPr="005D3A84" w:rsidRDefault="00F17AEA" w:rsidP="00F17AEA">
      <w:pPr>
        <w:spacing w:line="360" w:lineRule="auto"/>
        <w:jc w:val="both"/>
        <w:rPr>
          <w:rFonts w:ascii="Calibri" w:hAnsi="Calibri" w:cs="Calibri"/>
        </w:rPr>
      </w:pPr>
      <w:r w:rsidRPr="005D3A84">
        <w:rPr>
          <w:rFonts w:ascii="Calibri" w:hAnsi="Calibri" w:cs="Calibri"/>
          <w:color w:val="0D0D0D"/>
          <w:shd w:val="clear" w:color="auto" w:fill="FFFFFF"/>
        </w:rPr>
        <w:t xml:space="preserve">Lawteacher.net. (2024). R v Cunningham - 1957. </w:t>
      </w:r>
      <w:hyperlink r:id="rId5" w:history="1">
        <w:r w:rsidRPr="005D3A84">
          <w:rPr>
            <w:rStyle w:val="Hyperlink"/>
            <w:rFonts w:ascii="Calibri" w:hAnsi="Calibri" w:cs="Calibri"/>
            <w:bdr w:val="single" w:sz="2" w:space="0" w:color="E3E3E3" w:frame="1"/>
            <w:shd w:val="clear" w:color="auto" w:fill="FFFFFF"/>
          </w:rPr>
          <w:t>https://www.lawteacher.net/cases/r-v-cunningham.php?vref=1</w:t>
        </w:r>
      </w:hyperlink>
      <w:r w:rsidRPr="005D3A84">
        <w:rPr>
          <w:rFonts w:ascii="Calibri" w:hAnsi="Calibri" w:cs="Calibri"/>
          <w:color w:val="0D0D0D"/>
          <w:shd w:val="clear" w:color="auto" w:fill="FFFFFF"/>
        </w:rPr>
        <w:t xml:space="preserve"> </w:t>
      </w:r>
    </w:p>
    <w:p w14:paraId="034EC08D"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R v. Miller [1954] 2 QB 282. </w:t>
      </w:r>
      <w:hyperlink r:id="rId6" w:history="1">
        <w:r w:rsidRPr="005D3A84">
          <w:rPr>
            <w:rStyle w:val="Hyperlink"/>
            <w:rFonts w:ascii="Calibri" w:hAnsi="Calibri" w:cs="Calibri"/>
          </w:rPr>
          <w:t>R v Miller - 1954 (lawteacher.net)</w:t>
        </w:r>
      </w:hyperlink>
    </w:p>
    <w:p w14:paraId="7F3D8B07"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Sentencing Council (2011) Assault Offences - Definitive Guideline. </w:t>
      </w:r>
      <w:hyperlink r:id="rId7" w:history="1">
        <w:r w:rsidRPr="005D3A84">
          <w:rPr>
            <w:rStyle w:val="Hyperlink"/>
            <w:rFonts w:ascii="Calibri" w:hAnsi="Calibri" w:cs="Calibri"/>
          </w:rPr>
          <w:t>Assault: Definitive guideline – Sentencing (sentencingcouncil.org.uk)</w:t>
        </w:r>
      </w:hyperlink>
    </w:p>
    <w:p w14:paraId="770B9962"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Police and Criminal Evidence Act 1984. </w:t>
      </w:r>
      <w:hyperlink r:id="rId8" w:history="1">
        <w:r w:rsidRPr="005D3A84">
          <w:rPr>
            <w:rStyle w:val="Hyperlink"/>
            <w:rFonts w:ascii="Calibri" w:hAnsi="Calibri" w:cs="Calibri"/>
          </w:rPr>
          <w:t>Police and Criminal Evidence Act 1984 (legislation.gov.uk)</w:t>
        </w:r>
      </w:hyperlink>
    </w:p>
    <w:p w14:paraId="13082F87"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Criminal Justice and Public Order Act 1994. </w:t>
      </w:r>
      <w:hyperlink r:id="rId9" w:history="1">
        <w:r w:rsidRPr="005D3A84">
          <w:rPr>
            <w:rStyle w:val="Hyperlink"/>
            <w:rFonts w:ascii="Calibri" w:hAnsi="Calibri" w:cs="Calibri"/>
          </w:rPr>
          <w:t>Criminal Justice and Public Order Act 1994 (legislation.gov.uk)</w:t>
        </w:r>
      </w:hyperlink>
    </w:p>
    <w:p w14:paraId="3C140950" w14:textId="77777777" w:rsidR="00F17AEA" w:rsidRPr="005D3A84" w:rsidRDefault="00F17AEA" w:rsidP="00F17AEA">
      <w:pPr>
        <w:spacing w:line="360" w:lineRule="auto"/>
        <w:jc w:val="both"/>
        <w:rPr>
          <w:rFonts w:ascii="Calibri" w:hAnsi="Calibri" w:cs="Calibri"/>
        </w:rPr>
      </w:pPr>
      <w:r w:rsidRPr="005D3A84">
        <w:rPr>
          <w:rFonts w:ascii="Calibri" w:hAnsi="Calibri" w:cs="Calibri"/>
        </w:rPr>
        <w:t>R v. Jones [2010] EWCA Crim 90</w:t>
      </w:r>
    </w:p>
    <w:p w14:paraId="67B60F89"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Legal Aid, Sentencing and Punishment of Offenders Act 2012. </w:t>
      </w:r>
      <w:hyperlink r:id="rId10" w:history="1">
        <w:r w:rsidRPr="005D3A84">
          <w:rPr>
            <w:rStyle w:val="Hyperlink"/>
            <w:rFonts w:ascii="Calibri" w:hAnsi="Calibri" w:cs="Calibri"/>
          </w:rPr>
          <w:t>https://www.legislation.gov.uk/ukpga/2012/10/contents</w:t>
        </w:r>
      </w:hyperlink>
    </w:p>
    <w:p w14:paraId="4E7EF3EE" w14:textId="77777777" w:rsidR="00F17AEA" w:rsidRPr="005D3A84" w:rsidRDefault="00F17AEA" w:rsidP="00F17AEA">
      <w:pPr>
        <w:spacing w:line="360" w:lineRule="auto"/>
        <w:jc w:val="both"/>
        <w:rPr>
          <w:rFonts w:ascii="Calibri" w:hAnsi="Calibri" w:cs="Calibri"/>
        </w:rPr>
      </w:pPr>
      <w:r w:rsidRPr="005D3A84">
        <w:rPr>
          <w:rFonts w:ascii="Calibri" w:hAnsi="Calibri" w:cs="Calibri"/>
        </w:rPr>
        <w:t xml:space="preserve">Human Rights Act 1998. </w:t>
      </w:r>
      <w:hyperlink r:id="rId11" w:history="1">
        <w:r w:rsidRPr="005D3A84">
          <w:rPr>
            <w:rStyle w:val="Hyperlink"/>
            <w:rFonts w:ascii="Calibri" w:hAnsi="Calibri" w:cs="Calibri"/>
          </w:rPr>
          <w:t>https://www.legislation.gov.uk/ukpga/1998/42/contents</w:t>
        </w:r>
      </w:hyperlink>
    </w:p>
    <w:p w14:paraId="7760C048" w14:textId="77777777" w:rsidR="00F17AEA" w:rsidRPr="005D3A84" w:rsidRDefault="00F17AEA" w:rsidP="00F17AEA">
      <w:pPr>
        <w:spacing w:line="360" w:lineRule="auto"/>
        <w:jc w:val="both"/>
        <w:rPr>
          <w:rFonts w:ascii="Calibri" w:hAnsi="Calibri" w:cs="Calibri"/>
        </w:rPr>
      </w:pPr>
    </w:p>
    <w:p w14:paraId="167B8BCB" w14:textId="77777777" w:rsidR="00F17AEA" w:rsidRPr="005D3A84" w:rsidRDefault="00F17AEA" w:rsidP="006B616F">
      <w:pPr>
        <w:spacing w:line="360" w:lineRule="auto"/>
        <w:jc w:val="both"/>
        <w:rPr>
          <w:rFonts w:ascii="Calibri" w:hAnsi="Calibri" w:cs="Calibri"/>
        </w:rPr>
      </w:pPr>
    </w:p>
    <w:p w14:paraId="6DD00083" w14:textId="77777777" w:rsidR="00740139" w:rsidRPr="00A52AF0" w:rsidRDefault="00740139" w:rsidP="00740139">
      <w:pPr>
        <w:spacing w:line="360" w:lineRule="auto"/>
        <w:jc w:val="both"/>
        <w:rPr>
          <w:rFonts w:ascii="Calibri" w:hAnsi="Calibri" w:cs="Calibri"/>
          <w:b/>
          <w:bCs/>
        </w:rPr>
      </w:pPr>
    </w:p>
    <w:p w14:paraId="4BA64C22" w14:textId="77777777" w:rsidR="00740139" w:rsidRDefault="00740139"/>
    <w:sectPr w:rsidR="00740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139"/>
    <w:rsid w:val="00014D73"/>
    <w:rsid w:val="000B02B3"/>
    <w:rsid w:val="000E4248"/>
    <w:rsid w:val="00124BD1"/>
    <w:rsid w:val="00173DFB"/>
    <w:rsid w:val="00256D53"/>
    <w:rsid w:val="002813A0"/>
    <w:rsid w:val="003765D9"/>
    <w:rsid w:val="00385A83"/>
    <w:rsid w:val="003F07E4"/>
    <w:rsid w:val="004D6262"/>
    <w:rsid w:val="006B616F"/>
    <w:rsid w:val="00740139"/>
    <w:rsid w:val="007F32D8"/>
    <w:rsid w:val="00817A57"/>
    <w:rsid w:val="00974472"/>
    <w:rsid w:val="0098790D"/>
    <w:rsid w:val="009B740E"/>
    <w:rsid w:val="009D028D"/>
    <w:rsid w:val="00B132FD"/>
    <w:rsid w:val="00C62CDD"/>
    <w:rsid w:val="00D44209"/>
    <w:rsid w:val="00DF74C7"/>
    <w:rsid w:val="00EA1963"/>
    <w:rsid w:val="00EE72EE"/>
    <w:rsid w:val="00F13410"/>
    <w:rsid w:val="00F17AEA"/>
    <w:rsid w:val="00F40C6F"/>
    <w:rsid w:val="00F43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4B29EE"/>
  <w15:chartTrackingRefBased/>
  <w15:docId w15:val="{2CB0E2A1-F6E4-4F89-897D-95057D4C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139"/>
  </w:style>
  <w:style w:type="paragraph" w:styleId="Heading1">
    <w:name w:val="heading 1"/>
    <w:basedOn w:val="Normal"/>
    <w:next w:val="Normal"/>
    <w:link w:val="Heading1Char"/>
    <w:uiPriority w:val="9"/>
    <w:qFormat/>
    <w:rsid w:val="007401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1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1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1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1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139"/>
    <w:rPr>
      <w:rFonts w:eastAsiaTheme="majorEastAsia" w:cstheme="majorBidi"/>
      <w:color w:val="272727" w:themeColor="text1" w:themeTint="D8"/>
    </w:rPr>
  </w:style>
  <w:style w:type="paragraph" w:styleId="Title">
    <w:name w:val="Title"/>
    <w:basedOn w:val="Normal"/>
    <w:next w:val="Normal"/>
    <w:link w:val="TitleChar"/>
    <w:uiPriority w:val="10"/>
    <w:qFormat/>
    <w:rsid w:val="00740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1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139"/>
    <w:pPr>
      <w:spacing w:before="160"/>
      <w:jc w:val="center"/>
    </w:pPr>
    <w:rPr>
      <w:i/>
      <w:iCs/>
      <w:color w:val="404040" w:themeColor="text1" w:themeTint="BF"/>
    </w:rPr>
  </w:style>
  <w:style w:type="character" w:customStyle="1" w:styleId="QuoteChar">
    <w:name w:val="Quote Char"/>
    <w:basedOn w:val="DefaultParagraphFont"/>
    <w:link w:val="Quote"/>
    <w:uiPriority w:val="29"/>
    <w:rsid w:val="00740139"/>
    <w:rPr>
      <w:i/>
      <w:iCs/>
      <w:color w:val="404040" w:themeColor="text1" w:themeTint="BF"/>
    </w:rPr>
  </w:style>
  <w:style w:type="paragraph" w:styleId="ListParagraph">
    <w:name w:val="List Paragraph"/>
    <w:basedOn w:val="Normal"/>
    <w:uiPriority w:val="34"/>
    <w:qFormat/>
    <w:rsid w:val="00740139"/>
    <w:pPr>
      <w:ind w:left="720"/>
      <w:contextualSpacing/>
    </w:pPr>
  </w:style>
  <w:style w:type="character" w:styleId="IntenseEmphasis">
    <w:name w:val="Intense Emphasis"/>
    <w:basedOn w:val="DefaultParagraphFont"/>
    <w:uiPriority w:val="21"/>
    <w:qFormat/>
    <w:rsid w:val="00740139"/>
    <w:rPr>
      <w:i/>
      <w:iCs/>
      <w:color w:val="0F4761" w:themeColor="accent1" w:themeShade="BF"/>
    </w:rPr>
  </w:style>
  <w:style w:type="paragraph" w:styleId="IntenseQuote">
    <w:name w:val="Intense Quote"/>
    <w:basedOn w:val="Normal"/>
    <w:next w:val="Normal"/>
    <w:link w:val="IntenseQuoteChar"/>
    <w:uiPriority w:val="30"/>
    <w:qFormat/>
    <w:rsid w:val="007401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139"/>
    <w:rPr>
      <w:i/>
      <w:iCs/>
      <w:color w:val="0F4761" w:themeColor="accent1" w:themeShade="BF"/>
    </w:rPr>
  </w:style>
  <w:style w:type="character" w:styleId="IntenseReference">
    <w:name w:val="Intense Reference"/>
    <w:basedOn w:val="DefaultParagraphFont"/>
    <w:uiPriority w:val="32"/>
    <w:qFormat/>
    <w:rsid w:val="00740139"/>
    <w:rPr>
      <w:b/>
      <w:bCs/>
      <w:smallCaps/>
      <w:color w:val="0F4761" w:themeColor="accent1" w:themeShade="BF"/>
      <w:spacing w:val="5"/>
    </w:rPr>
  </w:style>
  <w:style w:type="character" w:styleId="Hyperlink">
    <w:name w:val="Hyperlink"/>
    <w:basedOn w:val="DefaultParagraphFont"/>
    <w:uiPriority w:val="99"/>
    <w:unhideWhenUsed/>
    <w:rsid w:val="00F17A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4/60/conten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entencingcouncil.org.uk/publications/item/assault-definitive-guidelin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teacher.net/cases/r-v-miller-1954.php" TargetMode="External"/><Relationship Id="rId11" Type="http://schemas.openxmlformats.org/officeDocument/2006/relationships/hyperlink" Target="https://www.legislation.gov.uk/ukpga/1998/42/contents" TargetMode="External"/><Relationship Id="rId5" Type="http://schemas.openxmlformats.org/officeDocument/2006/relationships/hyperlink" Target="https://www.lawteacher.net/cases/r-v-cunningham.php?vref=1" TargetMode="External"/><Relationship Id="rId10" Type="http://schemas.openxmlformats.org/officeDocument/2006/relationships/hyperlink" Target="https://www.legislation.gov.uk/ukpga/2012/10/contents" TargetMode="External"/><Relationship Id="rId4" Type="http://schemas.openxmlformats.org/officeDocument/2006/relationships/hyperlink" Target="https://www.legislation.gov.uk/ukpga/Vict/24-25/100/contents" TargetMode="External"/><Relationship Id="rId9" Type="http://schemas.openxmlformats.org/officeDocument/2006/relationships/hyperlink" Target="https://www.legislation.gov.uk/ukpga/1994/3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5</Pages>
  <Words>1322</Words>
  <Characters>7814</Characters>
  <Application>Microsoft Office Word</Application>
  <DocSecurity>0</DocSecurity>
  <Lines>134</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Salimata Traore</dc:creator>
  <cp:keywords/>
  <dc:description/>
  <cp:lastModifiedBy>Salimata Traore</cp:lastModifiedBy>
  <cp:revision>24</cp:revision>
  <dcterms:created xsi:type="dcterms:W3CDTF">2024-02-29T17:04:00Z</dcterms:created>
  <dcterms:modified xsi:type="dcterms:W3CDTF">2024-03-06T19:48:00Z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1ae50303-2d11-4e03-8258-0aa1cff0f5a4</vt:lpwstr>
  </property>
</Properties>
</file>