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66C7F673"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EC3672">
              <w:rPr>
                <w:rFonts w:ascii="Times New Roman" w:hAnsi="Times New Roman" w:cs="Times New Roman"/>
                <w:b/>
                <w:color w:val="auto"/>
                <w:sz w:val="48"/>
              </w:rPr>
              <w:t>Claire Melding</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404C7BEB"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EC3672">
              <w:rPr>
                <w:rFonts w:ascii="Times New Roman" w:hAnsi="Times New Roman" w:cs="Times New Roman"/>
                <w:b/>
                <w:color w:val="auto"/>
                <w:sz w:val="48"/>
              </w:rPr>
              <w:t xml:space="preserve"> meldingc@gmail.com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10705594" w14:textId="77777777" w:rsidR="00EC3672"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EC3672">
              <w:rPr>
                <w:rFonts w:ascii="Times New Roman" w:hAnsi="Times New Roman" w:cs="Times New Roman"/>
                <w:b/>
                <w:color w:val="auto"/>
                <w:sz w:val="48"/>
              </w:rPr>
              <w:t xml:space="preserve"> </w:t>
            </w:r>
          </w:p>
          <w:p w14:paraId="0DE696B2" w14:textId="143A0221" w:rsidR="00F927A1" w:rsidRPr="005D3F07" w:rsidRDefault="00EC3672"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sz w:val="48"/>
              </w:rPr>
              <w:t>2236894</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3DB32A59" w14:textId="6DEE6AE3" w:rsidR="00761E58"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w:t>
            </w:r>
          </w:p>
          <w:p w14:paraId="6E876D7D" w14:textId="32AEDD85" w:rsidR="00CA1554" w:rsidRDefault="00CA1554" w:rsidP="00FF7EBB">
            <w:pPr>
              <w:jc w:val="both"/>
              <w:rPr>
                <w:sz w:val="24"/>
                <w:szCs w:val="24"/>
              </w:rPr>
            </w:pPr>
          </w:p>
          <w:p w14:paraId="341567EC" w14:textId="77777777" w:rsidR="00CA1554" w:rsidRDefault="00CA1554" w:rsidP="00CA1554">
            <w:pPr>
              <w:jc w:val="both"/>
              <w:rPr>
                <w:sz w:val="24"/>
                <w:szCs w:val="24"/>
              </w:rPr>
            </w:pPr>
            <w:r w:rsidRPr="006108C9">
              <w:rPr>
                <w:i/>
                <w:sz w:val="24"/>
                <w:szCs w:val="24"/>
              </w:rPr>
              <w:t>500 words</w:t>
            </w:r>
            <w:r w:rsidRPr="006108C9">
              <w:rPr>
                <w:sz w:val="24"/>
                <w:szCs w:val="24"/>
              </w:rPr>
              <w:t xml:space="preserve"> (+/- 10%: include your actual word count at the end of each section)</w:t>
            </w:r>
            <w:r>
              <w:rPr>
                <w:sz w:val="24"/>
                <w:szCs w:val="24"/>
              </w:rPr>
              <w:t>.</w:t>
            </w:r>
          </w:p>
          <w:p w14:paraId="2289BF2D" w14:textId="0FB918F9" w:rsidR="008B4A8C" w:rsidRDefault="008B4A8C" w:rsidP="00FF7EBB">
            <w:pPr>
              <w:jc w:val="both"/>
              <w:rPr>
                <w:sz w:val="24"/>
                <w:szCs w:val="24"/>
              </w:rPr>
            </w:pPr>
          </w:p>
          <w:p w14:paraId="4AFFCB98" w14:textId="77777777" w:rsidR="008B4A8C" w:rsidRDefault="008B4A8C" w:rsidP="00FF7EBB">
            <w:pPr>
              <w:jc w:val="both"/>
              <w:rPr>
                <w:sz w:val="24"/>
                <w:szCs w:val="24"/>
              </w:rPr>
            </w:pPr>
          </w:p>
          <w:p w14:paraId="52249704" w14:textId="77777777" w:rsidR="00761E58" w:rsidRDefault="00761E58" w:rsidP="00FF7EBB">
            <w:pPr>
              <w:jc w:val="both"/>
              <w:rPr>
                <w:sz w:val="24"/>
                <w:szCs w:val="24"/>
              </w:rPr>
            </w:pPr>
          </w:p>
          <w:p w14:paraId="35EFA2B0" w14:textId="22217DF0" w:rsidR="008B4A8C" w:rsidRDefault="00761E58" w:rsidP="00D312FA">
            <w:pPr>
              <w:spacing w:line="360" w:lineRule="auto"/>
              <w:jc w:val="both"/>
              <w:rPr>
                <w:sz w:val="24"/>
                <w:szCs w:val="24"/>
              </w:rPr>
            </w:pPr>
            <w:r>
              <w:rPr>
                <w:sz w:val="24"/>
                <w:szCs w:val="24"/>
              </w:rPr>
              <w:t xml:space="preserve">The Social Services and Well-being (Wales) Act (2014) (SSWBA, 2014) </w:t>
            </w:r>
            <w:r w:rsidR="001447E3">
              <w:rPr>
                <w:sz w:val="24"/>
                <w:szCs w:val="24"/>
              </w:rPr>
              <w:t>outlines</w:t>
            </w:r>
            <w:r>
              <w:rPr>
                <w:sz w:val="24"/>
                <w:szCs w:val="24"/>
              </w:rPr>
              <w:t xml:space="preserve"> a duty to report</w:t>
            </w:r>
            <w:r w:rsidR="008C6974">
              <w:rPr>
                <w:sz w:val="24"/>
                <w:szCs w:val="24"/>
              </w:rPr>
              <w:t xml:space="preserve"> under Part 7, s128,</w:t>
            </w:r>
            <w:r>
              <w:rPr>
                <w:sz w:val="24"/>
                <w:szCs w:val="24"/>
              </w:rPr>
              <w:t xml:space="preserve"> where </w:t>
            </w:r>
            <w:r w:rsidR="00A037EF">
              <w:rPr>
                <w:sz w:val="24"/>
                <w:szCs w:val="24"/>
              </w:rPr>
              <w:t>an adult is</w:t>
            </w:r>
            <w:r>
              <w:rPr>
                <w:sz w:val="24"/>
                <w:szCs w:val="24"/>
              </w:rPr>
              <w:t xml:space="preserve"> felt to be at risk of</w:t>
            </w:r>
            <w:r w:rsidR="001447E3">
              <w:rPr>
                <w:sz w:val="24"/>
                <w:szCs w:val="24"/>
              </w:rPr>
              <w:t>, or is experiencing,</w:t>
            </w:r>
            <w:r>
              <w:rPr>
                <w:sz w:val="24"/>
                <w:szCs w:val="24"/>
              </w:rPr>
              <w:t xml:space="preserve"> </w:t>
            </w:r>
            <w:r w:rsidR="00C00C53">
              <w:rPr>
                <w:sz w:val="24"/>
                <w:szCs w:val="24"/>
              </w:rPr>
              <w:t>abuse or neglect</w:t>
            </w:r>
            <w:r w:rsidR="001447E3">
              <w:rPr>
                <w:sz w:val="24"/>
                <w:szCs w:val="24"/>
              </w:rPr>
              <w:t>,</w:t>
            </w:r>
            <w:r w:rsidR="00C00C53">
              <w:rPr>
                <w:sz w:val="24"/>
                <w:szCs w:val="24"/>
              </w:rPr>
              <w:t xml:space="preserve"> </w:t>
            </w:r>
            <w:r w:rsidR="001447E3">
              <w:rPr>
                <w:sz w:val="24"/>
                <w:szCs w:val="24"/>
              </w:rPr>
              <w:t xml:space="preserve">or cannot protect themselves due to care and support needs. </w:t>
            </w:r>
            <w:r w:rsidR="00A037EF">
              <w:rPr>
                <w:sz w:val="24"/>
                <w:szCs w:val="24"/>
              </w:rPr>
              <w:t xml:space="preserve">This is further covered in </w:t>
            </w:r>
            <w:r w:rsidR="008C6974">
              <w:rPr>
                <w:sz w:val="24"/>
                <w:szCs w:val="24"/>
              </w:rPr>
              <w:t>s126, which places</w:t>
            </w:r>
            <w:r w:rsidR="009907F3">
              <w:rPr>
                <w:sz w:val="24"/>
                <w:szCs w:val="24"/>
              </w:rPr>
              <w:t xml:space="preserve"> a duty on</w:t>
            </w:r>
            <w:r w:rsidR="00A037EF">
              <w:rPr>
                <w:sz w:val="24"/>
                <w:szCs w:val="24"/>
              </w:rPr>
              <w:t xml:space="preserve"> local authorities to make enquiries when an adult is felt to be at risk, along with the supporting document ‘Working Together to Safeguard People’, </w:t>
            </w:r>
            <w:r w:rsidR="000A0720">
              <w:rPr>
                <w:sz w:val="24"/>
                <w:szCs w:val="24"/>
              </w:rPr>
              <w:t>a</w:t>
            </w:r>
            <w:r w:rsidR="00A037EF">
              <w:rPr>
                <w:sz w:val="24"/>
                <w:szCs w:val="24"/>
              </w:rPr>
              <w:t xml:space="preserve"> statutory guidance that is specific to safeguarding </w:t>
            </w:r>
            <w:r w:rsidR="000A0720">
              <w:rPr>
                <w:sz w:val="24"/>
                <w:szCs w:val="24"/>
              </w:rPr>
              <w:t>ad</w:t>
            </w:r>
            <w:r w:rsidR="00A037EF">
              <w:rPr>
                <w:sz w:val="24"/>
                <w:szCs w:val="24"/>
              </w:rPr>
              <w:t>ults</w:t>
            </w:r>
            <w:r w:rsidR="008C6974">
              <w:rPr>
                <w:sz w:val="24"/>
                <w:szCs w:val="24"/>
              </w:rPr>
              <w:t xml:space="preserve"> (</w:t>
            </w:r>
            <w:proofErr w:type="spellStart"/>
            <w:r w:rsidR="008C6974">
              <w:rPr>
                <w:sz w:val="24"/>
                <w:szCs w:val="24"/>
              </w:rPr>
              <w:t>gov.wales</w:t>
            </w:r>
            <w:proofErr w:type="spellEnd"/>
            <w:r w:rsidR="008C6974">
              <w:rPr>
                <w:sz w:val="24"/>
                <w:szCs w:val="24"/>
              </w:rPr>
              <w:t xml:space="preserve"> 2022)</w:t>
            </w:r>
            <w:r w:rsidR="001447E3">
              <w:rPr>
                <w:sz w:val="24"/>
                <w:szCs w:val="24"/>
              </w:rPr>
              <w:t xml:space="preserve">. </w:t>
            </w:r>
            <w:r w:rsidR="00FC464A">
              <w:rPr>
                <w:sz w:val="24"/>
                <w:szCs w:val="24"/>
              </w:rPr>
              <w:t>SSWBA (2014) Part 7, s</w:t>
            </w:r>
            <w:r w:rsidR="001447E3">
              <w:rPr>
                <w:sz w:val="24"/>
                <w:szCs w:val="24"/>
              </w:rPr>
              <w:t xml:space="preserve">126 </w:t>
            </w:r>
            <w:r w:rsidR="008C6974">
              <w:rPr>
                <w:sz w:val="24"/>
                <w:szCs w:val="24"/>
              </w:rPr>
              <w:t xml:space="preserve">also </w:t>
            </w:r>
            <w:r w:rsidR="001447E3">
              <w:rPr>
                <w:sz w:val="24"/>
                <w:szCs w:val="24"/>
              </w:rPr>
              <w:t>explains that ‘at risk’ needs to be considered prior to abuse occurring</w:t>
            </w:r>
            <w:r w:rsidR="003D105E">
              <w:rPr>
                <w:sz w:val="24"/>
                <w:szCs w:val="24"/>
              </w:rPr>
              <w:t>,</w:t>
            </w:r>
            <w:r w:rsidR="001447E3">
              <w:rPr>
                <w:sz w:val="24"/>
                <w:szCs w:val="24"/>
              </w:rPr>
              <w:t xml:space="preserve"> in order for early intervention under care and support, with </w:t>
            </w:r>
            <w:r w:rsidR="00452AE4">
              <w:rPr>
                <w:sz w:val="24"/>
                <w:szCs w:val="24"/>
              </w:rPr>
              <w:t>Part 11, s</w:t>
            </w:r>
            <w:r w:rsidR="001447E3">
              <w:rPr>
                <w:sz w:val="24"/>
                <w:szCs w:val="24"/>
              </w:rPr>
              <w:t>197 de</w:t>
            </w:r>
            <w:r w:rsidR="00452AE4">
              <w:rPr>
                <w:sz w:val="24"/>
                <w:szCs w:val="24"/>
              </w:rPr>
              <w:t>fining</w:t>
            </w:r>
            <w:r w:rsidR="001447E3">
              <w:rPr>
                <w:sz w:val="24"/>
                <w:szCs w:val="24"/>
              </w:rPr>
              <w:t xml:space="preserve"> the categories of abuse to consider</w:t>
            </w:r>
            <w:r w:rsidR="00452AE4">
              <w:rPr>
                <w:sz w:val="24"/>
                <w:szCs w:val="24"/>
              </w:rPr>
              <w:t xml:space="preserve"> – </w:t>
            </w:r>
            <w:r w:rsidR="00452AE4" w:rsidRPr="003522D7">
              <w:rPr>
                <w:rFonts w:eastAsia="Calibri"/>
                <w:color w:val="auto"/>
                <w:sz w:val="24"/>
                <w:szCs w:val="24"/>
                <w:lang w:eastAsia="en-US"/>
              </w:rPr>
              <w:t>physical</w:t>
            </w:r>
            <w:r w:rsidR="00452AE4">
              <w:rPr>
                <w:rFonts w:eastAsia="Calibri"/>
                <w:color w:val="auto"/>
                <w:sz w:val="24"/>
                <w:szCs w:val="24"/>
                <w:lang w:eastAsia="en-US"/>
              </w:rPr>
              <w:t>,</w:t>
            </w:r>
            <w:r w:rsidR="00452AE4" w:rsidRPr="003522D7">
              <w:rPr>
                <w:rFonts w:eastAsia="Calibri"/>
                <w:color w:val="auto"/>
                <w:sz w:val="24"/>
                <w:szCs w:val="24"/>
                <w:lang w:eastAsia="en-US"/>
              </w:rPr>
              <w:t xml:space="preserve"> sexual</w:t>
            </w:r>
            <w:r w:rsidR="00452AE4">
              <w:rPr>
                <w:rFonts w:eastAsia="Calibri"/>
                <w:color w:val="auto"/>
                <w:sz w:val="24"/>
                <w:szCs w:val="24"/>
                <w:lang w:eastAsia="en-US"/>
              </w:rPr>
              <w:t>,</w:t>
            </w:r>
            <w:r w:rsidR="00452AE4" w:rsidRPr="003522D7">
              <w:rPr>
                <w:rFonts w:eastAsia="Calibri"/>
                <w:color w:val="auto"/>
                <w:sz w:val="24"/>
                <w:szCs w:val="24"/>
                <w:lang w:eastAsia="en-US"/>
              </w:rPr>
              <w:t xml:space="preserve"> psychological</w:t>
            </w:r>
            <w:r w:rsidR="00452AE4">
              <w:rPr>
                <w:rFonts w:eastAsia="Calibri"/>
                <w:color w:val="auto"/>
                <w:sz w:val="24"/>
                <w:szCs w:val="24"/>
                <w:lang w:eastAsia="en-US"/>
              </w:rPr>
              <w:t>,</w:t>
            </w:r>
            <w:r w:rsidR="00452AE4" w:rsidRPr="003522D7">
              <w:rPr>
                <w:rFonts w:eastAsia="Calibri"/>
                <w:color w:val="auto"/>
                <w:sz w:val="24"/>
                <w:szCs w:val="24"/>
                <w:lang w:eastAsia="en-US"/>
              </w:rPr>
              <w:t xml:space="preserve"> emotional</w:t>
            </w:r>
            <w:r w:rsidR="00452AE4">
              <w:rPr>
                <w:rFonts w:eastAsia="Calibri"/>
                <w:color w:val="auto"/>
                <w:sz w:val="24"/>
                <w:szCs w:val="24"/>
                <w:lang w:eastAsia="en-US"/>
              </w:rPr>
              <w:t>,</w:t>
            </w:r>
            <w:r w:rsidR="00452AE4" w:rsidRPr="003522D7">
              <w:rPr>
                <w:rFonts w:eastAsia="Calibri"/>
                <w:color w:val="auto"/>
                <w:sz w:val="24"/>
                <w:szCs w:val="24"/>
                <w:lang w:eastAsia="en-US"/>
              </w:rPr>
              <w:t xml:space="preserve"> or financial.</w:t>
            </w:r>
            <w:r w:rsidR="00A037EF">
              <w:rPr>
                <w:sz w:val="24"/>
                <w:szCs w:val="24"/>
              </w:rPr>
              <w:t>(SCW, 2023).</w:t>
            </w:r>
          </w:p>
          <w:p w14:paraId="48C1DC42" w14:textId="1ACCB627" w:rsidR="008B4A8C" w:rsidRDefault="008B4A8C" w:rsidP="00D312FA">
            <w:pPr>
              <w:spacing w:line="360" w:lineRule="auto"/>
              <w:jc w:val="both"/>
              <w:rPr>
                <w:sz w:val="24"/>
                <w:szCs w:val="24"/>
              </w:rPr>
            </w:pPr>
          </w:p>
          <w:p w14:paraId="21D18331" w14:textId="3860FDB1" w:rsidR="00A037EF" w:rsidRDefault="00A037EF" w:rsidP="00D312FA">
            <w:pPr>
              <w:spacing w:line="360" w:lineRule="auto"/>
              <w:jc w:val="both"/>
              <w:rPr>
                <w:sz w:val="24"/>
                <w:szCs w:val="24"/>
              </w:rPr>
            </w:pPr>
            <w:r>
              <w:rPr>
                <w:sz w:val="24"/>
                <w:szCs w:val="24"/>
              </w:rPr>
              <w:t>The Wales Safeguarding Procedures</w:t>
            </w:r>
            <w:r w:rsidR="00813C85">
              <w:rPr>
                <w:sz w:val="24"/>
                <w:szCs w:val="24"/>
              </w:rPr>
              <w:t xml:space="preserve"> (20</w:t>
            </w:r>
            <w:r w:rsidR="00282B39">
              <w:rPr>
                <w:sz w:val="24"/>
                <w:szCs w:val="24"/>
              </w:rPr>
              <w:t>19</w:t>
            </w:r>
            <w:r w:rsidR="00813C85">
              <w:rPr>
                <w:sz w:val="24"/>
                <w:szCs w:val="24"/>
              </w:rPr>
              <w:t xml:space="preserve">) </w:t>
            </w:r>
            <w:r w:rsidR="00C00C53">
              <w:rPr>
                <w:sz w:val="24"/>
                <w:szCs w:val="24"/>
              </w:rPr>
              <w:t>provide guidance on</w:t>
            </w:r>
            <w:r w:rsidR="0026656F">
              <w:rPr>
                <w:sz w:val="24"/>
                <w:szCs w:val="24"/>
              </w:rPr>
              <w:t xml:space="preserve"> safeguarding</w:t>
            </w:r>
            <w:r w:rsidR="00813C85">
              <w:rPr>
                <w:sz w:val="24"/>
                <w:szCs w:val="24"/>
              </w:rPr>
              <w:t xml:space="preserve">, via a </w:t>
            </w:r>
            <w:r w:rsidR="00B452C3">
              <w:rPr>
                <w:sz w:val="24"/>
                <w:szCs w:val="24"/>
              </w:rPr>
              <w:t xml:space="preserve">regularly updated </w:t>
            </w:r>
            <w:r w:rsidR="00813C85">
              <w:rPr>
                <w:sz w:val="24"/>
                <w:szCs w:val="24"/>
              </w:rPr>
              <w:t>mobile phone app</w:t>
            </w:r>
            <w:r w:rsidR="00B452C3">
              <w:rPr>
                <w:sz w:val="24"/>
                <w:szCs w:val="24"/>
              </w:rPr>
              <w:t>,</w:t>
            </w:r>
            <w:r w:rsidR="00C00C53">
              <w:rPr>
                <w:sz w:val="24"/>
                <w:szCs w:val="24"/>
              </w:rPr>
              <w:t xml:space="preserve"> along with explanations</w:t>
            </w:r>
            <w:r w:rsidR="00813C85">
              <w:rPr>
                <w:sz w:val="24"/>
                <w:szCs w:val="24"/>
              </w:rPr>
              <w:t xml:space="preserve"> for practitioners</w:t>
            </w:r>
            <w:r w:rsidR="00C00C53">
              <w:rPr>
                <w:sz w:val="24"/>
                <w:szCs w:val="24"/>
              </w:rPr>
              <w:t xml:space="preserve"> on</w:t>
            </w:r>
            <w:r w:rsidR="00813C85">
              <w:rPr>
                <w:sz w:val="24"/>
                <w:szCs w:val="24"/>
              </w:rPr>
              <w:t xml:space="preserve"> their roles and responsibilities</w:t>
            </w:r>
            <w:r w:rsidR="006C4DC3">
              <w:rPr>
                <w:sz w:val="24"/>
                <w:szCs w:val="24"/>
              </w:rPr>
              <w:t xml:space="preserve"> under the SSWBA (2014</w:t>
            </w:r>
            <w:r w:rsidR="009974DF">
              <w:rPr>
                <w:sz w:val="24"/>
                <w:szCs w:val="24"/>
              </w:rPr>
              <w:t>).</w:t>
            </w:r>
            <w:r w:rsidR="006C4DC3">
              <w:rPr>
                <w:sz w:val="24"/>
                <w:szCs w:val="24"/>
              </w:rPr>
              <w:t xml:space="preserve"> It works to standardise safeguarding practice across agencies and all areas of Wales</w:t>
            </w:r>
            <w:r w:rsidR="00B452C3">
              <w:rPr>
                <w:sz w:val="24"/>
                <w:szCs w:val="24"/>
              </w:rPr>
              <w:t>, and provides</w:t>
            </w:r>
            <w:r w:rsidR="00FE4F9C">
              <w:rPr>
                <w:sz w:val="24"/>
                <w:szCs w:val="24"/>
              </w:rPr>
              <w:t xml:space="preserve"> a framework for the Regional Safeguarding Boards to ensure practice follows the necessary </w:t>
            </w:r>
            <w:r w:rsidR="00B452C3">
              <w:rPr>
                <w:sz w:val="24"/>
                <w:szCs w:val="24"/>
              </w:rPr>
              <w:t xml:space="preserve">statutory </w:t>
            </w:r>
            <w:r w:rsidR="00FE4F9C">
              <w:rPr>
                <w:sz w:val="24"/>
                <w:szCs w:val="24"/>
              </w:rPr>
              <w:t>requirements</w:t>
            </w:r>
            <w:r w:rsidR="00B452C3">
              <w:rPr>
                <w:sz w:val="24"/>
                <w:szCs w:val="24"/>
              </w:rPr>
              <w:t>.</w:t>
            </w:r>
            <w:r w:rsidR="00FE4F9C">
              <w:rPr>
                <w:sz w:val="24"/>
                <w:szCs w:val="24"/>
              </w:rPr>
              <w:t xml:space="preserve"> </w:t>
            </w:r>
            <w:r w:rsidR="00B452C3">
              <w:rPr>
                <w:sz w:val="24"/>
                <w:szCs w:val="24"/>
              </w:rPr>
              <w:t>The</w:t>
            </w:r>
            <w:r w:rsidR="00813C85">
              <w:rPr>
                <w:sz w:val="24"/>
                <w:szCs w:val="24"/>
              </w:rPr>
              <w:t xml:space="preserve"> National Independent Safeguarding Board, established by the SSWBA (2014) </w:t>
            </w:r>
            <w:r w:rsidR="00B452C3">
              <w:rPr>
                <w:sz w:val="24"/>
                <w:szCs w:val="24"/>
              </w:rPr>
              <w:t>works</w:t>
            </w:r>
            <w:r w:rsidR="00FE4F9C">
              <w:rPr>
                <w:sz w:val="24"/>
                <w:szCs w:val="24"/>
              </w:rPr>
              <w:t xml:space="preserve"> with local </w:t>
            </w:r>
            <w:r w:rsidR="00FE4F9C">
              <w:rPr>
                <w:sz w:val="24"/>
                <w:szCs w:val="24"/>
              </w:rPr>
              <w:lastRenderedPageBreak/>
              <w:t xml:space="preserve">safeguarding boards, </w:t>
            </w:r>
            <w:r w:rsidR="007A565A">
              <w:rPr>
                <w:sz w:val="24"/>
                <w:szCs w:val="24"/>
              </w:rPr>
              <w:t>whilst providing</w:t>
            </w:r>
            <w:r w:rsidR="00813C85">
              <w:rPr>
                <w:sz w:val="24"/>
                <w:szCs w:val="24"/>
              </w:rPr>
              <w:t xml:space="preserve"> </w:t>
            </w:r>
            <w:r w:rsidR="00FE4F9C">
              <w:rPr>
                <w:sz w:val="24"/>
                <w:szCs w:val="24"/>
              </w:rPr>
              <w:t>information</w:t>
            </w:r>
            <w:r w:rsidR="00813C85">
              <w:rPr>
                <w:sz w:val="24"/>
                <w:szCs w:val="24"/>
              </w:rPr>
              <w:t xml:space="preserve"> on safeguarding procedures and policies to the Welsh Government </w:t>
            </w:r>
            <w:r w:rsidR="00FC464A">
              <w:rPr>
                <w:sz w:val="24"/>
                <w:szCs w:val="24"/>
              </w:rPr>
              <w:t>ensuring</w:t>
            </w:r>
            <w:r w:rsidR="00813C85">
              <w:rPr>
                <w:sz w:val="24"/>
                <w:szCs w:val="24"/>
              </w:rPr>
              <w:t xml:space="preserve"> effective</w:t>
            </w:r>
            <w:r w:rsidR="00B452C3">
              <w:rPr>
                <w:sz w:val="24"/>
                <w:szCs w:val="24"/>
              </w:rPr>
              <w:t xml:space="preserve"> safeguarding</w:t>
            </w:r>
            <w:r w:rsidR="00813C85">
              <w:rPr>
                <w:sz w:val="24"/>
                <w:szCs w:val="24"/>
              </w:rPr>
              <w:t xml:space="preserve"> </w:t>
            </w:r>
            <w:r w:rsidR="00B452C3">
              <w:rPr>
                <w:sz w:val="24"/>
                <w:szCs w:val="24"/>
              </w:rPr>
              <w:t>for</w:t>
            </w:r>
            <w:r w:rsidR="00813C85">
              <w:rPr>
                <w:sz w:val="24"/>
                <w:szCs w:val="24"/>
              </w:rPr>
              <w:t xml:space="preserve"> adults at risk (Safeguarding Board Wales, 2017).</w:t>
            </w:r>
          </w:p>
          <w:p w14:paraId="6258E957" w14:textId="77777777" w:rsidR="00BC3987" w:rsidRDefault="00BC3987" w:rsidP="00D312FA">
            <w:pPr>
              <w:spacing w:line="360" w:lineRule="auto"/>
              <w:jc w:val="both"/>
              <w:rPr>
                <w:sz w:val="24"/>
                <w:szCs w:val="24"/>
              </w:rPr>
            </w:pPr>
          </w:p>
          <w:p w14:paraId="24C490F3" w14:textId="6D8BD4F1" w:rsidR="00914511" w:rsidRDefault="0026656F" w:rsidP="00D312FA">
            <w:pPr>
              <w:spacing w:line="360" w:lineRule="auto"/>
              <w:jc w:val="both"/>
              <w:rPr>
                <w:sz w:val="24"/>
                <w:szCs w:val="24"/>
              </w:rPr>
            </w:pPr>
            <w:r>
              <w:rPr>
                <w:sz w:val="24"/>
                <w:szCs w:val="24"/>
              </w:rPr>
              <w:t>There are overarching duties when considering the SSWBA (2014) and Human Rights</w:t>
            </w:r>
            <w:r w:rsidR="009974DF">
              <w:rPr>
                <w:sz w:val="24"/>
                <w:szCs w:val="24"/>
              </w:rPr>
              <w:t xml:space="preserve"> </w:t>
            </w:r>
            <w:r w:rsidR="00CB7A25">
              <w:rPr>
                <w:sz w:val="24"/>
                <w:szCs w:val="24"/>
              </w:rPr>
              <w:t>with</w:t>
            </w:r>
            <w:r w:rsidR="0036496F">
              <w:rPr>
                <w:sz w:val="24"/>
                <w:szCs w:val="24"/>
              </w:rPr>
              <w:t xml:space="preserve"> </w:t>
            </w:r>
            <w:r w:rsidR="00022099">
              <w:rPr>
                <w:sz w:val="24"/>
                <w:szCs w:val="24"/>
              </w:rPr>
              <w:t>consideration</w:t>
            </w:r>
            <w:r w:rsidR="0036496F">
              <w:rPr>
                <w:sz w:val="24"/>
                <w:szCs w:val="24"/>
              </w:rPr>
              <w:t xml:space="preserve"> </w:t>
            </w:r>
            <w:r w:rsidR="00CB7A25">
              <w:rPr>
                <w:sz w:val="24"/>
                <w:szCs w:val="24"/>
              </w:rPr>
              <w:t>needed for</w:t>
            </w:r>
            <w:r w:rsidR="00914511">
              <w:rPr>
                <w:sz w:val="24"/>
                <w:szCs w:val="24"/>
              </w:rPr>
              <w:t xml:space="preserve"> local, national, international, and European Law</w:t>
            </w:r>
            <w:r w:rsidR="00CB7A25">
              <w:rPr>
                <w:sz w:val="24"/>
                <w:szCs w:val="24"/>
              </w:rPr>
              <w:t>.</w:t>
            </w:r>
            <w:r w:rsidR="00914511">
              <w:rPr>
                <w:sz w:val="24"/>
                <w:szCs w:val="24"/>
              </w:rPr>
              <w:t xml:space="preserve"> </w:t>
            </w:r>
            <w:r w:rsidR="00CB7A25">
              <w:rPr>
                <w:sz w:val="24"/>
                <w:szCs w:val="24"/>
              </w:rPr>
              <w:t>This</w:t>
            </w:r>
            <w:r w:rsidR="00914511">
              <w:rPr>
                <w:sz w:val="24"/>
                <w:szCs w:val="24"/>
              </w:rPr>
              <w:t xml:space="preserve"> includes</w:t>
            </w:r>
            <w:r w:rsidR="0036496F">
              <w:rPr>
                <w:sz w:val="24"/>
                <w:szCs w:val="24"/>
              </w:rPr>
              <w:t xml:space="preserve"> United Nations Principles for Older Persons</w:t>
            </w:r>
            <w:r w:rsidR="00914511">
              <w:rPr>
                <w:sz w:val="24"/>
                <w:szCs w:val="24"/>
              </w:rPr>
              <w:t xml:space="preserve"> </w:t>
            </w:r>
            <w:r w:rsidR="00A42FA6">
              <w:rPr>
                <w:sz w:val="24"/>
                <w:szCs w:val="24"/>
              </w:rPr>
              <w:t>(</w:t>
            </w:r>
            <w:r w:rsidR="00914511">
              <w:rPr>
                <w:sz w:val="24"/>
                <w:szCs w:val="24"/>
              </w:rPr>
              <w:t>1991</w:t>
            </w:r>
            <w:r w:rsidR="00A42FA6">
              <w:rPr>
                <w:sz w:val="24"/>
                <w:szCs w:val="24"/>
              </w:rPr>
              <w:t xml:space="preserve">) </w:t>
            </w:r>
            <w:r w:rsidR="008814ED">
              <w:rPr>
                <w:sz w:val="24"/>
                <w:szCs w:val="24"/>
              </w:rPr>
              <w:t xml:space="preserve">promoting </w:t>
            </w:r>
            <w:r w:rsidR="00A42FA6">
              <w:rPr>
                <w:sz w:val="24"/>
                <w:szCs w:val="24"/>
              </w:rPr>
              <w:t xml:space="preserve"> independence and participation as two of its principles</w:t>
            </w:r>
            <w:r w:rsidR="0036496F">
              <w:rPr>
                <w:sz w:val="24"/>
                <w:szCs w:val="24"/>
              </w:rPr>
              <w:t xml:space="preserve">, </w:t>
            </w:r>
            <w:r w:rsidR="00914511">
              <w:rPr>
                <w:sz w:val="24"/>
                <w:szCs w:val="24"/>
              </w:rPr>
              <w:t xml:space="preserve">United Nations Convention on the </w:t>
            </w:r>
            <w:r w:rsidR="0036496F">
              <w:rPr>
                <w:sz w:val="24"/>
                <w:szCs w:val="24"/>
              </w:rPr>
              <w:t xml:space="preserve">Rights of </w:t>
            </w:r>
            <w:r w:rsidR="00914511">
              <w:rPr>
                <w:sz w:val="24"/>
                <w:szCs w:val="24"/>
              </w:rPr>
              <w:t>Persons with Disabilities</w:t>
            </w:r>
            <w:r w:rsidR="00A42FA6">
              <w:rPr>
                <w:sz w:val="24"/>
                <w:szCs w:val="24"/>
              </w:rPr>
              <w:t xml:space="preserve"> </w:t>
            </w:r>
            <w:r w:rsidR="008814ED">
              <w:rPr>
                <w:sz w:val="24"/>
                <w:szCs w:val="24"/>
              </w:rPr>
              <w:t>protecting</w:t>
            </w:r>
            <w:r w:rsidR="00A42FA6">
              <w:rPr>
                <w:sz w:val="24"/>
                <w:szCs w:val="24"/>
              </w:rPr>
              <w:t xml:space="preserve"> people with disabilities and promot</w:t>
            </w:r>
            <w:r w:rsidR="008814ED">
              <w:rPr>
                <w:sz w:val="24"/>
                <w:szCs w:val="24"/>
              </w:rPr>
              <w:t>ing</w:t>
            </w:r>
            <w:r w:rsidR="00A42FA6">
              <w:rPr>
                <w:sz w:val="24"/>
                <w:szCs w:val="24"/>
              </w:rPr>
              <w:t xml:space="preserve"> their rights</w:t>
            </w:r>
            <w:r w:rsidR="00914511">
              <w:rPr>
                <w:sz w:val="24"/>
                <w:szCs w:val="24"/>
              </w:rPr>
              <w:t xml:space="preserve">, Declaration of rights of older people in Wales </w:t>
            </w:r>
            <w:r w:rsidR="00A42FA6">
              <w:rPr>
                <w:sz w:val="24"/>
                <w:szCs w:val="24"/>
              </w:rPr>
              <w:t>(</w:t>
            </w:r>
            <w:r w:rsidR="00914511">
              <w:rPr>
                <w:sz w:val="24"/>
                <w:szCs w:val="24"/>
              </w:rPr>
              <w:t>2014</w:t>
            </w:r>
            <w:r w:rsidR="00A42FA6">
              <w:rPr>
                <w:sz w:val="24"/>
                <w:szCs w:val="24"/>
              </w:rPr>
              <w:t xml:space="preserve">) which </w:t>
            </w:r>
            <w:r w:rsidR="009974DF">
              <w:rPr>
                <w:sz w:val="24"/>
                <w:szCs w:val="24"/>
              </w:rPr>
              <w:t>clarifies</w:t>
            </w:r>
            <w:r w:rsidR="00A42FA6">
              <w:rPr>
                <w:sz w:val="24"/>
                <w:szCs w:val="24"/>
              </w:rPr>
              <w:t xml:space="preserve"> the rights of older people living in Wales</w:t>
            </w:r>
            <w:r w:rsidR="00914511">
              <w:rPr>
                <w:sz w:val="24"/>
                <w:szCs w:val="24"/>
              </w:rPr>
              <w:t>,</w:t>
            </w:r>
            <w:r w:rsidR="00DA4169">
              <w:rPr>
                <w:sz w:val="24"/>
                <w:szCs w:val="24"/>
              </w:rPr>
              <w:t xml:space="preserve"> Equality Act (2010) that identifies protected characteristics to prevent discrimination</w:t>
            </w:r>
            <w:r w:rsidR="007F737D">
              <w:rPr>
                <w:sz w:val="24"/>
                <w:szCs w:val="24"/>
              </w:rPr>
              <w:t xml:space="preserve"> and links with the Code of Professional Practice for Social Care (2017),</w:t>
            </w:r>
            <w:r w:rsidR="00DA4169">
              <w:rPr>
                <w:sz w:val="24"/>
                <w:szCs w:val="24"/>
              </w:rPr>
              <w:t xml:space="preserve"> </w:t>
            </w:r>
            <w:r w:rsidR="0036496F">
              <w:rPr>
                <w:sz w:val="24"/>
                <w:szCs w:val="24"/>
              </w:rPr>
              <w:t>and European Convention on Human Rights</w:t>
            </w:r>
            <w:r w:rsidR="00914511">
              <w:rPr>
                <w:sz w:val="24"/>
                <w:szCs w:val="24"/>
              </w:rPr>
              <w:t xml:space="preserve"> incorporated into British Law through the Human Rights Act </w:t>
            </w:r>
            <w:r w:rsidR="00A42FA6">
              <w:rPr>
                <w:sz w:val="24"/>
                <w:szCs w:val="24"/>
              </w:rPr>
              <w:t>(</w:t>
            </w:r>
            <w:r w:rsidR="00914511">
              <w:rPr>
                <w:sz w:val="24"/>
                <w:szCs w:val="24"/>
              </w:rPr>
              <w:t>1998</w:t>
            </w:r>
            <w:r w:rsidR="00A42FA6">
              <w:rPr>
                <w:sz w:val="24"/>
                <w:szCs w:val="24"/>
              </w:rPr>
              <w:t xml:space="preserve">) that details the fundamental freedom and rights that everyone is entitled to in the UK </w:t>
            </w:r>
            <w:r w:rsidR="0036496F">
              <w:rPr>
                <w:sz w:val="24"/>
                <w:szCs w:val="24"/>
              </w:rPr>
              <w:t>, with Part 2 of the Act stating that authorities must understand the differences between absolute rights, limited rights, or qualified rights</w:t>
            </w:r>
            <w:r w:rsidR="00A42FA6">
              <w:rPr>
                <w:sz w:val="24"/>
                <w:szCs w:val="24"/>
              </w:rPr>
              <w:t xml:space="preserve"> (SCW, 2023)</w:t>
            </w:r>
            <w:r w:rsidR="00914511">
              <w:rPr>
                <w:sz w:val="24"/>
                <w:szCs w:val="24"/>
              </w:rPr>
              <w:t xml:space="preserve">. </w:t>
            </w:r>
          </w:p>
          <w:p w14:paraId="48D8E57A" w14:textId="77777777" w:rsidR="00914511" w:rsidRDefault="00914511" w:rsidP="00D312FA">
            <w:pPr>
              <w:spacing w:line="360" w:lineRule="auto"/>
              <w:jc w:val="both"/>
              <w:rPr>
                <w:sz w:val="24"/>
                <w:szCs w:val="24"/>
              </w:rPr>
            </w:pPr>
          </w:p>
          <w:p w14:paraId="201691EF" w14:textId="01190178" w:rsidR="00870192" w:rsidRDefault="00914511" w:rsidP="00D312FA">
            <w:pPr>
              <w:spacing w:line="360" w:lineRule="auto"/>
              <w:jc w:val="both"/>
              <w:rPr>
                <w:sz w:val="24"/>
                <w:szCs w:val="24"/>
              </w:rPr>
            </w:pPr>
            <w:r>
              <w:rPr>
                <w:sz w:val="24"/>
                <w:szCs w:val="24"/>
              </w:rPr>
              <w:t xml:space="preserve">Other key </w:t>
            </w:r>
            <w:r w:rsidR="00A42FA6">
              <w:rPr>
                <w:sz w:val="24"/>
                <w:szCs w:val="24"/>
              </w:rPr>
              <w:t xml:space="preserve">legislation </w:t>
            </w:r>
            <w:r w:rsidR="00DA4169">
              <w:rPr>
                <w:sz w:val="24"/>
                <w:szCs w:val="24"/>
              </w:rPr>
              <w:t>includes the Mental Health Act (1983, amended 2007), Mental Health Act Code of Practice for Wales (2016)</w:t>
            </w:r>
            <w:r w:rsidR="000B4E03">
              <w:rPr>
                <w:sz w:val="24"/>
                <w:szCs w:val="24"/>
              </w:rPr>
              <w:t xml:space="preserve"> and</w:t>
            </w:r>
            <w:r w:rsidR="00DA4169">
              <w:rPr>
                <w:sz w:val="24"/>
                <w:szCs w:val="24"/>
              </w:rPr>
              <w:t xml:space="preserve"> Mental Health (Wales) Measure (2010) which place legal duties on local authorities and health boards to ensure that they uphold people’s rights when they access services</w:t>
            </w:r>
            <w:r w:rsidR="00870192">
              <w:rPr>
                <w:sz w:val="24"/>
                <w:szCs w:val="24"/>
              </w:rPr>
              <w:t>, outlining the requirement for assessment when mental health issues are being experienced</w:t>
            </w:r>
            <w:r w:rsidR="00DA4169">
              <w:rPr>
                <w:sz w:val="24"/>
                <w:szCs w:val="24"/>
              </w:rPr>
              <w:t xml:space="preserve">. </w:t>
            </w:r>
            <w:r w:rsidR="00870192">
              <w:rPr>
                <w:sz w:val="24"/>
                <w:szCs w:val="24"/>
              </w:rPr>
              <w:t xml:space="preserve">The Mental Capacity Act (2005) and Code of Practice are important legislation intended to give vulnerable people, who may lack capacity, power to make decisions (SCW, 2023). </w:t>
            </w:r>
            <w:r w:rsidR="00356008">
              <w:rPr>
                <w:sz w:val="24"/>
                <w:szCs w:val="24"/>
              </w:rPr>
              <w:t>The</w:t>
            </w:r>
            <w:r w:rsidR="00870192">
              <w:rPr>
                <w:sz w:val="24"/>
                <w:szCs w:val="24"/>
              </w:rPr>
              <w:t xml:space="preserve"> Mental Capacity Act (2005)</w:t>
            </w:r>
            <w:r w:rsidR="000835A8">
              <w:rPr>
                <w:sz w:val="24"/>
                <w:szCs w:val="24"/>
              </w:rPr>
              <w:t>, Protection of Vulnerable Adults</w:t>
            </w:r>
            <w:r w:rsidR="00C2454F">
              <w:rPr>
                <w:sz w:val="24"/>
                <w:szCs w:val="24"/>
              </w:rPr>
              <w:t xml:space="preserve">, and </w:t>
            </w:r>
            <w:r w:rsidR="00CD2378">
              <w:rPr>
                <w:sz w:val="24"/>
                <w:szCs w:val="24"/>
              </w:rPr>
              <w:t>Deprivation of Liberty Safeguards</w:t>
            </w:r>
            <w:r w:rsidR="000835A8">
              <w:rPr>
                <w:sz w:val="24"/>
                <w:szCs w:val="24"/>
              </w:rPr>
              <w:t xml:space="preserve"> work together to ensure that best interest decisions are made for individuals who lack the mental capacity to make decisions themselves, </w:t>
            </w:r>
            <w:r w:rsidR="00C2454F">
              <w:rPr>
                <w:sz w:val="24"/>
                <w:szCs w:val="24"/>
              </w:rPr>
              <w:t xml:space="preserve">and also build on the main </w:t>
            </w:r>
            <w:r w:rsidR="00D24A17">
              <w:rPr>
                <w:sz w:val="24"/>
                <w:szCs w:val="24"/>
              </w:rPr>
              <w:t xml:space="preserve">wellbeing </w:t>
            </w:r>
            <w:r w:rsidR="00C2454F">
              <w:rPr>
                <w:sz w:val="24"/>
                <w:szCs w:val="24"/>
              </w:rPr>
              <w:t>principles of the SSWBA (2014)</w:t>
            </w:r>
            <w:r w:rsidR="00DA576F">
              <w:rPr>
                <w:sz w:val="24"/>
                <w:szCs w:val="24"/>
              </w:rPr>
              <w:t>, duty to offer advocacy,</w:t>
            </w:r>
            <w:r w:rsidR="00C2454F">
              <w:rPr>
                <w:sz w:val="24"/>
                <w:szCs w:val="24"/>
              </w:rPr>
              <w:t xml:space="preserve"> and Mental Health (Wales) Measure 2010 which directs that people should be supported to achieve the outcomes in life that matter to them (SCW, 2023).</w:t>
            </w:r>
            <w:r w:rsidR="000835A8">
              <w:rPr>
                <w:sz w:val="24"/>
                <w:szCs w:val="24"/>
              </w:rPr>
              <w:t xml:space="preserve">   </w:t>
            </w:r>
            <w:r w:rsidR="00870192">
              <w:rPr>
                <w:sz w:val="24"/>
                <w:szCs w:val="24"/>
              </w:rPr>
              <w:t xml:space="preserve"> </w:t>
            </w:r>
          </w:p>
          <w:p w14:paraId="4CF8AFB5" w14:textId="57E39B31" w:rsidR="006C5368" w:rsidRDefault="006C5368" w:rsidP="00FF7EBB">
            <w:pPr>
              <w:jc w:val="both"/>
              <w:rPr>
                <w:sz w:val="24"/>
                <w:szCs w:val="24"/>
              </w:rPr>
            </w:pPr>
          </w:p>
          <w:p w14:paraId="63EB69CF" w14:textId="77777777" w:rsidR="00C70585" w:rsidRDefault="00C70585" w:rsidP="00FF7EBB">
            <w:pPr>
              <w:jc w:val="both"/>
              <w:rPr>
                <w:sz w:val="24"/>
                <w:szCs w:val="24"/>
              </w:rPr>
            </w:pPr>
          </w:p>
          <w:p w14:paraId="13DB41D2" w14:textId="39F83EB3" w:rsidR="007A628F" w:rsidRDefault="00C2454F" w:rsidP="00CA1554">
            <w:pPr>
              <w:jc w:val="both"/>
              <w:rPr>
                <w:sz w:val="24"/>
                <w:szCs w:val="24"/>
              </w:rPr>
            </w:pPr>
            <w:r>
              <w:rPr>
                <w:sz w:val="24"/>
                <w:szCs w:val="24"/>
              </w:rPr>
              <w:t xml:space="preserve">Word Count </w:t>
            </w:r>
            <w:r w:rsidR="00682870">
              <w:rPr>
                <w:sz w:val="24"/>
                <w:szCs w:val="24"/>
              </w:rPr>
              <w:t xml:space="preserve"> </w:t>
            </w:r>
            <w:r w:rsidR="00EC7D1A">
              <w:rPr>
                <w:sz w:val="24"/>
                <w:szCs w:val="24"/>
              </w:rPr>
              <w:t>5</w:t>
            </w:r>
            <w:r w:rsidR="00E4786A">
              <w:rPr>
                <w:sz w:val="24"/>
                <w:szCs w:val="24"/>
              </w:rPr>
              <w:t>50</w:t>
            </w:r>
          </w:p>
          <w:p w14:paraId="60B2CA98" w14:textId="77777777" w:rsidR="00682870" w:rsidRDefault="00682870" w:rsidP="00CA1554">
            <w:pPr>
              <w:jc w:val="both"/>
              <w:rPr>
                <w:sz w:val="24"/>
                <w:szCs w:val="24"/>
              </w:rPr>
            </w:pPr>
          </w:p>
          <w:p w14:paraId="14DECBED" w14:textId="77777777" w:rsidR="00682870" w:rsidRDefault="00682870" w:rsidP="00CA1554">
            <w:pPr>
              <w:jc w:val="both"/>
              <w:rPr>
                <w:sz w:val="24"/>
                <w:szCs w:val="24"/>
              </w:rPr>
            </w:pPr>
          </w:p>
          <w:p w14:paraId="2BCB6D6C" w14:textId="77777777" w:rsidR="00682870" w:rsidRDefault="00682870" w:rsidP="00CA1554">
            <w:pPr>
              <w:jc w:val="both"/>
              <w:rPr>
                <w:sz w:val="24"/>
                <w:szCs w:val="24"/>
              </w:rPr>
            </w:pPr>
          </w:p>
          <w:p w14:paraId="03BD6D93" w14:textId="36B729CD" w:rsidR="00682870" w:rsidRPr="008B28E7" w:rsidRDefault="00682870" w:rsidP="00CA1554">
            <w:pPr>
              <w:jc w:val="both"/>
              <w:rPr>
                <w:b/>
                <w:sz w:val="24"/>
                <w:szCs w:val="24"/>
              </w:rPr>
            </w:pPr>
          </w:p>
        </w:tc>
      </w:tr>
    </w:tbl>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BC809B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242A9C0F" w14:textId="77777777" w:rsidR="00B00EBF" w:rsidRDefault="00B00EBF" w:rsidP="00FC0334">
            <w:pPr>
              <w:jc w:val="both"/>
              <w:rPr>
                <w:sz w:val="24"/>
                <w:szCs w:val="24"/>
              </w:rPr>
            </w:pPr>
          </w:p>
          <w:p w14:paraId="24BC02CA" w14:textId="50F6DACF" w:rsidR="00B00EBF" w:rsidRDefault="00B00EBF" w:rsidP="00B00EBF">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Pr>
                <w:i/>
                <w:sz w:val="24"/>
                <w:szCs w:val="24"/>
              </w:rPr>
              <w:t>.</w:t>
            </w:r>
          </w:p>
          <w:p w14:paraId="49A41302" w14:textId="6D9EE977" w:rsidR="00B00EBF" w:rsidRDefault="00B00EBF" w:rsidP="00FC0334">
            <w:pPr>
              <w:jc w:val="both"/>
              <w:rPr>
                <w:sz w:val="24"/>
                <w:szCs w:val="24"/>
              </w:rPr>
            </w:pPr>
          </w:p>
          <w:p w14:paraId="046F799D" w14:textId="77777777" w:rsidR="00597113" w:rsidRDefault="00597113" w:rsidP="00FC0334">
            <w:pPr>
              <w:jc w:val="both"/>
              <w:rPr>
                <w:sz w:val="24"/>
                <w:szCs w:val="24"/>
              </w:rPr>
            </w:pPr>
          </w:p>
          <w:p w14:paraId="1BDBDCAB" w14:textId="59515CAA" w:rsidR="00BC3987" w:rsidRDefault="00BC3987" w:rsidP="00FC0334">
            <w:pPr>
              <w:jc w:val="both"/>
              <w:rPr>
                <w:sz w:val="24"/>
                <w:szCs w:val="24"/>
              </w:rPr>
            </w:pPr>
          </w:p>
          <w:p w14:paraId="7D3D1F62" w14:textId="0B31FFF6" w:rsidR="00370757" w:rsidRDefault="00BC3987" w:rsidP="005A0379">
            <w:pPr>
              <w:spacing w:line="360" w:lineRule="auto"/>
              <w:jc w:val="both"/>
              <w:rPr>
                <w:sz w:val="24"/>
                <w:szCs w:val="24"/>
              </w:rPr>
            </w:pPr>
            <w:r>
              <w:rPr>
                <w:sz w:val="24"/>
                <w:szCs w:val="24"/>
              </w:rPr>
              <w:t xml:space="preserve">The Social Services and Wellbeing (Wales) Act 2014 (SSWBA, 2014) </w:t>
            </w:r>
            <w:r w:rsidR="00897347">
              <w:rPr>
                <w:sz w:val="24"/>
                <w:szCs w:val="24"/>
              </w:rPr>
              <w:t xml:space="preserve">works </w:t>
            </w:r>
            <w:r w:rsidR="00BC1089">
              <w:rPr>
                <w:sz w:val="24"/>
                <w:szCs w:val="24"/>
              </w:rPr>
              <w:t>alongside</w:t>
            </w:r>
            <w:r w:rsidR="00897347">
              <w:rPr>
                <w:sz w:val="24"/>
                <w:szCs w:val="24"/>
              </w:rPr>
              <w:t xml:space="preserve"> the  Wales Safeguarding Procedures (20</w:t>
            </w:r>
            <w:r w:rsidR="00282B39">
              <w:rPr>
                <w:sz w:val="24"/>
                <w:szCs w:val="24"/>
              </w:rPr>
              <w:t>19</w:t>
            </w:r>
            <w:r w:rsidR="00897347">
              <w:rPr>
                <w:sz w:val="24"/>
                <w:szCs w:val="24"/>
              </w:rPr>
              <w:t xml:space="preserve">) to </w:t>
            </w:r>
            <w:r w:rsidR="00BC1089">
              <w:rPr>
                <w:sz w:val="24"/>
                <w:szCs w:val="24"/>
              </w:rPr>
              <w:t>inform of</w:t>
            </w:r>
            <w:r w:rsidR="00897347">
              <w:rPr>
                <w:sz w:val="24"/>
                <w:szCs w:val="24"/>
              </w:rPr>
              <w:t xml:space="preserve"> legal duties, </w:t>
            </w:r>
            <w:r w:rsidR="00220366">
              <w:rPr>
                <w:sz w:val="24"/>
                <w:szCs w:val="24"/>
              </w:rPr>
              <w:t xml:space="preserve">whilst </w:t>
            </w:r>
            <w:r w:rsidR="00BC1089">
              <w:rPr>
                <w:sz w:val="24"/>
                <w:szCs w:val="24"/>
              </w:rPr>
              <w:t>providing</w:t>
            </w:r>
            <w:r w:rsidR="00897347">
              <w:rPr>
                <w:sz w:val="24"/>
                <w:szCs w:val="24"/>
              </w:rPr>
              <w:t xml:space="preserve"> advice and guidance on adult and children safeguarding</w:t>
            </w:r>
            <w:r w:rsidR="00BC1089">
              <w:rPr>
                <w:sz w:val="24"/>
                <w:szCs w:val="24"/>
              </w:rPr>
              <w:t xml:space="preserve"> under Part 7 of the </w:t>
            </w:r>
            <w:r w:rsidR="00FC464A">
              <w:rPr>
                <w:sz w:val="24"/>
                <w:szCs w:val="24"/>
              </w:rPr>
              <w:t>SSWBA (2014)</w:t>
            </w:r>
            <w:r w:rsidR="00854BBB">
              <w:rPr>
                <w:sz w:val="24"/>
                <w:szCs w:val="24"/>
              </w:rPr>
              <w:t>.</w:t>
            </w:r>
            <w:r w:rsidR="00897347">
              <w:rPr>
                <w:sz w:val="24"/>
                <w:szCs w:val="24"/>
              </w:rPr>
              <w:t xml:space="preserve"> </w:t>
            </w:r>
            <w:r w:rsidR="00BC1089">
              <w:rPr>
                <w:sz w:val="24"/>
                <w:szCs w:val="24"/>
              </w:rPr>
              <w:t xml:space="preserve">There are however, </w:t>
            </w:r>
            <w:r w:rsidR="00370757">
              <w:rPr>
                <w:sz w:val="24"/>
                <w:szCs w:val="24"/>
              </w:rPr>
              <w:t xml:space="preserve">still </w:t>
            </w:r>
            <w:r w:rsidR="00BC1089">
              <w:rPr>
                <w:sz w:val="24"/>
                <w:szCs w:val="24"/>
              </w:rPr>
              <w:t xml:space="preserve">clear differences when considering safeguarding of adults and children. </w:t>
            </w:r>
          </w:p>
          <w:p w14:paraId="16648073" w14:textId="77777777" w:rsidR="00370757" w:rsidRDefault="00370757" w:rsidP="005A0379">
            <w:pPr>
              <w:spacing w:line="360" w:lineRule="auto"/>
              <w:jc w:val="both"/>
              <w:rPr>
                <w:sz w:val="24"/>
                <w:szCs w:val="24"/>
              </w:rPr>
            </w:pPr>
          </w:p>
          <w:p w14:paraId="6362F91B" w14:textId="59C914F9" w:rsidR="00370757" w:rsidRDefault="00BC1089" w:rsidP="005A0379">
            <w:pPr>
              <w:spacing w:line="360" w:lineRule="auto"/>
              <w:jc w:val="both"/>
              <w:rPr>
                <w:sz w:val="24"/>
                <w:szCs w:val="24"/>
              </w:rPr>
            </w:pPr>
            <w:r>
              <w:rPr>
                <w:sz w:val="24"/>
                <w:szCs w:val="24"/>
              </w:rPr>
              <w:t>Children’s safeguarding</w:t>
            </w:r>
            <w:r w:rsidR="00370757">
              <w:rPr>
                <w:sz w:val="24"/>
                <w:szCs w:val="24"/>
              </w:rPr>
              <w:t xml:space="preserve"> is covered by both Welsh and UK legislation through the SSWBA (2014) and Children Act (1989), also used in England</w:t>
            </w:r>
            <w:r w:rsidR="00854BBB">
              <w:rPr>
                <w:sz w:val="24"/>
                <w:szCs w:val="24"/>
              </w:rPr>
              <w:t>.</w:t>
            </w:r>
            <w:r w:rsidR="00370757">
              <w:rPr>
                <w:sz w:val="24"/>
                <w:szCs w:val="24"/>
              </w:rPr>
              <w:t xml:space="preserve"> The Children Act (1989) outlines duties under </w:t>
            </w:r>
            <w:r w:rsidR="00CD2378">
              <w:rPr>
                <w:sz w:val="24"/>
                <w:szCs w:val="24"/>
              </w:rPr>
              <w:t>s</w:t>
            </w:r>
            <w:r w:rsidR="00370757">
              <w:rPr>
                <w:sz w:val="24"/>
                <w:szCs w:val="24"/>
              </w:rPr>
              <w:t xml:space="preserve">.47 when considering </w:t>
            </w:r>
            <w:r w:rsidR="00220366">
              <w:rPr>
                <w:sz w:val="24"/>
                <w:szCs w:val="24"/>
              </w:rPr>
              <w:t>initiating</w:t>
            </w:r>
            <w:r w:rsidR="00370757">
              <w:rPr>
                <w:sz w:val="24"/>
                <w:szCs w:val="24"/>
              </w:rPr>
              <w:t xml:space="preserve"> child protection enquiries</w:t>
            </w:r>
            <w:r w:rsidR="00ED1A8E">
              <w:rPr>
                <w:sz w:val="24"/>
                <w:szCs w:val="24"/>
              </w:rPr>
              <w:t>,</w:t>
            </w:r>
            <w:r w:rsidR="005A0379">
              <w:rPr>
                <w:sz w:val="24"/>
                <w:szCs w:val="24"/>
              </w:rPr>
              <w:t xml:space="preserve"> if a child is felt to be at risk of significant harm</w:t>
            </w:r>
            <w:r w:rsidR="00854BBB">
              <w:rPr>
                <w:sz w:val="24"/>
                <w:szCs w:val="24"/>
              </w:rPr>
              <w:t>.</w:t>
            </w:r>
            <w:r w:rsidR="00ED1A8E">
              <w:rPr>
                <w:sz w:val="24"/>
                <w:szCs w:val="24"/>
              </w:rPr>
              <w:t xml:space="preserve"> Consent is not required if the threshold of significant harm is met and </w:t>
            </w:r>
            <w:r w:rsidR="00854BBB">
              <w:rPr>
                <w:sz w:val="24"/>
                <w:szCs w:val="24"/>
              </w:rPr>
              <w:t xml:space="preserve">collaboration with </w:t>
            </w:r>
            <w:r w:rsidR="00ED1A8E">
              <w:rPr>
                <w:sz w:val="24"/>
                <w:szCs w:val="24"/>
              </w:rPr>
              <w:t xml:space="preserve">police colleagues can support in </w:t>
            </w:r>
            <w:r w:rsidR="008A3675">
              <w:rPr>
                <w:sz w:val="24"/>
                <w:szCs w:val="24"/>
              </w:rPr>
              <w:t>exercising these powers.</w:t>
            </w:r>
            <w:r w:rsidR="00E1569E">
              <w:rPr>
                <w:sz w:val="24"/>
                <w:szCs w:val="24"/>
              </w:rPr>
              <w:t xml:space="preserve"> </w:t>
            </w:r>
            <w:r w:rsidR="008A3675">
              <w:rPr>
                <w:sz w:val="24"/>
                <w:szCs w:val="24"/>
              </w:rPr>
              <w:t>The</w:t>
            </w:r>
            <w:r w:rsidR="00E1569E">
              <w:rPr>
                <w:sz w:val="24"/>
                <w:szCs w:val="24"/>
              </w:rPr>
              <w:t xml:space="preserve"> duties follow the underlying principles of the SSWBA</w:t>
            </w:r>
            <w:r w:rsidR="008A3675">
              <w:rPr>
                <w:sz w:val="24"/>
                <w:szCs w:val="24"/>
              </w:rPr>
              <w:t xml:space="preserve"> (2014)</w:t>
            </w:r>
            <w:r w:rsidR="00E1569E">
              <w:rPr>
                <w:sz w:val="24"/>
                <w:szCs w:val="24"/>
              </w:rPr>
              <w:t xml:space="preserve"> with specific timescales for the child protection process</w:t>
            </w:r>
            <w:r w:rsidR="008A3675">
              <w:rPr>
                <w:sz w:val="24"/>
                <w:szCs w:val="24"/>
              </w:rPr>
              <w:t>.</w:t>
            </w:r>
            <w:r w:rsidR="00E1569E">
              <w:rPr>
                <w:sz w:val="24"/>
                <w:szCs w:val="24"/>
              </w:rPr>
              <w:t xml:space="preserve"> </w:t>
            </w:r>
            <w:r w:rsidR="008D4977">
              <w:rPr>
                <w:sz w:val="24"/>
                <w:szCs w:val="24"/>
              </w:rPr>
              <w:t xml:space="preserve">The child’s concerns, wishes and feelings are listened to </w:t>
            </w:r>
            <w:r w:rsidR="00CD2378">
              <w:rPr>
                <w:sz w:val="24"/>
                <w:szCs w:val="24"/>
              </w:rPr>
              <w:t>through</w:t>
            </w:r>
            <w:r w:rsidR="008D4977">
              <w:rPr>
                <w:sz w:val="24"/>
                <w:szCs w:val="24"/>
              </w:rPr>
              <w:t xml:space="preserve"> a </w:t>
            </w:r>
            <w:r w:rsidR="00854BBB">
              <w:rPr>
                <w:sz w:val="24"/>
                <w:szCs w:val="24"/>
              </w:rPr>
              <w:t>strength based</w:t>
            </w:r>
            <w:r w:rsidR="008D4977">
              <w:rPr>
                <w:sz w:val="24"/>
                <w:szCs w:val="24"/>
              </w:rPr>
              <w:t xml:space="preserve"> approach</w:t>
            </w:r>
            <w:r w:rsidR="00040DDD">
              <w:rPr>
                <w:sz w:val="24"/>
                <w:szCs w:val="24"/>
              </w:rPr>
              <w:t xml:space="preserve"> t</w:t>
            </w:r>
            <w:r w:rsidR="008D4977">
              <w:rPr>
                <w:sz w:val="24"/>
                <w:szCs w:val="24"/>
              </w:rPr>
              <w:t xml:space="preserve">o identify </w:t>
            </w:r>
            <w:r w:rsidR="00220366">
              <w:rPr>
                <w:sz w:val="24"/>
                <w:szCs w:val="24"/>
              </w:rPr>
              <w:t>their</w:t>
            </w:r>
            <w:r w:rsidR="008D4977">
              <w:rPr>
                <w:sz w:val="24"/>
                <w:szCs w:val="24"/>
              </w:rPr>
              <w:t xml:space="preserve"> outcomes. The views and wishes of those with parental responsibility are also considered if </w:t>
            </w:r>
            <w:r w:rsidR="00B00EBF">
              <w:rPr>
                <w:sz w:val="24"/>
                <w:szCs w:val="24"/>
              </w:rPr>
              <w:t xml:space="preserve">felt to be </w:t>
            </w:r>
            <w:r w:rsidR="005A0379">
              <w:rPr>
                <w:sz w:val="24"/>
                <w:szCs w:val="24"/>
              </w:rPr>
              <w:t xml:space="preserve">consistent with the child’s wellbeing. </w:t>
            </w:r>
            <w:r w:rsidR="008D4977">
              <w:rPr>
                <w:sz w:val="24"/>
                <w:szCs w:val="24"/>
              </w:rPr>
              <w:t xml:space="preserve">  </w:t>
            </w:r>
            <w:r w:rsidR="00E1569E">
              <w:rPr>
                <w:sz w:val="24"/>
                <w:szCs w:val="24"/>
              </w:rPr>
              <w:t xml:space="preserve">  </w:t>
            </w:r>
          </w:p>
          <w:p w14:paraId="1EFFFCCB" w14:textId="60A2E099" w:rsidR="008A3675" w:rsidRDefault="008A3675" w:rsidP="005A0379">
            <w:pPr>
              <w:spacing w:line="360" w:lineRule="auto"/>
              <w:jc w:val="both"/>
              <w:rPr>
                <w:sz w:val="24"/>
                <w:szCs w:val="24"/>
              </w:rPr>
            </w:pPr>
          </w:p>
          <w:p w14:paraId="15697AFC" w14:textId="3DAB407C" w:rsidR="0028038A" w:rsidRDefault="008A3675" w:rsidP="005A0379">
            <w:pPr>
              <w:spacing w:line="360" w:lineRule="auto"/>
              <w:jc w:val="both"/>
              <w:rPr>
                <w:sz w:val="24"/>
                <w:szCs w:val="24"/>
              </w:rPr>
            </w:pPr>
            <w:r>
              <w:rPr>
                <w:sz w:val="24"/>
                <w:szCs w:val="24"/>
              </w:rPr>
              <w:t>Adults</w:t>
            </w:r>
            <w:r w:rsidR="00597113">
              <w:rPr>
                <w:sz w:val="24"/>
                <w:szCs w:val="24"/>
              </w:rPr>
              <w:t>’</w:t>
            </w:r>
            <w:r>
              <w:rPr>
                <w:sz w:val="24"/>
                <w:szCs w:val="24"/>
              </w:rPr>
              <w:t xml:space="preserve"> safeguarding is also covered by the SSWBA (2014)</w:t>
            </w:r>
            <w:r w:rsidR="00400A59">
              <w:rPr>
                <w:sz w:val="24"/>
                <w:szCs w:val="24"/>
              </w:rPr>
              <w:t>,</w:t>
            </w:r>
            <w:r w:rsidR="000D4359">
              <w:rPr>
                <w:sz w:val="24"/>
                <w:szCs w:val="24"/>
              </w:rPr>
              <w:t xml:space="preserve"> </w:t>
            </w:r>
            <w:r w:rsidR="00400A59">
              <w:rPr>
                <w:sz w:val="24"/>
                <w:szCs w:val="24"/>
              </w:rPr>
              <w:t xml:space="preserve">outlining a duty to report and on local authorities to make enquiries, if an adult is felt at risk of harm and abuse, or already experiencing </w:t>
            </w:r>
            <w:r w:rsidR="000D4359">
              <w:rPr>
                <w:sz w:val="24"/>
                <w:szCs w:val="24"/>
              </w:rPr>
              <w:t>this</w:t>
            </w:r>
            <w:r w:rsidR="00220366">
              <w:rPr>
                <w:sz w:val="24"/>
                <w:szCs w:val="24"/>
              </w:rPr>
              <w:t>,</w:t>
            </w:r>
            <w:r w:rsidR="00400A59">
              <w:rPr>
                <w:sz w:val="24"/>
                <w:szCs w:val="24"/>
              </w:rPr>
              <w:t xml:space="preserve"> supported by the ‘Working Together to Safeguard People’ document </w:t>
            </w:r>
            <w:r w:rsidR="0028038A">
              <w:rPr>
                <w:sz w:val="24"/>
                <w:szCs w:val="24"/>
              </w:rPr>
              <w:t>(SCW, 2023)</w:t>
            </w:r>
            <w:r w:rsidR="00400A59">
              <w:rPr>
                <w:sz w:val="24"/>
                <w:szCs w:val="24"/>
              </w:rPr>
              <w:t>. Adult safeguarding is more</w:t>
            </w:r>
            <w:r>
              <w:rPr>
                <w:sz w:val="24"/>
                <w:szCs w:val="24"/>
              </w:rPr>
              <w:t xml:space="preserve"> complex when considering consent</w:t>
            </w:r>
            <w:r w:rsidR="00400A59">
              <w:rPr>
                <w:sz w:val="24"/>
                <w:szCs w:val="24"/>
              </w:rPr>
              <w:t xml:space="preserve"> however</w:t>
            </w:r>
            <w:r>
              <w:rPr>
                <w:sz w:val="24"/>
                <w:szCs w:val="24"/>
              </w:rPr>
              <w:t>,</w:t>
            </w:r>
            <w:r w:rsidR="00400A59">
              <w:rPr>
                <w:sz w:val="24"/>
                <w:szCs w:val="24"/>
              </w:rPr>
              <w:t xml:space="preserve"> </w:t>
            </w:r>
            <w:r w:rsidR="00B53B10">
              <w:rPr>
                <w:sz w:val="24"/>
                <w:szCs w:val="24"/>
              </w:rPr>
              <w:t xml:space="preserve">with the </w:t>
            </w:r>
            <w:r w:rsidR="00CD2378">
              <w:rPr>
                <w:sz w:val="24"/>
                <w:szCs w:val="24"/>
              </w:rPr>
              <w:t xml:space="preserve">Wales Safeguarding Procedures (2019) advising on when it is suitable to override consent, </w:t>
            </w:r>
            <w:r w:rsidR="00040DDD">
              <w:rPr>
                <w:sz w:val="24"/>
                <w:szCs w:val="24"/>
              </w:rPr>
              <w:t>including</w:t>
            </w:r>
            <w:r w:rsidR="00CD2378">
              <w:rPr>
                <w:sz w:val="24"/>
                <w:szCs w:val="24"/>
              </w:rPr>
              <w:t xml:space="preserve"> lack of capacity, risk to life and risk to others. </w:t>
            </w:r>
          </w:p>
          <w:p w14:paraId="03F6DE64" w14:textId="77777777" w:rsidR="0028038A" w:rsidRDefault="0028038A" w:rsidP="005A0379">
            <w:pPr>
              <w:spacing w:line="360" w:lineRule="auto"/>
              <w:jc w:val="both"/>
              <w:rPr>
                <w:sz w:val="24"/>
                <w:szCs w:val="24"/>
              </w:rPr>
            </w:pPr>
          </w:p>
          <w:p w14:paraId="638F3F3F" w14:textId="5CBFF26E" w:rsidR="008A3675" w:rsidRDefault="00B53B10" w:rsidP="005A0379">
            <w:pPr>
              <w:spacing w:line="360" w:lineRule="auto"/>
              <w:jc w:val="both"/>
              <w:rPr>
                <w:sz w:val="24"/>
                <w:szCs w:val="24"/>
              </w:rPr>
            </w:pPr>
            <w:r>
              <w:rPr>
                <w:sz w:val="24"/>
                <w:szCs w:val="24"/>
              </w:rPr>
              <w:lastRenderedPageBreak/>
              <w:t>T</w:t>
            </w:r>
            <w:r w:rsidR="008A3675">
              <w:rPr>
                <w:sz w:val="24"/>
                <w:szCs w:val="24"/>
              </w:rPr>
              <w:t>he Mental Capacity Act (</w:t>
            </w:r>
            <w:r w:rsidR="00220366">
              <w:rPr>
                <w:sz w:val="24"/>
                <w:szCs w:val="24"/>
              </w:rPr>
              <w:t xml:space="preserve">MCA, </w:t>
            </w:r>
            <w:r w:rsidR="008A3675">
              <w:rPr>
                <w:sz w:val="24"/>
                <w:szCs w:val="24"/>
              </w:rPr>
              <w:t>2005) not</w:t>
            </w:r>
            <w:r>
              <w:rPr>
                <w:sz w:val="24"/>
                <w:szCs w:val="24"/>
              </w:rPr>
              <w:t>es</w:t>
            </w:r>
            <w:r w:rsidR="008A3675">
              <w:rPr>
                <w:sz w:val="24"/>
                <w:szCs w:val="24"/>
              </w:rPr>
              <w:t xml:space="preserve"> the importance of effective assessment </w:t>
            </w:r>
            <w:r>
              <w:rPr>
                <w:sz w:val="24"/>
                <w:szCs w:val="24"/>
              </w:rPr>
              <w:t>for adults</w:t>
            </w:r>
            <w:r w:rsidR="008A3675">
              <w:rPr>
                <w:sz w:val="24"/>
                <w:szCs w:val="24"/>
              </w:rPr>
              <w:t xml:space="preserve"> </w:t>
            </w:r>
            <w:r w:rsidR="00400A59">
              <w:rPr>
                <w:sz w:val="24"/>
                <w:szCs w:val="24"/>
              </w:rPr>
              <w:t xml:space="preserve">to </w:t>
            </w:r>
            <w:r w:rsidR="008A3675">
              <w:rPr>
                <w:sz w:val="24"/>
                <w:szCs w:val="24"/>
              </w:rPr>
              <w:t>make their own decisions,</w:t>
            </w:r>
            <w:r w:rsidR="0028038A">
              <w:rPr>
                <w:sz w:val="24"/>
                <w:szCs w:val="24"/>
              </w:rPr>
              <w:t xml:space="preserve"> </w:t>
            </w:r>
            <w:r w:rsidR="000D4359">
              <w:rPr>
                <w:sz w:val="24"/>
                <w:szCs w:val="24"/>
              </w:rPr>
              <w:t xml:space="preserve">with </w:t>
            </w:r>
            <w:r w:rsidR="005575BD">
              <w:rPr>
                <w:sz w:val="24"/>
                <w:szCs w:val="24"/>
              </w:rPr>
              <w:t>capacity supposed</w:t>
            </w:r>
            <w:r w:rsidR="008A3675">
              <w:rPr>
                <w:sz w:val="24"/>
                <w:szCs w:val="24"/>
              </w:rPr>
              <w:t xml:space="preserve"> unless proven otherwise. </w:t>
            </w:r>
            <w:r w:rsidR="000D4359">
              <w:rPr>
                <w:sz w:val="24"/>
                <w:szCs w:val="24"/>
              </w:rPr>
              <w:t>The</w:t>
            </w:r>
            <w:r w:rsidR="005575BD">
              <w:rPr>
                <w:sz w:val="24"/>
                <w:szCs w:val="24"/>
              </w:rPr>
              <w:t xml:space="preserve"> MCA (2005)</w:t>
            </w:r>
            <w:r w:rsidR="000D4359">
              <w:rPr>
                <w:sz w:val="24"/>
                <w:szCs w:val="24"/>
              </w:rPr>
              <w:t xml:space="preserve"> supporting</w:t>
            </w:r>
            <w:r w:rsidR="00980F31">
              <w:rPr>
                <w:sz w:val="24"/>
                <w:szCs w:val="24"/>
              </w:rPr>
              <w:t xml:space="preserve"> code of practice provides a framework to assess capacity and ensure that decisions made are in the best interest of the adult</w:t>
            </w:r>
            <w:r w:rsidR="00040DDD">
              <w:rPr>
                <w:sz w:val="24"/>
                <w:szCs w:val="24"/>
              </w:rPr>
              <w:t>,</w:t>
            </w:r>
            <w:r w:rsidR="00980F31">
              <w:rPr>
                <w:sz w:val="24"/>
                <w:szCs w:val="24"/>
              </w:rPr>
              <w:t xml:space="preserve"> if they lack the capacity to make their own </w:t>
            </w:r>
            <w:r w:rsidR="0028038A" w:rsidRPr="00561B93">
              <w:rPr>
                <w:color w:val="auto"/>
                <w:sz w:val="24"/>
                <w:szCs w:val="24"/>
              </w:rPr>
              <w:t xml:space="preserve">(MIND, </w:t>
            </w:r>
            <w:r w:rsidR="00561B93" w:rsidRPr="00561B93">
              <w:rPr>
                <w:color w:val="auto"/>
                <w:sz w:val="24"/>
                <w:szCs w:val="24"/>
              </w:rPr>
              <w:t>2023</w:t>
            </w:r>
            <w:r w:rsidR="0028038A" w:rsidRPr="00561B93">
              <w:rPr>
                <w:color w:val="auto"/>
                <w:sz w:val="24"/>
                <w:szCs w:val="24"/>
              </w:rPr>
              <w:t xml:space="preserve">). </w:t>
            </w:r>
            <w:r w:rsidR="0028038A">
              <w:rPr>
                <w:sz w:val="24"/>
                <w:szCs w:val="24"/>
              </w:rPr>
              <w:t xml:space="preserve">This is supported by the Protection of Vulnerable Adults and </w:t>
            </w:r>
            <w:r w:rsidR="00CD2378">
              <w:rPr>
                <w:sz w:val="24"/>
                <w:szCs w:val="24"/>
              </w:rPr>
              <w:t xml:space="preserve">Deprivation of </w:t>
            </w:r>
            <w:r w:rsidR="0028038A">
              <w:rPr>
                <w:sz w:val="24"/>
                <w:szCs w:val="24"/>
              </w:rPr>
              <w:t xml:space="preserve">Liberty Safeguards also </w:t>
            </w:r>
            <w:r w:rsidR="00040DDD">
              <w:rPr>
                <w:sz w:val="24"/>
                <w:szCs w:val="24"/>
              </w:rPr>
              <w:t>which</w:t>
            </w:r>
            <w:r w:rsidR="0028038A">
              <w:rPr>
                <w:sz w:val="24"/>
                <w:szCs w:val="24"/>
              </w:rPr>
              <w:t xml:space="preserve"> build on the main wellbeing principles of the SSW</w:t>
            </w:r>
            <w:r w:rsidR="00220366">
              <w:rPr>
                <w:sz w:val="24"/>
                <w:szCs w:val="24"/>
              </w:rPr>
              <w:t>B</w:t>
            </w:r>
            <w:r w:rsidR="0028038A">
              <w:rPr>
                <w:sz w:val="24"/>
                <w:szCs w:val="24"/>
              </w:rPr>
              <w:t>A (2014)</w:t>
            </w:r>
            <w:r w:rsidR="00CD2378">
              <w:rPr>
                <w:sz w:val="24"/>
                <w:szCs w:val="24"/>
              </w:rPr>
              <w:t xml:space="preserve"> </w:t>
            </w:r>
            <w:r w:rsidR="00CD2378" w:rsidRPr="00CD2378">
              <w:rPr>
                <w:color w:val="auto"/>
                <w:sz w:val="24"/>
                <w:szCs w:val="24"/>
              </w:rPr>
              <w:t>(SCW, 20</w:t>
            </w:r>
            <w:r w:rsidR="00CD2378">
              <w:rPr>
                <w:color w:val="auto"/>
                <w:sz w:val="24"/>
                <w:szCs w:val="24"/>
              </w:rPr>
              <w:t>23</w:t>
            </w:r>
            <w:r w:rsidR="00CD2378" w:rsidRPr="00CD2378">
              <w:rPr>
                <w:color w:val="auto"/>
                <w:sz w:val="24"/>
                <w:szCs w:val="24"/>
              </w:rPr>
              <w:t>)</w:t>
            </w:r>
            <w:r w:rsidR="00980F31" w:rsidRPr="00CD2378">
              <w:rPr>
                <w:color w:val="auto"/>
                <w:sz w:val="24"/>
                <w:szCs w:val="24"/>
              </w:rPr>
              <w:t xml:space="preserve"> </w:t>
            </w:r>
          </w:p>
          <w:p w14:paraId="79FEA7F3" w14:textId="3960E562" w:rsidR="0028038A" w:rsidRDefault="0028038A" w:rsidP="005A0379">
            <w:pPr>
              <w:spacing w:line="360" w:lineRule="auto"/>
              <w:jc w:val="both"/>
              <w:rPr>
                <w:sz w:val="24"/>
                <w:szCs w:val="24"/>
              </w:rPr>
            </w:pPr>
          </w:p>
          <w:p w14:paraId="554CBE43" w14:textId="1407CA7F" w:rsidR="0028038A" w:rsidRDefault="0028038A" w:rsidP="005A0379">
            <w:pPr>
              <w:spacing w:line="360" w:lineRule="auto"/>
              <w:jc w:val="both"/>
              <w:rPr>
                <w:color w:val="FF0000"/>
                <w:sz w:val="24"/>
                <w:szCs w:val="24"/>
              </w:rPr>
            </w:pPr>
            <w:r>
              <w:rPr>
                <w:sz w:val="24"/>
                <w:szCs w:val="24"/>
              </w:rPr>
              <w:t>Whilst adult</w:t>
            </w:r>
            <w:r w:rsidR="00597113">
              <w:rPr>
                <w:sz w:val="24"/>
                <w:szCs w:val="24"/>
              </w:rPr>
              <w:t>s’</w:t>
            </w:r>
            <w:r>
              <w:rPr>
                <w:sz w:val="24"/>
                <w:szCs w:val="24"/>
              </w:rPr>
              <w:t xml:space="preserve"> and child</w:t>
            </w:r>
            <w:r w:rsidR="00B00EBF">
              <w:rPr>
                <w:sz w:val="24"/>
                <w:szCs w:val="24"/>
              </w:rPr>
              <w:t>ren</w:t>
            </w:r>
            <w:r w:rsidR="00597113">
              <w:rPr>
                <w:sz w:val="24"/>
                <w:szCs w:val="24"/>
              </w:rPr>
              <w:t>’s</w:t>
            </w:r>
            <w:r>
              <w:rPr>
                <w:sz w:val="24"/>
                <w:szCs w:val="24"/>
              </w:rPr>
              <w:t xml:space="preserve"> safeguarding works to protect </w:t>
            </w:r>
            <w:r w:rsidR="00B00EBF">
              <w:rPr>
                <w:sz w:val="24"/>
                <w:szCs w:val="24"/>
              </w:rPr>
              <w:t xml:space="preserve">those who are experiencing abuse and are unable to protect themselves, the fundamental difference is that unless deemed to lack capacity, adults </w:t>
            </w:r>
            <w:r w:rsidR="00040DDD">
              <w:rPr>
                <w:sz w:val="24"/>
                <w:szCs w:val="24"/>
              </w:rPr>
              <w:t>have the right</w:t>
            </w:r>
            <w:r w:rsidR="00B00EBF">
              <w:rPr>
                <w:sz w:val="24"/>
                <w:szCs w:val="24"/>
              </w:rPr>
              <w:t xml:space="preserve"> to live their lives making risky and unwise decisions (Mental Health Act, 2010), and can chose not to consent to support. Children, however, have the right to live free from harm and abuse and there is a duty on the local authority to act in order to safeguard without consent being required (Children Act, 1989). </w:t>
            </w:r>
          </w:p>
          <w:p w14:paraId="5AA04CB3" w14:textId="77382E77" w:rsidR="0028038A" w:rsidRDefault="0028038A" w:rsidP="005A0379">
            <w:pPr>
              <w:spacing w:line="360" w:lineRule="auto"/>
              <w:jc w:val="both"/>
              <w:rPr>
                <w:color w:val="FF0000"/>
                <w:sz w:val="24"/>
                <w:szCs w:val="24"/>
              </w:rPr>
            </w:pPr>
          </w:p>
          <w:p w14:paraId="53A4A954" w14:textId="77777777" w:rsidR="00561B93" w:rsidRDefault="00561B93" w:rsidP="0028038A">
            <w:pPr>
              <w:spacing w:line="480" w:lineRule="auto"/>
              <w:rPr>
                <w:color w:val="auto"/>
                <w:sz w:val="24"/>
                <w:szCs w:val="24"/>
              </w:rPr>
            </w:pPr>
          </w:p>
          <w:p w14:paraId="4AD92E14" w14:textId="77777777" w:rsidR="00561B93" w:rsidRDefault="00561B93" w:rsidP="0028038A">
            <w:pPr>
              <w:spacing w:line="480" w:lineRule="auto"/>
              <w:rPr>
                <w:color w:val="auto"/>
                <w:sz w:val="24"/>
                <w:szCs w:val="24"/>
              </w:rPr>
            </w:pPr>
          </w:p>
          <w:p w14:paraId="795C6051" w14:textId="076A479E" w:rsidR="00FC0334" w:rsidRDefault="00561B93" w:rsidP="00E4786A">
            <w:pPr>
              <w:spacing w:line="480" w:lineRule="auto"/>
              <w:rPr>
                <w:sz w:val="24"/>
                <w:szCs w:val="24"/>
              </w:rPr>
            </w:pPr>
            <w:r>
              <w:rPr>
                <w:color w:val="auto"/>
                <w:sz w:val="24"/>
                <w:szCs w:val="24"/>
              </w:rPr>
              <w:t xml:space="preserve">Word Count </w:t>
            </w:r>
            <w:r w:rsidR="00CD2378">
              <w:rPr>
                <w:color w:val="auto"/>
                <w:sz w:val="24"/>
                <w:szCs w:val="24"/>
              </w:rPr>
              <w:t>–</w:t>
            </w:r>
            <w:r>
              <w:rPr>
                <w:color w:val="auto"/>
                <w:sz w:val="24"/>
                <w:szCs w:val="24"/>
              </w:rPr>
              <w:t xml:space="preserve"> </w:t>
            </w:r>
            <w:r w:rsidR="00040DDD">
              <w:rPr>
                <w:color w:val="auto"/>
                <w:sz w:val="24"/>
                <w:szCs w:val="24"/>
              </w:rPr>
              <w:t>440</w:t>
            </w:r>
            <w:bookmarkStart w:id="0" w:name="_GoBack"/>
            <w:bookmarkEnd w:id="0"/>
          </w:p>
          <w:p w14:paraId="08760B3D" w14:textId="77777777" w:rsidR="00FC0334" w:rsidRPr="006108C9" w:rsidRDefault="00FC0334" w:rsidP="00E4786A">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Light">
    <w:altName w:val="Microsoft YaHei"/>
    <w:charset w:val="86"/>
    <w:family w:val="auto"/>
    <w:pitch w:val="variable"/>
    <w:sig w:usb0="00000000"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648A1CAD" w:rsidR="00A5656A" w:rsidRDefault="00A5656A">
    <w:pPr>
      <w:pStyle w:val="Footer"/>
      <w:jc w:val="right"/>
    </w:pPr>
    <w:r>
      <w:fldChar w:fldCharType="begin"/>
    </w:r>
    <w:r>
      <w:instrText xml:space="preserve"> PAGE   \* MERGEFORMAT </w:instrText>
    </w:r>
    <w:r>
      <w:fldChar w:fldCharType="separate"/>
    </w:r>
    <w:r w:rsidR="00E4786A">
      <w:rPr>
        <w:noProof/>
      </w:rPr>
      <w:t>1</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53B3614"/>
    <w:multiLevelType w:val="hybridMultilevel"/>
    <w:tmpl w:val="DC02F39E"/>
    <w:lvl w:ilvl="0" w:tplc="8DEC1A3C">
      <w:start w:val="1"/>
      <w:numFmt w:val="bullet"/>
      <w:lvlText w:val="•"/>
      <w:lvlJc w:val="left"/>
      <w:pPr>
        <w:tabs>
          <w:tab w:val="num" w:pos="720"/>
        </w:tabs>
        <w:ind w:left="720" w:hanging="360"/>
      </w:pPr>
      <w:rPr>
        <w:rFonts w:ascii="Arial" w:hAnsi="Arial" w:hint="default"/>
      </w:rPr>
    </w:lvl>
    <w:lvl w:ilvl="1" w:tplc="C12C630A" w:tentative="1">
      <w:start w:val="1"/>
      <w:numFmt w:val="bullet"/>
      <w:lvlText w:val="•"/>
      <w:lvlJc w:val="left"/>
      <w:pPr>
        <w:tabs>
          <w:tab w:val="num" w:pos="1440"/>
        </w:tabs>
        <w:ind w:left="1440" w:hanging="360"/>
      </w:pPr>
      <w:rPr>
        <w:rFonts w:ascii="Arial" w:hAnsi="Arial" w:hint="default"/>
      </w:rPr>
    </w:lvl>
    <w:lvl w:ilvl="2" w:tplc="0056438A" w:tentative="1">
      <w:start w:val="1"/>
      <w:numFmt w:val="bullet"/>
      <w:lvlText w:val="•"/>
      <w:lvlJc w:val="left"/>
      <w:pPr>
        <w:tabs>
          <w:tab w:val="num" w:pos="2160"/>
        </w:tabs>
        <w:ind w:left="2160" w:hanging="360"/>
      </w:pPr>
      <w:rPr>
        <w:rFonts w:ascii="Arial" w:hAnsi="Arial" w:hint="default"/>
      </w:rPr>
    </w:lvl>
    <w:lvl w:ilvl="3" w:tplc="946EC334" w:tentative="1">
      <w:start w:val="1"/>
      <w:numFmt w:val="bullet"/>
      <w:lvlText w:val="•"/>
      <w:lvlJc w:val="left"/>
      <w:pPr>
        <w:tabs>
          <w:tab w:val="num" w:pos="2880"/>
        </w:tabs>
        <w:ind w:left="2880" w:hanging="360"/>
      </w:pPr>
      <w:rPr>
        <w:rFonts w:ascii="Arial" w:hAnsi="Arial" w:hint="default"/>
      </w:rPr>
    </w:lvl>
    <w:lvl w:ilvl="4" w:tplc="411A06D8" w:tentative="1">
      <w:start w:val="1"/>
      <w:numFmt w:val="bullet"/>
      <w:lvlText w:val="•"/>
      <w:lvlJc w:val="left"/>
      <w:pPr>
        <w:tabs>
          <w:tab w:val="num" w:pos="3600"/>
        </w:tabs>
        <w:ind w:left="3600" w:hanging="360"/>
      </w:pPr>
      <w:rPr>
        <w:rFonts w:ascii="Arial" w:hAnsi="Arial" w:hint="default"/>
      </w:rPr>
    </w:lvl>
    <w:lvl w:ilvl="5" w:tplc="D0CCC122" w:tentative="1">
      <w:start w:val="1"/>
      <w:numFmt w:val="bullet"/>
      <w:lvlText w:val="•"/>
      <w:lvlJc w:val="left"/>
      <w:pPr>
        <w:tabs>
          <w:tab w:val="num" w:pos="4320"/>
        </w:tabs>
        <w:ind w:left="4320" w:hanging="360"/>
      </w:pPr>
      <w:rPr>
        <w:rFonts w:ascii="Arial" w:hAnsi="Arial" w:hint="default"/>
      </w:rPr>
    </w:lvl>
    <w:lvl w:ilvl="6" w:tplc="ABE609B8" w:tentative="1">
      <w:start w:val="1"/>
      <w:numFmt w:val="bullet"/>
      <w:lvlText w:val="•"/>
      <w:lvlJc w:val="left"/>
      <w:pPr>
        <w:tabs>
          <w:tab w:val="num" w:pos="5040"/>
        </w:tabs>
        <w:ind w:left="5040" w:hanging="360"/>
      </w:pPr>
      <w:rPr>
        <w:rFonts w:ascii="Arial" w:hAnsi="Arial" w:hint="default"/>
      </w:rPr>
    </w:lvl>
    <w:lvl w:ilvl="7" w:tplc="515CC9E0" w:tentative="1">
      <w:start w:val="1"/>
      <w:numFmt w:val="bullet"/>
      <w:lvlText w:val="•"/>
      <w:lvlJc w:val="left"/>
      <w:pPr>
        <w:tabs>
          <w:tab w:val="num" w:pos="5760"/>
        </w:tabs>
        <w:ind w:left="5760" w:hanging="360"/>
      </w:pPr>
      <w:rPr>
        <w:rFonts w:ascii="Arial" w:hAnsi="Arial" w:hint="default"/>
      </w:rPr>
    </w:lvl>
    <w:lvl w:ilvl="8" w:tplc="1B0E2BC6"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4B204325"/>
    <w:multiLevelType w:val="hybridMultilevel"/>
    <w:tmpl w:val="373416CE"/>
    <w:lvl w:ilvl="0" w:tplc="45C86E06">
      <w:start w:val="1"/>
      <w:numFmt w:val="bullet"/>
      <w:lvlText w:val=""/>
      <w:lvlJc w:val="left"/>
      <w:pPr>
        <w:tabs>
          <w:tab w:val="num" w:pos="720"/>
        </w:tabs>
        <w:ind w:left="720" w:hanging="360"/>
      </w:pPr>
      <w:rPr>
        <w:rFonts w:ascii="Wingdings 3" w:hAnsi="Wingdings 3" w:hint="default"/>
      </w:rPr>
    </w:lvl>
    <w:lvl w:ilvl="1" w:tplc="6C00ABA8" w:tentative="1">
      <w:start w:val="1"/>
      <w:numFmt w:val="bullet"/>
      <w:lvlText w:val=""/>
      <w:lvlJc w:val="left"/>
      <w:pPr>
        <w:tabs>
          <w:tab w:val="num" w:pos="1440"/>
        </w:tabs>
        <w:ind w:left="1440" w:hanging="360"/>
      </w:pPr>
      <w:rPr>
        <w:rFonts w:ascii="Wingdings 3" w:hAnsi="Wingdings 3" w:hint="default"/>
      </w:rPr>
    </w:lvl>
    <w:lvl w:ilvl="2" w:tplc="D780F558" w:tentative="1">
      <w:start w:val="1"/>
      <w:numFmt w:val="bullet"/>
      <w:lvlText w:val=""/>
      <w:lvlJc w:val="left"/>
      <w:pPr>
        <w:tabs>
          <w:tab w:val="num" w:pos="2160"/>
        </w:tabs>
        <w:ind w:left="2160" w:hanging="360"/>
      </w:pPr>
      <w:rPr>
        <w:rFonts w:ascii="Wingdings 3" w:hAnsi="Wingdings 3" w:hint="default"/>
      </w:rPr>
    </w:lvl>
    <w:lvl w:ilvl="3" w:tplc="F7ECDEFE" w:tentative="1">
      <w:start w:val="1"/>
      <w:numFmt w:val="bullet"/>
      <w:lvlText w:val=""/>
      <w:lvlJc w:val="left"/>
      <w:pPr>
        <w:tabs>
          <w:tab w:val="num" w:pos="2880"/>
        </w:tabs>
        <w:ind w:left="2880" w:hanging="360"/>
      </w:pPr>
      <w:rPr>
        <w:rFonts w:ascii="Wingdings 3" w:hAnsi="Wingdings 3" w:hint="default"/>
      </w:rPr>
    </w:lvl>
    <w:lvl w:ilvl="4" w:tplc="47C0EC98" w:tentative="1">
      <w:start w:val="1"/>
      <w:numFmt w:val="bullet"/>
      <w:lvlText w:val=""/>
      <w:lvlJc w:val="left"/>
      <w:pPr>
        <w:tabs>
          <w:tab w:val="num" w:pos="3600"/>
        </w:tabs>
        <w:ind w:left="3600" w:hanging="360"/>
      </w:pPr>
      <w:rPr>
        <w:rFonts w:ascii="Wingdings 3" w:hAnsi="Wingdings 3" w:hint="default"/>
      </w:rPr>
    </w:lvl>
    <w:lvl w:ilvl="5" w:tplc="07CA31C6" w:tentative="1">
      <w:start w:val="1"/>
      <w:numFmt w:val="bullet"/>
      <w:lvlText w:val=""/>
      <w:lvlJc w:val="left"/>
      <w:pPr>
        <w:tabs>
          <w:tab w:val="num" w:pos="4320"/>
        </w:tabs>
        <w:ind w:left="4320" w:hanging="360"/>
      </w:pPr>
      <w:rPr>
        <w:rFonts w:ascii="Wingdings 3" w:hAnsi="Wingdings 3" w:hint="default"/>
      </w:rPr>
    </w:lvl>
    <w:lvl w:ilvl="6" w:tplc="CB3A2B8A" w:tentative="1">
      <w:start w:val="1"/>
      <w:numFmt w:val="bullet"/>
      <w:lvlText w:val=""/>
      <w:lvlJc w:val="left"/>
      <w:pPr>
        <w:tabs>
          <w:tab w:val="num" w:pos="5040"/>
        </w:tabs>
        <w:ind w:left="5040" w:hanging="360"/>
      </w:pPr>
      <w:rPr>
        <w:rFonts w:ascii="Wingdings 3" w:hAnsi="Wingdings 3" w:hint="default"/>
      </w:rPr>
    </w:lvl>
    <w:lvl w:ilvl="7" w:tplc="B2D65790" w:tentative="1">
      <w:start w:val="1"/>
      <w:numFmt w:val="bullet"/>
      <w:lvlText w:val=""/>
      <w:lvlJc w:val="left"/>
      <w:pPr>
        <w:tabs>
          <w:tab w:val="num" w:pos="5760"/>
        </w:tabs>
        <w:ind w:left="5760" w:hanging="360"/>
      </w:pPr>
      <w:rPr>
        <w:rFonts w:ascii="Wingdings 3" w:hAnsi="Wingdings 3" w:hint="default"/>
      </w:rPr>
    </w:lvl>
    <w:lvl w:ilvl="8" w:tplc="9BE4F724" w:tentative="1">
      <w:start w:val="1"/>
      <w:numFmt w:val="bullet"/>
      <w:lvlText w:val=""/>
      <w:lvlJc w:val="left"/>
      <w:pPr>
        <w:tabs>
          <w:tab w:val="num" w:pos="6480"/>
        </w:tabs>
        <w:ind w:left="6480" w:hanging="360"/>
      </w:pPr>
      <w:rPr>
        <w:rFonts w:ascii="Wingdings 3" w:hAnsi="Wingdings 3" w:hint="default"/>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08B01F8"/>
    <w:multiLevelType w:val="hybridMultilevel"/>
    <w:tmpl w:val="60B80510"/>
    <w:lvl w:ilvl="0" w:tplc="77EE8496">
      <w:start w:val="1"/>
      <w:numFmt w:val="bullet"/>
      <w:lvlText w:val="◦"/>
      <w:lvlJc w:val="left"/>
      <w:pPr>
        <w:tabs>
          <w:tab w:val="num" w:pos="720"/>
        </w:tabs>
        <w:ind w:left="720" w:hanging="360"/>
      </w:pPr>
      <w:rPr>
        <w:rFonts w:ascii="Verdana" w:hAnsi="Verdana" w:hint="default"/>
      </w:rPr>
    </w:lvl>
    <w:lvl w:ilvl="1" w:tplc="158280F0">
      <w:start w:val="1"/>
      <w:numFmt w:val="bullet"/>
      <w:lvlText w:val="◦"/>
      <w:lvlJc w:val="left"/>
      <w:pPr>
        <w:tabs>
          <w:tab w:val="num" w:pos="1440"/>
        </w:tabs>
        <w:ind w:left="1440" w:hanging="360"/>
      </w:pPr>
      <w:rPr>
        <w:rFonts w:ascii="Verdana" w:hAnsi="Verdana" w:hint="default"/>
      </w:rPr>
    </w:lvl>
    <w:lvl w:ilvl="2" w:tplc="FA4E2900" w:tentative="1">
      <w:start w:val="1"/>
      <w:numFmt w:val="bullet"/>
      <w:lvlText w:val="◦"/>
      <w:lvlJc w:val="left"/>
      <w:pPr>
        <w:tabs>
          <w:tab w:val="num" w:pos="2160"/>
        </w:tabs>
        <w:ind w:left="2160" w:hanging="360"/>
      </w:pPr>
      <w:rPr>
        <w:rFonts w:ascii="Verdana" w:hAnsi="Verdana" w:hint="default"/>
      </w:rPr>
    </w:lvl>
    <w:lvl w:ilvl="3" w:tplc="2BE4372E" w:tentative="1">
      <w:start w:val="1"/>
      <w:numFmt w:val="bullet"/>
      <w:lvlText w:val="◦"/>
      <w:lvlJc w:val="left"/>
      <w:pPr>
        <w:tabs>
          <w:tab w:val="num" w:pos="2880"/>
        </w:tabs>
        <w:ind w:left="2880" w:hanging="360"/>
      </w:pPr>
      <w:rPr>
        <w:rFonts w:ascii="Verdana" w:hAnsi="Verdana" w:hint="default"/>
      </w:rPr>
    </w:lvl>
    <w:lvl w:ilvl="4" w:tplc="4BF80172" w:tentative="1">
      <w:start w:val="1"/>
      <w:numFmt w:val="bullet"/>
      <w:lvlText w:val="◦"/>
      <w:lvlJc w:val="left"/>
      <w:pPr>
        <w:tabs>
          <w:tab w:val="num" w:pos="3600"/>
        </w:tabs>
        <w:ind w:left="3600" w:hanging="360"/>
      </w:pPr>
      <w:rPr>
        <w:rFonts w:ascii="Verdana" w:hAnsi="Verdana" w:hint="default"/>
      </w:rPr>
    </w:lvl>
    <w:lvl w:ilvl="5" w:tplc="AC968EB8" w:tentative="1">
      <w:start w:val="1"/>
      <w:numFmt w:val="bullet"/>
      <w:lvlText w:val="◦"/>
      <w:lvlJc w:val="left"/>
      <w:pPr>
        <w:tabs>
          <w:tab w:val="num" w:pos="4320"/>
        </w:tabs>
        <w:ind w:left="4320" w:hanging="360"/>
      </w:pPr>
      <w:rPr>
        <w:rFonts w:ascii="Verdana" w:hAnsi="Verdana" w:hint="default"/>
      </w:rPr>
    </w:lvl>
    <w:lvl w:ilvl="6" w:tplc="B81448EC" w:tentative="1">
      <w:start w:val="1"/>
      <w:numFmt w:val="bullet"/>
      <w:lvlText w:val="◦"/>
      <w:lvlJc w:val="left"/>
      <w:pPr>
        <w:tabs>
          <w:tab w:val="num" w:pos="5040"/>
        </w:tabs>
        <w:ind w:left="5040" w:hanging="360"/>
      </w:pPr>
      <w:rPr>
        <w:rFonts w:ascii="Verdana" w:hAnsi="Verdana" w:hint="default"/>
      </w:rPr>
    </w:lvl>
    <w:lvl w:ilvl="7" w:tplc="09E60D16" w:tentative="1">
      <w:start w:val="1"/>
      <w:numFmt w:val="bullet"/>
      <w:lvlText w:val="◦"/>
      <w:lvlJc w:val="left"/>
      <w:pPr>
        <w:tabs>
          <w:tab w:val="num" w:pos="5760"/>
        </w:tabs>
        <w:ind w:left="5760" w:hanging="360"/>
      </w:pPr>
      <w:rPr>
        <w:rFonts w:ascii="Verdana" w:hAnsi="Verdana" w:hint="default"/>
      </w:rPr>
    </w:lvl>
    <w:lvl w:ilvl="8" w:tplc="4E208904" w:tentative="1">
      <w:start w:val="1"/>
      <w:numFmt w:val="bullet"/>
      <w:lvlText w:val="◦"/>
      <w:lvlJc w:val="left"/>
      <w:pPr>
        <w:tabs>
          <w:tab w:val="num" w:pos="6480"/>
        </w:tabs>
        <w:ind w:left="6480" w:hanging="360"/>
      </w:pPr>
      <w:rPr>
        <w:rFonts w:ascii="Verdana" w:hAnsi="Verdana" w:hint="default"/>
      </w:rPr>
    </w:lvl>
  </w:abstractNum>
  <w:abstractNum w:abstractNumId="39"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6"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6915B98"/>
    <w:multiLevelType w:val="hybridMultilevel"/>
    <w:tmpl w:val="3D6E060C"/>
    <w:lvl w:ilvl="0" w:tplc="5066E302">
      <w:start w:val="1"/>
      <w:numFmt w:val="bullet"/>
      <w:lvlText w:val=""/>
      <w:lvlJc w:val="left"/>
      <w:pPr>
        <w:tabs>
          <w:tab w:val="num" w:pos="720"/>
        </w:tabs>
        <w:ind w:left="720" w:hanging="360"/>
      </w:pPr>
      <w:rPr>
        <w:rFonts w:ascii="Wingdings 3" w:hAnsi="Wingdings 3" w:hint="default"/>
      </w:rPr>
    </w:lvl>
    <w:lvl w:ilvl="1" w:tplc="7528115C" w:tentative="1">
      <w:start w:val="1"/>
      <w:numFmt w:val="bullet"/>
      <w:lvlText w:val=""/>
      <w:lvlJc w:val="left"/>
      <w:pPr>
        <w:tabs>
          <w:tab w:val="num" w:pos="1440"/>
        </w:tabs>
        <w:ind w:left="1440" w:hanging="360"/>
      </w:pPr>
      <w:rPr>
        <w:rFonts w:ascii="Wingdings 3" w:hAnsi="Wingdings 3" w:hint="default"/>
      </w:rPr>
    </w:lvl>
    <w:lvl w:ilvl="2" w:tplc="3530CF6C" w:tentative="1">
      <w:start w:val="1"/>
      <w:numFmt w:val="bullet"/>
      <w:lvlText w:val=""/>
      <w:lvlJc w:val="left"/>
      <w:pPr>
        <w:tabs>
          <w:tab w:val="num" w:pos="2160"/>
        </w:tabs>
        <w:ind w:left="2160" w:hanging="360"/>
      </w:pPr>
      <w:rPr>
        <w:rFonts w:ascii="Wingdings 3" w:hAnsi="Wingdings 3" w:hint="default"/>
      </w:rPr>
    </w:lvl>
    <w:lvl w:ilvl="3" w:tplc="F704207A" w:tentative="1">
      <w:start w:val="1"/>
      <w:numFmt w:val="bullet"/>
      <w:lvlText w:val=""/>
      <w:lvlJc w:val="left"/>
      <w:pPr>
        <w:tabs>
          <w:tab w:val="num" w:pos="2880"/>
        </w:tabs>
        <w:ind w:left="2880" w:hanging="360"/>
      </w:pPr>
      <w:rPr>
        <w:rFonts w:ascii="Wingdings 3" w:hAnsi="Wingdings 3" w:hint="default"/>
      </w:rPr>
    </w:lvl>
    <w:lvl w:ilvl="4" w:tplc="33C0BEEE" w:tentative="1">
      <w:start w:val="1"/>
      <w:numFmt w:val="bullet"/>
      <w:lvlText w:val=""/>
      <w:lvlJc w:val="left"/>
      <w:pPr>
        <w:tabs>
          <w:tab w:val="num" w:pos="3600"/>
        </w:tabs>
        <w:ind w:left="3600" w:hanging="360"/>
      </w:pPr>
      <w:rPr>
        <w:rFonts w:ascii="Wingdings 3" w:hAnsi="Wingdings 3" w:hint="default"/>
      </w:rPr>
    </w:lvl>
    <w:lvl w:ilvl="5" w:tplc="49D62148" w:tentative="1">
      <w:start w:val="1"/>
      <w:numFmt w:val="bullet"/>
      <w:lvlText w:val=""/>
      <w:lvlJc w:val="left"/>
      <w:pPr>
        <w:tabs>
          <w:tab w:val="num" w:pos="4320"/>
        </w:tabs>
        <w:ind w:left="4320" w:hanging="360"/>
      </w:pPr>
      <w:rPr>
        <w:rFonts w:ascii="Wingdings 3" w:hAnsi="Wingdings 3" w:hint="default"/>
      </w:rPr>
    </w:lvl>
    <w:lvl w:ilvl="6" w:tplc="0FBC2340" w:tentative="1">
      <w:start w:val="1"/>
      <w:numFmt w:val="bullet"/>
      <w:lvlText w:val=""/>
      <w:lvlJc w:val="left"/>
      <w:pPr>
        <w:tabs>
          <w:tab w:val="num" w:pos="5040"/>
        </w:tabs>
        <w:ind w:left="5040" w:hanging="360"/>
      </w:pPr>
      <w:rPr>
        <w:rFonts w:ascii="Wingdings 3" w:hAnsi="Wingdings 3" w:hint="default"/>
      </w:rPr>
    </w:lvl>
    <w:lvl w:ilvl="7" w:tplc="A1B2D578" w:tentative="1">
      <w:start w:val="1"/>
      <w:numFmt w:val="bullet"/>
      <w:lvlText w:val=""/>
      <w:lvlJc w:val="left"/>
      <w:pPr>
        <w:tabs>
          <w:tab w:val="num" w:pos="5760"/>
        </w:tabs>
        <w:ind w:left="5760" w:hanging="360"/>
      </w:pPr>
      <w:rPr>
        <w:rFonts w:ascii="Wingdings 3" w:hAnsi="Wingdings 3" w:hint="default"/>
      </w:rPr>
    </w:lvl>
    <w:lvl w:ilvl="8" w:tplc="FC4C86E4" w:tentative="1">
      <w:start w:val="1"/>
      <w:numFmt w:val="bullet"/>
      <w:lvlText w:val=""/>
      <w:lvlJc w:val="left"/>
      <w:pPr>
        <w:tabs>
          <w:tab w:val="num" w:pos="6480"/>
        </w:tabs>
        <w:ind w:left="6480" w:hanging="360"/>
      </w:pPr>
      <w:rPr>
        <w:rFonts w:ascii="Wingdings 3" w:hAnsi="Wingdings 3" w:hint="default"/>
      </w:rPr>
    </w:lvl>
  </w:abstractNum>
  <w:abstractNum w:abstractNumId="51"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79323519"/>
    <w:multiLevelType w:val="hybridMultilevel"/>
    <w:tmpl w:val="8BB4F248"/>
    <w:lvl w:ilvl="0" w:tplc="786AF02C">
      <w:start w:val="1"/>
      <w:numFmt w:val="bullet"/>
      <w:lvlText w:val=""/>
      <w:lvlJc w:val="left"/>
      <w:pPr>
        <w:tabs>
          <w:tab w:val="num" w:pos="720"/>
        </w:tabs>
        <w:ind w:left="720" w:hanging="360"/>
      </w:pPr>
      <w:rPr>
        <w:rFonts w:ascii="Wingdings 3" w:hAnsi="Wingdings 3" w:hint="default"/>
      </w:rPr>
    </w:lvl>
    <w:lvl w:ilvl="1" w:tplc="48B0F68C" w:tentative="1">
      <w:start w:val="1"/>
      <w:numFmt w:val="bullet"/>
      <w:lvlText w:val=""/>
      <w:lvlJc w:val="left"/>
      <w:pPr>
        <w:tabs>
          <w:tab w:val="num" w:pos="1440"/>
        </w:tabs>
        <w:ind w:left="1440" w:hanging="360"/>
      </w:pPr>
      <w:rPr>
        <w:rFonts w:ascii="Wingdings 3" w:hAnsi="Wingdings 3" w:hint="default"/>
      </w:rPr>
    </w:lvl>
    <w:lvl w:ilvl="2" w:tplc="23A23F06" w:tentative="1">
      <w:start w:val="1"/>
      <w:numFmt w:val="bullet"/>
      <w:lvlText w:val=""/>
      <w:lvlJc w:val="left"/>
      <w:pPr>
        <w:tabs>
          <w:tab w:val="num" w:pos="2160"/>
        </w:tabs>
        <w:ind w:left="2160" w:hanging="360"/>
      </w:pPr>
      <w:rPr>
        <w:rFonts w:ascii="Wingdings 3" w:hAnsi="Wingdings 3" w:hint="default"/>
      </w:rPr>
    </w:lvl>
    <w:lvl w:ilvl="3" w:tplc="162E5AF8" w:tentative="1">
      <w:start w:val="1"/>
      <w:numFmt w:val="bullet"/>
      <w:lvlText w:val=""/>
      <w:lvlJc w:val="left"/>
      <w:pPr>
        <w:tabs>
          <w:tab w:val="num" w:pos="2880"/>
        </w:tabs>
        <w:ind w:left="2880" w:hanging="360"/>
      </w:pPr>
      <w:rPr>
        <w:rFonts w:ascii="Wingdings 3" w:hAnsi="Wingdings 3" w:hint="default"/>
      </w:rPr>
    </w:lvl>
    <w:lvl w:ilvl="4" w:tplc="2D9C177E" w:tentative="1">
      <w:start w:val="1"/>
      <w:numFmt w:val="bullet"/>
      <w:lvlText w:val=""/>
      <w:lvlJc w:val="left"/>
      <w:pPr>
        <w:tabs>
          <w:tab w:val="num" w:pos="3600"/>
        </w:tabs>
        <w:ind w:left="3600" w:hanging="360"/>
      </w:pPr>
      <w:rPr>
        <w:rFonts w:ascii="Wingdings 3" w:hAnsi="Wingdings 3" w:hint="default"/>
      </w:rPr>
    </w:lvl>
    <w:lvl w:ilvl="5" w:tplc="C57A4C5E" w:tentative="1">
      <w:start w:val="1"/>
      <w:numFmt w:val="bullet"/>
      <w:lvlText w:val=""/>
      <w:lvlJc w:val="left"/>
      <w:pPr>
        <w:tabs>
          <w:tab w:val="num" w:pos="4320"/>
        </w:tabs>
        <w:ind w:left="4320" w:hanging="360"/>
      </w:pPr>
      <w:rPr>
        <w:rFonts w:ascii="Wingdings 3" w:hAnsi="Wingdings 3" w:hint="default"/>
      </w:rPr>
    </w:lvl>
    <w:lvl w:ilvl="6" w:tplc="2EB4FB9E" w:tentative="1">
      <w:start w:val="1"/>
      <w:numFmt w:val="bullet"/>
      <w:lvlText w:val=""/>
      <w:lvlJc w:val="left"/>
      <w:pPr>
        <w:tabs>
          <w:tab w:val="num" w:pos="5040"/>
        </w:tabs>
        <w:ind w:left="5040" w:hanging="360"/>
      </w:pPr>
      <w:rPr>
        <w:rFonts w:ascii="Wingdings 3" w:hAnsi="Wingdings 3" w:hint="default"/>
      </w:rPr>
    </w:lvl>
    <w:lvl w:ilvl="7" w:tplc="82D6AD56" w:tentative="1">
      <w:start w:val="1"/>
      <w:numFmt w:val="bullet"/>
      <w:lvlText w:val=""/>
      <w:lvlJc w:val="left"/>
      <w:pPr>
        <w:tabs>
          <w:tab w:val="num" w:pos="5760"/>
        </w:tabs>
        <w:ind w:left="5760" w:hanging="360"/>
      </w:pPr>
      <w:rPr>
        <w:rFonts w:ascii="Wingdings 3" w:hAnsi="Wingdings 3" w:hint="default"/>
      </w:rPr>
    </w:lvl>
    <w:lvl w:ilvl="8" w:tplc="72B63B50" w:tentative="1">
      <w:start w:val="1"/>
      <w:numFmt w:val="bullet"/>
      <w:lvlText w:val=""/>
      <w:lvlJc w:val="left"/>
      <w:pPr>
        <w:tabs>
          <w:tab w:val="num" w:pos="6480"/>
        </w:tabs>
        <w:ind w:left="6480" w:hanging="360"/>
      </w:pPr>
      <w:rPr>
        <w:rFonts w:ascii="Wingdings 3" w:hAnsi="Wingdings 3" w:hint="default"/>
      </w:rPr>
    </w:lvl>
  </w:abstractNum>
  <w:abstractNum w:abstractNumId="53"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8"/>
  </w:num>
  <w:num w:numId="4">
    <w:abstractNumId w:val="51"/>
  </w:num>
  <w:num w:numId="5">
    <w:abstractNumId w:val="36"/>
  </w:num>
  <w:num w:numId="6">
    <w:abstractNumId w:val="34"/>
  </w:num>
  <w:num w:numId="7">
    <w:abstractNumId w:val="31"/>
  </w:num>
  <w:num w:numId="8">
    <w:abstractNumId w:val="32"/>
  </w:num>
  <w:num w:numId="9">
    <w:abstractNumId w:val="10"/>
  </w:num>
  <w:num w:numId="10">
    <w:abstractNumId w:val="35"/>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4"/>
  </w:num>
  <w:num w:numId="26">
    <w:abstractNumId w:val="37"/>
  </w:num>
  <w:num w:numId="27">
    <w:abstractNumId w:val="43"/>
  </w:num>
  <w:num w:numId="28">
    <w:abstractNumId w:val="20"/>
  </w:num>
  <w:num w:numId="29">
    <w:abstractNumId w:val="46"/>
  </w:num>
  <w:num w:numId="30">
    <w:abstractNumId w:val="33"/>
  </w:num>
  <w:num w:numId="31">
    <w:abstractNumId w:val="12"/>
  </w:num>
  <w:num w:numId="32">
    <w:abstractNumId w:val="47"/>
  </w:num>
  <w:num w:numId="33">
    <w:abstractNumId w:val="42"/>
  </w:num>
  <w:num w:numId="34">
    <w:abstractNumId w:val="5"/>
  </w:num>
  <w:num w:numId="35">
    <w:abstractNumId w:val="49"/>
  </w:num>
  <w:num w:numId="36">
    <w:abstractNumId w:val="45"/>
  </w:num>
  <w:num w:numId="37">
    <w:abstractNumId w:val="39"/>
  </w:num>
  <w:num w:numId="38">
    <w:abstractNumId w:val="40"/>
  </w:num>
  <w:num w:numId="39">
    <w:abstractNumId w:val="4"/>
  </w:num>
  <w:num w:numId="40">
    <w:abstractNumId w:val="6"/>
  </w:num>
  <w:num w:numId="41">
    <w:abstractNumId w:val="25"/>
  </w:num>
  <w:num w:numId="42">
    <w:abstractNumId w:val="7"/>
  </w:num>
  <w:num w:numId="43">
    <w:abstractNumId w:val="3"/>
  </w:num>
  <w:num w:numId="44">
    <w:abstractNumId w:val="41"/>
  </w:num>
  <w:num w:numId="45">
    <w:abstractNumId w:val="0"/>
  </w:num>
  <w:num w:numId="46">
    <w:abstractNumId w:val="14"/>
  </w:num>
  <w:num w:numId="47">
    <w:abstractNumId w:val="53"/>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 w:numId="54">
    <w:abstractNumId w:val="50"/>
  </w:num>
  <w:num w:numId="55">
    <w:abstractNumId w:val="52"/>
  </w:num>
  <w:num w:numId="56">
    <w:abstractNumId w:val="30"/>
  </w:num>
  <w:num w:numId="57">
    <w:abstractNumId w:val="29"/>
  </w:num>
  <w:num w:numId="58">
    <w:abstractNumId w:val="3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505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1F6E"/>
    <w:rsid w:val="00012B16"/>
    <w:rsid w:val="00020EEC"/>
    <w:rsid w:val="00022099"/>
    <w:rsid w:val="0002440E"/>
    <w:rsid w:val="0002759A"/>
    <w:rsid w:val="00027B1F"/>
    <w:rsid w:val="0003088B"/>
    <w:rsid w:val="000325D9"/>
    <w:rsid w:val="000372B2"/>
    <w:rsid w:val="0004079F"/>
    <w:rsid w:val="00040DDD"/>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5A8"/>
    <w:rsid w:val="00083D99"/>
    <w:rsid w:val="00084DA6"/>
    <w:rsid w:val="00085699"/>
    <w:rsid w:val="00090160"/>
    <w:rsid w:val="00091F52"/>
    <w:rsid w:val="00092970"/>
    <w:rsid w:val="00093720"/>
    <w:rsid w:val="000938E6"/>
    <w:rsid w:val="00093B3C"/>
    <w:rsid w:val="0009488C"/>
    <w:rsid w:val="00095C1B"/>
    <w:rsid w:val="00096DEA"/>
    <w:rsid w:val="000A0720"/>
    <w:rsid w:val="000A4240"/>
    <w:rsid w:val="000A469A"/>
    <w:rsid w:val="000A584A"/>
    <w:rsid w:val="000A6458"/>
    <w:rsid w:val="000B4E03"/>
    <w:rsid w:val="000C378F"/>
    <w:rsid w:val="000C6892"/>
    <w:rsid w:val="000C6FFE"/>
    <w:rsid w:val="000D0BB6"/>
    <w:rsid w:val="000D2ED2"/>
    <w:rsid w:val="000D4359"/>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E3"/>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366"/>
    <w:rsid w:val="00220D06"/>
    <w:rsid w:val="002246A0"/>
    <w:rsid w:val="00230439"/>
    <w:rsid w:val="00232A09"/>
    <w:rsid w:val="00235176"/>
    <w:rsid w:val="00236061"/>
    <w:rsid w:val="0024100E"/>
    <w:rsid w:val="00241C1B"/>
    <w:rsid w:val="0024288B"/>
    <w:rsid w:val="00243DB0"/>
    <w:rsid w:val="00247265"/>
    <w:rsid w:val="00260663"/>
    <w:rsid w:val="002657E9"/>
    <w:rsid w:val="0026656F"/>
    <w:rsid w:val="0026665E"/>
    <w:rsid w:val="0027147E"/>
    <w:rsid w:val="002761F4"/>
    <w:rsid w:val="002775E1"/>
    <w:rsid w:val="00277979"/>
    <w:rsid w:val="0028038A"/>
    <w:rsid w:val="00282B3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56008"/>
    <w:rsid w:val="0036496F"/>
    <w:rsid w:val="00365DF9"/>
    <w:rsid w:val="0037066E"/>
    <w:rsid w:val="00370757"/>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30CB"/>
    <w:rsid w:val="003A46C0"/>
    <w:rsid w:val="003A600E"/>
    <w:rsid w:val="003A6513"/>
    <w:rsid w:val="003B16C7"/>
    <w:rsid w:val="003B1A19"/>
    <w:rsid w:val="003B3115"/>
    <w:rsid w:val="003C19F1"/>
    <w:rsid w:val="003C3C67"/>
    <w:rsid w:val="003C4186"/>
    <w:rsid w:val="003C6185"/>
    <w:rsid w:val="003D0D2D"/>
    <w:rsid w:val="003D105E"/>
    <w:rsid w:val="003D1885"/>
    <w:rsid w:val="003D1BC0"/>
    <w:rsid w:val="003D20F1"/>
    <w:rsid w:val="003D4710"/>
    <w:rsid w:val="003E16D7"/>
    <w:rsid w:val="003E197E"/>
    <w:rsid w:val="003E4B70"/>
    <w:rsid w:val="003E54CF"/>
    <w:rsid w:val="003E5FBA"/>
    <w:rsid w:val="003F1233"/>
    <w:rsid w:val="003F67A4"/>
    <w:rsid w:val="00400786"/>
    <w:rsid w:val="00400A59"/>
    <w:rsid w:val="00401FDA"/>
    <w:rsid w:val="004046F0"/>
    <w:rsid w:val="0040668F"/>
    <w:rsid w:val="00411EF7"/>
    <w:rsid w:val="00412677"/>
    <w:rsid w:val="00425160"/>
    <w:rsid w:val="00430DE3"/>
    <w:rsid w:val="004348AE"/>
    <w:rsid w:val="004376C0"/>
    <w:rsid w:val="0044223A"/>
    <w:rsid w:val="00450B67"/>
    <w:rsid w:val="00451851"/>
    <w:rsid w:val="0045189A"/>
    <w:rsid w:val="00452AE4"/>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3CE5"/>
    <w:rsid w:val="005575BD"/>
    <w:rsid w:val="00557D77"/>
    <w:rsid w:val="00561B93"/>
    <w:rsid w:val="00562EAA"/>
    <w:rsid w:val="00563B58"/>
    <w:rsid w:val="005640C4"/>
    <w:rsid w:val="0056684C"/>
    <w:rsid w:val="00574A0C"/>
    <w:rsid w:val="0057780F"/>
    <w:rsid w:val="00581E0A"/>
    <w:rsid w:val="00586D89"/>
    <w:rsid w:val="005877C8"/>
    <w:rsid w:val="00587923"/>
    <w:rsid w:val="00594F9F"/>
    <w:rsid w:val="00597113"/>
    <w:rsid w:val="005A0379"/>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263E7"/>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2870"/>
    <w:rsid w:val="00684732"/>
    <w:rsid w:val="00684B16"/>
    <w:rsid w:val="00687016"/>
    <w:rsid w:val="006872A0"/>
    <w:rsid w:val="0069625A"/>
    <w:rsid w:val="00696A88"/>
    <w:rsid w:val="00696F65"/>
    <w:rsid w:val="00697572"/>
    <w:rsid w:val="006B4496"/>
    <w:rsid w:val="006B5E67"/>
    <w:rsid w:val="006B6612"/>
    <w:rsid w:val="006C2EB5"/>
    <w:rsid w:val="006C4DC3"/>
    <w:rsid w:val="006C5368"/>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4A5B"/>
    <w:rsid w:val="0073714E"/>
    <w:rsid w:val="007374EF"/>
    <w:rsid w:val="007406E1"/>
    <w:rsid w:val="00743E40"/>
    <w:rsid w:val="00745016"/>
    <w:rsid w:val="0075031F"/>
    <w:rsid w:val="00751263"/>
    <w:rsid w:val="007544FC"/>
    <w:rsid w:val="00755427"/>
    <w:rsid w:val="00756548"/>
    <w:rsid w:val="0075673A"/>
    <w:rsid w:val="0075704F"/>
    <w:rsid w:val="00761E58"/>
    <w:rsid w:val="00763B2D"/>
    <w:rsid w:val="00764C84"/>
    <w:rsid w:val="007710AD"/>
    <w:rsid w:val="00772924"/>
    <w:rsid w:val="0078112D"/>
    <w:rsid w:val="007872F2"/>
    <w:rsid w:val="007873F9"/>
    <w:rsid w:val="007908E0"/>
    <w:rsid w:val="00793EB3"/>
    <w:rsid w:val="00794205"/>
    <w:rsid w:val="0079422A"/>
    <w:rsid w:val="007A1F6A"/>
    <w:rsid w:val="007A565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7F737D"/>
    <w:rsid w:val="00813C85"/>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4BBB"/>
    <w:rsid w:val="008550A1"/>
    <w:rsid w:val="00861038"/>
    <w:rsid w:val="00865B58"/>
    <w:rsid w:val="00866B50"/>
    <w:rsid w:val="00867A63"/>
    <w:rsid w:val="00870192"/>
    <w:rsid w:val="008708F1"/>
    <w:rsid w:val="00871960"/>
    <w:rsid w:val="0087369F"/>
    <w:rsid w:val="00880539"/>
    <w:rsid w:val="008814ED"/>
    <w:rsid w:val="008859E8"/>
    <w:rsid w:val="0088737B"/>
    <w:rsid w:val="00891078"/>
    <w:rsid w:val="00892716"/>
    <w:rsid w:val="00893067"/>
    <w:rsid w:val="008933DE"/>
    <w:rsid w:val="00895FCE"/>
    <w:rsid w:val="00897347"/>
    <w:rsid w:val="00897F3E"/>
    <w:rsid w:val="008A21B4"/>
    <w:rsid w:val="008A3675"/>
    <w:rsid w:val="008B07DE"/>
    <w:rsid w:val="008B1309"/>
    <w:rsid w:val="008B28E7"/>
    <w:rsid w:val="008B4A8C"/>
    <w:rsid w:val="008B67F6"/>
    <w:rsid w:val="008C14C7"/>
    <w:rsid w:val="008C2FFB"/>
    <w:rsid w:val="008C633F"/>
    <w:rsid w:val="008C6974"/>
    <w:rsid w:val="008C6EEA"/>
    <w:rsid w:val="008C7770"/>
    <w:rsid w:val="008C79C7"/>
    <w:rsid w:val="008D03B0"/>
    <w:rsid w:val="008D2150"/>
    <w:rsid w:val="008D4977"/>
    <w:rsid w:val="008D5813"/>
    <w:rsid w:val="008D5999"/>
    <w:rsid w:val="008D634E"/>
    <w:rsid w:val="008D778A"/>
    <w:rsid w:val="008D78C9"/>
    <w:rsid w:val="008E3195"/>
    <w:rsid w:val="008E5A35"/>
    <w:rsid w:val="008F127E"/>
    <w:rsid w:val="008F32D9"/>
    <w:rsid w:val="00902A65"/>
    <w:rsid w:val="00903932"/>
    <w:rsid w:val="009079BD"/>
    <w:rsid w:val="00912BD9"/>
    <w:rsid w:val="00914511"/>
    <w:rsid w:val="00916FB2"/>
    <w:rsid w:val="009207ED"/>
    <w:rsid w:val="00920E5B"/>
    <w:rsid w:val="00926436"/>
    <w:rsid w:val="00926C53"/>
    <w:rsid w:val="0093018C"/>
    <w:rsid w:val="0094495F"/>
    <w:rsid w:val="009544C0"/>
    <w:rsid w:val="00954FA4"/>
    <w:rsid w:val="00956AE9"/>
    <w:rsid w:val="00964CC6"/>
    <w:rsid w:val="00967BFA"/>
    <w:rsid w:val="00980F31"/>
    <w:rsid w:val="0098262C"/>
    <w:rsid w:val="0098427C"/>
    <w:rsid w:val="00986B43"/>
    <w:rsid w:val="00986C0B"/>
    <w:rsid w:val="00986D46"/>
    <w:rsid w:val="009907F3"/>
    <w:rsid w:val="00991FDA"/>
    <w:rsid w:val="00992ACA"/>
    <w:rsid w:val="009974DF"/>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37EF"/>
    <w:rsid w:val="00A06422"/>
    <w:rsid w:val="00A10D56"/>
    <w:rsid w:val="00A12AAE"/>
    <w:rsid w:val="00A12F22"/>
    <w:rsid w:val="00A16DD1"/>
    <w:rsid w:val="00A222BE"/>
    <w:rsid w:val="00A22441"/>
    <w:rsid w:val="00A23F3B"/>
    <w:rsid w:val="00A24406"/>
    <w:rsid w:val="00A25F64"/>
    <w:rsid w:val="00A275F6"/>
    <w:rsid w:val="00A303B9"/>
    <w:rsid w:val="00A37416"/>
    <w:rsid w:val="00A37602"/>
    <w:rsid w:val="00A40ED6"/>
    <w:rsid w:val="00A42FA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0EBF"/>
    <w:rsid w:val="00B0296A"/>
    <w:rsid w:val="00B07E79"/>
    <w:rsid w:val="00B12295"/>
    <w:rsid w:val="00B137BE"/>
    <w:rsid w:val="00B15998"/>
    <w:rsid w:val="00B17FA0"/>
    <w:rsid w:val="00B2292C"/>
    <w:rsid w:val="00B22C3C"/>
    <w:rsid w:val="00B24344"/>
    <w:rsid w:val="00B26769"/>
    <w:rsid w:val="00B2754B"/>
    <w:rsid w:val="00B31C91"/>
    <w:rsid w:val="00B34140"/>
    <w:rsid w:val="00B3747F"/>
    <w:rsid w:val="00B42E76"/>
    <w:rsid w:val="00B43194"/>
    <w:rsid w:val="00B436BF"/>
    <w:rsid w:val="00B452C3"/>
    <w:rsid w:val="00B47734"/>
    <w:rsid w:val="00B50FBA"/>
    <w:rsid w:val="00B53B10"/>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089"/>
    <w:rsid w:val="00BC1C22"/>
    <w:rsid w:val="00BC3987"/>
    <w:rsid w:val="00BC460B"/>
    <w:rsid w:val="00BC4ED3"/>
    <w:rsid w:val="00BC5725"/>
    <w:rsid w:val="00BD30B1"/>
    <w:rsid w:val="00BE0F7B"/>
    <w:rsid w:val="00BE10C2"/>
    <w:rsid w:val="00BF0D6C"/>
    <w:rsid w:val="00C00C53"/>
    <w:rsid w:val="00C01D14"/>
    <w:rsid w:val="00C01D97"/>
    <w:rsid w:val="00C025B4"/>
    <w:rsid w:val="00C029EC"/>
    <w:rsid w:val="00C161FD"/>
    <w:rsid w:val="00C17C9F"/>
    <w:rsid w:val="00C23F17"/>
    <w:rsid w:val="00C2454F"/>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0585"/>
    <w:rsid w:val="00C7108B"/>
    <w:rsid w:val="00C75883"/>
    <w:rsid w:val="00C77FA5"/>
    <w:rsid w:val="00C8089F"/>
    <w:rsid w:val="00C835FE"/>
    <w:rsid w:val="00C836CC"/>
    <w:rsid w:val="00C852D6"/>
    <w:rsid w:val="00C87A74"/>
    <w:rsid w:val="00C92C71"/>
    <w:rsid w:val="00C93F8F"/>
    <w:rsid w:val="00CA0894"/>
    <w:rsid w:val="00CA1554"/>
    <w:rsid w:val="00CA3593"/>
    <w:rsid w:val="00CA5726"/>
    <w:rsid w:val="00CA7E6A"/>
    <w:rsid w:val="00CB258E"/>
    <w:rsid w:val="00CB3C8F"/>
    <w:rsid w:val="00CB7A25"/>
    <w:rsid w:val="00CC02F1"/>
    <w:rsid w:val="00CC1122"/>
    <w:rsid w:val="00CC11A6"/>
    <w:rsid w:val="00CC135E"/>
    <w:rsid w:val="00CC7226"/>
    <w:rsid w:val="00CD0735"/>
    <w:rsid w:val="00CD2378"/>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24A17"/>
    <w:rsid w:val="00D312FA"/>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4169"/>
    <w:rsid w:val="00DA5682"/>
    <w:rsid w:val="00DA576F"/>
    <w:rsid w:val="00DA5860"/>
    <w:rsid w:val="00DA5C0C"/>
    <w:rsid w:val="00DB2767"/>
    <w:rsid w:val="00DC1B10"/>
    <w:rsid w:val="00DC2924"/>
    <w:rsid w:val="00DC4729"/>
    <w:rsid w:val="00DD31C5"/>
    <w:rsid w:val="00DD5020"/>
    <w:rsid w:val="00DD63BE"/>
    <w:rsid w:val="00DE4296"/>
    <w:rsid w:val="00DF2469"/>
    <w:rsid w:val="00DF7899"/>
    <w:rsid w:val="00E0524C"/>
    <w:rsid w:val="00E1569E"/>
    <w:rsid w:val="00E15751"/>
    <w:rsid w:val="00E17160"/>
    <w:rsid w:val="00E17D41"/>
    <w:rsid w:val="00E231D1"/>
    <w:rsid w:val="00E3288D"/>
    <w:rsid w:val="00E35112"/>
    <w:rsid w:val="00E35BEC"/>
    <w:rsid w:val="00E41A6A"/>
    <w:rsid w:val="00E478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672"/>
    <w:rsid w:val="00EC3A85"/>
    <w:rsid w:val="00EC4B89"/>
    <w:rsid w:val="00EC59A5"/>
    <w:rsid w:val="00EC6E15"/>
    <w:rsid w:val="00EC7D1A"/>
    <w:rsid w:val="00ED1A8E"/>
    <w:rsid w:val="00ED1B30"/>
    <w:rsid w:val="00ED5D03"/>
    <w:rsid w:val="00EE01ED"/>
    <w:rsid w:val="00EE1AC1"/>
    <w:rsid w:val="00EE39D6"/>
    <w:rsid w:val="00EE52AD"/>
    <w:rsid w:val="00EE5BC3"/>
    <w:rsid w:val="00EE6FAB"/>
    <w:rsid w:val="00EF2186"/>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464A"/>
    <w:rsid w:val="00FC51F9"/>
    <w:rsid w:val="00FC5B40"/>
    <w:rsid w:val="00FC5FF8"/>
    <w:rsid w:val="00FD271B"/>
    <w:rsid w:val="00FD3D7C"/>
    <w:rsid w:val="00FD4F8F"/>
    <w:rsid w:val="00FE0C16"/>
    <w:rsid w:val="00FE14B1"/>
    <w:rsid w:val="00FE4D97"/>
    <w:rsid w:val="00FE4F9C"/>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3005790">
      <w:bodyDiv w:val="1"/>
      <w:marLeft w:val="0"/>
      <w:marRight w:val="0"/>
      <w:marTop w:val="0"/>
      <w:marBottom w:val="0"/>
      <w:divBdr>
        <w:top w:val="none" w:sz="0" w:space="0" w:color="auto"/>
        <w:left w:val="none" w:sz="0" w:space="0" w:color="auto"/>
        <w:bottom w:val="none" w:sz="0" w:space="0" w:color="auto"/>
        <w:right w:val="none" w:sz="0" w:space="0" w:color="auto"/>
      </w:divBdr>
    </w:div>
    <w:div w:id="406655737">
      <w:bodyDiv w:val="1"/>
      <w:marLeft w:val="0"/>
      <w:marRight w:val="0"/>
      <w:marTop w:val="0"/>
      <w:marBottom w:val="0"/>
      <w:divBdr>
        <w:top w:val="none" w:sz="0" w:space="0" w:color="auto"/>
        <w:left w:val="none" w:sz="0" w:space="0" w:color="auto"/>
        <w:bottom w:val="none" w:sz="0" w:space="0" w:color="auto"/>
        <w:right w:val="none" w:sz="0" w:space="0" w:color="auto"/>
      </w:divBdr>
      <w:divsChild>
        <w:div w:id="794635992">
          <w:marLeft w:val="547"/>
          <w:marRight w:val="0"/>
          <w:marTop w:val="0"/>
          <w:marBottom w:val="270"/>
          <w:divBdr>
            <w:top w:val="none" w:sz="0" w:space="0" w:color="auto"/>
            <w:left w:val="none" w:sz="0" w:space="0" w:color="auto"/>
            <w:bottom w:val="none" w:sz="0" w:space="0" w:color="auto"/>
            <w:right w:val="none" w:sz="0" w:space="0" w:color="auto"/>
          </w:divBdr>
        </w:div>
        <w:div w:id="701514882">
          <w:marLeft w:val="547"/>
          <w:marRight w:val="0"/>
          <w:marTop w:val="0"/>
          <w:marBottom w:val="270"/>
          <w:divBdr>
            <w:top w:val="none" w:sz="0" w:space="0" w:color="auto"/>
            <w:left w:val="none" w:sz="0" w:space="0" w:color="auto"/>
            <w:bottom w:val="none" w:sz="0" w:space="0" w:color="auto"/>
            <w:right w:val="none" w:sz="0" w:space="0" w:color="auto"/>
          </w:divBdr>
        </w:div>
        <w:div w:id="2024475340">
          <w:marLeft w:val="547"/>
          <w:marRight w:val="0"/>
          <w:marTop w:val="0"/>
          <w:marBottom w:val="270"/>
          <w:divBdr>
            <w:top w:val="none" w:sz="0" w:space="0" w:color="auto"/>
            <w:left w:val="none" w:sz="0" w:space="0" w:color="auto"/>
            <w:bottom w:val="none" w:sz="0" w:space="0" w:color="auto"/>
            <w:right w:val="none" w:sz="0" w:space="0" w:color="auto"/>
          </w:divBdr>
        </w:div>
        <w:div w:id="339164345">
          <w:marLeft w:val="547"/>
          <w:marRight w:val="0"/>
          <w:marTop w:val="0"/>
          <w:marBottom w:val="270"/>
          <w:divBdr>
            <w:top w:val="none" w:sz="0" w:space="0" w:color="auto"/>
            <w:left w:val="none" w:sz="0" w:space="0" w:color="auto"/>
            <w:bottom w:val="none" w:sz="0" w:space="0" w:color="auto"/>
            <w:right w:val="none" w:sz="0" w:space="0" w:color="auto"/>
          </w:divBdr>
        </w:div>
      </w:divsChild>
    </w:div>
    <w:div w:id="554702274">
      <w:bodyDiv w:val="1"/>
      <w:marLeft w:val="0"/>
      <w:marRight w:val="0"/>
      <w:marTop w:val="0"/>
      <w:marBottom w:val="0"/>
      <w:divBdr>
        <w:top w:val="none" w:sz="0" w:space="0" w:color="auto"/>
        <w:left w:val="none" w:sz="0" w:space="0" w:color="auto"/>
        <w:bottom w:val="none" w:sz="0" w:space="0" w:color="auto"/>
        <w:right w:val="none" w:sz="0" w:space="0" w:color="auto"/>
      </w:divBdr>
      <w:divsChild>
        <w:div w:id="1334382999">
          <w:marLeft w:val="576"/>
          <w:marRight w:val="0"/>
          <w:marTop w:val="80"/>
          <w:marBottom w:val="0"/>
          <w:divBdr>
            <w:top w:val="none" w:sz="0" w:space="0" w:color="auto"/>
            <w:left w:val="none" w:sz="0" w:space="0" w:color="auto"/>
            <w:bottom w:val="none" w:sz="0" w:space="0" w:color="auto"/>
            <w:right w:val="none" w:sz="0" w:space="0" w:color="auto"/>
          </w:divBdr>
        </w:div>
        <w:div w:id="1142313062">
          <w:marLeft w:val="576"/>
          <w:marRight w:val="0"/>
          <w:marTop w:val="80"/>
          <w:marBottom w:val="0"/>
          <w:divBdr>
            <w:top w:val="none" w:sz="0" w:space="0" w:color="auto"/>
            <w:left w:val="none" w:sz="0" w:space="0" w:color="auto"/>
            <w:bottom w:val="none" w:sz="0" w:space="0" w:color="auto"/>
            <w:right w:val="none" w:sz="0" w:space="0" w:color="auto"/>
          </w:divBdr>
        </w:div>
        <w:div w:id="1569924350">
          <w:marLeft w:val="576"/>
          <w:marRight w:val="0"/>
          <w:marTop w:val="80"/>
          <w:marBottom w:val="0"/>
          <w:divBdr>
            <w:top w:val="none" w:sz="0" w:space="0" w:color="auto"/>
            <w:left w:val="none" w:sz="0" w:space="0" w:color="auto"/>
            <w:bottom w:val="none" w:sz="0" w:space="0" w:color="auto"/>
            <w:right w:val="none" w:sz="0" w:space="0" w:color="auto"/>
          </w:divBdr>
        </w:div>
        <w:div w:id="229318066">
          <w:marLeft w:val="576"/>
          <w:marRight w:val="0"/>
          <w:marTop w:val="80"/>
          <w:marBottom w:val="0"/>
          <w:divBdr>
            <w:top w:val="none" w:sz="0" w:space="0" w:color="auto"/>
            <w:left w:val="none" w:sz="0" w:space="0" w:color="auto"/>
            <w:bottom w:val="none" w:sz="0" w:space="0" w:color="auto"/>
            <w:right w:val="none" w:sz="0" w:space="0" w:color="auto"/>
          </w:divBdr>
        </w:div>
        <w:div w:id="354890946">
          <w:marLeft w:val="576"/>
          <w:marRight w:val="0"/>
          <w:marTop w:val="80"/>
          <w:marBottom w:val="0"/>
          <w:divBdr>
            <w:top w:val="none" w:sz="0" w:space="0" w:color="auto"/>
            <w:left w:val="none" w:sz="0" w:space="0" w:color="auto"/>
            <w:bottom w:val="none" w:sz="0" w:space="0" w:color="auto"/>
            <w:right w:val="none" w:sz="0" w:space="0" w:color="auto"/>
          </w:divBdr>
        </w:div>
      </w:divsChild>
    </w:div>
    <w:div w:id="654575073">
      <w:bodyDiv w:val="1"/>
      <w:marLeft w:val="0"/>
      <w:marRight w:val="0"/>
      <w:marTop w:val="0"/>
      <w:marBottom w:val="0"/>
      <w:divBdr>
        <w:top w:val="none" w:sz="0" w:space="0" w:color="auto"/>
        <w:left w:val="none" w:sz="0" w:space="0" w:color="auto"/>
        <w:bottom w:val="none" w:sz="0" w:space="0" w:color="auto"/>
        <w:right w:val="none" w:sz="0" w:space="0" w:color="auto"/>
      </w:divBdr>
    </w:div>
    <w:div w:id="680548141">
      <w:bodyDiv w:val="1"/>
      <w:marLeft w:val="0"/>
      <w:marRight w:val="0"/>
      <w:marTop w:val="0"/>
      <w:marBottom w:val="0"/>
      <w:divBdr>
        <w:top w:val="none" w:sz="0" w:space="0" w:color="auto"/>
        <w:left w:val="none" w:sz="0" w:space="0" w:color="auto"/>
        <w:bottom w:val="none" w:sz="0" w:space="0" w:color="auto"/>
        <w:right w:val="none" w:sz="0" w:space="0" w:color="auto"/>
      </w:divBdr>
      <w:divsChild>
        <w:div w:id="388069214">
          <w:marLeft w:val="979"/>
          <w:marRight w:val="0"/>
          <w:marTop w:val="65"/>
          <w:marBottom w:val="0"/>
          <w:divBdr>
            <w:top w:val="none" w:sz="0" w:space="0" w:color="auto"/>
            <w:left w:val="none" w:sz="0" w:space="0" w:color="auto"/>
            <w:bottom w:val="none" w:sz="0" w:space="0" w:color="auto"/>
            <w:right w:val="none" w:sz="0" w:space="0" w:color="auto"/>
          </w:divBdr>
        </w:div>
        <w:div w:id="2107001118">
          <w:marLeft w:val="979"/>
          <w:marRight w:val="0"/>
          <w:marTop w:val="65"/>
          <w:marBottom w:val="0"/>
          <w:divBdr>
            <w:top w:val="none" w:sz="0" w:space="0" w:color="auto"/>
            <w:left w:val="none" w:sz="0" w:space="0" w:color="auto"/>
            <w:bottom w:val="none" w:sz="0" w:space="0" w:color="auto"/>
            <w:right w:val="none" w:sz="0" w:space="0" w:color="auto"/>
          </w:divBdr>
        </w:div>
      </w:divsChild>
    </w:div>
    <w:div w:id="956831844">
      <w:bodyDiv w:val="1"/>
      <w:marLeft w:val="0"/>
      <w:marRight w:val="0"/>
      <w:marTop w:val="0"/>
      <w:marBottom w:val="0"/>
      <w:divBdr>
        <w:top w:val="none" w:sz="0" w:space="0" w:color="auto"/>
        <w:left w:val="none" w:sz="0" w:space="0" w:color="auto"/>
        <w:bottom w:val="none" w:sz="0" w:space="0" w:color="auto"/>
        <w:right w:val="none" w:sz="0" w:space="0" w:color="auto"/>
      </w:divBdr>
      <w:divsChild>
        <w:div w:id="1662851033">
          <w:marLeft w:val="850"/>
          <w:marRight w:val="0"/>
          <w:marTop w:val="0"/>
          <w:marBottom w:val="180"/>
          <w:divBdr>
            <w:top w:val="none" w:sz="0" w:space="0" w:color="auto"/>
            <w:left w:val="none" w:sz="0" w:space="0" w:color="auto"/>
            <w:bottom w:val="none" w:sz="0" w:space="0" w:color="auto"/>
            <w:right w:val="none" w:sz="0" w:space="0" w:color="auto"/>
          </w:divBdr>
        </w:div>
        <w:div w:id="702285138">
          <w:marLeft w:val="850"/>
          <w:marRight w:val="0"/>
          <w:marTop w:val="0"/>
          <w:marBottom w:val="180"/>
          <w:divBdr>
            <w:top w:val="none" w:sz="0" w:space="0" w:color="auto"/>
            <w:left w:val="none" w:sz="0" w:space="0" w:color="auto"/>
            <w:bottom w:val="none" w:sz="0" w:space="0" w:color="auto"/>
            <w:right w:val="none" w:sz="0" w:space="0" w:color="auto"/>
          </w:divBdr>
        </w:div>
        <w:div w:id="1126123113">
          <w:marLeft w:val="850"/>
          <w:marRight w:val="0"/>
          <w:marTop w:val="0"/>
          <w:marBottom w:val="180"/>
          <w:divBdr>
            <w:top w:val="none" w:sz="0" w:space="0" w:color="auto"/>
            <w:left w:val="none" w:sz="0" w:space="0" w:color="auto"/>
            <w:bottom w:val="none" w:sz="0" w:space="0" w:color="auto"/>
            <w:right w:val="none" w:sz="0" w:space="0" w:color="auto"/>
          </w:divBdr>
        </w:div>
        <w:div w:id="1955818006">
          <w:marLeft w:val="850"/>
          <w:marRight w:val="0"/>
          <w:marTop w:val="0"/>
          <w:marBottom w:val="180"/>
          <w:divBdr>
            <w:top w:val="none" w:sz="0" w:space="0" w:color="auto"/>
            <w:left w:val="none" w:sz="0" w:space="0" w:color="auto"/>
            <w:bottom w:val="none" w:sz="0" w:space="0" w:color="auto"/>
            <w:right w:val="none" w:sz="0" w:space="0" w:color="auto"/>
          </w:divBdr>
        </w:div>
        <w:div w:id="1814249801">
          <w:marLeft w:val="850"/>
          <w:marRight w:val="0"/>
          <w:marTop w:val="0"/>
          <w:marBottom w:val="180"/>
          <w:divBdr>
            <w:top w:val="none" w:sz="0" w:space="0" w:color="auto"/>
            <w:left w:val="none" w:sz="0" w:space="0" w:color="auto"/>
            <w:bottom w:val="none" w:sz="0" w:space="0" w:color="auto"/>
            <w:right w:val="none" w:sz="0" w:space="0" w:color="auto"/>
          </w:divBdr>
        </w:div>
      </w:divsChild>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31985096">
      <w:bodyDiv w:val="1"/>
      <w:marLeft w:val="0"/>
      <w:marRight w:val="0"/>
      <w:marTop w:val="0"/>
      <w:marBottom w:val="0"/>
      <w:divBdr>
        <w:top w:val="none" w:sz="0" w:space="0" w:color="auto"/>
        <w:left w:val="none" w:sz="0" w:space="0" w:color="auto"/>
        <w:bottom w:val="none" w:sz="0" w:space="0" w:color="auto"/>
        <w:right w:val="none" w:sz="0" w:space="0" w:color="auto"/>
      </w:divBdr>
    </w:div>
    <w:div w:id="1749572701">
      <w:bodyDiv w:val="1"/>
      <w:marLeft w:val="0"/>
      <w:marRight w:val="0"/>
      <w:marTop w:val="0"/>
      <w:marBottom w:val="0"/>
      <w:divBdr>
        <w:top w:val="none" w:sz="0" w:space="0" w:color="auto"/>
        <w:left w:val="none" w:sz="0" w:space="0" w:color="auto"/>
        <w:bottom w:val="none" w:sz="0" w:space="0" w:color="auto"/>
        <w:right w:val="none" w:sz="0" w:space="0" w:color="auto"/>
      </w:divBdr>
    </w:div>
    <w:div w:id="2012757112">
      <w:bodyDiv w:val="1"/>
      <w:marLeft w:val="0"/>
      <w:marRight w:val="0"/>
      <w:marTop w:val="0"/>
      <w:marBottom w:val="0"/>
      <w:divBdr>
        <w:top w:val="none" w:sz="0" w:space="0" w:color="auto"/>
        <w:left w:val="none" w:sz="0" w:space="0" w:color="auto"/>
        <w:bottom w:val="none" w:sz="0" w:space="0" w:color="auto"/>
        <w:right w:val="none" w:sz="0" w:space="0" w:color="auto"/>
      </w:divBdr>
      <w:divsChild>
        <w:div w:id="898395162">
          <w:marLeft w:val="576"/>
          <w:marRight w:val="0"/>
          <w:marTop w:val="80"/>
          <w:marBottom w:val="0"/>
          <w:divBdr>
            <w:top w:val="none" w:sz="0" w:space="0" w:color="auto"/>
            <w:left w:val="none" w:sz="0" w:space="0" w:color="auto"/>
            <w:bottom w:val="none" w:sz="0" w:space="0" w:color="auto"/>
            <w:right w:val="none" w:sz="0" w:space="0" w:color="auto"/>
          </w:divBdr>
        </w:div>
        <w:div w:id="2143578370">
          <w:marLeft w:val="576"/>
          <w:marRight w:val="0"/>
          <w:marTop w:val="80"/>
          <w:marBottom w:val="0"/>
          <w:divBdr>
            <w:top w:val="none" w:sz="0" w:space="0" w:color="auto"/>
            <w:left w:val="none" w:sz="0" w:space="0" w:color="auto"/>
            <w:bottom w:val="none" w:sz="0" w:space="0" w:color="auto"/>
            <w:right w:val="none" w:sz="0" w:space="0" w:color="auto"/>
          </w:divBdr>
        </w:div>
        <w:div w:id="56903695">
          <w:marLeft w:val="576"/>
          <w:marRight w:val="0"/>
          <w:marTop w:val="80"/>
          <w:marBottom w:val="0"/>
          <w:divBdr>
            <w:top w:val="none" w:sz="0" w:space="0" w:color="auto"/>
            <w:left w:val="none" w:sz="0" w:space="0" w:color="auto"/>
            <w:bottom w:val="none" w:sz="0" w:space="0" w:color="auto"/>
            <w:right w:val="none" w:sz="0" w:space="0" w:color="auto"/>
          </w:divBdr>
        </w:div>
        <w:div w:id="689111964">
          <w:marLeft w:val="576"/>
          <w:marRight w:val="0"/>
          <w:marTop w:val="8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0AEA790D-5A40-40CC-B10B-0E07ABB961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3307</TotalTime>
  <Pages>5</Pages>
  <Words>1196</Words>
  <Characters>6622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Claire Melding</cp:lastModifiedBy>
  <cp:revision>36</cp:revision>
  <cp:lastPrinted>2020-02-11T19:20:00Z</cp:lastPrinted>
  <dcterms:created xsi:type="dcterms:W3CDTF">2023-07-28T12:22:00Z</dcterms:created>
  <dcterms:modified xsi:type="dcterms:W3CDTF">2024-02-11T14:13:00Z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