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7C4F9" w14:textId="225FEF5E" w:rsidR="003C2C4D" w:rsidRDefault="003C2C4D" w:rsidP="00424F51">
      <w:pPr>
        <w:rPr>
          <w:rFonts w:ascii="Times New Roman" w:eastAsia="Times New Roman" w:hAnsi="Times New Roman" w:cs="Times New Roman"/>
          <w:sz w:val="32"/>
          <w:szCs w:val="32"/>
          <w:lang w:val="en-GB"/>
        </w:rPr>
      </w:pPr>
      <w:r>
        <w:rPr>
          <w:noProof/>
        </w:rPr>
        <w:drawing>
          <wp:anchor distT="0" distB="0" distL="114300" distR="114300" simplePos="0" relativeHeight="251658240" behindDoc="0" locked="0" layoutInCell="1" allowOverlap="1" wp14:anchorId="556EAA09" wp14:editId="79E491AE">
            <wp:simplePos x="0" y="0"/>
            <wp:positionH relativeFrom="column">
              <wp:posOffset>1743075</wp:posOffset>
            </wp:positionH>
            <wp:positionV relativeFrom="paragraph">
              <wp:posOffset>0</wp:posOffset>
            </wp:positionV>
            <wp:extent cx="2466975" cy="1447800"/>
            <wp:effectExtent l="0" t="0" r="0"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6975" cy="1447800"/>
                    </a:xfrm>
                    <a:prstGeom prst="rect">
                      <a:avLst/>
                    </a:prstGeom>
                  </pic:spPr>
                </pic:pic>
              </a:graphicData>
            </a:graphic>
          </wp:anchor>
        </w:drawing>
      </w:r>
    </w:p>
    <w:p w14:paraId="52276D63" w14:textId="77777777" w:rsidR="003C2C4D" w:rsidRDefault="003C2C4D" w:rsidP="00457BAC">
      <w:pPr>
        <w:pStyle w:val="Normal1"/>
        <w:spacing w:line="360" w:lineRule="auto"/>
        <w:jc w:val="center"/>
        <w:rPr>
          <w:rFonts w:ascii="Times New Roman" w:eastAsia="Times New Roman" w:hAnsi="Times New Roman" w:cs="Times New Roman"/>
          <w:b/>
          <w:sz w:val="32"/>
          <w:szCs w:val="32"/>
          <w:lang w:val="en-GB"/>
        </w:rPr>
      </w:pPr>
    </w:p>
    <w:p w14:paraId="010EE816" w14:textId="77777777" w:rsidR="003C2C4D" w:rsidRDefault="003C2C4D" w:rsidP="00457BAC">
      <w:pPr>
        <w:pStyle w:val="Normal1"/>
        <w:spacing w:line="360" w:lineRule="auto"/>
        <w:jc w:val="center"/>
        <w:rPr>
          <w:rFonts w:ascii="Times New Roman" w:eastAsia="Times New Roman" w:hAnsi="Times New Roman" w:cs="Times New Roman"/>
          <w:b/>
          <w:sz w:val="32"/>
          <w:szCs w:val="32"/>
          <w:lang w:val="en-GB"/>
        </w:rPr>
      </w:pPr>
    </w:p>
    <w:p w14:paraId="4E4DBD36" w14:textId="4D9C5252"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r w:rsidRPr="00457BAC">
        <w:rPr>
          <w:rFonts w:ascii="Times New Roman" w:eastAsia="Times New Roman" w:hAnsi="Times New Roman" w:cs="Times New Roman"/>
          <w:b/>
          <w:sz w:val="32"/>
          <w:szCs w:val="32"/>
          <w:lang w:val="en-GB"/>
        </w:rPr>
        <w:t>ACCOUNTING FUNDAMENTALS</w:t>
      </w:r>
    </w:p>
    <w:p w14:paraId="1760AB05"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728D8F98"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555CD719" w14:textId="44B083C7" w:rsidR="007D5B9C" w:rsidRDefault="00457BAC" w:rsidP="00457BAC">
      <w:pPr>
        <w:pStyle w:val="Normal1"/>
        <w:spacing w:line="360" w:lineRule="auto"/>
        <w:jc w:val="center"/>
        <w:rPr>
          <w:rFonts w:ascii="Times New Roman" w:eastAsia="Times New Roman" w:hAnsi="Times New Roman" w:cs="Times New Roman"/>
          <w:b/>
          <w:sz w:val="56"/>
          <w:szCs w:val="56"/>
          <w:lang w:val="en-GB"/>
        </w:rPr>
      </w:pPr>
      <w:r w:rsidRPr="00457BAC">
        <w:rPr>
          <w:rFonts w:ascii="Times New Roman" w:eastAsia="Times New Roman" w:hAnsi="Times New Roman" w:cs="Times New Roman"/>
          <w:b/>
          <w:sz w:val="56"/>
          <w:szCs w:val="56"/>
          <w:lang w:val="en-GB"/>
        </w:rPr>
        <w:t>Assignment Title</w:t>
      </w:r>
    </w:p>
    <w:p w14:paraId="6538C378" w14:textId="4C14CF2D" w:rsidR="00457BAC" w:rsidRPr="003C2C4D" w:rsidRDefault="00457BAC" w:rsidP="00457BAC">
      <w:pPr>
        <w:pStyle w:val="Normal1"/>
        <w:spacing w:line="360" w:lineRule="auto"/>
        <w:jc w:val="center"/>
        <w:rPr>
          <w:rFonts w:ascii="Times New Roman" w:eastAsia="Times New Roman" w:hAnsi="Times New Roman" w:cs="Times New Roman"/>
          <w:b/>
          <w:sz w:val="52"/>
          <w:szCs w:val="52"/>
          <w:lang w:val="en-GB"/>
        </w:rPr>
      </w:pPr>
      <w:r w:rsidRPr="00457BAC">
        <w:rPr>
          <w:rFonts w:ascii="Times New Roman" w:eastAsia="Times New Roman" w:hAnsi="Times New Roman" w:cs="Times New Roman"/>
          <w:b/>
          <w:sz w:val="56"/>
          <w:szCs w:val="56"/>
          <w:lang w:val="en-GB"/>
        </w:rPr>
        <w:t xml:space="preserve"> </w:t>
      </w:r>
      <w:r w:rsidRPr="003C2C4D">
        <w:rPr>
          <w:rFonts w:ascii="Times New Roman" w:eastAsia="Times New Roman" w:hAnsi="Times New Roman" w:cs="Times New Roman"/>
          <w:b/>
          <w:sz w:val="52"/>
          <w:szCs w:val="52"/>
          <w:lang w:val="en-GB"/>
        </w:rPr>
        <w:t>Accounting Fundamentals Assessment 1</w:t>
      </w:r>
    </w:p>
    <w:p w14:paraId="670BE4D8"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4E572782"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0093756E"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340CB037"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65D0EABF"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1ACA92A5" w14:textId="77777777" w:rsidR="00457BAC" w:rsidRPr="00457BAC" w:rsidRDefault="00457BAC" w:rsidP="00457BAC">
      <w:pPr>
        <w:pStyle w:val="Normal1"/>
        <w:spacing w:line="360" w:lineRule="auto"/>
        <w:jc w:val="center"/>
        <w:rPr>
          <w:rFonts w:ascii="Times New Roman" w:eastAsia="Times New Roman" w:hAnsi="Times New Roman" w:cs="Times New Roman"/>
          <w:b/>
          <w:sz w:val="32"/>
          <w:szCs w:val="32"/>
          <w:lang w:val="en-GB"/>
        </w:rPr>
      </w:pPr>
    </w:p>
    <w:p w14:paraId="6868794A" w14:textId="77777777" w:rsidR="00457BAC" w:rsidRPr="00457BAC" w:rsidRDefault="00457BAC" w:rsidP="00457BAC">
      <w:pPr>
        <w:pStyle w:val="Normal1"/>
        <w:spacing w:line="360" w:lineRule="auto"/>
        <w:jc w:val="right"/>
        <w:rPr>
          <w:rFonts w:ascii="Times New Roman" w:eastAsia="Times New Roman" w:hAnsi="Times New Roman" w:cs="Times New Roman"/>
          <w:b/>
          <w:sz w:val="32"/>
          <w:szCs w:val="32"/>
          <w:lang w:val="en-GB"/>
        </w:rPr>
      </w:pPr>
      <w:r w:rsidRPr="00457BAC">
        <w:rPr>
          <w:rFonts w:ascii="Times New Roman" w:eastAsia="Times New Roman" w:hAnsi="Times New Roman" w:cs="Times New Roman"/>
          <w:b/>
          <w:sz w:val="32"/>
          <w:szCs w:val="32"/>
          <w:lang w:val="en-GB"/>
        </w:rPr>
        <w:t>Name student: ANA BAICU</w:t>
      </w:r>
    </w:p>
    <w:p w14:paraId="0B01F250" w14:textId="77777777" w:rsidR="00457BAC" w:rsidRPr="00457BAC" w:rsidRDefault="00457BAC" w:rsidP="00457BAC">
      <w:pPr>
        <w:pStyle w:val="Normal1"/>
        <w:spacing w:line="360" w:lineRule="auto"/>
        <w:jc w:val="right"/>
        <w:rPr>
          <w:rFonts w:ascii="Times New Roman" w:eastAsia="Times New Roman" w:hAnsi="Times New Roman" w:cs="Times New Roman"/>
          <w:b/>
          <w:sz w:val="32"/>
          <w:szCs w:val="32"/>
          <w:lang w:val="en-GB"/>
        </w:rPr>
      </w:pPr>
      <w:r w:rsidRPr="00457BAC">
        <w:rPr>
          <w:rFonts w:ascii="Times New Roman" w:eastAsia="Times New Roman" w:hAnsi="Times New Roman" w:cs="Times New Roman"/>
          <w:b/>
          <w:sz w:val="32"/>
          <w:szCs w:val="32"/>
          <w:lang w:val="en-GB"/>
        </w:rPr>
        <w:t>Student Number: 2012401</w:t>
      </w:r>
    </w:p>
    <w:p w14:paraId="692782DE" w14:textId="77777777" w:rsidR="003C2C4D" w:rsidRDefault="00457BAC" w:rsidP="003C2C4D">
      <w:pPr>
        <w:pStyle w:val="Normal1"/>
        <w:spacing w:line="360" w:lineRule="auto"/>
        <w:jc w:val="right"/>
        <w:rPr>
          <w:rFonts w:ascii="Times New Roman" w:eastAsia="Times New Roman" w:hAnsi="Times New Roman" w:cs="Times New Roman"/>
          <w:b/>
          <w:sz w:val="32"/>
          <w:szCs w:val="32"/>
          <w:lang w:val="en-GB"/>
        </w:rPr>
      </w:pPr>
      <w:r w:rsidRPr="00457BAC">
        <w:rPr>
          <w:rFonts w:ascii="Times New Roman" w:eastAsia="Times New Roman" w:hAnsi="Times New Roman" w:cs="Times New Roman"/>
          <w:b/>
          <w:sz w:val="32"/>
          <w:szCs w:val="32"/>
          <w:lang w:val="en-GB"/>
        </w:rPr>
        <w:t>Module lecturer’s name: Widin Bongasu Sha’ven</w:t>
      </w:r>
    </w:p>
    <w:p w14:paraId="6EEC4898" w14:textId="50B5CA87" w:rsidR="003C2C4D" w:rsidRDefault="00457BAC" w:rsidP="003C2C4D">
      <w:pPr>
        <w:pStyle w:val="Normal1"/>
        <w:spacing w:line="360" w:lineRule="auto"/>
        <w:jc w:val="right"/>
        <w:rPr>
          <w:rFonts w:ascii="Times New Roman" w:eastAsia="Times New Roman" w:hAnsi="Times New Roman" w:cs="Times New Roman"/>
          <w:b/>
          <w:sz w:val="32"/>
          <w:szCs w:val="32"/>
          <w:lang w:val="en-GB"/>
        </w:rPr>
      </w:pPr>
      <w:r w:rsidRPr="00457BAC">
        <w:rPr>
          <w:rFonts w:ascii="Times New Roman" w:eastAsia="Times New Roman" w:hAnsi="Times New Roman" w:cs="Times New Roman"/>
          <w:b/>
          <w:sz w:val="32"/>
          <w:szCs w:val="32"/>
          <w:lang w:val="en-GB"/>
        </w:rPr>
        <w:t xml:space="preserve">  </w:t>
      </w:r>
    </w:p>
    <w:p w14:paraId="03659A71" w14:textId="36517B19" w:rsidR="00E95D9F" w:rsidRPr="007C26E6" w:rsidRDefault="00635F57" w:rsidP="003C2C4D">
      <w:pPr>
        <w:pStyle w:val="Normal1"/>
        <w:spacing w:line="360" w:lineRule="auto"/>
        <w:jc w:val="center"/>
        <w:rPr>
          <w:rFonts w:ascii="Times New Roman" w:eastAsia="Times New Roman" w:hAnsi="Times New Roman" w:cs="Times New Roman"/>
          <w:b/>
          <w:sz w:val="24"/>
          <w:szCs w:val="24"/>
          <w:lang w:val="en-GB"/>
        </w:rPr>
      </w:pPr>
      <w:r w:rsidRPr="007C26E6">
        <w:rPr>
          <w:rFonts w:ascii="Times New Roman" w:eastAsia="Times New Roman" w:hAnsi="Times New Roman" w:cs="Times New Roman"/>
          <w:b/>
          <w:sz w:val="24"/>
          <w:szCs w:val="24"/>
          <w:lang w:val="en-GB"/>
        </w:rPr>
        <w:lastRenderedPageBreak/>
        <w:t>Executive Summary</w:t>
      </w:r>
    </w:p>
    <w:p w14:paraId="6BE2A0AA" w14:textId="77777777" w:rsidR="00536E72" w:rsidRPr="007C26E6" w:rsidRDefault="00E95D9F" w:rsidP="0030019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The main purpose of the report is to analyse the financial position of Eccles Plc and Choco Plc by using accounting techniques and fundamental financial information. </w:t>
      </w:r>
      <w:r w:rsidRPr="007C26E6">
        <w:rPr>
          <w:rFonts w:ascii="Times New Roman" w:hAnsi="Times New Roman" w:cs="Times New Roman"/>
          <w:color w:val="000000"/>
          <w:sz w:val="24"/>
          <w:szCs w:val="24"/>
          <w:lang w:val="en-GB"/>
        </w:rPr>
        <w:t xml:space="preserve">In this study, an income statement and a balance sheet has been prepared for Eccles Plc. On the other hand, the financial position of Choco Plc has been analysed based on its income statement and balance sheet. </w:t>
      </w:r>
      <w:r w:rsidR="00300197" w:rsidRPr="007C26E6">
        <w:rPr>
          <w:rFonts w:ascii="Times New Roman" w:hAnsi="Times New Roman" w:cs="Times New Roman"/>
          <w:sz w:val="24"/>
          <w:szCs w:val="24"/>
          <w:lang w:val="en-GB"/>
        </w:rPr>
        <w:t xml:space="preserve">It has been revealed in the study that the profit of Eccles Plc has decreased in the current year as compared to that in the previous year. On the other hand, the financial position of Choco Plc has declined in the current year. </w:t>
      </w:r>
      <w:r w:rsidR="00635F57" w:rsidRPr="007C26E6">
        <w:rPr>
          <w:rFonts w:ascii="Times New Roman" w:hAnsi="Times New Roman" w:cs="Times New Roman"/>
          <w:sz w:val="24"/>
          <w:szCs w:val="24"/>
          <w:lang w:val="en-GB"/>
        </w:rPr>
        <w:br w:type="page"/>
      </w:r>
    </w:p>
    <w:p w14:paraId="703A7BC3" w14:textId="77777777" w:rsidR="00536E72" w:rsidRPr="007C26E6" w:rsidRDefault="00635F57">
      <w:pPr>
        <w:pStyle w:val="Normal1"/>
        <w:spacing w:line="360" w:lineRule="auto"/>
        <w:jc w:val="center"/>
        <w:rPr>
          <w:rFonts w:ascii="Times New Roman" w:eastAsia="Times New Roman" w:hAnsi="Times New Roman" w:cs="Times New Roman"/>
          <w:b/>
          <w:sz w:val="24"/>
          <w:szCs w:val="24"/>
          <w:lang w:val="en-GB"/>
        </w:rPr>
      </w:pPr>
      <w:r w:rsidRPr="007C26E6">
        <w:rPr>
          <w:rFonts w:ascii="Times New Roman" w:eastAsia="Times New Roman" w:hAnsi="Times New Roman" w:cs="Times New Roman"/>
          <w:b/>
          <w:sz w:val="24"/>
          <w:szCs w:val="24"/>
          <w:lang w:val="en-GB"/>
        </w:rPr>
        <w:lastRenderedPageBreak/>
        <w:t>Table of Contents</w:t>
      </w:r>
    </w:p>
    <w:sdt>
      <w:sdtPr>
        <w:rPr>
          <w:rFonts w:ascii="Arial" w:eastAsia="Arial" w:hAnsi="Arial" w:cs="Arial"/>
          <w:b w:val="0"/>
          <w:bCs w:val="0"/>
          <w:color w:val="auto"/>
          <w:sz w:val="22"/>
          <w:szCs w:val="22"/>
          <w:lang w:val="en-GB" w:eastAsia="en-GB"/>
        </w:rPr>
        <w:id w:val="11090743"/>
        <w:docPartObj>
          <w:docPartGallery w:val="Table of Contents"/>
          <w:docPartUnique/>
        </w:docPartObj>
      </w:sdtPr>
      <w:sdtEndPr/>
      <w:sdtContent>
        <w:p w14:paraId="0EAAD829" w14:textId="77777777" w:rsidR="00057CE5" w:rsidRPr="007C26E6" w:rsidRDefault="00057CE5">
          <w:pPr>
            <w:pStyle w:val="TOCHeading"/>
            <w:rPr>
              <w:lang w:val="en-GB"/>
            </w:rPr>
          </w:pPr>
        </w:p>
        <w:p w14:paraId="4B335B29" w14:textId="77777777" w:rsidR="00057CE5" w:rsidRPr="007C26E6" w:rsidRDefault="007130A7" w:rsidP="00057CE5">
          <w:pPr>
            <w:pStyle w:val="TOC1"/>
            <w:tabs>
              <w:tab w:val="right" w:leader="dot" w:pos="9350"/>
            </w:tabs>
            <w:spacing w:line="360" w:lineRule="auto"/>
            <w:jc w:val="both"/>
            <w:rPr>
              <w:rFonts w:ascii="Times New Roman" w:hAnsi="Times New Roman" w:cs="Times New Roman"/>
              <w:noProof/>
              <w:sz w:val="24"/>
              <w:szCs w:val="24"/>
              <w:lang w:val="en-GB"/>
            </w:rPr>
          </w:pPr>
          <w:r w:rsidRPr="007C26E6">
            <w:rPr>
              <w:lang w:val="en-GB"/>
            </w:rPr>
            <w:fldChar w:fldCharType="begin"/>
          </w:r>
          <w:r w:rsidR="00057CE5" w:rsidRPr="007C26E6">
            <w:rPr>
              <w:lang w:val="en-GB"/>
            </w:rPr>
            <w:instrText xml:space="preserve"> TOC \o "1-3" \h \z \u </w:instrText>
          </w:r>
          <w:r w:rsidRPr="007C26E6">
            <w:rPr>
              <w:lang w:val="en-GB"/>
            </w:rPr>
            <w:fldChar w:fldCharType="separate"/>
          </w:r>
          <w:hyperlink w:anchor="_Toc55489972" w:history="1">
            <w:r w:rsidR="00057CE5" w:rsidRPr="007C26E6">
              <w:rPr>
                <w:rStyle w:val="Hyperlink"/>
                <w:rFonts w:ascii="Times New Roman" w:hAnsi="Times New Roman" w:cs="Times New Roman"/>
                <w:noProof/>
                <w:sz w:val="24"/>
                <w:szCs w:val="24"/>
                <w:lang w:val="en-GB"/>
              </w:rPr>
              <w:t>Introduction</w:t>
            </w:r>
            <w:r w:rsidR="00057CE5" w:rsidRPr="007C26E6">
              <w:rPr>
                <w:rFonts w:ascii="Times New Roman" w:hAnsi="Times New Roman" w:cs="Times New Roman"/>
                <w:noProof/>
                <w:webHidden/>
                <w:sz w:val="24"/>
                <w:szCs w:val="24"/>
                <w:lang w:val="en-GB"/>
              </w:rPr>
              <w:tab/>
            </w:r>
            <w:r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_Toc55489972 \h </w:instrText>
            </w:r>
            <w:r w:rsidRPr="007C26E6">
              <w:rPr>
                <w:rFonts w:ascii="Times New Roman" w:hAnsi="Times New Roman" w:cs="Times New Roman"/>
                <w:noProof/>
                <w:webHidden/>
                <w:sz w:val="24"/>
                <w:szCs w:val="24"/>
                <w:lang w:val="en-GB"/>
              </w:rPr>
            </w:r>
            <w:r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4</w:t>
            </w:r>
            <w:r w:rsidRPr="007C26E6">
              <w:rPr>
                <w:rFonts w:ascii="Times New Roman" w:hAnsi="Times New Roman" w:cs="Times New Roman"/>
                <w:noProof/>
                <w:webHidden/>
                <w:sz w:val="24"/>
                <w:szCs w:val="24"/>
                <w:lang w:val="en-GB"/>
              </w:rPr>
              <w:fldChar w:fldCharType="end"/>
            </w:r>
          </w:hyperlink>
        </w:p>
        <w:p w14:paraId="0C3D0B90" w14:textId="77777777" w:rsidR="00057CE5" w:rsidRPr="007C26E6" w:rsidRDefault="0034706E" w:rsidP="00057CE5">
          <w:pPr>
            <w:pStyle w:val="TOC1"/>
            <w:tabs>
              <w:tab w:val="right" w:leader="dot" w:pos="9350"/>
            </w:tabs>
            <w:spacing w:line="360" w:lineRule="auto"/>
            <w:jc w:val="both"/>
            <w:rPr>
              <w:rFonts w:ascii="Times New Roman" w:hAnsi="Times New Roman" w:cs="Times New Roman"/>
              <w:noProof/>
              <w:sz w:val="24"/>
              <w:szCs w:val="24"/>
              <w:lang w:val="en-GB"/>
            </w:rPr>
          </w:pPr>
          <w:hyperlink w:anchor="_Toc55489973" w:history="1">
            <w:r w:rsidR="00057CE5" w:rsidRPr="007C26E6">
              <w:rPr>
                <w:rStyle w:val="Hyperlink"/>
                <w:rFonts w:ascii="Times New Roman" w:hAnsi="Times New Roman" w:cs="Times New Roman"/>
                <w:noProof/>
                <w:sz w:val="24"/>
                <w:szCs w:val="24"/>
                <w:lang w:val="en-GB"/>
              </w:rPr>
              <w:t>Question 1</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_Toc55489973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4</w:t>
            </w:r>
            <w:r w:rsidR="007130A7" w:rsidRPr="007C26E6">
              <w:rPr>
                <w:rFonts w:ascii="Times New Roman" w:hAnsi="Times New Roman" w:cs="Times New Roman"/>
                <w:noProof/>
                <w:webHidden/>
                <w:sz w:val="24"/>
                <w:szCs w:val="24"/>
                <w:lang w:val="en-GB"/>
              </w:rPr>
              <w:fldChar w:fldCharType="end"/>
            </w:r>
          </w:hyperlink>
        </w:p>
        <w:p w14:paraId="1CF15AB9" w14:textId="77777777" w:rsidR="00057CE5" w:rsidRPr="007C26E6" w:rsidRDefault="0034706E" w:rsidP="00057CE5">
          <w:pPr>
            <w:pStyle w:val="TOC2"/>
            <w:tabs>
              <w:tab w:val="right" w:leader="dot" w:pos="9350"/>
            </w:tabs>
            <w:spacing w:line="360" w:lineRule="auto"/>
            <w:jc w:val="both"/>
            <w:rPr>
              <w:rFonts w:ascii="Times New Roman" w:hAnsi="Times New Roman" w:cs="Times New Roman"/>
              <w:noProof/>
              <w:sz w:val="24"/>
              <w:szCs w:val="24"/>
              <w:lang w:val="en-GB"/>
            </w:rPr>
          </w:pPr>
          <w:hyperlink w:anchor="_Toc55489974" w:history="1">
            <w:r w:rsidR="00057CE5" w:rsidRPr="007C26E6">
              <w:rPr>
                <w:rStyle w:val="Hyperlink"/>
                <w:rFonts w:ascii="Times New Roman" w:hAnsi="Times New Roman" w:cs="Times New Roman"/>
                <w:noProof/>
                <w:sz w:val="24"/>
                <w:szCs w:val="24"/>
                <w:lang w:val="en-GB"/>
              </w:rPr>
              <w:t>a) Preparation of an income statement and a statement of financial position for Eccles Plc</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_Toc55489974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4</w:t>
            </w:r>
            <w:r w:rsidR="007130A7" w:rsidRPr="007C26E6">
              <w:rPr>
                <w:rFonts w:ascii="Times New Roman" w:hAnsi="Times New Roman" w:cs="Times New Roman"/>
                <w:noProof/>
                <w:webHidden/>
                <w:sz w:val="24"/>
                <w:szCs w:val="24"/>
                <w:lang w:val="en-GB"/>
              </w:rPr>
              <w:fldChar w:fldCharType="end"/>
            </w:r>
          </w:hyperlink>
        </w:p>
        <w:p w14:paraId="723222A7" w14:textId="77777777" w:rsidR="00057CE5" w:rsidRPr="007C26E6" w:rsidRDefault="0034706E" w:rsidP="00057CE5">
          <w:pPr>
            <w:pStyle w:val="TOC1"/>
            <w:tabs>
              <w:tab w:val="right" w:leader="dot" w:pos="9350"/>
            </w:tabs>
            <w:spacing w:line="360" w:lineRule="auto"/>
            <w:jc w:val="both"/>
            <w:rPr>
              <w:rFonts w:ascii="Times New Roman" w:hAnsi="Times New Roman" w:cs="Times New Roman"/>
              <w:noProof/>
              <w:sz w:val="24"/>
              <w:szCs w:val="24"/>
              <w:lang w:val="en-GB"/>
            </w:rPr>
          </w:pPr>
          <w:hyperlink w:anchor="_Toc55489975" w:history="1">
            <w:r w:rsidR="00057CE5" w:rsidRPr="007C26E6">
              <w:rPr>
                <w:rStyle w:val="Hyperlink"/>
                <w:rFonts w:ascii="Times New Roman" w:hAnsi="Times New Roman" w:cs="Times New Roman"/>
                <w:noProof/>
                <w:sz w:val="24"/>
                <w:szCs w:val="24"/>
                <w:lang w:val="en-GB"/>
              </w:rPr>
              <w:t>Question 2</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_Toc55489975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10</w:t>
            </w:r>
            <w:r w:rsidR="007130A7" w:rsidRPr="007C26E6">
              <w:rPr>
                <w:rFonts w:ascii="Times New Roman" w:hAnsi="Times New Roman" w:cs="Times New Roman"/>
                <w:noProof/>
                <w:webHidden/>
                <w:sz w:val="24"/>
                <w:szCs w:val="24"/>
                <w:lang w:val="en-GB"/>
              </w:rPr>
              <w:fldChar w:fldCharType="end"/>
            </w:r>
          </w:hyperlink>
        </w:p>
        <w:p w14:paraId="08684A65" w14:textId="77777777" w:rsidR="00057CE5" w:rsidRPr="007C26E6" w:rsidRDefault="0034706E" w:rsidP="00057CE5">
          <w:pPr>
            <w:pStyle w:val="TOC2"/>
            <w:tabs>
              <w:tab w:val="right" w:leader="dot" w:pos="9350"/>
            </w:tabs>
            <w:spacing w:line="360" w:lineRule="auto"/>
            <w:jc w:val="both"/>
            <w:rPr>
              <w:rFonts w:ascii="Times New Roman" w:hAnsi="Times New Roman" w:cs="Times New Roman"/>
              <w:noProof/>
              <w:sz w:val="24"/>
              <w:szCs w:val="24"/>
              <w:lang w:val="en-GB"/>
            </w:rPr>
          </w:pPr>
          <w:hyperlink w:anchor="_Toc55489976" w:history="1">
            <w:r w:rsidR="00057CE5" w:rsidRPr="007C26E6">
              <w:rPr>
                <w:rStyle w:val="Hyperlink"/>
                <w:rFonts w:ascii="Times New Roman" w:hAnsi="Times New Roman" w:cs="Times New Roman"/>
                <w:noProof/>
                <w:sz w:val="24"/>
                <w:szCs w:val="24"/>
                <w:lang w:val="en-GB"/>
              </w:rPr>
              <w:t>a) Schedule of ratios</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_Toc55489976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10</w:t>
            </w:r>
            <w:r w:rsidR="007130A7" w:rsidRPr="007C26E6">
              <w:rPr>
                <w:rFonts w:ascii="Times New Roman" w:hAnsi="Times New Roman" w:cs="Times New Roman"/>
                <w:noProof/>
                <w:webHidden/>
                <w:sz w:val="24"/>
                <w:szCs w:val="24"/>
                <w:lang w:val="en-GB"/>
              </w:rPr>
              <w:fldChar w:fldCharType="end"/>
            </w:r>
          </w:hyperlink>
        </w:p>
        <w:p w14:paraId="23FAC38F" w14:textId="77777777" w:rsidR="00057CE5" w:rsidRPr="007C26E6" w:rsidRDefault="0034706E" w:rsidP="00057CE5">
          <w:pPr>
            <w:pStyle w:val="TOC2"/>
            <w:tabs>
              <w:tab w:val="right" w:leader="dot" w:pos="9350"/>
            </w:tabs>
            <w:spacing w:line="360" w:lineRule="auto"/>
            <w:jc w:val="both"/>
            <w:rPr>
              <w:rFonts w:ascii="Times New Roman" w:hAnsi="Times New Roman" w:cs="Times New Roman"/>
              <w:noProof/>
              <w:sz w:val="24"/>
              <w:szCs w:val="24"/>
              <w:lang w:val="en-GB"/>
            </w:rPr>
          </w:pPr>
          <w:hyperlink w:anchor="_Toc55489977" w:history="1">
            <w:r w:rsidR="00057CE5" w:rsidRPr="007C26E6">
              <w:rPr>
                <w:rStyle w:val="Hyperlink"/>
                <w:rFonts w:ascii="Times New Roman" w:hAnsi="Times New Roman" w:cs="Times New Roman"/>
                <w:noProof/>
                <w:sz w:val="24"/>
                <w:szCs w:val="24"/>
                <w:lang w:val="en-GB"/>
              </w:rPr>
              <w:t>b) Ratio analysis and commenting on the company’s financial position</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_Toc55489977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12</w:t>
            </w:r>
            <w:r w:rsidR="007130A7" w:rsidRPr="007C26E6">
              <w:rPr>
                <w:rFonts w:ascii="Times New Roman" w:hAnsi="Times New Roman" w:cs="Times New Roman"/>
                <w:noProof/>
                <w:webHidden/>
                <w:sz w:val="24"/>
                <w:szCs w:val="24"/>
                <w:lang w:val="en-GB"/>
              </w:rPr>
              <w:fldChar w:fldCharType="end"/>
            </w:r>
          </w:hyperlink>
        </w:p>
        <w:p w14:paraId="662D07A2" w14:textId="77777777" w:rsidR="00057CE5" w:rsidRPr="007C26E6" w:rsidRDefault="0034706E" w:rsidP="00057CE5">
          <w:pPr>
            <w:pStyle w:val="TOC1"/>
            <w:tabs>
              <w:tab w:val="right" w:leader="dot" w:pos="9350"/>
            </w:tabs>
            <w:spacing w:line="360" w:lineRule="auto"/>
            <w:jc w:val="both"/>
            <w:rPr>
              <w:rFonts w:ascii="Times New Roman" w:hAnsi="Times New Roman" w:cs="Times New Roman"/>
              <w:noProof/>
              <w:sz w:val="24"/>
              <w:szCs w:val="24"/>
              <w:lang w:val="en-GB"/>
            </w:rPr>
          </w:pPr>
          <w:hyperlink w:anchor="_Toc55489978" w:history="1">
            <w:r w:rsidR="00057CE5" w:rsidRPr="007C26E6">
              <w:rPr>
                <w:rStyle w:val="Hyperlink"/>
                <w:rFonts w:ascii="Times New Roman" w:hAnsi="Times New Roman" w:cs="Times New Roman"/>
                <w:noProof/>
                <w:sz w:val="24"/>
                <w:szCs w:val="24"/>
                <w:lang w:val="en-GB"/>
              </w:rPr>
              <w:t>Conclusion</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_Toc55489978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13</w:t>
            </w:r>
            <w:r w:rsidR="007130A7" w:rsidRPr="007C26E6">
              <w:rPr>
                <w:rFonts w:ascii="Times New Roman" w:hAnsi="Times New Roman" w:cs="Times New Roman"/>
                <w:noProof/>
                <w:webHidden/>
                <w:sz w:val="24"/>
                <w:szCs w:val="24"/>
                <w:lang w:val="en-GB"/>
              </w:rPr>
              <w:fldChar w:fldCharType="end"/>
            </w:r>
          </w:hyperlink>
        </w:p>
        <w:p w14:paraId="688AC504" w14:textId="77777777" w:rsidR="00057CE5" w:rsidRPr="007C26E6" w:rsidRDefault="0034706E" w:rsidP="00057CE5">
          <w:pPr>
            <w:pStyle w:val="TOC1"/>
            <w:tabs>
              <w:tab w:val="right" w:leader="dot" w:pos="9350"/>
            </w:tabs>
            <w:spacing w:line="360" w:lineRule="auto"/>
            <w:jc w:val="both"/>
            <w:rPr>
              <w:noProof/>
              <w:lang w:val="en-GB"/>
            </w:rPr>
          </w:pPr>
          <w:hyperlink w:anchor="_Toc55489979" w:history="1">
            <w:r w:rsidR="00057CE5" w:rsidRPr="007C26E6">
              <w:rPr>
                <w:rStyle w:val="Hyperlink"/>
                <w:rFonts w:ascii="Times New Roman" w:hAnsi="Times New Roman" w:cs="Times New Roman"/>
                <w:noProof/>
                <w:sz w:val="24"/>
                <w:szCs w:val="24"/>
                <w:lang w:val="en-GB"/>
              </w:rPr>
              <w:t>References</w:t>
            </w:r>
            <w:r w:rsidR="00057CE5" w:rsidRPr="007C26E6">
              <w:rPr>
                <w:rFonts w:ascii="Times New Roman" w:hAnsi="Times New Roman" w:cs="Times New Roman"/>
                <w:noProof/>
                <w:webHidden/>
                <w:sz w:val="24"/>
                <w:szCs w:val="24"/>
                <w:lang w:val="en-GB"/>
              </w:rPr>
              <w:tab/>
            </w:r>
            <w:r w:rsidR="007130A7" w:rsidRPr="007C26E6">
              <w:rPr>
                <w:rFonts w:ascii="Times New Roman" w:hAnsi="Times New Roman" w:cs="Times New Roman"/>
                <w:noProof/>
                <w:webHidden/>
                <w:sz w:val="24"/>
                <w:szCs w:val="24"/>
                <w:lang w:val="en-GB"/>
              </w:rPr>
              <w:fldChar w:fldCharType="begin"/>
            </w:r>
            <w:r w:rsidR="00057CE5" w:rsidRPr="007C26E6">
              <w:rPr>
                <w:rFonts w:ascii="Times New Roman" w:hAnsi="Times New Roman" w:cs="Times New Roman"/>
                <w:noProof/>
                <w:webHidden/>
                <w:sz w:val="24"/>
                <w:szCs w:val="24"/>
                <w:lang w:val="en-GB"/>
              </w:rPr>
              <w:instrText xml:space="preserve"> PAGEREF _Toc55489979 \h </w:instrText>
            </w:r>
            <w:r w:rsidR="007130A7" w:rsidRPr="007C26E6">
              <w:rPr>
                <w:rFonts w:ascii="Times New Roman" w:hAnsi="Times New Roman" w:cs="Times New Roman"/>
                <w:noProof/>
                <w:webHidden/>
                <w:sz w:val="24"/>
                <w:szCs w:val="24"/>
                <w:lang w:val="en-GB"/>
              </w:rPr>
            </w:r>
            <w:r w:rsidR="007130A7" w:rsidRPr="007C26E6">
              <w:rPr>
                <w:rFonts w:ascii="Times New Roman" w:hAnsi="Times New Roman" w:cs="Times New Roman"/>
                <w:noProof/>
                <w:webHidden/>
                <w:sz w:val="24"/>
                <w:szCs w:val="24"/>
                <w:lang w:val="en-GB"/>
              </w:rPr>
              <w:fldChar w:fldCharType="separate"/>
            </w:r>
            <w:r w:rsidR="00057CE5" w:rsidRPr="007C26E6">
              <w:rPr>
                <w:rFonts w:ascii="Times New Roman" w:hAnsi="Times New Roman" w:cs="Times New Roman"/>
                <w:noProof/>
                <w:webHidden/>
                <w:sz w:val="24"/>
                <w:szCs w:val="24"/>
                <w:lang w:val="en-GB"/>
              </w:rPr>
              <w:t>14</w:t>
            </w:r>
            <w:r w:rsidR="007130A7" w:rsidRPr="007C26E6">
              <w:rPr>
                <w:rFonts w:ascii="Times New Roman" w:hAnsi="Times New Roman" w:cs="Times New Roman"/>
                <w:noProof/>
                <w:webHidden/>
                <w:sz w:val="24"/>
                <w:szCs w:val="24"/>
                <w:lang w:val="en-GB"/>
              </w:rPr>
              <w:fldChar w:fldCharType="end"/>
            </w:r>
          </w:hyperlink>
        </w:p>
        <w:p w14:paraId="2EB50B43" w14:textId="77777777" w:rsidR="00057CE5" w:rsidRPr="007C26E6" w:rsidRDefault="007130A7">
          <w:pPr>
            <w:rPr>
              <w:lang w:val="en-GB"/>
            </w:rPr>
          </w:pPr>
          <w:r w:rsidRPr="007C26E6">
            <w:rPr>
              <w:lang w:val="en-GB"/>
            </w:rPr>
            <w:fldChar w:fldCharType="end"/>
          </w:r>
        </w:p>
      </w:sdtContent>
    </w:sdt>
    <w:p w14:paraId="727DD6E3" w14:textId="77777777" w:rsidR="00057CE5" w:rsidRPr="007C26E6" w:rsidRDefault="00057CE5">
      <w:pPr>
        <w:pStyle w:val="Normal1"/>
        <w:spacing w:line="360" w:lineRule="auto"/>
        <w:jc w:val="center"/>
        <w:rPr>
          <w:rFonts w:ascii="Times New Roman" w:eastAsia="Times New Roman" w:hAnsi="Times New Roman" w:cs="Times New Roman"/>
          <w:b/>
          <w:sz w:val="24"/>
          <w:szCs w:val="24"/>
          <w:lang w:val="en-GB"/>
        </w:rPr>
      </w:pPr>
    </w:p>
    <w:p w14:paraId="60A9C297" w14:textId="77777777" w:rsidR="00536E72" w:rsidRPr="007C26E6" w:rsidRDefault="00635F57">
      <w:pPr>
        <w:pStyle w:val="Normal1"/>
        <w:spacing w:line="360" w:lineRule="auto"/>
        <w:jc w:val="both"/>
        <w:rPr>
          <w:rFonts w:ascii="Times New Roman" w:eastAsia="Times New Roman" w:hAnsi="Times New Roman" w:cs="Times New Roman"/>
          <w:b/>
          <w:sz w:val="24"/>
          <w:szCs w:val="24"/>
          <w:lang w:val="en-GB"/>
        </w:rPr>
      </w:pPr>
      <w:r w:rsidRPr="007C26E6">
        <w:rPr>
          <w:lang w:val="en-GB"/>
        </w:rPr>
        <w:br w:type="page"/>
      </w:r>
    </w:p>
    <w:p w14:paraId="6B9B0C12" w14:textId="77777777" w:rsidR="00536E72" w:rsidRPr="007C26E6" w:rsidRDefault="00635F57" w:rsidP="007A59C6">
      <w:pPr>
        <w:pStyle w:val="Heading1"/>
        <w:rPr>
          <w:lang w:val="en-GB"/>
        </w:rPr>
      </w:pPr>
      <w:bookmarkStart w:id="0" w:name="_Toc55489972"/>
      <w:r w:rsidRPr="007C26E6">
        <w:rPr>
          <w:lang w:val="en-GB"/>
        </w:rPr>
        <w:lastRenderedPageBreak/>
        <w:t>Introduction</w:t>
      </w:r>
      <w:bookmarkEnd w:id="0"/>
    </w:p>
    <w:p w14:paraId="362AF9FD"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Profit and financial growth is the main purpose of business organisations and therefore, all business organisations need to manage its finances effectively. Reputed organisations publish annual reports in which they declare their income, expenses, profit, </w:t>
      </w:r>
      <w:r w:rsidR="003A77F1" w:rsidRPr="007C26E6">
        <w:rPr>
          <w:rFonts w:ascii="Times New Roman" w:eastAsia="Times New Roman" w:hAnsi="Times New Roman" w:cs="Times New Roman"/>
          <w:sz w:val="24"/>
          <w:szCs w:val="24"/>
          <w:lang w:val="en-GB"/>
        </w:rPr>
        <w:t>and loss</w:t>
      </w:r>
      <w:r w:rsidRPr="007C26E6">
        <w:rPr>
          <w:rFonts w:ascii="Times New Roman" w:eastAsia="Times New Roman" w:hAnsi="Times New Roman" w:cs="Times New Roman"/>
          <w:sz w:val="24"/>
          <w:szCs w:val="24"/>
          <w:lang w:val="en-GB"/>
        </w:rPr>
        <w:t>, achieved and lost business targets and many relevant financial details.</w:t>
      </w:r>
      <w:r w:rsidR="003A77F1">
        <w:rPr>
          <w:rFonts w:ascii="Times New Roman" w:eastAsia="Times New Roman" w:hAnsi="Times New Roman" w:cs="Times New Roman"/>
          <w:sz w:val="24"/>
          <w:szCs w:val="24"/>
          <w:lang w:val="en-GB"/>
        </w:rPr>
        <w:t xml:space="preserve"> </w:t>
      </w:r>
      <w:r w:rsidRPr="007C26E6">
        <w:rPr>
          <w:rFonts w:ascii="Times New Roman" w:eastAsia="Times New Roman" w:hAnsi="Times New Roman" w:cs="Times New Roman"/>
          <w:sz w:val="24"/>
          <w:szCs w:val="24"/>
          <w:lang w:val="en-GB"/>
        </w:rPr>
        <w:t xml:space="preserve">These financial </w:t>
      </w:r>
      <w:r w:rsidR="003D12A0" w:rsidRPr="007C26E6">
        <w:rPr>
          <w:rFonts w:ascii="Times New Roman" w:eastAsia="Times New Roman" w:hAnsi="Times New Roman" w:cs="Times New Roman"/>
          <w:sz w:val="24"/>
          <w:szCs w:val="24"/>
          <w:lang w:val="en-GB"/>
        </w:rPr>
        <w:t>details</w:t>
      </w:r>
      <w:r w:rsidRPr="007C26E6">
        <w:rPr>
          <w:rFonts w:ascii="Times New Roman" w:eastAsia="Times New Roman" w:hAnsi="Times New Roman" w:cs="Times New Roman"/>
          <w:sz w:val="24"/>
          <w:szCs w:val="24"/>
          <w:lang w:val="en-GB"/>
        </w:rPr>
        <w:t xml:space="preserve"> are also used by the accounting professionals of the organisation to develop more effective strategies of finance management considering the business performance of the organisation. The study focuses on the application of accounting techniques for developing and analysing different components of the annual reports of two public limited companies like Eccles Plc and Choco Plc. </w:t>
      </w:r>
    </w:p>
    <w:p w14:paraId="29C524AC" w14:textId="77777777" w:rsidR="00536E72" w:rsidRPr="007C26E6" w:rsidRDefault="00635F57" w:rsidP="007A59C6">
      <w:pPr>
        <w:pStyle w:val="Heading1"/>
        <w:rPr>
          <w:lang w:val="en-GB"/>
        </w:rPr>
      </w:pPr>
      <w:bookmarkStart w:id="1" w:name="_Toc55489973"/>
      <w:r w:rsidRPr="007C26E6">
        <w:rPr>
          <w:lang w:val="en-GB"/>
        </w:rPr>
        <w:t>Question 1</w:t>
      </w:r>
      <w:bookmarkEnd w:id="1"/>
    </w:p>
    <w:p w14:paraId="0B1C9216" w14:textId="77777777" w:rsidR="00536E72" w:rsidRPr="007C26E6" w:rsidRDefault="00635F57" w:rsidP="007A59C6">
      <w:pPr>
        <w:pStyle w:val="Heading2"/>
        <w:rPr>
          <w:lang w:val="en-GB"/>
        </w:rPr>
      </w:pPr>
      <w:bookmarkStart w:id="2" w:name="_Toc55489974"/>
      <w:r w:rsidRPr="007C26E6">
        <w:rPr>
          <w:lang w:val="en-GB"/>
        </w:rPr>
        <w:t>a) Preparation of an income statement and a statement of financial position for Eccles Plc</w:t>
      </w:r>
      <w:bookmarkEnd w:id="2"/>
    </w:p>
    <w:p w14:paraId="621D00ED"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Income statement is one of the three important financial statements that are found in the annual report of a company. An income statement is also called the profit and loss statement of an organisation (Karavias </w:t>
      </w:r>
      <w:r w:rsidRPr="007C26E6">
        <w:rPr>
          <w:rFonts w:ascii="Times New Roman" w:eastAsia="Times New Roman" w:hAnsi="Times New Roman" w:cs="Times New Roman"/>
          <w:i/>
          <w:sz w:val="24"/>
          <w:szCs w:val="24"/>
          <w:lang w:val="en-GB"/>
        </w:rPr>
        <w:t>et al.</w:t>
      </w:r>
      <w:r w:rsidRPr="007C26E6">
        <w:rPr>
          <w:rFonts w:ascii="Times New Roman" w:eastAsia="Times New Roman" w:hAnsi="Times New Roman" w:cs="Times New Roman"/>
          <w:sz w:val="24"/>
          <w:szCs w:val="24"/>
          <w:lang w:val="en-GB"/>
        </w:rPr>
        <w:t xml:space="preserve"> 2020, p. 1). On the other hand, a statement of financial position is called a balance sheet and the main components of a balance sheet are assets, liabilities, equity and other things. Both the income statement and balance sheet needs to be reviewed in order to analyse the business performance and financial position of a company (Nichols</w:t>
      </w:r>
      <w:r w:rsidRPr="007C26E6">
        <w:rPr>
          <w:rFonts w:ascii="Times New Roman" w:eastAsia="Times New Roman" w:hAnsi="Times New Roman" w:cs="Times New Roman"/>
          <w:i/>
          <w:sz w:val="24"/>
          <w:szCs w:val="24"/>
          <w:lang w:val="en-GB"/>
        </w:rPr>
        <w:t xml:space="preserve"> et al</w:t>
      </w:r>
      <w:r w:rsidRPr="007C26E6">
        <w:rPr>
          <w:rFonts w:ascii="Times New Roman" w:eastAsia="Times New Roman" w:hAnsi="Times New Roman" w:cs="Times New Roman"/>
          <w:sz w:val="24"/>
          <w:szCs w:val="24"/>
          <w:lang w:val="en-GB"/>
        </w:rPr>
        <w:t>. 20177, p. 1378). Income statement helps analysing the performance of an organisation during a certain period of time while the statement of financial position or balance sheet also helps anticipating the future of the company based on its available assets, liabilities debt, equity and other aspects. In this section, an income statement of Eccles Plc based on some provided accounting data.</w:t>
      </w:r>
    </w:p>
    <w:p w14:paraId="0DB96103"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The cost of sales of the company is £578650 and the amount of debtors is £</w:t>
      </w:r>
      <w:r w:rsidR="009A55AD">
        <w:rPr>
          <w:rFonts w:ascii="Times New Roman" w:eastAsia="Times New Roman" w:hAnsi="Times New Roman" w:cs="Times New Roman"/>
          <w:sz w:val="24"/>
          <w:szCs w:val="24"/>
          <w:lang w:val="en-GB"/>
        </w:rPr>
        <w:t>636515</w:t>
      </w:r>
      <w:r w:rsidRPr="007C26E6">
        <w:rPr>
          <w:rFonts w:ascii="Times New Roman" w:eastAsia="Times New Roman" w:hAnsi="Times New Roman" w:cs="Times New Roman"/>
          <w:sz w:val="24"/>
          <w:szCs w:val="24"/>
          <w:lang w:val="en-GB"/>
        </w:rPr>
        <w:t xml:space="preserve">. The total amount of trade creditors is £171355. The submitted tax amount for the current year is £68000. Salespeople have owed a commission of £3000 in </w:t>
      </w:r>
      <w:r w:rsidR="009A55AD" w:rsidRPr="007C26E6">
        <w:rPr>
          <w:rFonts w:ascii="Times New Roman" w:eastAsia="Times New Roman" w:hAnsi="Times New Roman" w:cs="Times New Roman"/>
          <w:sz w:val="24"/>
          <w:szCs w:val="24"/>
          <w:lang w:val="en-GB"/>
        </w:rPr>
        <w:t>December</w:t>
      </w:r>
      <w:r w:rsidRPr="007C26E6">
        <w:rPr>
          <w:rFonts w:ascii="Times New Roman" w:eastAsia="Times New Roman" w:hAnsi="Times New Roman" w:cs="Times New Roman"/>
          <w:sz w:val="24"/>
          <w:szCs w:val="24"/>
          <w:lang w:val="en-GB"/>
        </w:rPr>
        <w:t xml:space="preserve"> of 2019. The value of goods is £980. Based on the above information the income statement for the year </w:t>
      </w:r>
      <w:r w:rsidR="009A55AD" w:rsidRPr="007C26E6">
        <w:rPr>
          <w:rFonts w:ascii="Times New Roman" w:eastAsia="Times New Roman" w:hAnsi="Times New Roman" w:cs="Times New Roman"/>
          <w:sz w:val="24"/>
          <w:szCs w:val="24"/>
          <w:lang w:val="en-GB"/>
        </w:rPr>
        <w:t>December</w:t>
      </w:r>
      <w:r w:rsidRPr="007C26E6">
        <w:rPr>
          <w:rFonts w:ascii="Times New Roman" w:eastAsia="Times New Roman" w:hAnsi="Times New Roman" w:cs="Times New Roman"/>
          <w:sz w:val="24"/>
          <w:szCs w:val="24"/>
          <w:lang w:val="en-GB"/>
        </w:rPr>
        <w:t xml:space="preserve"> 2019 has been developed here and the preference shares have been included in the equity. </w:t>
      </w:r>
    </w:p>
    <w:p w14:paraId="1BCB6C8F" w14:textId="77777777" w:rsidR="00536E72" w:rsidRPr="007C26E6" w:rsidRDefault="00536E72">
      <w:pPr>
        <w:pStyle w:val="Normal1"/>
        <w:spacing w:line="360" w:lineRule="auto"/>
        <w:jc w:val="both"/>
        <w:rPr>
          <w:rFonts w:ascii="Times New Roman" w:eastAsia="Times New Roman" w:hAnsi="Times New Roman" w:cs="Times New Roman"/>
          <w:sz w:val="24"/>
          <w:szCs w:val="24"/>
          <w:lang w:val="en-GB"/>
        </w:rPr>
      </w:pPr>
    </w:p>
    <w:tbl>
      <w:tblPr>
        <w:tblStyle w:val="TableGrid"/>
        <w:tblW w:w="0" w:type="auto"/>
        <w:jc w:val="center"/>
        <w:tblLook w:val="04A0" w:firstRow="1" w:lastRow="0" w:firstColumn="1" w:lastColumn="0" w:noHBand="0" w:noVBand="1"/>
      </w:tblPr>
      <w:tblGrid>
        <w:gridCol w:w="3760"/>
        <w:gridCol w:w="1760"/>
        <w:gridCol w:w="2820"/>
      </w:tblGrid>
      <w:tr w:rsidR="00424F51" w:rsidRPr="00424F51" w14:paraId="1474E35C" w14:textId="77777777" w:rsidTr="00B519A7">
        <w:trPr>
          <w:trHeight w:val="300"/>
          <w:jc w:val="center"/>
        </w:trPr>
        <w:tc>
          <w:tcPr>
            <w:tcW w:w="3760" w:type="dxa"/>
            <w:noWrap/>
            <w:hideMark/>
          </w:tcPr>
          <w:p w14:paraId="661073D4"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bookmarkStart w:id="3" w:name="_GoBack"/>
            <w:r w:rsidRPr="00424F51">
              <w:rPr>
                <w:rFonts w:ascii="Times New Roman" w:eastAsia="Times New Roman" w:hAnsi="Times New Roman" w:cs="Times New Roman"/>
                <w:b/>
                <w:bCs/>
                <w:sz w:val="24"/>
                <w:szCs w:val="24"/>
              </w:rPr>
              <w:t>Income statement of Eccles plc</w:t>
            </w:r>
          </w:p>
        </w:tc>
        <w:tc>
          <w:tcPr>
            <w:tcW w:w="1760" w:type="dxa"/>
            <w:noWrap/>
            <w:hideMark/>
          </w:tcPr>
          <w:p w14:paraId="2038699A"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Year 2018</w:t>
            </w:r>
          </w:p>
        </w:tc>
        <w:tc>
          <w:tcPr>
            <w:tcW w:w="2820" w:type="dxa"/>
            <w:noWrap/>
            <w:hideMark/>
          </w:tcPr>
          <w:p w14:paraId="2F380DC4"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Year 2019 </w:t>
            </w:r>
          </w:p>
        </w:tc>
      </w:tr>
      <w:tr w:rsidR="00424F51" w:rsidRPr="00424F51" w14:paraId="1CEB725C" w14:textId="77777777" w:rsidTr="00B519A7">
        <w:trPr>
          <w:trHeight w:val="300"/>
          <w:jc w:val="center"/>
        </w:trPr>
        <w:tc>
          <w:tcPr>
            <w:tcW w:w="3760" w:type="dxa"/>
            <w:noWrap/>
            <w:hideMark/>
          </w:tcPr>
          <w:p w14:paraId="6342FB04"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Particulars </w:t>
            </w:r>
          </w:p>
        </w:tc>
        <w:tc>
          <w:tcPr>
            <w:tcW w:w="1760" w:type="dxa"/>
            <w:noWrap/>
            <w:hideMark/>
          </w:tcPr>
          <w:p w14:paraId="1BA4A3F1"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Amount (£)</w:t>
            </w:r>
          </w:p>
        </w:tc>
        <w:tc>
          <w:tcPr>
            <w:tcW w:w="2820" w:type="dxa"/>
            <w:noWrap/>
            <w:hideMark/>
          </w:tcPr>
          <w:p w14:paraId="16322613"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Amount (£)</w:t>
            </w:r>
          </w:p>
        </w:tc>
      </w:tr>
      <w:tr w:rsidR="00424F51" w:rsidRPr="00424F51" w14:paraId="4B8354F8" w14:textId="77777777" w:rsidTr="00B519A7">
        <w:trPr>
          <w:trHeight w:val="300"/>
          <w:jc w:val="center"/>
        </w:trPr>
        <w:tc>
          <w:tcPr>
            <w:tcW w:w="3760" w:type="dxa"/>
            <w:noWrap/>
            <w:hideMark/>
          </w:tcPr>
          <w:p w14:paraId="0F8EE387"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Sales </w:t>
            </w:r>
          </w:p>
        </w:tc>
        <w:tc>
          <w:tcPr>
            <w:tcW w:w="1760" w:type="dxa"/>
            <w:noWrap/>
            <w:hideMark/>
          </w:tcPr>
          <w:p w14:paraId="77BB7D0B"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826,650</w:t>
            </w:r>
          </w:p>
        </w:tc>
        <w:tc>
          <w:tcPr>
            <w:tcW w:w="2820" w:type="dxa"/>
            <w:noWrap/>
            <w:hideMark/>
          </w:tcPr>
          <w:p w14:paraId="6EB90861"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909315</w:t>
            </w:r>
          </w:p>
        </w:tc>
      </w:tr>
      <w:tr w:rsidR="00424F51" w:rsidRPr="00424F51" w14:paraId="547502EF" w14:textId="77777777" w:rsidTr="00B519A7">
        <w:trPr>
          <w:trHeight w:val="300"/>
          <w:jc w:val="center"/>
        </w:trPr>
        <w:tc>
          <w:tcPr>
            <w:tcW w:w="3760" w:type="dxa"/>
            <w:noWrap/>
            <w:hideMark/>
          </w:tcPr>
          <w:p w14:paraId="085F7EF2"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Retained profit </w:t>
            </w:r>
          </w:p>
        </w:tc>
        <w:tc>
          <w:tcPr>
            <w:tcW w:w="1760" w:type="dxa"/>
            <w:noWrap/>
            <w:hideMark/>
          </w:tcPr>
          <w:p w14:paraId="5295BD04"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132,000</w:t>
            </w:r>
          </w:p>
        </w:tc>
        <w:tc>
          <w:tcPr>
            <w:tcW w:w="2820" w:type="dxa"/>
            <w:noWrap/>
            <w:hideMark/>
          </w:tcPr>
          <w:p w14:paraId="558117A5"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145200</w:t>
            </w:r>
          </w:p>
        </w:tc>
      </w:tr>
      <w:tr w:rsidR="00424F51" w:rsidRPr="00424F51" w14:paraId="13E0063E" w14:textId="77777777" w:rsidTr="00B519A7">
        <w:trPr>
          <w:trHeight w:val="300"/>
          <w:jc w:val="center"/>
        </w:trPr>
        <w:tc>
          <w:tcPr>
            <w:tcW w:w="3760" w:type="dxa"/>
            <w:noWrap/>
            <w:hideMark/>
          </w:tcPr>
          <w:p w14:paraId="27FE7D8B"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lastRenderedPageBreak/>
              <w:t xml:space="preserve">Total net revenue </w:t>
            </w:r>
          </w:p>
        </w:tc>
        <w:tc>
          <w:tcPr>
            <w:tcW w:w="1760" w:type="dxa"/>
            <w:noWrap/>
            <w:hideMark/>
          </w:tcPr>
          <w:p w14:paraId="6922F47E"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958,650</w:t>
            </w:r>
          </w:p>
        </w:tc>
        <w:tc>
          <w:tcPr>
            <w:tcW w:w="2820" w:type="dxa"/>
            <w:noWrap/>
            <w:hideMark/>
          </w:tcPr>
          <w:p w14:paraId="7D0A6C0C"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764115</w:t>
            </w:r>
          </w:p>
        </w:tc>
      </w:tr>
      <w:tr w:rsidR="00424F51" w:rsidRPr="00424F51" w14:paraId="0A3327D3" w14:textId="77777777" w:rsidTr="00B519A7">
        <w:trPr>
          <w:trHeight w:val="300"/>
          <w:jc w:val="center"/>
        </w:trPr>
        <w:tc>
          <w:tcPr>
            <w:tcW w:w="3760" w:type="dxa"/>
            <w:noWrap/>
            <w:hideMark/>
          </w:tcPr>
          <w:p w14:paraId="145C31FF"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Cost of sales </w:t>
            </w:r>
          </w:p>
        </w:tc>
        <w:tc>
          <w:tcPr>
            <w:tcW w:w="1760" w:type="dxa"/>
            <w:noWrap/>
            <w:hideMark/>
          </w:tcPr>
          <w:p w14:paraId="2FF6C354"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578,650</w:t>
            </w:r>
          </w:p>
        </w:tc>
        <w:tc>
          <w:tcPr>
            <w:tcW w:w="2820" w:type="dxa"/>
            <w:noWrap/>
            <w:hideMark/>
          </w:tcPr>
          <w:p w14:paraId="28B03021"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636515</w:t>
            </w:r>
          </w:p>
        </w:tc>
      </w:tr>
      <w:tr w:rsidR="00424F51" w:rsidRPr="00424F51" w14:paraId="6BF9D354" w14:textId="77777777" w:rsidTr="00B519A7">
        <w:trPr>
          <w:trHeight w:val="300"/>
          <w:jc w:val="center"/>
        </w:trPr>
        <w:tc>
          <w:tcPr>
            <w:tcW w:w="3760" w:type="dxa"/>
            <w:noWrap/>
            <w:hideMark/>
          </w:tcPr>
          <w:p w14:paraId="678B8837"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Gross profit </w:t>
            </w:r>
          </w:p>
        </w:tc>
        <w:tc>
          <w:tcPr>
            <w:tcW w:w="1760" w:type="dxa"/>
            <w:noWrap/>
            <w:hideMark/>
          </w:tcPr>
          <w:p w14:paraId="6EF59984"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380,000</w:t>
            </w:r>
          </w:p>
        </w:tc>
        <w:tc>
          <w:tcPr>
            <w:tcW w:w="2820" w:type="dxa"/>
            <w:noWrap/>
            <w:hideMark/>
          </w:tcPr>
          <w:p w14:paraId="5F0F609A"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127600</w:t>
            </w:r>
          </w:p>
        </w:tc>
      </w:tr>
      <w:tr w:rsidR="00424F51" w:rsidRPr="00424F51" w14:paraId="292F701A" w14:textId="77777777" w:rsidTr="00B519A7">
        <w:trPr>
          <w:trHeight w:val="300"/>
          <w:jc w:val="center"/>
        </w:trPr>
        <w:tc>
          <w:tcPr>
            <w:tcW w:w="3760" w:type="dxa"/>
            <w:noWrap/>
            <w:hideMark/>
          </w:tcPr>
          <w:p w14:paraId="6A2D201E"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Expenses </w:t>
            </w:r>
          </w:p>
        </w:tc>
        <w:tc>
          <w:tcPr>
            <w:tcW w:w="1760" w:type="dxa"/>
            <w:noWrap/>
            <w:hideMark/>
          </w:tcPr>
          <w:p w14:paraId="60362099"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w:t>
            </w:r>
          </w:p>
        </w:tc>
        <w:tc>
          <w:tcPr>
            <w:tcW w:w="2820" w:type="dxa"/>
            <w:noWrap/>
            <w:hideMark/>
          </w:tcPr>
          <w:p w14:paraId="178D7789"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w:t>
            </w:r>
          </w:p>
        </w:tc>
      </w:tr>
      <w:tr w:rsidR="00424F51" w:rsidRPr="00424F51" w14:paraId="088234E1" w14:textId="77777777" w:rsidTr="00B519A7">
        <w:trPr>
          <w:trHeight w:val="300"/>
          <w:jc w:val="center"/>
        </w:trPr>
        <w:tc>
          <w:tcPr>
            <w:tcW w:w="3760" w:type="dxa"/>
            <w:noWrap/>
            <w:hideMark/>
          </w:tcPr>
          <w:p w14:paraId="1BEC6B2A"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Administrative expenses</w:t>
            </w:r>
          </w:p>
        </w:tc>
        <w:tc>
          <w:tcPr>
            <w:tcW w:w="1760" w:type="dxa"/>
            <w:noWrap/>
            <w:hideMark/>
          </w:tcPr>
          <w:p w14:paraId="57D7FC4E"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30,000</w:t>
            </w:r>
          </w:p>
        </w:tc>
        <w:tc>
          <w:tcPr>
            <w:tcW w:w="2820" w:type="dxa"/>
            <w:noWrap/>
            <w:hideMark/>
          </w:tcPr>
          <w:p w14:paraId="13F71235"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33000</w:t>
            </w:r>
          </w:p>
        </w:tc>
      </w:tr>
      <w:tr w:rsidR="00424F51" w:rsidRPr="00424F51" w14:paraId="4FCEAEC6" w14:textId="77777777" w:rsidTr="00B519A7">
        <w:trPr>
          <w:trHeight w:val="300"/>
          <w:jc w:val="center"/>
        </w:trPr>
        <w:tc>
          <w:tcPr>
            <w:tcW w:w="3760" w:type="dxa"/>
            <w:noWrap/>
            <w:hideMark/>
          </w:tcPr>
          <w:p w14:paraId="06334301"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Selling costs </w:t>
            </w:r>
          </w:p>
        </w:tc>
        <w:tc>
          <w:tcPr>
            <w:tcW w:w="1760" w:type="dxa"/>
            <w:noWrap/>
            <w:hideMark/>
          </w:tcPr>
          <w:p w14:paraId="779E37BB"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396,480</w:t>
            </w:r>
          </w:p>
        </w:tc>
        <w:tc>
          <w:tcPr>
            <w:tcW w:w="2820" w:type="dxa"/>
            <w:noWrap/>
            <w:hideMark/>
          </w:tcPr>
          <w:p w14:paraId="0BCCEDE2"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436128</w:t>
            </w:r>
          </w:p>
        </w:tc>
      </w:tr>
      <w:tr w:rsidR="00424F51" w:rsidRPr="00424F51" w14:paraId="5E5E3A30" w14:textId="77777777" w:rsidTr="00B519A7">
        <w:trPr>
          <w:trHeight w:val="300"/>
          <w:jc w:val="center"/>
        </w:trPr>
        <w:tc>
          <w:tcPr>
            <w:tcW w:w="3760" w:type="dxa"/>
            <w:noWrap/>
            <w:hideMark/>
          </w:tcPr>
          <w:p w14:paraId="4713BA32"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Distribution costs</w:t>
            </w:r>
          </w:p>
        </w:tc>
        <w:tc>
          <w:tcPr>
            <w:tcW w:w="1760" w:type="dxa"/>
            <w:noWrap/>
            <w:hideMark/>
          </w:tcPr>
          <w:p w14:paraId="5ADAE8F4"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28,000</w:t>
            </w:r>
          </w:p>
        </w:tc>
        <w:tc>
          <w:tcPr>
            <w:tcW w:w="2820" w:type="dxa"/>
            <w:noWrap/>
            <w:hideMark/>
          </w:tcPr>
          <w:p w14:paraId="1B27BBD9"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30800</w:t>
            </w:r>
          </w:p>
        </w:tc>
      </w:tr>
      <w:tr w:rsidR="00424F51" w:rsidRPr="00424F51" w14:paraId="0CB7302F" w14:textId="77777777" w:rsidTr="00B519A7">
        <w:trPr>
          <w:trHeight w:val="300"/>
          <w:jc w:val="center"/>
        </w:trPr>
        <w:tc>
          <w:tcPr>
            <w:tcW w:w="3760" w:type="dxa"/>
            <w:noWrap/>
            <w:hideMark/>
          </w:tcPr>
          <w:p w14:paraId="5FEB32C8"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Total expense </w:t>
            </w:r>
          </w:p>
        </w:tc>
        <w:tc>
          <w:tcPr>
            <w:tcW w:w="1760" w:type="dxa"/>
            <w:noWrap/>
            <w:hideMark/>
          </w:tcPr>
          <w:p w14:paraId="5D07F959"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454,480</w:t>
            </w:r>
          </w:p>
        </w:tc>
        <w:tc>
          <w:tcPr>
            <w:tcW w:w="2820" w:type="dxa"/>
            <w:noWrap/>
            <w:hideMark/>
          </w:tcPr>
          <w:p w14:paraId="15F5AB3E"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499928</w:t>
            </w:r>
          </w:p>
        </w:tc>
      </w:tr>
      <w:tr w:rsidR="00424F51" w:rsidRPr="00424F51" w14:paraId="6F555A28" w14:textId="77777777" w:rsidTr="00B519A7">
        <w:trPr>
          <w:trHeight w:val="300"/>
          <w:jc w:val="center"/>
        </w:trPr>
        <w:tc>
          <w:tcPr>
            <w:tcW w:w="3760" w:type="dxa"/>
            <w:noWrap/>
            <w:hideMark/>
          </w:tcPr>
          <w:p w14:paraId="6AC03990"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Interest Expense </w:t>
            </w:r>
          </w:p>
        </w:tc>
        <w:tc>
          <w:tcPr>
            <w:tcW w:w="1760" w:type="dxa"/>
            <w:noWrap/>
            <w:hideMark/>
          </w:tcPr>
          <w:p w14:paraId="6B6D35E2"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2,000</w:t>
            </w:r>
          </w:p>
        </w:tc>
        <w:tc>
          <w:tcPr>
            <w:tcW w:w="2820" w:type="dxa"/>
            <w:noWrap/>
            <w:hideMark/>
          </w:tcPr>
          <w:p w14:paraId="57B90082"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2200</w:t>
            </w:r>
          </w:p>
        </w:tc>
      </w:tr>
      <w:tr w:rsidR="00424F51" w:rsidRPr="00424F51" w14:paraId="3C1EA173" w14:textId="77777777" w:rsidTr="00B519A7">
        <w:trPr>
          <w:trHeight w:val="300"/>
          <w:jc w:val="center"/>
        </w:trPr>
        <w:tc>
          <w:tcPr>
            <w:tcW w:w="3760" w:type="dxa"/>
            <w:noWrap/>
            <w:hideMark/>
          </w:tcPr>
          <w:p w14:paraId="3870B60E"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Profit before taxation </w:t>
            </w:r>
          </w:p>
        </w:tc>
        <w:tc>
          <w:tcPr>
            <w:tcW w:w="1760" w:type="dxa"/>
            <w:noWrap/>
            <w:hideMark/>
          </w:tcPr>
          <w:p w14:paraId="570504EF"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377,020</w:t>
            </w:r>
          </w:p>
        </w:tc>
        <w:tc>
          <w:tcPr>
            <w:tcW w:w="2820" w:type="dxa"/>
            <w:noWrap/>
            <w:hideMark/>
          </w:tcPr>
          <w:p w14:paraId="769B3A75"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497728</w:t>
            </w:r>
          </w:p>
        </w:tc>
      </w:tr>
      <w:tr w:rsidR="00424F51" w:rsidRPr="00424F51" w14:paraId="068776E2" w14:textId="77777777" w:rsidTr="00B519A7">
        <w:trPr>
          <w:trHeight w:val="300"/>
          <w:jc w:val="center"/>
        </w:trPr>
        <w:tc>
          <w:tcPr>
            <w:tcW w:w="3760" w:type="dxa"/>
            <w:noWrap/>
            <w:hideMark/>
          </w:tcPr>
          <w:p w14:paraId="7E2497DC"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 xml:space="preserve">Taxation </w:t>
            </w:r>
          </w:p>
        </w:tc>
        <w:tc>
          <w:tcPr>
            <w:tcW w:w="1760" w:type="dxa"/>
            <w:noWrap/>
            <w:hideMark/>
          </w:tcPr>
          <w:p w14:paraId="5CE2C004"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68,000</w:t>
            </w:r>
          </w:p>
        </w:tc>
        <w:tc>
          <w:tcPr>
            <w:tcW w:w="2820" w:type="dxa"/>
            <w:noWrap/>
            <w:hideMark/>
          </w:tcPr>
          <w:p w14:paraId="01ED4547" w14:textId="77777777" w:rsidR="00B519A7" w:rsidRPr="00424F51" w:rsidRDefault="00B519A7" w:rsidP="00B519A7">
            <w:pPr>
              <w:pStyle w:val="Normal1"/>
              <w:spacing w:line="360" w:lineRule="auto"/>
              <w:jc w:val="both"/>
              <w:rPr>
                <w:rFonts w:ascii="Times New Roman" w:eastAsia="Times New Roman" w:hAnsi="Times New Roman" w:cs="Times New Roman"/>
                <w:sz w:val="24"/>
                <w:szCs w:val="24"/>
              </w:rPr>
            </w:pPr>
            <w:r w:rsidRPr="00424F51">
              <w:rPr>
                <w:rFonts w:ascii="Times New Roman" w:eastAsia="Times New Roman" w:hAnsi="Times New Roman" w:cs="Times New Roman"/>
                <w:sz w:val="24"/>
                <w:szCs w:val="24"/>
              </w:rPr>
              <w:t>74800</w:t>
            </w:r>
          </w:p>
        </w:tc>
      </w:tr>
      <w:tr w:rsidR="00B519A7" w:rsidRPr="00424F51" w14:paraId="5020CA2A" w14:textId="77777777" w:rsidTr="00B519A7">
        <w:trPr>
          <w:trHeight w:val="300"/>
          <w:jc w:val="center"/>
        </w:trPr>
        <w:tc>
          <w:tcPr>
            <w:tcW w:w="3760" w:type="dxa"/>
            <w:noWrap/>
            <w:hideMark/>
          </w:tcPr>
          <w:p w14:paraId="15E87786"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 xml:space="preserve">Net profit </w:t>
            </w:r>
          </w:p>
        </w:tc>
        <w:tc>
          <w:tcPr>
            <w:tcW w:w="1760" w:type="dxa"/>
            <w:noWrap/>
            <w:hideMark/>
          </w:tcPr>
          <w:p w14:paraId="123E1BBA"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309,020</w:t>
            </w:r>
          </w:p>
        </w:tc>
        <w:tc>
          <w:tcPr>
            <w:tcW w:w="2820" w:type="dxa"/>
            <w:noWrap/>
            <w:hideMark/>
          </w:tcPr>
          <w:p w14:paraId="73BA60CF" w14:textId="77777777" w:rsidR="00B519A7" w:rsidRPr="00424F51" w:rsidRDefault="00B519A7" w:rsidP="00B519A7">
            <w:pPr>
              <w:pStyle w:val="Normal1"/>
              <w:spacing w:line="360" w:lineRule="auto"/>
              <w:jc w:val="both"/>
              <w:rPr>
                <w:rFonts w:ascii="Times New Roman" w:eastAsia="Times New Roman" w:hAnsi="Times New Roman" w:cs="Times New Roman"/>
                <w:b/>
                <w:bCs/>
                <w:sz w:val="24"/>
                <w:szCs w:val="24"/>
              </w:rPr>
            </w:pPr>
            <w:r w:rsidRPr="00424F51">
              <w:rPr>
                <w:rFonts w:ascii="Times New Roman" w:eastAsia="Times New Roman" w:hAnsi="Times New Roman" w:cs="Times New Roman"/>
                <w:b/>
                <w:bCs/>
                <w:sz w:val="24"/>
                <w:szCs w:val="24"/>
              </w:rPr>
              <w:t>422928</w:t>
            </w:r>
          </w:p>
        </w:tc>
      </w:tr>
    </w:tbl>
    <w:p w14:paraId="14F89124" w14:textId="77777777" w:rsidR="00536E72" w:rsidRPr="00424F51" w:rsidRDefault="00536E72">
      <w:pPr>
        <w:pStyle w:val="Normal1"/>
        <w:spacing w:line="360" w:lineRule="auto"/>
        <w:jc w:val="both"/>
        <w:rPr>
          <w:rFonts w:ascii="Times New Roman" w:eastAsia="Times New Roman" w:hAnsi="Times New Roman" w:cs="Times New Roman"/>
          <w:sz w:val="24"/>
          <w:szCs w:val="24"/>
          <w:lang w:val="en-GB"/>
        </w:rPr>
      </w:pPr>
    </w:p>
    <w:bookmarkEnd w:id="3"/>
    <w:p w14:paraId="1EE4CA6D" w14:textId="77777777" w:rsidR="00536E72" w:rsidRPr="007C26E6" w:rsidRDefault="00635F57">
      <w:pPr>
        <w:pStyle w:val="Normal1"/>
        <w:spacing w:line="360" w:lineRule="auto"/>
        <w:jc w:val="center"/>
        <w:rPr>
          <w:rFonts w:ascii="Times New Roman" w:eastAsia="Times New Roman" w:hAnsi="Times New Roman" w:cs="Times New Roman"/>
          <w:b/>
          <w:sz w:val="24"/>
          <w:szCs w:val="24"/>
          <w:lang w:val="en-GB"/>
        </w:rPr>
      </w:pPr>
      <w:r w:rsidRPr="007C26E6">
        <w:rPr>
          <w:rFonts w:ascii="Times New Roman" w:eastAsia="Times New Roman" w:hAnsi="Times New Roman" w:cs="Times New Roman"/>
          <w:b/>
          <w:sz w:val="24"/>
          <w:szCs w:val="24"/>
          <w:lang w:val="en-GB"/>
        </w:rPr>
        <w:t>Table 1: Income statement</w:t>
      </w:r>
    </w:p>
    <w:p w14:paraId="4A3681DA" w14:textId="77777777" w:rsidR="00536E72" w:rsidRPr="007C26E6" w:rsidRDefault="00635F57">
      <w:pPr>
        <w:pStyle w:val="Normal1"/>
        <w:spacing w:line="360" w:lineRule="auto"/>
        <w:jc w:val="center"/>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(Source: created by self)</w:t>
      </w:r>
    </w:p>
    <w:p w14:paraId="28206243" w14:textId="77777777" w:rsidR="00332CC4" w:rsidRPr="00E612D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The above table is the income statement of Eccles Plc. The main components of the income statement are revenue, gross profit or loss, operating profit, profit before tax, profit after tax and earnings per share (Okeke and Nwankpa, 2017, p. 281). </w:t>
      </w:r>
      <w:r w:rsidR="00332CC4" w:rsidRPr="00E612D6">
        <w:rPr>
          <w:rFonts w:ascii="Times New Roman" w:eastAsia="Times New Roman" w:hAnsi="Times New Roman" w:cs="Times New Roman"/>
          <w:sz w:val="24"/>
          <w:szCs w:val="24"/>
          <w:lang w:val="en-GB"/>
        </w:rPr>
        <w:t xml:space="preserve">At a given point in time, a company's financial status statement reflects the </w:t>
      </w:r>
      <w:r w:rsidR="007603C6" w:rsidRPr="00E612D6">
        <w:rPr>
          <w:rFonts w:ascii="Times New Roman" w:eastAsia="Times New Roman" w:hAnsi="Times New Roman" w:cs="Times New Roman"/>
          <w:sz w:val="24"/>
          <w:szCs w:val="24"/>
          <w:lang w:val="en-GB"/>
        </w:rPr>
        <w:t>company’s</w:t>
      </w:r>
      <w:r w:rsidR="00332CC4" w:rsidRPr="00E612D6">
        <w:rPr>
          <w:rFonts w:ascii="Times New Roman" w:eastAsia="Times New Roman" w:hAnsi="Times New Roman" w:cs="Times New Roman"/>
          <w:sz w:val="24"/>
          <w:szCs w:val="24"/>
          <w:lang w:val="en-GB"/>
        </w:rPr>
        <w:t xml:space="preserve"> equity, liabilities, and assets. Assets can reflect anything owned by the organisation, such as land, facilities, cash, inventories, and plants, in an accounting context. It is referred to as simply the balances left on the ledger after the company's income statement is prepared. In a company's financial statement, it is appropriate to balance or aggregate.</w:t>
      </w:r>
    </w:p>
    <w:p w14:paraId="7D66648D" w14:textId="77777777" w:rsidR="009A55AD" w:rsidRPr="00E612D6" w:rsidRDefault="00980224">
      <w:pPr>
        <w:pStyle w:val="Normal1"/>
        <w:spacing w:line="360" w:lineRule="auto"/>
        <w:jc w:val="both"/>
        <w:rPr>
          <w:rFonts w:ascii="Times New Roman" w:eastAsia="Times New Roman" w:hAnsi="Times New Roman" w:cs="Times New Roman"/>
          <w:sz w:val="24"/>
          <w:szCs w:val="24"/>
          <w:lang w:val="en-GB"/>
        </w:rPr>
      </w:pPr>
      <w:r w:rsidRPr="00E612D6">
        <w:rPr>
          <w:rFonts w:ascii="Times New Roman" w:eastAsia="Times New Roman" w:hAnsi="Times New Roman" w:cs="Times New Roman"/>
          <w:sz w:val="24"/>
          <w:szCs w:val="24"/>
          <w:lang w:val="en-GB"/>
        </w:rPr>
        <w:t xml:space="preserve">With the knowledge and appreciation of the shareholder equity of the company, the financial status of the company can be evaluated. In liquidation cases, equity investors in the process of collecting some payments are usually in line with the debt holders. The key factors that assist in the estimation of the organisation's financial condition are the company's share capital, retained profits, net income gained by the organisation in the measurement of the shareholder's equity </w:t>
      </w:r>
      <w:r w:rsidR="00635F57" w:rsidRPr="00E612D6">
        <w:rPr>
          <w:rFonts w:ascii="Times New Roman" w:eastAsia="Times New Roman" w:hAnsi="Times New Roman" w:cs="Times New Roman"/>
          <w:sz w:val="24"/>
          <w:szCs w:val="24"/>
          <w:lang w:val="en-GB"/>
        </w:rPr>
        <w:t>(Monte‐Mor</w:t>
      </w:r>
      <w:r w:rsidR="00635F57" w:rsidRPr="00E612D6">
        <w:rPr>
          <w:rFonts w:ascii="Times New Roman" w:eastAsia="Times New Roman" w:hAnsi="Times New Roman" w:cs="Times New Roman"/>
          <w:i/>
          <w:sz w:val="24"/>
          <w:szCs w:val="24"/>
          <w:lang w:val="en-GB"/>
        </w:rPr>
        <w:t xml:space="preserve"> et al.</w:t>
      </w:r>
      <w:r w:rsidR="00635F57" w:rsidRPr="00E612D6">
        <w:rPr>
          <w:rFonts w:ascii="Times New Roman" w:eastAsia="Times New Roman" w:hAnsi="Times New Roman" w:cs="Times New Roman"/>
          <w:sz w:val="24"/>
          <w:szCs w:val="24"/>
          <w:lang w:val="en-GB"/>
        </w:rPr>
        <w:t xml:space="preserve"> 2018, p. 175). </w:t>
      </w:r>
      <w:r w:rsidR="006B7C8B" w:rsidRPr="00E612D6">
        <w:rPr>
          <w:rFonts w:ascii="Times New Roman" w:eastAsia="Times New Roman" w:hAnsi="Times New Roman" w:cs="Times New Roman"/>
          <w:sz w:val="24"/>
          <w:szCs w:val="24"/>
          <w:lang w:val="en-GB"/>
        </w:rPr>
        <w:t>Therefore, the gross derived shareholder equity is 742000. Since shareholder equity is optimistic, it can be argued that the corporation has surplus assets that outweigh the organisation's liabilities and, thus, in the future years of the organisation, there</w:t>
      </w:r>
      <w:r w:rsidR="006B7C8B" w:rsidRPr="006B7C8B">
        <w:rPr>
          <w:rFonts w:ascii="Times New Roman" w:eastAsia="Times New Roman" w:hAnsi="Times New Roman" w:cs="Times New Roman"/>
          <w:color w:val="FF0000"/>
          <w:sz w:val="24"/>
          <w:szCs w:val="24"/>
          <w:lang w:val="en-GB"/>
        </w:rPr>
        <w:t xml:space="preserve"> </w:t>
      </w:r>
      <w:r w:rsidR="006B7C8B" w:rsidRPr="00E612D6">
        <w:rPr>
          <w:rFonts w:ascii="Times New Roman" w:eastAsia="Times New Roman" w:hAnsi="Times New Roman" w:cs="Times New Roman"/>
          <w:sz w:val="24"/>
          <w:szCs w:val="24"/>
          <w:lang w:val="en-GB"/>
        </w:rPr>
        <w:lastRenderedPageBreak/>
        <w:t>are opportunities to earn investor interest.</w:t>
      </w:r>
      <w:r w:rsidR="006B7C8B" w:rsidRPr="00E612D6">
        <w:t xml:space="preserve"> </w:t>
      </w:r>
      <w:r w:rsidR="006B7C8B" w:rsidRPr="00E612D6">
        <w:rPr>
          <w:rFonts w:ascii="Times New Roman" w:eastAsia="Times New Roman" w:hAnsi="Times New Roman" w:cs="Times New Roman"/>
          <w:sz w:val="24"/>
          <w:szCs w:val="24"/>
          <w:lang w:val="en-GB"/>
        </w:rPr>
        <w:t xml:space="preserve">A financial status statement can be considered an essential instrument for the decision-making purposes of investors in a company. The total assets in the organisation are 1,146,355 in the financial statement review and assessment of Eccles plc, while the total current and non-current liabilities in the organisation are 271,355. By subtracting retained earnings from share capital, overall shareholder capital has been estimated. </w:t>
      </w:r>
    </w:p>
    <w:tbl>
      <w:tblPr>
        <w:tblStyle w:val="TableGrid"/>
        <w:tblW w:w="0" w:type="auto"/>
        <w:jc w:val="center"/>
        <w:tblLook w:val="04A0" w:firstRow="1" w:lastRow="0" w:firstColumn="1" w:lastColumn="0" w:noHBand="0" w:noVBand="1"/>
      </w:tblPr>
      <w:tblGrid>
        <w:gridCol w:w="5380"/>
        <w:gridCol w:w="1840"/>
      </w:tblGrid>
      <w:tr w:rsidR="00E612D6" w:rsidRPr="00E612D6" w14:paraId="1BB87D28" w14:textId="77777777" w:rsidTr="00B519A7">
        <w:trPr>
          <w:trHeight w:val="300"/>
          <w:jc w:val="center"/>
        </w:trPr>
        <w:tc>
          <w:tcPr>
            <w:tcW w:w="5380" w:type="dxa"/>
            <w:noWrap/>
            <w:hideMark/>
          </w:tcPr>
          <w:p w14:paraId="5C2C689C"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Eccles plc Financial position as per 31st December 2018</w:t>
            </w:r>
          </w:p>
        </w:tc>
        <w:tc>
          <w:tcPr>
            <w:tcW w:w="1840" w:type="dxa"/>
            <w:noWrap/>
            <w:hideMark/>
          </w:tcPr>
          <w:p w14:paraId="2EB61E63"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Amount (£)</w:t>
            </w:r>
          </w:p>
        </w:tc>
      </w:tr>
      <w:tr w:rsidR="00E612D6" w:rsidRPr="00E612D6" w14:paraId="798805E9" w14:textId="77777777" w:rsidTr="00B519A7">
        <w:trPr>
          <w:trHeight w:val="300"/>
          <w:jc w:val="center"/>
        </w:trPr>
        <w:tc>
          <w:tcPr>
            <w:tcW w:w="5380" w:type="dxa"/>
            <w:noWrap/>
            <w:hideMark/>
          </w:tcPr>
          <w:p w14:paraId="0FA61C0F"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Assets </w:t>
            </w:r>
          </w:p>
        </w:tc>
        <w:tc>
          <w:tcPr>
            <w:tcW w:w="1840" w:type="dxa"/>
            <w:noWrap/>
            <w:hideMark/>
          </w:tcPr>
          <w:p w14:paraId="728F2B96"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w:t>
            </w:r>
          </w:p>
        </w:tc>
      </w:tr>
      <w:tr w:rsidR="00E612D6" w:rsidRPr="00E612D6" w14:paraId="17356063" w14:textId="77777777" w:rsidTr="00B519A7">
        <w:trPr>
          <w:trHeight w:val="300"/>
          <w:jc w:val="center"/>
        </w:trPr>
        <w:tc>
          <w:tcPr>
            <w:tcW w:w="5380" w:type="dxa"/>
            <w:noWrap/>
            <w:hideMark/>
          </w:tcPr>
          <w:p w14:paraId="7257B58D"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Non-current(fixed) assets </w:t>
            </w:r>
          </w:p>
        </w:tc>
        <w:tc>
          <w:tcPr>
            <w:tcW w:w="1840" w:type="dxa"/>
            <w:noWrap/>
            <w:hideMark/>
          </w:tcPr>
          <w:p w14:paraId="29DCD072"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35656C68" w14:textId="77777777" w:rsidTr="00B519A7">
        <w:trPr>
          <w:trHeight w:val="300"/>
          <w:jc w:val="center"/>
        </w:trPr>
        <w:tc>
          <w:tcPr>
            <w:tcW w:w="5380" w:type="dxa"/>
            <w:noWrap/>
            <w:hideMark/>
          </w:tcPr>
          <w:p w14:paraId="75BF6790"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Plants and Equipments </w:t>
            </w:r>
          </w:p>
        </w:tc>
        <w:tc>
          <w:tcPr>
            <w:tcW w:w="1840" w:type="dxa"/>
            <w:noWrap/>
            <w:hideMark/>
          </w:tcPr>
          <w:p w14:paraId="4AF508F5"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632,730</w:t>
            </w:r>
          </w:p>
        </w:tc>
      </w:tr>
      <w:tr w:rsidR="00E612D6" w:rsidRPr="00E612D6" w14:paraId="3E1D5629" w14:textId="77777777" w:rsidTr="00B519A7">
        <w:trPr>
          <w:trHeight w:val="300"/>
          <w:jc w:val="center"/>
        </w:trPr>
        <w:tc>
          <w:tcPr>
            <w:tcW w:w="5380" w:type="dxa"/>
            <w:noWrap/>
            <w:hideMark/>
          </w:tcPr>
          <w:p w14:paraId="0EFC9D9D"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Current assests </w:t>
            </w:r>
          </w:p>
        </w:tc>
        <w:tc>
          <w:tcPr>
            <w:tcW w:w="1840" w:type="dxa"/>
            <w:noWrap/>
            <w:hideMark/>
          </w:tcPr>
          <w:p w14:paraId="0C373C9F"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6DAEBBB2" w14:textId="77777777" w:rsidTr="00B519A7">
        <w:trPr>
          <w:trHeight w:val="300"/>
          <w:jc w:val="center"/>
        </w:trPr>
        <w:tc>
          <w:tcPr>
            <w:tcW w:w="5380" w:type="dxa"/>
            <w:noWrap/>
            <w:hideMark/>
          </w:tcPr>
          <w:p w14:paraId="067F37CB"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Stocks </w:t>
            </w:r>
          </w:p>
        </w:tc>
        <w:tc>
          <w:tcPr>
            <w:tcW w:w="1840" w:type="dxa"/>
            <w:noWrap/>
            <w:hideMark/>
          </w:tcPr>
          <w:p w14:paraId="598C1281"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330600</w:t>
            </w:r>
          </w:p>
        </w:tc>
      </w:tr>
      <w:tr w:rsidR="00E612D6" w:rsidRPr="00E612D6" w14:paraId="2B31BEF8" w14:textId="77777777" w:rsidTr="00B519A7">
        <w:trPr>
          <w:trHeight w:val="300"/>
          <w:jc w:val="center"/>
        </w:trPr>
        <w:tc>
          <w:tcPr>
            <w:tcW w:w="5380" w:type="dxa"/>
            <w:noWrap/>
            <w:hideMark/>
          </w:tcPr>
          <w:p w14:paraId="63639DE3"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Recievable amounts </w:t>
            </w:r>
          </w:p>
        </w:tc>
        <w:tc>
          <w:tcPr>
            <w:tcW w:w="1840" w:type="dxa"/>
            <w:noWrap/>
            <w:hideMark/>
          </w:tcPr>
          <w:p w14:paraId="7FAD01FA"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170,125</w:t>
            </w:r>
          </w:p>
        </w:tc>
      </w:tr>
      <w:tr w:rsidR="00E612D6" w:rsidRPr="00E612D6" w14:paraId="6285DA85" w14:textId="77777777" w:rsidTr="00B519A7">
        <w:trPr>
          <w:trHeight w:val="300"/>
          <w:jc w:val="center"/>
        </w:trPr>
        <w:tc>
          <w:tcPr>
            <w:tcW w:w="5380" w:type="dxa"/>
            <w:noWrap/>
            <w:hideMark/>
          </w:tcPr>
          <w:p w14:paraId="2E780058"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Cash </w:t>
            </w:r>
          </w:p>
        </w:tc>
        <w:tc>
          <w:tcPr>
            <w:tcW w:w="1840" w:type="dxa"/>
            <w:noWrap/>
            <w:hideMark/>
          </w:tcPr>
          <w:p w14:paraId="4CB1F80D"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12,900</w:t>
            </w:r>
          </w:p>
        </w:tc>
      </w:tr>
      <w:tr w:rsidR="00E612D6" w:rsidRPr="00E612D6" w14:paraId="4619373E" w14:textId="77777777" w:rsidTr="00B519A7">
        <w:trPr>
          <w:trHeight w:val="300"/>
          <w:jc w:val="center"/>
        </w:trPr>
        <w:tc>
          <w:tcPr>
            <w:tcW w:w="5380" w:type="dxa"/>
            <w:noWrap/>
            <w:hideMark/>
          </w:tcPr>
          <w:p w14:paraId="441D0B50"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c>
          <w:tcPr>
            <w:tcW w:w="1840" w:type="dxa"/>
            <w:noWrap/>
            <w:hideMark/>
          </w:tcPr>
          <w:p w14:paraId="2947E497"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513625</w:t>
            </w:r>
          </w:p>
        </w:tc>
      </w:tr>
      <w:tr w:rsidR="00E612D6" w:rsidRPr="00E612D6" w14:paraId="268EC59D" w14:textId="77777777" w:rsidTr="00B519A7">
        <w:trPr>
          <w:trHeight w:val="300"/>
          <w:jc w:val="center"/>
        </w:trPr>
        <w:tc>
          <w:tcPr>
            <w:tcW w:w="5380" w:type="dxa"/>
            <w:noWrap/>
            <w:hideMark/>
          </w:tcPr>
          <w:p w14:paraId="50691CD0"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Total assests </w:t>
            </w:r>
          </w:p>
        </w:tc>
        <w:tc>
          <w:tcPr>
            <w:tcW w:w="1840" w:type="dxa"/>
            <w:noWrap/>
            <w:hideMark/>
          </w:tcPr>
          <w:p w14:paraId="6B8348DA"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1,146,355</w:t>
            </w:r>
          </w:p>
        </w:tc>
      </w:tr>
      <w:tr w:rsidR="00E612D6" w:rsidRPr="00E612D6" w14:paraId="409DD12D" w14:textId="77777777" w:rsidTr="00B519A7">
        <w:trPr>
          <w:trHeight w:val="300"/>
          <w:jc w:val="center"/>
        </w:trPr>
        <w:tc>
          <w:tcPr>
            <w:tcW w:w="5380" w:type="dxa"/>
            <w:noWrap/>
            <w:hideMark/>
          </w:tcPr>
          <w:p w14:paraId="4E3FD999"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Liabilities </w:t>
            </w:r>
          </w:p>
        </w:tc>
        <w:tc>
          <w:tcPr>
            <w:tcW w:w="1840" w:type="dxa"/>
            <w:noWrap/>
            <w:hideMark/>
          </w:tcPr>
          <w:p w14:paraId="028B99F4"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6C752BFD" w14:textId="77777777" w:rsidTr="00B519A7">
        <w:trPr>
          <w:trHeight w:val="300"/>
          <w:jc w:val="center"/>
        </w:trPr>
        <w:tc>
          <w:tcPr>
            <w:tcW w:w="5380" w:type="dxa"/>
            <w:noWrap/>
            <w:hideMark/>
          </w:tcPr>
          <w:p w14:paraId="016E7349"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Current liabilities </w:t>
            </w:r>
          </w:p>
        </w:tc>
        <w:tc>
          <w:tcPr>
            <w:tcW w:w="1840" w:type="dxa"/>
            <w:noWrap/>
            <w:hideMark/>
          </w:tcPr>
          <w:p w14:paraId="05496A06"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04DB4FA6" w14:textId="77777777" w:rsidTr="00B519A7">
        <w:trPr>
          <w:trHeight w:val="300"/>
          <w:jc w:val="center"/>
        </w:trPr>
        <w:tc>
          <w:tcPr>
            <w:tcW w:w="5380" w:type="dxa"/>
            <w:noWrap/>
            <w:hideMark/>
          </w:tcPr>
          <w:p w14:paraId="66257D01"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Amount payable to the creditor </w:t>
            </w:r>
          </w:p>
        </w:tc>
        <w:tc>
          <w:tcPr>
            <w:tcW w:w="1840" w:type="dxa"/>
            <w:noWrap/>
            <w:hideMark/>
          </w:tcPr>
          <w:p w14:paraId="47398620"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171,355</w:t>
            </w:r>
          </w:p>
        </w:tc>
      </w:tr>
      <w:tr w:rsidR="00E612D6" w:rsidRPr="00E612D6" w14:paraId="7E8BDABB" w14:textId="77777777" w:rsidTr="00B519A7">
        <w:trPr>
          <w:trHeight w:val="300"/>
          <w:jc w:val="center"/>
        </w:trPr>
        <w:tc>
          <w:tcPr>
            <w:tcW w:w="5380" w:type="dxa"/>
            <w:noWrap/>
            <w:hideMark/>
          </w:tcPr>
          <w:p w14:paraId="6C8B347F"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Tax payable </w:t>
            </w:r>
          </w:p>
        </w:tc>
        <w:tc>
          <w:tcPr>
            <w:tcW w:w="1840" w:type="dxa"/>
            <w:noWrap/>
            <w:hideMark/>
          </w:tcPr>
          <w:p w14:paraId="3369D7E2"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68000</w:t>
            </w:r>
          </w:p>
        </w:tc>
      </w:tr>
      <w:tr w:rsidR="00E612D6" w:rsidRPr="00E612D6" w14:paraId="0B5DF724" w14:textId="77777777" w:rsidTr="00B519A7">
        <w:trPr>
          <w:trHeight w:val="300"/>
          <w:jc w:val="center"/>
        </w:trPr>
        <w:tc>
          <w:tcPr>
            <w:tcW w:w="5380" w:type="dxa"/>
            <w:noWrap/>
            <w:hideMark/>
          </w:tcPr>
          <w:p w14:paraId="56532BC6"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Non-current liabilities</w:t>
            </w:r>
          </w:p>
        </w:tc>
        <w:tc>
          <w:tcPr>
            <w:tcW w:w="1840" w:type="dxa"/>
            <w:noWrap/>
            <w:hideMark/>
          </w:tcPr>
          <w:p w14:paraId="4FC31DE0"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53C33095" w14:textId="77777777" w:rsidTr="00B519A7">
        <w:trPr>
          <w:trHeight w:val="300"/>
          <w:jc w:val="center"/>
        </w:trPr>
        <w:tc>
          <w:tcPr>
            <w:tcW w:w="5380" w:type="dxa"/>
            <w:noWrap/>
            <w:hideMark/>
          </w:tcPr>
          <w:p w14:paraId="2EDECE9C"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Debentures </w:t>
            </w:r>
          </w:p>
        </w:tc>
        <w:tc>
          <w:tcPr>
            <w:tcW w:w="1840" w:type="dxa"/>
            <w:noWrap/>
            <w:hideMark/>
          </w:tcPr>
          <w:p w14:paraId="34A908CB"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100,000</w:t>
            </w:r>
          </w:p>
        </w:tc>
      </w:tr>
      <w:tr w:rsidR="00E612D6" w:rsidRPr="00E612D6" w14:paraId="1328D7A5" w14:textId="77777777" w:rsidTr="00B519A7">
        <w:trPr>
          <w:trHeight w:val="300"/>
          <w:jc w:val="center"/>
        </w:trPr>
        <w:tc>
          <w:tcPr>
            <w:tcW w:w="5380" w:type="dxa"/>
            <w:noWrap/>
            <w:hideMark/>
          </w:tcPr>
          <w:p w14:paraId="022B9FFF"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Total liabilities </w:t>
            </w:r>
          </w:p>
        </w:tc>
        <w:tc>
          <w:tcPr>
            <w:tcW w:w="1840" w:type="dxa"/>
            <w:noWrap/>
            <w:hideMark/>
          </w:tcPr>
          <w:p w14:paraId="5EA5A146"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271,355</w:t>
            </w:r>
          </w:p>
        </w:tc>
      </w:tr>
      <w:tr w:rsidR="00E612D6" w:rsidRPr="00E612D6" w14:paraId="1F895E82" w14:textId="77777777" w:rsidTr="00B519A7">
        <w:trPr>
          <w:trHeight w:val="300"/>
          <w:jc w:val="center"/>
        </w:trPr>
        <w:tc>
          <w:tcPr>
            <w:tcW w:w="5380" w:type="dxa"/>
            <w:noWrap/>
            <w:hideMark/>
          </w:tcPr>
          <w:p w14:paraId="20E59DEC"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Total assests- liabilities </w:t>
            </w:r>
          </w:p>
        </w:tc>
        <w:tc>
          <w:tcPr>
            <w:tcW w:w="1840" w:type="dxa"/>
            <w:noWrap/>
            <w:hideMark/>
          </w:tcPr>
          <w:p w14:paraId="23E83D6E"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875,000</w:t>
            </w:r>
          </w:p>
        </w:tc>
      </w:tr>
      <w:tr w:rsidR="00E612D6" w:rsidRPr="00E612D6" w14:paraId="7068D65C" w14:textId="77777777" w:rsidTr="00B519A7">
        <w:trPr>
          <w:trHeight w:val="300"/>
          <w:jc w:val="center"/>
        </w:trPr>
        <w:tc>
          <w:tcPr>
            <w:tcW w:w="5380" w:type="dxa"/>
            <w:noWrap/>
            <w:hideMark/>
          </w:tcPr>
          <w:p w14:paraId="73FB67E2"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Shareholder Equity </w:t>
            </w:r>
          </w:p>
        </w:tc>
        <w:tc>
          <w:tcPr>
            <w:tcW w:w="1840" w:type="dxa"/>
            <w:noWrap/>
            <w:hideMark/>
          </w:tcPr>
          <w:p w14:paraId="0ECD2DF5"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w:t>
            </w:r>
          </w:p>
        </w:tc>
      </w:tr>
      <w:tr w:rsidR="00E612D6" w:rsidRPr="00E612D6" w14:paraId="0276D7D9" w14:textId="77777777" w:rsidTr="00B519A7">
        <w:trPr>
          <w:trHeight w:val="300"/>
          <w:jc w:val="center"/>
        </w:trPr>
        <w:tc>
          <w:tcPr>
            <w:tcW w:w="5380" w:type="dxa"/>
            <w:noWrap/>
            <w:hideMark/>
          </w:tcPr>
          <w:p w14:paraId="00F476C5"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Share capital </w:t>
            </w:r>
          </w:p>
        </w:tc>
        <w:tc>
          <w:tcPr>
            <w:tcW w:w="1840" w:type="dxa"/>
            <w:noWrap/>
            <w:hideMark/>
          </w:tcPr>
          <w:p w14:paraId="3D7D140C"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610000</w:t>
            </w:r>
          </w:p>
        </w:tc>
      </w:tr>
      <w:tr w:rsidR="00E612D6" w:rsidRPr="00E612D6" w14:paraId="758D4531" w14:textId="77777777" w:rsidTr="00B519A7">
        <w:trPr>
          <w:trHeight w:val="300"/>
          <w:jc w:val="center"/>
        </w:trPr>
        <w:tc>
          <w:tcPr>
            <w:tcW w:w="5380" w:type="dxa"/>
            <w:noWrap/>
            <w:hideMark/>
          </w:tcPr>
          <w:p w14:paraId="2443435A"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Retained earnings </w:t>
            </w:r>
          </w:p>
        </w:tc>
        <w:tc>
          <w:tcPr>
            <w:tcW w:w="1840" w:type="dxa"/>
            <w:noWrap/>
            <w:hideMark/>
          </w:tcPr>
          <w:p w14:paraId="437B8AEC" w14:textId="77777777" w:rsidR="00B519A7" w:rsidRPr="00E612D6" w:rsidRDefault="00B519A7" w:rsidP="00B519A7">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132000</w:t>
            </w:r>
          </w:p>
        </w:tc>
      </w:tr>
      <w:tr w:rsidR="00B519A7" w:rsidRPr="00E612D6" w14:paraId="47045C0F" w14:textId="77777777" w:rsidTr="00B519A7">
        <w:trPr>
          <w:trHeight w:val="300"/>
          <w:jc w:val="center"/>
        </w:trPr>
        <w:tc>
          <w:tcPr>
            <w:tcW w:w="5380" w:type="dxa"/>
            <w:noWrap/>
            <w:hideMark/>
          </w:tcPr>
          <w:p w14:paraId="47A45140"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Total Shareholder Equity </w:t>
            </w:r>
          </w:p>
        </w:tc>
        <w:tc>
          <w:tcPr>
            <w:tcW w:w="1840" w:type="dxa"/>
            <w:noWrap/>
            <w:hideMark/>
          </w:tcPr>
          <w:p w14:paraId="05CDE62F" w14:textId="77777777" w:rsidR="00B519A7" w:rsidRPr="00E612D6" w:rsidRDefault="00B519A7" w:rsidP="00B519A7">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742000</w:t>
            </w:r>
          </w:p>
        </w:tc>
      </w:tr>
    </w:tbl>
    <w:p w14:paraId="0D4C9421" w14:textId="77777777" w:rsidR="00536E72" w:rsidRPr="00E612D6" w:rsidRDefault="00536E72">
      <w:pPr>
        <w:pStyle w:val="Normal1"/>
        <w:spacing w:line="360" w:lineRule="auto"/>
        <w:jc w:val="both"/>
        <w:rPr>
          <w:rFonts w:ascii="Times New Roman" w:eastAsia="Times New Roman" w:hAnsi="Times New Roman" w:cs="Times New Roman"/>
          <w:sz w:val="24"/>
          <w:szCs w:val="24"/>
          <w:lang w:val="en-GB"/>
        </w:rPr>
      </w:pPr>
    </w:p>
    <w:p w14:paraId="4DDB5FF3" w14:textId="77777777" w:rsidR="00536E72" w:rsidRPr="007C26E6" w:rsidRDefault="00635F57">
      <w:pPr>
        <w:pStyle w:val="Normal1"/>
        <w:spacing w:line="360" w:lineRule="auto"/>
        <w:jc w:val="center"/>
        <w:rPr>
          <w:rFonts w:ascii="Times New Roman" w:eastAsia="Times New Roman" w:hAnsi="Times New Roman" w:cs="Times New Roman"/>
          <w:b/>
          <w:sz w:val="24"/>
          <w:szCs w:val="24"/>
          <w:lang w:val="en-GB"/>
        </w:rPr>
      </w:pPr>
      <w:r w:rsidRPr="007C26E6">
        <w:rPr>
          <w:rFonts w:ascii="Times New Roman" w:eastAsia="Times New Roman" w:hAnsi="Times New Roman" w:cs="Times New Roman"/>
          <w:b/>
          <w:sz w:val="24"/>
          <w:szCs w:val="24"/>
          <w:lang w:val="en-GB"/>
        </w:rPr>
        <w:t>Table 2: Statement of financial position</w:t>
      </w:r>
    </w:p>
    <w:p w14:paraId="73FCBC53" w14:textId="77777777" w:rsidR="00536E72" w:rsidRPr="007C26E6" w:rsidRDefault="00635F57">
      <w:pPr>
        <w:pStyle w:val="Normal1"/>
        <w:spacing w:line="360" w:lineRule="auto"/>
        <w:jc w:val="center"/>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w:t>
      </w:r>
      <w:r w:rsidR="007A59C6" w:rsidRPr="007C26E6">
        <w:rPr>
          <w:rFonts w:ascii="Times New Roman" w:eastAsia="Times New Roman" w:hAnsi="Times New Roman" w:cs="Times New Roman"/>
          <w:sz w:val="24"/>
          <w:szCs w:val="24"/>
          <w:lang w:val="en-GB"/>
        </w:rPr>
        <w:t>Source</w:t>
      </w:r>
      <w:r w:rsidRPr="007C26E6">
        <w:rPr>
          <w:rFonts w:ascii="Times New Roman" w:eastAsia="Times New Roman" w:hAnsi="Times New Roman" w:cs="Times New Roman"/>
          <w:sz w:val="24"/>
          <w:szCs w:val="24"/>
          <w:lang w:val="en-GB"/>
        </w:rPr>
        <w:t>: created by self)</w:t>
      </w:r>
    </w:p>
    <w:p w14:paraId="41D1AE32" w14:textId="77777777" w:rsidR="00536E72" w:rsidRPr="007C26E6" w:rsidRDefault="00536E72">
      <w:pPr>
        <w:pStyle w:val="Normal1"/>
        <w:spacing w:line="360" w:lineRule="auto"/>
        <w:rPr>
          <w:rFonts w:ascii="Times New Roman" w:eastAsia="Times New Roman" w:hAnsi="Times New Roman" w:cs="Times New Roman"/>
          <w:sz w:val="24"/>
          <w:szCs w:val="24"/>
          <w:lang w:val="en-GB"/>
        </w:rPr>
      </w:pPr>
    </w:p>
    <w:p w14:paraId="24147953" w14:textId="77777777" w:rsidR="00ED4941" w:rsidRPr="00E612D6" w:rsidRDefault="00694FE6">
      <w:pPr>
        <w:pStyle w:val="Normal1"/>
        <w:spacing w:line="360" w:lineRule="auto"/>
        <w:jc w:val="both"/>
        <w:rPr>
          <w:rFonts w:ascii="Times New Roman" w:eastAsia="Times New Roman" w:hAnsi="Times New Roman" w:cs="Times New Roman"/>
          <w:sz w:val="24"/>
          <w:szCs w:val="24"/>
          <w:lang w:val="en-GB"/>
        </w:rPr>
      </w:pPr>
      <w:r w:rsidRPr="00E612D6">
        <w:rPr>
          <w:rFonts w:ascii="Times New Roman" w:eastAsia="Times New Roman" w:hAnsi="Times New Roman" w:cs="Times New Roman"/>
          <w:sz w:val="24"/>
          <w:szCs w:val="24"/>
          <w:lang w:val="en-GB"/>
        </w:rPr>
        <w:t xml:space="preserve">It has been noted from the above-mentioned business income statement that the company's net profit is very high relative to the total costs incurred in the enterprise and the taxes charged. The company's gross profit is estimated to be £380,000 with a revenue rate of £ 826,650, and the net profit rate is calculated to be £309,020. The income statement forecast also suggested that the company is expected to improve profitability in the next year, even with an increase in expenditure. The company's positive net profit rate reflects that it is in a strong position in terms of profitability. It also ensures that the company is liquid and capable of paying off running costs and financial commitments </w:t>
      </w:r>
      <w:r w:rsidR="00635F57" w:rsidRPr="00E612D6">
        <w:rPr>
          <w:rFonts w:ascii="Times New Roman" w:eastAsia="Times New Roman" w:hAnsi="Times New Roman" w:cs="Times New Roman"/>
          <w:sz w:val="24"/>
          <w:szCs w:val="24"/>
          <w:lang w:val="en-GB"/>
        </w:rPr>
        <w:t xml:space="preserve">(Brede and Henn, 2019, p. 176). </w:t>
      </w:r>
    </w:p>
    <w:p w14:paraId="407F31BB" w14:textId="77777777" w:rsidR="0001792F" w:rsidRDefault="0001792F" w:rsidP="0001792F">
      <w:pPr>
        <w:pStyle w:val="Normal1"/>
        <w:spacing w:line="360" w:lineRule="auto"/>
        <w:jc w:val="center"/>
        <w:rPr>
          <w:rFonts w:ascii="Times New Roman" w:eastAsia="Times New Roman" w:hAnsi="Times New Roman" w:cs="Times New Roman"/>
          <w:sz w:val="24"/>
          <w:szCs w:val="24"/>
          <w:lang w:val="en-GB"/>
        </w:rPr>
      </w:pPr>
      <w:r w:rsidRPr="0001792F">
        <w:rPr>
          <w:rFonts w:ascii="Times New Roman" w:eastAsia="Times New Roman" w:hAnsi="Times New Roman" w:cs="Times New Roman"/>
          <w:noProof/>
          <w:sz w:val="24"/>
          <w:szCs w:val="24"/>
          <w:lang w:val="en-GB"/>
        </w:rPr>
        <w:drawing>
          <wp:inline distT="0" distB="0" distL="0" distR="0" wp14:anchorId="532946D7" wp14:editId="718F973F">
            <wp:extent cx="4149213" cy="2782529"/>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AA39ED5" w14:textId="77777777" w:rsidR="00B13ED5" w:rsidRPr="00B13ED5" w:rsidRDefault="00B13ED5" w:rsidP="0001792F">
      <w:pPr>
        <w:pStyle w:val="Normal1"/>
        <w:spacing w:line="360" w:lineRule="auto"/>
        <w:jc w:val="center"/>
        <w:rPr>
          <w:rFonts w:ascii="Times New Roman" w:eastAsia="Times New Roman" w:hAnsi="Times New Roman" w:cs="Times New Roman"/>
          <w:b/>
          <w:bCs/>
          <w:sz w:val="24"/>
          <w:szCs w:val="24"/>
          <w:lang w:val="en-GB"/>
        </w:rPr>
      </w:pPr>
      <w:r w:rsidRPr="00B13ED5">
        <w:rPr>
          <w:rFonts w:ascii="Times New Roman" w:eastAsia="Times New Roman" w:hAnsi="Times New Roman" w:cs="Times New Roman"/>
          <w:b/>
          <w:bCs/>
          <w:sz w:val="24"/>
          <w:szCs w:val="24"/>
          <w:lang w:val="en-GB"/>
        </w:rPr>
        <w:t>Figure 1: Income statement of 2 years</w:t>
      </w:r>
    </w:p>
    <w:p w14:paraId="221151A9" w14:textId="77777777" w:rsidR="00B13ED5" w:rsidRPr="007C26E6" w:rsidRDefault="00B13ED5" w:rsidP="0001792F">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Self-created)</w:t>
      </w:r>
    </w:p>
    <w:p w14:paraId="0D7672AD" w14:textId="77777777" w:rsidR="00536E72" w:rsidRPr="00E612D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On the other hand, the main components of non-current assets are property, plant equipment, goodwill, investment property and </w:t>
      </w:r>
      <w:r w:rsidRPr="00E612D6">
        <w:rPr>
          <w:rFonts w:ascii="Times New Roman" w:eastAsia="Times New Roman" w:hAnsi="Times New Roman" w:cs="Times New Roman"/>
          <w:sz w:val="24"/>
          <w:szCs w:val="24"/>
          <w:lang w:val="en-GB"/>
        </w:rPr>
        <w:t>others. From the above discussions, it becomes clear that the amount of total assets of the company has increased considerably in the year 2019 as compared to that in 2018. The equity of the company has been calculated based on its shared capital and the debentures (Ciuhureanu, 2017, p. 79). The total equity of the company in 2018 has been</w:t>
      </w:r>
      <w:r w:rsidR="009A55AD" w:rsidRPr="00E612D6">
        <w:rPr>
          <w:rFonts w:ascii="Times New Roman" w:eastAsia="Times New Roman" w:hAnsi="Times New Roman" w:cs="Times New Roman"/>
          <w:sz w:val="24"/>
          <w:szCs w:val="24"/>
          <w:lang w:val="en-GB"/>
        </w:rPr>
        <w:t>74200</w:t>
      </w:r>
      <w:r w:rsidRPr="00E612D6">
        <w:rPr>
          <w:rFonts w:ascii="Times New Roman" w:eastAsia="Times New Roman" w:hAnsi="Times New Roman" w:cs="Times New Roman"/>
          <w:sz w:val="24"/>
          <w:szCs w:val="24"/>
          <w:lang w:val="en-GB"/>
        </w:rPr>
        <w:t xml:space="preserve">. From the above discussions, it can be said that the financial position of the company has been improved considering the assets, liabilities and equity of the company. </w:t>
      </w:r>
      <w:r w:rsidR="00CD5266" w:rsidRPr="00E612D6">
        <w:rPr>
          <w:rFonts w:ascii="Times New Roman" w:eastAsia="Times New Roman" w:hAnsi="Times New Roman" w:cs="Times New Roman"/>
          <w:sz w:val="24"/>
          <w:szCs w:val="24"/>
          <w:lang w:val="en-GB"/>
        </w:rPr>
        <w:t>The profit and loss accounts of activities are highlighted predominantly in the company's income statement. A description of financial transactions and activities over a period of time is given. Analysis of a</w:t>
      </w:r>
      <w:r w:rsidR="00CD5266" w:rsidRPr="00CD5266">
        <w:rPr>
          <w:rFonts w:ascii="Times New Roman" w:eastAsia="Times New Roman" w:hAnsi="Times New Roman" w:cs="Times New Roman"/>
          <w:color w:val="FF0000"/>
          <w:sz w:val="24"/>
          <w:szCs w:val="24"/>
          <w:lang w:val="en-GB"/>
        </w:rPr>
        <w:t xml:space="preserve"> </w:t>
      </w:r>
      <w:r w:rsidR="00CD5266" w:rsidRPr="00E612D6">
        <w:rPr>
          <w:rFonts w:ascii="Times New Roman" w:eastAsia="Times New Roman" w:hAnsi="Times New Roman" w:cs="Times New Roman"/>
          <w:sz w:val="24"/>
          <w:szCs w:val="24"/>
          <w:lang w:val="en-GB"/>
        </w:rPr>
        <w:lastRenderedPageBreak/>
        <w:t xml:space="preserve">company's income statement helps to clarify the </w:t>
      </w:r>
      <w:r w:rsidR="00553AA2" w:rsidRPr="00E612D6">
        <w:rPr>
          <w:rFonts w:ascii="Times New Roman" w:eastAsia="Times New Roman" w:hAnsi="Times New Roman" w:cs="Times New Roman"/>
          <w:sz w:val="24"/>
          <w:szCs w:val="24"/>
          <w:lang w:val="en-GB"/>
        </w:rPr>
        <w:t>organisation’s</w:t>
      </w:r>
      <w:r w:rsidR="00CD5266" w:rsidRPr="00E612D6">
        <w:rPr>
          <w:rFonts w:ascii="Times New Roman" w:eastAsia="Times New Roman" w:hAnsi="Times New Roman" w:cs="Times New Roman"/>
          <w:sz w:val="24"/>
          <w:szCs w:val="24"/>
          <w:lang w:val="en-GB"/>
        </w:rPr>
        <w:t xml:space="preserve"> costs when producing income (Al Hayek, 2018, p. 179). The income statement prepared for Eccles Plc on the basis of its balances at the end of the year of 31 December 2018 is given here.</w:t>
      </w:r>
    </w:p>
    <w:p w14:paraId="141A05C1" w14:textId="77777777" w:rsidR="00536E72" w:rsidRPr="00E612D6" w:rsidRDefault="00635F57">
      <w:pPr>
        <w:pStyle w:val="Normal1"/>
        <w:spacing w:line="360" w:lineRule="auto"/>
        <w:jc w:val="both"/>
        <w:rPr>
          <w:rFonts w:ascii="Times New Roman" w:eastAsia="Times New Roman" w:hAnsi="Times New Roman" w:cs="Times New Roman"/>
          <w:b/>
          <w:sz w:val="24"/>
          <w:szCs w:val="24"/>
          <w:lang w:val="en-GB"/>
        </w:rPr>
      </w:pPr>
      <w:r w:rsidRPr="00E612D6">
        <w:rPr>
          <w:rFonts w:ascii="Times New Roman" w:eastAsia="Times New Roman" w:hAnsi="Times New Roman" w:cs="Times New Roman"/>
          <w:b/>
          <w:sz w:val="24"/>
          <w:szCs w:val="24"/>
          <w:lang w:val="en-GB"/>
        </w:rPr>
        <w:t>b) Explanation behind balancing the statement of financial position</w:t>
      </w:r>
    </w:p>
    <w:p w14:paraId="455B8BB7" w14:textId="77777777" w:rsidR="00536E72" w:rsidRPr="00E612D6" w:rsidRDefault="00635F57">
      <w:pPr>
        <w:pStyle w:val="Normal1"/>
        <w:spacing w:line="360" w:lineRule="auto"/>
        <w:jc w:val="both"/>
        <w:rPr>
          <w:rFonts w:ascii="Times New Roman" w:eastAsia="Times New Roman" w:hAnsi="Times New Roman" w:cs="Times New Roman"/>
          <w:b/>
          <w:sz w:val="24"/>
          <w:szCs w:val="24"/>
          <w:lang w:val="en-GB"/>
        </w:rPr>
      </w:pPr>
      <w:r w:rsidRPr="00E612D6">
        <w:rPr>
          <w:rFonts w:ascii="Times New Roman" w:eastAsia="Times New Roman" w:hAnsi="Times New Roman" w:cs="Times New Roman"/>
          <w:sz w:val="24"/>
          <w:szCs w:val="24"/>
          <w:lang w:val="en-GB"/>
        </w:rPr>
        <w:t xml:space="preserve">The balance sheet of the organisation shows the total assets and liabilities of the company. Therefore, it can be said that the company can meet its obligations effectively with the available net assets of the company (Berker, 2018, p. 427). On the other hand, it can be clearly seen from the balance sheet of the company that the equity of the company has increased considerably in the year 2019 and therefore, it can be expected that the equity of the company can increase further in the coming financial years. In this process, it would become easier for the company to pay off the tax, dividends, interest rates and equity to the patent owners (Saros, 2020, p. 42). </w:t>
      </w:r>
      <w:r w:rsidR="00A10ACE" w:rsidRPr="00E612D6">
        <w:rPr>
          <w:rFonts w:ascii="Times New Roman" w:eastAsia="Times New Roman" w:hAnsi="Times New Roman" w:cs="Times New Roman"/>
          <w:sz w:val="24"/>
          <w:szCs w:val="24"/>
          <w:lang w:val="en-GB"/>
        </w:rPr>
        <w:t xml:space="preserve">A suitable balance sheet is therefore still in equilibrium. The "double-entry" accounting rules that are associated with it are one of the major factors for the balance in the financial situation. The company's transaction, which tests the consistent insurance of the entries, is reported in at least two minimum accounts. </w:t>
      </w:r>
      <w:r w:rsidRPr="00E612D6">
        <w:rPr>
          <w:rFonts w:ascii="Times New Roman" w:eastAsia="Times New Roman" w:hAnsi="Times New Roman" w:cs="Times New Roman"/>
          <w:sz w:val="24"/>
          <w:szCs w:val="24"/>
          <w:lang w:val="en-GB"/>
        </w:rPr>
        <w:t xml:space="preserve">Though it cannot be denied that the profit of the company has decreased in the current year, the assets of the company have increased and therefore, the company can balance its financial position. </w:t>
      </w:r>
    </w:p>
    <w:p w14:paraId="640BB3B6" w14:textId="77777777" w:rsidR="00536E72" w:rsidRPr="00E612D6" w:rsidRDefault="00635F57" w:rsidP="00ED4941">
      <w:pPr>
        <w:pStyle w:val="Heading1"/>
        <w:rPr>
          <w:lang w:val="en-GB"/>
        </w:rPr>
      </w:pPr>
      <w:bookmarkStart w:id="4" w:name="_Toc55489975"/>
      <w:r w:rsidRPr="00E612D6">
        <w:rPr>
          <w:lang w:val="en-GB"/>
        </w:rPr>
        <w:t>Question 2</w:t>
      </w:r>
      <w:bookmarkEnd w:id="4"/>
    </w:p>
    <w:p w14:paraId="2FFA2ADB" w14:textId="77777777" w:rsidR="00536E72" w:rsidRPr="00E612D6" w:rsidRDefault="00635F57" w:rsidP="00ED4941">
      <w:pPr>
        <w:pStyle w:val="Heading2"/>
        <w:rPr>
          <w:lang w:val="en-GB"/>
        </w:rPr>
      </w:pPr>
      <w:bookmarkStart w:id="5" w:name="_Toc55489976"/>
      <w:r w:rsidRPr="00E612D6">
        <w:rPr>
          <w:lang w:val="en-GB"/>
        </w:rPr>
        <w:t>a) Schedule of ratios</w:t>
      </w:r>
      <w:bookmarkEnd w:id="5"/>
    </w:p>
    <w:p w14:paraId="2B4ACFF4" w14:textId="021F3AED" w:rsidR="00536E72" w:rsidRDefault="00635F57">
      <w:pPr>
        <w:pStyle w:val="Normal1"/>
        <w:spacing w:line="360" w:lineRule="auto"/>
        <w:jc w:val="both"/>
        <w:rPr>
          <w:rFonts w:ascii="Times New Roman" w:eastAsia="Times New Roman" w:hAnsi="Times New Roman" w:cs="Times New Roman"/>
          <w:sz w:val="24"/>
          <w:szCs w:val="24"/>
          <w:lang w:val="en-GB"/>
        </w:rPr>
      </w:pPr>
      <w:r w:rsidRPr="00E612D6">
        <w:rPr>
          <w:rFonts w:ascii="Times New Roman" w:eastAsia="Times New Roman" w:hAnsi="Times New Roman" w:cs="Times New Roman"/>
          <w:sz w:val="24"/>
          <w:szCs w:val="24"/>
          <w:lang w:val="en-GB"/>
        </w:rPr>
        <w:t xml:space="preserve">Financial ratios help analysing the financial results effectively. The performance of an organisation can be analysed critically by using financial ratios (Kadim </w:t>
      </w:r>
      <w:r w:rsidRPr="00E612D6">
        <w:rPr>
          <w:rFonts w:ascii="Times New Roman" w:eastAsia="Times New Roman" w:hAnsi="Times New Roman" w:cs="Times New Roman"/>
          <w:i/>
          <w:sz w:val="24"/>
          <w:szCs w:val="24"/>
          <w:lang w:val="en-GB"/>
        </w:rPr>
        <w:t>et al.</w:t>
      </w:r>
      <w:r w:rsidRPr="00E612D6">
        <w:rPr>
          <w:rFonts w:ascii="Times New Roman" w:eastAsia="Times New Roman" w:hAnsi="Times New Roman" w:cs="Times New Roman"/>
          <w:sz w:val="24"/>
          <w:szCs w:val="24"/>
          <w:lang w:val="en-GB"/>
        </w:rPr>
        <w:t xml:space="preserve"> 2020, p. 872). Different types of ratios can be used for analysing the financial position of an organisation like Choco Plc. The ratios are current ratio, debt to equity ratio, quick ratio, profitability ratio, inventory turnover ratio. </w:t>
      </w:r>
      <w:r w:rsidR="007331E5" w:rsidRPr="00E612D6">
        <w:rPr>
          <w:rFonts w:ascii="Times New Roman" w:eastAsia="Times New Roman" w:hAnsi="Times New Roman" w:cs="Times New Roman"/>
          <w:sz w:val="24"/>
          <w:szCs w:val="24"/>
          <w:lang w:val="en-GB"/>
        </w:rPr>
        <w:t xml:space="preserve">The ratio calculation also shows if the management can manage the costs of productions and other operations effectively (Nallusamy </w:t>
      </w:r>
      <w:r w:rsidR="007331E5" w:rsidRPr="00E612D6">
        <w:rPr>
          <w:rFonts w:ascii="Times New Roman" w:eastAsia="Times New Roman" w:hAnsi="Times New Roman" w:cs="Times New Roman"/>
          <w:i/>
          <w:sz w:val="24"/>
          <w:szCs w:val="24"/>
          <w:lang w:val="en-GB"/>
        </w:rPr>
        <w:t>et al.</w:t>
      </w:r>
      <w:r w:rsidR="007331E5" w:rsidRPr="00E612D6">
        <w:rPr>
          <w:rFonts w:ascii="Times New Roman" w:eastAsia="Times New Roman" w:hAnsi="Times New Roman" w:cs="Times New Roman"/>
          <w:sz w:val="24"/>
          <w:szCs w:val="24"/>
          <w:lang w:val="en-GB"/>
        </w:rPr>
        <w:t xml:space="preserve"> 2017, p. 1</w:t>
      </w:r>
      <w:r w:rsidR="005E1D36" w:rsidRPr="00E612D6">
        <w:rPr>
          <w:rFonts w:ascii="Times New Roman" w:eastAsia="Times New Roman" w:hAnsi="Times New Roman" w:cs="Times New Roman"/>
          <w:sz w:val="24"/>
          <w:szCs w:val="24"/>
          <w:lang w:val="en-GB"/>
        </w:rPr>
        <w:t>65). In order to calculate the financial details of the company are respectively extracted from its balance sheet and income statement</w:t>
      </w:r>
      <w:r w:rsidR="007331E5" w:rsidRPr="00E612D6">
        <w:rPr>
          <w:rFonts w:ascii="Times New Roman" w:eastAsia="Times New Roman" w:hAnsi="Times New Roman" w:cs="Times New Roman"/>
          <w:sz w:val="24"/>
          <w:szCs w:val="24"/>
          <w:lang w:val="en-GB"/>
        </w:rPr>
        <w:t xml:space="preserve">. </w:t>
      </w:r>
      <w:r w:rsidR="006F3316" w:rsidRPr="00E612D6">
        <w:rPr>
          <w:rFonts w:ascii="Times New Roman" w:eastAsia="Times New Roman" w:hAnsi="Times New Roman" w:cs="Times New Roman"/>
          <w:sz w:val="24"/>
          <w:szCs w:val="24"/>
          <w:lang w:val="en-GB"/>
        </w:rPr>
        <w:t>Profitability ratio helps analysing the ability of an organisation to earn profit. The increased profitability ratio indicates the increase of profit margin of an organisation. On the other hand, the decrease of profitability ratio indicates</w:t>
      </w:r>
      <w:r w:rsidR="006F3316" w:rsidRPr="007C26E6">
        <w:rPr>
          <w:rFonts w:ascii="Times New Roman" w:eastAsia="Times New Roman" w:hAnsi="Times New Roman" w:cs="Times New Roman"/>
          <w:sz w:val="24"/>
          <w:szCs w:val="24"/>
          <w:lang w:val="en-GB"/>
        </w:rPr>
        <w:t xml:space="preserve"> the decline of the profit margin of the organisation (Satryo </w:t>
      </w:r>
      <w:r w:rsidR="006F3316" w:rsidRPr="007C26E6">
        <w:rPr>
          <w:rFonts w:ascii="Times New Roman" w:eastAsia="Times New Roman" w:hAnsi="Times New Roman" w:cs="Times New Roman"/>
          <w:i/>
          <w:sz w:val="24"/>
          <w:szCs w:val="24"/>
          <w:lang w:val="en-GB"/>
        </w:rPr>
        <w:t xml:space="preserve">et al. </w:t>
      </w:r>
      <w:r w:rsidR="006F3316" w:rsidRPr="007C26E6">
        <w:rPr>
          <w:rFonts w:ascii="Times New Roman" w:eastAsia="Times New Roman" w:hAnsi="Times New Roman" w:cs="Times New Roman"/>
          <w:sz w:val="24"/>
          <w:szCs w:val="24"/>
          <w:lang w:val="en-GB"/>
        </w:rPr>
        <w:t>2017, p. 55).</w:t>
      </w:r>
    </w:p>
    <w:p w14:paraId="03245471" w14:textId="77777777" w:rsidR="00E612D6" w:rsidRPr="007331E5" w:rsidRDefault="00E612D6">
      <w:pPr>
        <w:pStyle w:val="Normal1"/>
        <w:spacing w:line="360" w:lineRule="auto"/>
        <w:jc w:val="both"/>
        <w:rPr>
          <w:rFonts w:ascii="Times New Roman" w:eastAsia="Times New Roman" w:hAnsi="Times New Roman" w:cs="Times New Roman"/>
          <w:sz w:val="24"/>
          <w:szCs w:val="24"/>
          <w:lang w:val="en-GB"/>
        </w:rPr>
      </w:pPr>
    </w:p>
    <w:tbl>
      <w:tblPr>
        <w:tblStyle w:val="TableGrid"/>
        <w:tblW w:w="0" w:type="auto"/>
        <w:jc w:val="center"/>
        <w:tblLook w:val="04A0" w:firstRow="1" w:lastRow="0" w:firstColumn="1" w:lastColumn="0" w:noHBand="0" w:noVBand="1"/>
      </w:tblPr>
      <w:tblGrid>
        <w:gridCol w:w="4960"/>
        <w:gridCol w:w="2180"/>
        <w:gridCol w:w="1760"/>
      </w:tblGrid>
      <w:tr w:rsidR="0001792F" w:rsidRPr="0001792F" w14:paraId="60D98907" w14:textId="77777777" w:rsidTr="0001792F">
        <w:trPr>
          <w:trHeight w:val="300"/>
          <w:jc w:val="center"/>
        </w:trPr>
        <w:tc>
          <w:tcPr>
            <w:tcW w:w="4960" w:type="dxa"/>
            <w:noWrap/>
            <w:hideMark/>
          </w:tcPr>
          <w:p w14:paraId="7018868D"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lastRenderedPageBreak/>
              <w:t>Chocco plc Ratio schedule</w:t>
            </w:r>
          </w:p>
        </w:tc>
        <w:tc>
          <w:tcPr>
            <w:tcW w:w="2180" w:type="dxa"/>
            <w:noWrap/>
            <w:hideMark/>
          </w:tcPr>
          <w:p w14:paraId="77EEB0ED"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w:t>
            </w:r>
          </w:p>
        </w:tc>
        <w:tc>
          <w:tcPr>
            <w:tcW w:w="1760" w:type="dxa"/>
            <w:noWrap/>
            <w:hideMark/>
          </w:tcPr>
          <w:p w14:paraId="1B066EE8"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w:t>
            </w:r>
          </w:p>
        </w:tc>
      </w:tr>
      <w:tr w:rsidR="0001792F" w:rsidRPr="0001792F" w14:paraId="62F23265" w14:textId="77777777" w:rsidTr="0001792F">
        <w:trPr>
          <w:trHeight w:val="300"/>
          <w:jc w:val="center"/>
        </w:trPr>
        <w:tc>
          <w:tcPr>
            <w:tcW w:w="4960" w:type="dxa"/>
            <w:noWrap/>
            <w:hideMark/>
          </w:tcPr>
          <w:p w14:paraId="146ACE14"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w:t>
            </w:r>
          </w:p>
        </w:tc>
        <w:tc>
          <w:tcPr>
            <w:tcW w:w="2180" w:type="dxa"/>
            <w:noWrap/>
            <w:hideMark/>
          </w:tcPr>
          <w:p w14:paraId="6070846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2019</w:t>
            </w:r>
          </w:p>
        </w:tc>
        <w:tc>
          <w:tcPr>
            <w:tcW w:w="1760" w:type="dxa"/>
            <w:noWrap/>
            <w:hideMark/>
          </w:tcPr>
          <w:p w14:paraId="5793FA32"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2018</w:t>
            </w:r>
          </w:p>
        </w:tc>
      </w:tr>
      <w:tr w:rsidR="0001792F" w:rsidRPr="0001792F" w14:paraId="15ED454F" w14:textId="77777777" w:rsidTr="0001792F">
        <w:trPr>
          <w:trHeight w:val="300"/>
          <w:jc w:val="center"/>
        </w:trPr>
        <w:tc>
          <w:tcPr>
            <w:tcW w:w="4960" w:type="dxa"/>
            <w:noWrap/>
            <w:hideMark/>
          </w:tcPr>
          <w:p w14:paraId="00842B8E" w14:textId="77777777" w:rsidR="0001792F" w:rsidRPr="00E612D6" w:rsidRDefault="0001792F" w:rsidP="0001792F">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 xml:space="preserve">Particulars </w:t>
            </w:r>
          </w:p>
        </w:tc>
        <w:tc>
          <w:tcPr>
            <w:tcW w:w="2180" w:type="dxa"/>
            <w:noWrap/>
            <w:hideMark/>
          </w:tcPr>
          <w:p w14:paraId="69879869"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Amount (£)</w:t>
            </w:r>
          </w:p>
        </w:tc>
        <w:tc>
          <w:tcPr>
            <w:tcW w:w="1760" w:type="dxa"/>
            <w:noWrap/>
            <w:hideMark/>
          </w:tcPr>
          <w:p w14:paraId="11EEEC5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Amount (£)</w:t>
            </w:r>
          </w:p>
        </w:tc>
      </w:tr>
      <w:tr w:rsidR="0001792F" w:rsidRPr="0001792F" w14:paraId="53E647F1" w14:textId="77777777" w:rsidTr="0001792F">
        <w:trPr>
          <w:trHeight w:val="300"/>
          <w:jc w:val="center"/>
        </w:trPr>
        <w:tc>
          <w:tcPr>
            <w:tcW w:w="4960" w:type="dxa"/>
            <w:noWrap/>
            <w:hideMark/>
          </w:tcPr>
          <w:p w14:paraId="4A88A5AA" w14:textId="77777777" w:rsidR="0001792F" w:rsidRPr="00E612D6" w:rsidRDefault="0001792F" w:rsidP="0001792F">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Current assets</w:t>
            </w:r>
          </w:p>
        </w:tc>
        <w:tc>
          <w:tcPr>
            <w:tcW w:w="2180" w:type="dxa"/>
            <w:noWrap/>
            <w:hideMark/>
          </w:tcPr>
          <w:p w14:paraId="77484CE9"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2,303</w:t>
            </w:r>
          </w:p>
        </w:tc>
        <w:tc>
          <w:tcPr>
            <w:tcW w:w="1760" w:type="dxa"/>
            <w:noWrap/>
            <w:hideMark/>
          </w:tcPr>
          <w:p w14:paraId="2BBB84E6"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2,355</w:t>
            </w:r>
          </w:p>
        </w:tc>
      </w:tr>
      <w:tr w:rsidR="0001792F" w:rsidRPr="0001792F" w14:paraId="7DBB33B2" w14:textId="77777777" w:rsidTr="0001792F">
        <w:trPr>
          <w:trHeight w:val="300"/>
          <w:jc w:val="center"/>
        </w:trPr>
        <w:tc>
          <w:tcPr>
            <w:tcW w:w="4960" w:type="dxa"/>
            <w:noWrap/>
            <w:hideMark/>
          </w:tcPr>
          <w:p w14:paraId="4462C0F7" w14:textId="77777777" w:rsidR="0001792F" w:rsidRPr="00E612D6" w:rsidRDefault="0001792F" w:rsidP="0001792F">
            <w:pPr>
              <w:pStyle w:val="Normal1"/>
              <w:spacing w:line="360" w:lineRule="auto"/>
              <w:jc w:val="both"/>
              <w:rPr>
                <w:rFonts w:ascii="Times New Roman" w:eastAsia="Times New Roman" w:hAnsi="Times New Roman" w:cs="Times New Roman"/>
                <w:sz w:val="24"/>
                <w:szCs w:val="24"/>
              </w:rPr>
            </w:pPr>
            <w:r w:rsidRPr="00E612D6">
              <w:rPr>
                <w:rFonts w:ascii="Times New Roman" w:eastAsia="Times New Roman" w:hAnsi="Times New Roman" w:cs="Times New Roman"/>
                <w:sz w:val="24"/>
                <w:szCs w:val="24"/>
              </w:rPr>
              <w:t>Current liabilities</w:t>
            </w:r>
          </w:p>
        </w:tc>
        <w:tc>
          <w:tcPr>
            <w:tcW w:w="2180" w:type="dxa"/>
            <w:noWrap/>
            <w:hideMark/>
          </w:tcPr>
          <w:p w14:paraId="1B91AA76"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2,511</w:t>
            </w:r>
          </w:p>
        </w:tc>
        <w:tc>
          <w:tcPr>
            <w:tcW w:w="1760" w:type="dxa"/>
            <w:noWrap/>
            <w:hideMark/>
          </w:tcPr>
          <w:p w14:paraId="3E452578"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3,046</w:t>
            </w:r>
          </w:p>
        </w:tc>
      </w:tr>
      <w:tr w:rsidR="0001792F" w:rsidRPr="0001792F" w14:paraId="13DD2613" w14:textId="77777777" w:rsidTr="0001792F">
        <w:trPr>
          <w:trHeight w:val="300"/>
          <w:jc w:val="center"/>
        </w:trPr>
        <w:tc>
          <w:tcPr>
            <w:tcW w:w="4960" w:type="dxa"/>
            <w:noWrap/>
            <w:hideMark/>
          </w:tcPr>
          <w:p w14:paraId="11BB425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Current ratio </w:t>
            </w:r>
          </w:p>
        </w:tc>
        <w:tc>
          <w:tcPr>
            <w:tcW w:w="2180" w:type="dxa"/>
            <w:noWrap/>
            <w:hideMark/>
          </w:tcPr>
          <w:p w14:paraId="57EC645C"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0.917164476</w:t>
            </w:r>
          </w:p>
        </w:tc>
        <w:tc>
          <w:tcPr>
            <w:tcW w:w="1760" w:type="dxa"/>
            <w:noWrap/>
            <w:hideMark/>
          </w:tcPr>
          <w:p w14:paraId="22D30114"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0.773145108</w:t>
            </w:r>
          </w:p>
        </w:tc>
      </w:tr>
      <w:tr w:rsidR="0001792F" w:rsidRPr="0001792F" w14:paraId="271E4EED" w14:textId="77777777" w:rsidTr="0001792F">
        <w:trPr>
          <w:trHeight w:val="300"/>
          <w:jc w:val="center"/>
        </w:trPr>
        <w:tc>
          <w:tcPr>
            <w:tcW w:w="4960" w:type="dxa"/>
            <w:noWrap/>
            <w:hideMark/>
          </w:tcPr>
          <w:p w14:paraId="260A5728"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Current liabilities</w:t>
            </w:r>
          </w:p>
        </w:tc>
        <w:tc>
          <w:tcPr>
            <w:tcW w:w="2180" w:type="dxa"/>
            <w:noWrap/>
            <w:hideMark/>
          </w:tcPr>
          <w:p w14:paraId="75BE7278"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2511</w:t>
            </w:r>
          </w:p>
        </w:tc>
        <w:tc>
          <w:tcPr>
            <w:tcW w:w="1760" w:type="dxa"/>
            <w:noWrap/>
            <w:hideMark/>
          </w:tcPr>
          <w:p w14:paraId="263A56BD"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3046</w:t>
            </w:r>
          </w:p>
        </w:tc>
      </w:tr>
      <w:tr w:rsidR="0001792F" w:rsidRPr="0001792F" w14:paraId="55CD2968" w14:textId="77777777" w:rsidTr="0001792F">
        <w:trPr>
          <w:trHeight w:val="300"/>
          <w:jc w:val="center"/>
        </w:trPr>
        <w:tc>
          <w:tcPr>
            <w:tcW w:w="4960" w:type="dxa"/>
            <w:noWrap/>
            <w:hideMark/>
          </w:tcPr>
          <w:p w14:paraId="50C6B1C3"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Non current liabilities</w:t>
            </w:r>
          </w:p>
        </w:tc>
        <w:tc>
          <w:tcPr>
            <w:tcW w:w="2180" w:type="dxa"/>
            <w:noWrap/>
            <w:hideMark/>
          </w:tcPr>
          <w:p w14:paraId="719E739B"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4,137</w:t>
            </w:r>
          </w:p>
        </w:tc>
        <w:tc>
          <w:tcPr>
            <w:tcW w:w="1760" w:type="dxa"/>
            <w:noWrap/>
            <w:hideMark/>
          </w:tcPr>
          <w:p w14:paraId="66C6057B"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4,129</w:t>
            </w:r>
          </w:p>
        </w:tc>
      </w:tr>
      <w:tr w:rsidR="0001792F" w:rsidRPr="0001792F" w14:paraId="32FD6953" w14:textId="77777777" w:rsidTr="0001792F">
        <w:trPr>
          <w:trHeight w:val="300"/>
          <w:jc w:val="center"/>
        </w:trPr>
        <w:tc>
          <w:tcPr>
            <w:tcW w:w="4960" w:type="dxa"/>
            <w:noWrap/>
            <w:hideMark/>
          </w:tcPr>
          <w:p w14:paraId="3ABA5FEF"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 xml:space="preserve">Total liabilities </w:t>
            </w:r>
          </w:p>
        </w:tc>
        <w:tc>
          <w:tcPr>
            <w:tcW w:w="2180" w:type="dxa"/>
            <w:noWrap/>
            <w:hideMark/>
          </w:tcPr>
          <w:p w14:paraId="1AFF35E8"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6,648</w:t>
            </w:r>
          </w:p>
        </w:tc>
        <w:tc>
          <w:tcPr>
            <w:tcW w:w="1760" w:type="dxa"/>
            <w:noWrap/>
            <w:hideMark/>
          </w:tcPr>
          <w:p w14:paraId="4BC3D634"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7,175</w:t>
            </w:r>
          </w:p>
        </w:tc>
      </w:tr>
      <w:tr w:rsidR="0001792F" w:rsidRPr="0001792F" w14:paraId="38152ED7" w14:textId="77777777" w:rsidTr="0001792F">
        <w:trPr>
          <w:trHeight w:val="300"/>
          <w:jc w:val="center"/>
        </w:trPr>
        <w:tc>
          <w:tcPr>
            <w:tcW w:w="4960" w:type="dxa"/>
            <w:noWrap/>
            <w:hideMark/>
          </w:tcPr>
          <w:p w14:paraId="3EBE663A"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Equity</w:t>
            </w:r>
          </w:p>
        </w:tc>
        <w:tc>
          <w:tcPr>
            <w:tcW w:w="2180" w:type="dxa"/>
            <w:noWrap/>
            <w:hideMark/>
          </w:tcPr>
          <w:p w14:paraId="29648714"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3,088</w:t>
            </w:r>
          </w:p>
        </w:tc>
        <w:tc>
          <w:tcPr>
            <w:tcW w:w="1760" w:type="dxa"/>
            <w:noWrap/>
            <w:hideMark/>
          </w:tcPr>
          <w:p w14:paraId="109ED319"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2,912</w:t>
            </w:r>
          </w:p>
        </w:tc>
      </w:tr>
      <w:tr w:rsidR="0001792F" w:rsidRPr="0001792F" w14:paraId="22A5A23E" w14:textId="77777777" w:rsidTr="0001792F">
        <w:trPr>
          <w:trHeight w:val="300"/>
          <w:jc w:val="center"/>
        </w:trPr>
        <w:tc>
          <w:tcPr>
            <w:tcW w:w="4960" w:type="dxa"/>
            <w:noWrap/>
            <w:hideMark/>
          </w:tcPr>
          <w:p w14:paraId="1FB2AFE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Debt to equity ratio</w:t>
            </w:r>
          </w:p>
        </w:tc>
        <w:tc>
          <w:tcPr>
            <w:tcW w:w="2180" w:type="dxa"/>
            <w:noWrap/>
            <w:hideMark/>
          </w:tcPr>
          <w:p w14:paraId="2512AA1A"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2.152849741</w:t>
            </w:r>
          </w:p>
        </w:tc>
        <w:tc>
          <w:tcPr>
            <w:tcW w:w="1760" w:type="dxa"/>
            <w:noWrap/>
            <w:hideMark/>
          </w:tcPr>
          <w:p w14:paraId="58146CFA"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2.463942308</w:t>
            </w:r>
          </w:p>
        </w:tc>
      </w:tr>
      <w:tr w:rsidR="0001792F" w:rsidRPr="0001792F" w14:paraId="3BA66DF1" w14:textId="77777777" w:rsidTr="0001792F">
        <w:trPr>
          <w:trHeight w:val="300"/>
          <w:jc w:val="center"/>
        </w:trPr>
        <w:tc>
          <w:tcPr>
            <w:tcW w:w="4960" w:type="dxa"/>
            <w:noWrap/>
            <w:hideMark/>
          </w:tcPr>
          <w:p w14:paraId="474DDBD2"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Current assets</w:t>
            </w:r>
          </w:p>
        </w:tc>
        <w:tc>
          <w:tcPr>
            <w:tcW w:w="2180" w:type="dxa"/>
            <w:noWrap/>
            <w:hideMark/>
          </w:tcPr>
          <w:p w14:paraId="10F6E314"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2511</w:t>
            </w:r>
          </w:p>
        </w:tc>
        <w:tc>
          <w:tcPr>
            <w:tcW w:w="1760" w:type="dxa"/>
            <w:noWrap/>
            <w:hideMark/>
          </w:tcPr>
          <w:p w14:paraId="6A723D4C"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3046</w:t>
            </w:r>
          </w:p>
        </w:tc>
      </w:tr>
      <w:tr w:rsidR="0001792F" w:rsidRPr="0001792F" w14:paraId="2D1D385B" w14:textId="77777777" w:rsidTr="0001792F">
        <w:trPr>
          <w:trHeight w:val="300"/>
          <w:jc w:val="center"/>
        </w:trPr>
        <w:tc>
          <w:tcPr>
            <w:tcW w:w="4960" w:type="dxa"/>
            <w:noWrap/>
            <w:hideMark/>
          </w:tcPr>
          <w:p w14:paraId="7AD48E83"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 xml:space="preserve">Inventory </w:t>
            </w:r>
          </w:p>
        </w:tc>
        <w:tc>
          <w:tcPr>
            <w:tcW w:w="2180" w:type="dxa"/>
            <w:noWrap/>
            <w:hideMark/>
          </w:tcPr>
          <w:p w14:paraId="476C413C"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708</w:t>
            </w:r>
          </w:p>
        </w:tc>
        <w:tc>
          <w:tcPr>
            <w:tcW w:w="1760" w:type="dxa"/>
            <w:noWrap/>
            <w:hideMark/>
          </w:tcPr>
          <w:p w14:paraId="1F0F6833"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659</w:t>
            </w:r>
          </w:p>
        </w:tc>
      </w:tr>
      <w:tr w:rsidR="0001792F" w:rsidRPr="0001792F" w14:paraId="2FCD4170" w14:textId="77777777" w:rsidTr="0001792F">
        <w:trPr>
          <w:trHeight w:val="300"/>
          <w:jc w:val="center"/>
        </w:trPr>
        <w:tc>
          <w:tcPr>
            <w:tcW w:w="4960" w:type="dxa"/>
            <w:noWrap/>
            <w:hideMark/>
          </w:tcPr>
          <w:p w14:paraId="5507CE01"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Current liabilities</w:t>
            </w:r>
          </w:p>
        </w:tc>
        <w:tc>
          <w:tcPr>
            <w:tcW w:w="2180" w:type="dxa"/>
            <w:noWrap/>
            <w:hideMark/>
          </w:tcPr>
          <w:p w14:paraId="2776D920"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2511</w:t>
            </w:r>
          </w:p>
        </w:tc>
        <w:tc>
          <w:tcPr>
            <w:tcW w:w="1760" w:type="dxa"/>
            <w:noWrap/>
            <w:hideMark/>
          </w:tcPr>
          <w:p w14:paraId="15747586"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3046</w:t>
            </w:r>
          </w:p>
        </w:tc>
      </w:tr>
      <w:tr w:rsidR="0001792F" w:rsidRPr="0001792F" w14:paraId="0DAB392B" w14:textId="77777777" w:rsidTr="0001792F">
        <w:trPr>
          <w:trHeight w:val="300"/>
          <w:jc w:val="center"/>
        </w:trPr>
        <w:tc>
          <w:tcPr>
            <w:tcW w:w="4960" w:type="dxa"/>
            <w:noWrap/>
            <w:hideMark/>
          </w:tcPr>
          <w:p w14:paraId="7054428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Quick ratio </w:t>
            </w:r>
          </w:p>
        </w:tc>
        <w:tc>
          <w:tcPr>
            <w:tcW w:w="2180" w:type="dxa"/>
            <w:noWrap/>
            <w:hideMark/>
          </w:tcPr>
          <w:p w14:paraId="6B88EA8A"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0.718040621</w:t>
            </w:r>
          </w:p>
        </w:tc>
        <w:tc>
          <w:tcPr>
            <w:tcW w:w="1760" w:type="dxa"/>
            <w:noWrap/>
            <w:hideMark/>
          </w:tcPr>
          <w:p w14:paraId="7E9AA4A5"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0.783650689</w:t>
            </w:r>
          </w:p>
        </w:tc>
      </w:tr>
      <w:tr w:rsidR="0001792F" w:rsidRPr="0001792F" w14:paraId="48267E9B" w14:textId="77777777" w:rsidTr="0001792F">
        <w:trPr>
          <w:trHeight w:val="300"/>
          <w:jc w:val="center"/>
        </w:trPr>
        <w:tc>
          <w:tcPr>
            <w:tcW w:w="4960" w:type="dxa"/>
            <w:noWrap/>
            <w:hideMark/>
          </w:tcPr>
          <w:p w14:paraId="7CBCD765"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 xml:space="preserve">Net sales </w:t>
            </w:r>
          </w:p>
        </w:tc>
        <w:tc>
          <w:tcPr>
            <w:tcW w:w="2180" w:type="dxa"/>
            <w:noWrap/>
            <w:hideMark/>
          </w:tcPr>
          <w:p w14:paraId="73A04768"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6,738</w:t>
            </w:r>
          </w:p>
        </w:tc>
        <w:tc>
          <w:tcPr>
            <w:tcW w:w="1760" w:type="dxa"/>
            <w:noWrap/>
            <w:hideMark/>
          </w:tcPr>
          <w:p w14:paraId="66E05B96"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6,441</w:t>
            </w:r>
          </w:p>
        </w:tc>
      </w:tr>
      <w:tr w:rsidR="0001792F" w:rsidRPr="0001792F" w14:paraId="7374D467" w14:textId="77777777" w:rsidTr="0001792F">
        <w:trPr>
          <w:trHeight w:val="300"/>
          <w:jc w:val="center"/>
        </w:trPr>
        <w:tc>
          <w:tcPr>
            <w:tcW w:w="4960" w:type="dxa"/>
            <w:noWrap/>
            <w:hideMark/>
          </w:tcPr>
          <w:p w14:paraId="07D3D67B" w14:textId="77777777" w:rsidR="0001792F" w:rsidRPr="00E612D6" w:rsidRDefault="0001792F" w:rsidP="0001792F">
            <w:pPr>
              <w:pStyle w:val="Normal1"/>
              <w:spacing w:line="360" w:lineRule="auto"/>
              <w:jc w:val="both"/>
              <w:rPr>
                <w:rFonts w:ascii="Times New Roman" w:eastAsia="Times New Roman" w:hAnsi="Times New Roman" w:cs="Times New Roman"/>
                <w:bCs/>
                <w:sz w:val="24"/>
                <w:szCs w:val="24"/>
              </w:rPr>
            </w:pPr>
            <w:r w:rsidRPr="00E612D6">
              <w:rPr>
                <w:rFonts w:ascii="Times New Roman" w:eastAsia="Times New Roman" w:hAnsi="Times New Roman" w:cs="Times New Roman"/>
                <w:bCs/>
                <w:sz w:val="24"/>
                <w:szCs w:val="24"/>
              </w:rPr>
              <w:t xml:space="preserve">Total assests </w:t>
            </w:r>
          </w:p>
        </w:tc>
        <w:tc>
          <w:tcPr>
            <w:tcW w:w="2180" w:type="dxa"/>
            <w:noWrap/>
            <w:hideMark/>
          </w:tcPr>
          <w:p w14:paraId="64D7DBD0"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9,736</w:t>
            </w:r>
          </w:p>
        </w:tc>
        <w:tc>
          <w:tcPr>
            <w:tcW w:w="1760" w:type="dxa"/>
            <w:noWrap/>
            <w:hideMark/>
          </w:tcPr>
          <w:p w14:paraId="48189E11" w14:textId="77777777" w:rsidR="0001792F" w:rsidRPr="00E612D6" w:rsidRDefault="0001792F" w:rsidP="0001792F">
            <w:pPr>
              <w:pStyle w:val="Normal1"/>
              <w:spacing w:line="360" w:lineRule="auto"/>
              <w:jc w:val="both"/>
              <w:rPr>
                <w:rFonts w:ascii="Times New Roman" w:eastAsia="Times New Roman" w:hAnsi="Times New Roman" w:cs="Times New Roman"/>
                <w:b/>
                <w:sz w:val="24"/>
                <w:szCs w:val="24"/>
              </w:rPr>
            </w:pPr>
            <w:r w:rsidRPr="00E612D6">
              <w:rPr>
                <w:rFonts w:ascii="Times New Roman" w:eastAsia="Times New Roman" w:hAnsi="Times New Roman" w:cs="Times New Roman"/>
                <w:b/>
                <w:sz w:val="24"/>
                <w:szCs w:val="24"/>
              </w:rPr>
              <w:t>10,087</w:t>
            </w:r>
          </w:p>
        </w:tc>
      </w:tr>
      <w:tr w:rsidR="0001792F" w:rsidRPr="0001792F" w14:paraId="062F8713" w14:textId="77777777" w:rsidTr="0001792F">
        <w:trPr>
          <w:trHeight w:val="300"/>
          <w:jc w:val="center"/>
        </w:trPr>
        <w:tc>
          <w:tcPr>
            <w:tcW w:w="4960" w:type="dxa"/>
            <w:noWrap/>
            <w:hideMark/>
          </w:tcPr>
          <w:p w14:paraId="640578A3"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 xml:space="preserve">Assest turnover ratio </w:t>
            </w:r>
          </w:p>
        </w:tc>
        <w:tc>
          <w:tcPr>
            <w:tcW w:w="2180" w:type="dxa"/>
            <w:noWrap/>
            <w:hideMark/>
          </w:tcPr>
          <w:p w14:paraId="40F203EB"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0.692070666</w:t>
            </w:r>
          </w:p>
        </w:tc>
        <w:tc>
          <w:tcPr>
            <w:tcW w:w="1760" w:type="dxa"/>
            <w:noWrap/>
            <w:hideMark/>
          </w:tcPr>
          <w:p w14:paraId="1F8D2E22" w14:textId="77777777" w:rsidR="0001792F" w:rsidRPr="00E612D6" w:rsidRDefault="0001792F" w:rsidP="0001792F">
            <w:pPr>
              <w:pStyle w:val="Normal1"/>
              <w:spacing w:line="360" w:lineRule="auto"/>
              <w:jc w:val="both"/>
              <w:rPr>
                <w:rFonts w:ascii="Times New Roman" w:eastAsia="Times New Roman" w:hAnsi="Times New Roman" w:cs="Times New Roman"/>
                <w:b/>
                <w:bCs/>
                <w:sz w:val="24"/>
                <w:szCs w:val="24"/>
              </w:rPr>
            </w:pPr>
            <w:r w:rsidRPr="00E612D6">
              <w:rPr>
                <w:rFonts w:ascii="Times New Roman" w:eastAsia="Times New Roman" w:hAnsi="Times New Roman" w:cs="Times New Roman"/>
                <w:b/>
                <w:bCs/>
                <w:sz w:val="24"/>
                <w:szCs w:val="24"/>
              </w:rPr>
              <w:t>0.638544661</w:t>
            </w:r>
          </w:p>
        </w:tc>
      </w:tr>
    </w:tbl>
    <w:p w14:paraId="685DAAA2" w14:textId="77777777" w:rsidR="00536E72" w:rsidRDefault="00B13ED5" w:rsidP="00B13ED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Table 3: Ratio calculation</w:t>
      </w:r>
    </w:p>
    <w:p w14:paraId="6C67F4AC" w14:textId="77777777" w:rsidR="00B13ED5" w:rsidRPr="00B13ED5" w:rsidRDefault="00B13ED5" w:rsidP="00B13ED5">
      <w:pPr>
        <w:pStyle w:val="Normal1"/>
        <w:spacing w:line="360" w:lineRule="auto"/>
        <w:jc w:val="center"/>
        <w:rPr>
          <w:rFonts w:ascii="Times New Roman" w:eastAsia="Times New Roman" w:hAnsi="Times New Roman" w:cs="Times New Roman"/>
          <w:bCs/>
          <w:sz w:val="24"/>
          <w:szCs w:val="24"/>
          <w:lang w:val="en-GB"/>
        </w:rPr>
      </w:pPr>
      <w:r w:rsidRPr="00B13ED5">
        <w:rPr>
          <w:rFonts w:ascii="Times New Roman" w:eastAsia="Times New Roman" w:hAnsi="Times New Roman" w:cs="Times New Roman"/>
          <w:bCs/>
          <w:sz w:val="24"/>
          <w:szCs w:val="24"/>
          <w:lang w:val="en-GB"/>
        </w:rPr>
        <w:t>(Source: Self created)</w:t>
      </w:r>
    </w:p>
    <w:p w14:paraId="6B2252EF" w14:textId="77777777" w:rsidR="003F030D" w:rsidRDefault="003F030D">
      <w:pPr>
        <w:pStyle w:val="Normal1"/>
        <w:spacing w:line="360" w:lineRule="auto"/>
        <w:jc w:val="both"/>
        <w:rPr>
          <w:rFonts w:ascii="Times New Roman" w:eastAsia="Times New Roman" w:hAnsi="Times New Roman" w:cs="Times New Roman"/>
          <w:b/>
          <w:sz w:val="24"/>
          <w:szCs w:val="24"/>
          <w:lang w:val="en-GB"/>
        </w:rPr>
      </w:pPr>
    </w:p>
    <w:p w14:paraId="1ED47CC2" w14:textId="77777777" w:rsidR="003F030D" w:rsidRDefault="003F030D" w:rsidP="003F030D">
      <w:pPr>
        <w:pStyle w:val="Normal1"/>
        <w:spacing w:line="360" w:lineRule="auto"/>
        <w:jc w:val="center"/>
        <w:rPr>
          <w:rFonts w:ascii="Times New Roman" w:eastAsia="Times New Roman" w:hAnsi="Times New Roman" w:cs="Times New Roman"/>
          <w:b/>
          <w:sz w:val="24"/>
          <w:szCs w:val="24"/>
          <w:lang w:val="en-GB"/>
        </w:rPr>
      </w:pPr>
      <w:r w:rsidRPr="003F030D">
        <w:rPr>
          <w:rFonts w:ascii="Times New Roman" w:eastAsia="Times New Roman" w:hAnsi="Times New Roman" w:cs="Times New Roman"/>
          <w:b/>
          <w:noProof/>
          <w:sz w:val="24"/>
          <w:szCs w:val="24"/>
          <w:lang w:val="en-GB"/>
        </w:rPr>
        <w:lastRenderedPageBreak/>
        <w:drawing>
          <wp:inline distT="0" distB="0" distL="0" distR="0" wp14:anchorId="2CAA305E" wp14:editId="180E4FF5">
            <wp:extent cx="4591664"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C2E189" w14:textId="77777777" w:rsidR="00B13ED5" w:rsidRDefault="00B13ED5" w:rsidP="00B13ED5">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 Table 3: Ratio calculation</w:t>
      </w:r>
    </w:p>
    <w:p w14:paraId="4753346A" w14:textId="77777777" w:rsidR="00B13ED5" w:rsidRPr="00B13ED5" w:rsidRDefault="00B13ED5" w:rsidP="00B13ED5">
      <w:pPr>
        <w:pStyle w:val="Normal1"/>
        <w:spacing w:line="360" w:lineRule="auto"/>
        <w:jc w:val="center"/>
        <w:rPr>
          <w:rFonts w:ascii="Times New Roman" w:eastAsia="Times New Roman" w:hAnsi="Times New Roman" w:cs="Times New Roman"/>
          <w:bCs/>
          <w:sz w:val="24"/>
          <w:szCs w:val="24"/>
          <w:lang w:val="en-GB"/>
        </w:rPr>
      </w:pPr>
      <w:r w:rsidRPr="00B13ED5">
        <w:rPr>
          <w:rFonts w:ascii="Times New Roman" w:eastAsia="Times New Roman" w:hAnsi="Times New Roman" w:cs="Times New Roman"/>
          <w:bCs/>
          <w:sz w:val="24"/>
          <w:szCs w:val="24"/>
          <w:lang w:val="en-GB"/>
        </w:rPr>
        <w:t>(Source: Self created)</w:t>
      </w:r>
    </w:p>
    <w:p w14:paraId="5E0E92B5" w14:textId="77777777" w:rsidR="00536E72" w:rsidRPr="007C26E6" w:rsidRDefault="00635F57">
      <w:pPr>
        <w:pStyle w:val="Normal1"/>
        <w:spacing w:line="360" w:lineRule="auto"/>
        <w:jc w:val="both"/>
        <w:rPr>
          <w:rFonts w:ascii="Times New Roman" w:eastAsia="Times New Roman" w:hAnsi="Times New Roman" w:cs="Times New Roman"/>
          <w:b/>
          <w:i/>
          <w:sz w:val="24"/>
          <w:szCs w:val="24"/>
          <w:lang w:val="en-GB"/>
        </w:rPr>
      </w:pPr>
      <w:r w:rsidRPr="007C26E6">
        <w:rPr>
          <w:rFonts w:ascii="Times New Roman" w:eastAsia="Times New Roman" w:hAnsi="Times New Roman" w:cs="Times New Roman"/>
          <w:b/>
          <w:i/>
          <w:sz w:val="24"/>
          <w:szCs w:val="24"/>
          <w:lang w:val="en-GB"/>
        </w:rPr>
        <w:t>Current ratio</w:t>
      </w:r>
    </w:p>
    <w:p w14:paraId="701F1F8A"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Current ratio determines the ability of an organisation to pay off its short term obligations. A good current ratio is 1:2 (Herawati and Fauzia, 2018, p. 50). When the ratio is 1:2, it means that the company has two times more assets than its obligations and it can meet its obligations easily. From the above table, it can be identified that the current ratio of the company is 0.91 which shows that the company has enough assets to meet its obligations. </w:t>
      </w:r>
    </w:p>
    <w:p w14:paraId="7509DFA6" w14:textId="77777777" w:rsidR="00536E72" w:rsidRPr="007C26E6" w:rsidRDefault="00635F57">
      <w:pPr>
        <w:pStyle w:val="Normal1"/>
        <w:spacing w:line="360" w:lineRule="auto"/>
        <w:jc w:val="both"/>
        <w:rPr>
          <w:rFonts w:ascii="Times New Roman" w:eastAsia="Times New Roman" w:hAnsi="Times New Roman" w:cs="Times New Roman"/>
          <w:b/>
          <w:i/>
          <w:sz w:val="24"/>
          <w:szCs w:val="24"/>
          <w:lang w:val="en-GB"/>
        </w:rPr>
      </w:pPr>
      <w:r w:rsidRPr="007C26E6">
        <w:rPr>
          <w:rFonts w:ascii="Times New Roman" w:eastAsia="Times New Roman" w:hAnsi="Times New Roman" w:cs="Times New Roman"/>
          <w:b/>
          <w:i/>
          <w:sz w:val="24"/>
          <w:szCs w:val="24"/>
          <w:lang w:val="en-GB"/>
        </w:rPr>
        <w:t>Debt to equity ratio</w:t>
      </w:r>
    </w:p>
    <w:p w14:paraId="16D5E083"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The debt to equity ratio is calculated by dividing the total liabilities of the company with the total equity. Debt to equity ratio helps analysing if the company can become bankrupt in the future (Mahardhika and Marbun, 2016, p. 23). From t</w:t>
      </w:r>
      <w:r w:rsidR="002C5D5F">
        <w:rPr>
          <w:rFonts w:ascii="Times New Roman" w:eastAsia="Times New Roman" w:hAnsi="Times New Roman" w:cs="Times New Roman"/>
          <w:sz w:val="24"/>
          <w:szCs w:val="24"/>
          <w:lang w:val="en-GB"/>
        </w:rPr>
        <w:t>he above schedule of ratios, it</w:t>
      </w:r>
      <w:r w:rsidRPr="007C26E6">
        <w:rPr>
          <w:rFonts w:ascii="Times New Roman" w:eastAsia="Times New Roman" w:hAnsi="Times New Roman" w:cs="Times New Roman"/>
          <w:sz w:val="24"/>
          <w:szCs w:val="24"/>
          <w:lang w:val="en-GB"/>
        </w:rPr>
        <w:t xml:space="preserve"> can be seen that the debt to equity ratio of Choco Plc is 2.15 in 2019. However, the ratio has been 2.46 in 2018 and therefore, it can be said that the debt to equity ratio has declined in the year 2019. </w:t>
      </w:r>
    </w:p>
    <w:p w14:paraId="2612C926" w14:textId="77777777" w:rsidR="00536E72" w:rsidRPr="007C26E6" w:rsidRDefault="00635F57">
      <w:pPr>
        <w:pStyle w:val="Normal1"/>
        <w:spacing w:line="360" w:lineRule="auto"/>
        <w:jc w:val="both"/>
        <w:rPr>
          <w:rFonts w:ascii="Times New Roman" w:eastAsia="Times New Roman" w:hAnsi="Times New Roman" w:cs="Times New Roman"/>
          <w:b/>
          <w:i/>
          <w:sz w:val="24"/>
          <w:szCs w:val="24"/>
          <w:lang w:val="en-GB"/>
        </w:rPr>
      </w:pPr>
      <w:r w:rsidRPr="007C26E6">
        <w:rPr>
          <w:rFonts w:ascii="Times New Roman" w:eastAsia="Times New Roman" w:hAnsi="Times New Roman" w:cs="Times New Roman"/>
          <w:b/>
          <w:i/>
          <w:sz w:val="24"/>
          <w:szCs w:val="24"/>
          <w:lang w:val="en-GB"/>
        </w:rPr>
        <w:t>Quick ratio</w:t>
      </w:r>
    </w:p>
    <w:p w14:paraId="39BB7C30" w14:textId="77777777" w:rsidR="00536E72" w:rsidRPr="005E1D36" w:rsidRDefault="00635F57">
      <w:pPr>
        <w:pStyle w:val="Normal1"/>
        <w:spacing w:line="360" w:lineRule="auto"/>
        <w:jc w:val="both"/>
        <w:rPr>
          <w:rFonts w:ascii="Times New Roman" w:eastAsia="Times New Roman" w:hAnsi="Times New Roman" w:cs="Times New Roman"/>
          <w:b/>
          <w:bCs/>
          <w:sz w:val="24"/>
          <w:szCs w:val="24"/>
          <w:lang w:val="en-GB"/>
        </w:rPr>
      </w:pPr>
      <w:r w:rsidRPr="007C26E6">
        <w:rPr>
          <w:rFonts w:ascii="Times New Roman" w:eastAsia="Times New Roman" w:hAnsi="Times New Roman" w:cs="Times New Roman"/>
          <w:sz w:val="24"/>
          <w:szCs w:val="24"/>
          <w:lang w:val="en-GB"/>
        </w:rPr>
        <w:t xml:space="preserve">Quick ratio helps analysing the ability of an organisation to pay off its current liabilities without selling its properties, inventories or getting finances from external sources. Higher quick ratio indicates a better liquidity of the company (Purnomo, 2018, p. 15). From the schedule of the ratios of Choco Plc,it can be identified that the quick ratio of the company is 0.71 in 2019 which has been 0.78 in 2018. From this result, it can be said that the ability of the company to pay its </w:t>
      </w:r>
      <w:r w:rsidRPr="007C26E6">
        <w:rPr>
          <w:rFonts w:ascii="Times New Roman" w:eastAsia="Times New Roman" w:hAnsi="Times New Roman" w:cs="Times New Roman"/>
          <w:sz w:val="24"/>
          <w:szCs w:val="24"/>
          <w:lang w:val="en-GB"/>
        </w:rPr>
        <w:lastRenderedPageBreak/>
        <w:t xml:space="preserve">current liabilities has decreased in the current year. </w:t>
      </w:r>
      <w:r w:rsidR="005E1D36" w:rsidRPr="007C26E6">
        <w:rPr>
          <w:rFonts w:ascii="Times New Roman" w:eastAsia="Times New Roman" w:hAnsi="Times New Roman" w:cs="Times New Roman"/>
          <w:sz w:val="24"/>
          <w:szCs w:val="24"/>
          <w:lang w:val="en-GB"/>
        </w:rPr>
        <w:t>Therefore, the sales of the company can decrease in the coming financial year.</w:t>
      </w:r>
    </w:p>
    <w:p w14:paraId="68981EEB" w14:textId="77777777" w:rsidR="00536E72" w:rsidRPr="00E612D6" w:rsidRDefault="007331E5">
      <w:pPr>
        <w:pStyle w:val="Normal1"/>
        <w:spacing w:line="360" w:lineRule="auto"/>
        <w:jc w:val="both"/>
        <w:rPr>
          <w:rFonts w:ascii="Times New Roman" w:eastAsia="Times New Roman" w:hAnsi="Times New Roman" w:cs="Times New Roman"/>
          <w:b/>
          <w:i/>
          <w:sz w:val="24"/>
          <w:szCs w:val="24"/>
          <w:lang w:val="en-GB"/>
        </w:rPr>
      </w:pPr>
      <w:r w:rsidRPr="00E612D6">
        <w:rPr>
          <w:rFonts w:ascii="Times New Roman" w:eastAsia="Times New Roman" w:hAnsi="Times New Roman" w:cs="Times New Roman"/>
          <w:b/>
          <w:i/>
          <w:sz w:val="24"/>
          <w:szCs w:val="24"/>
          <w:lang w:val="en-GB"/>
        </w:rPr>
        <w:t>Asset turnover ratio</w:t>
      </w:r>
    </w:p>
    <w:p w14:paraId="2EE70346" w14:textId="77777777" w:rsidR="006F3316" w:rsidRPr="00E612D6" w:rsidRDefault="006F3316" w:rsidP="00ED4941">
      <w:pPr>
        <w:pStyle w:val="Heading2"/>
        <w:rPr>
          <w:b w:val="0"/>
          <w:lang w:val="en-GB"/>
        </w:rPr>
      </w:pPr>
      <w:bookmarkStart w:id="6" w:name="_Toc55489977"/>
      <w:r w:rsidRPr="00E612D6">
        <w:rPr>
          <w:b w:val="0"/>
          <w:lang w:val="en-GB"/>
        </w:rPr>
        <w:t>The ratio of asset turnover calculates the value of the sales or earnings of a company compared to the value of its properties. The asset turnover ratio can be used as a measure of the efficiency with which a business produces revenue using its assets. The more effective a corporation is at producing income from its assets, the higher the asset turnover ratio. Conversely, if a business has a low asset turnover ratio, it means that it does not use its assets effectively to produce revenue.</w:t>
      </w:r>
      <w:r w:rsidR="003E219B" w:rsidRPr="00E612D6">
        <w:rPr>
          <w:b w:val="0"/>
          <w:lang w:val="en-GB"/>
        </w:rPr>
        <w:t xml:space="preserve"> For the present company, it is seen that their asset turnover ratio has increased from 2018 to 2019 so it shows that the asset turnover of the company has been successful in the last year. </w:t>
      </w:r>
    </w:p>
    <w:p w14:paraId="6F756F77" w14:textId="77777777" w:rsidR="00536E72" w:rsidRPr="007C26E6" w:rsidRDefault="00635F57" w:rsidP="00ED4941">
      <w:pPr>
        <w:pStyle w:val="Heading2"/>
        <w:rPr>
          <w:lang w:val="en-GB"/>
        </w:rPr>
      </w:pPr>
      <w:r w:rsidRPr="007C26E6">
        <w:rPr>
          <w:lang w:val="en-GB"/>
        </w:rPr>
        <w:t>b) Ratio analysis and commenting on the company’s financial position</w:t>
      </w:r>
      <w:bookmarkEnd w:id="6"/>
    </w:p>
    <w:p w14:paraId="07421CAC" w14:textId="77777777" w:rsidR="00536E72" w:rsidRPr="00E612D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From the ratio analysis, it can be seen that the current ratio, quick ratio and debt to equity ratio of the company has been decreased in the current year as compared to the previous financial year. Therefore, it can be said that the ability of the company to pay off its current liabilities without selling its inventories and properties has decreased considerably in the year 2019. The company can face difficulties to pay off its debts and if the company cannot develop effective strategies to manage its liquidity, there are chances of bankruptcy. </w:t>
      </w:r>
      <w:r w:rsidR="0043459E">
        <w:rPr>
          <w:rFonts w:ascii="Times New Roman" w:eastAsia="Times New Roman" w:hAnsi="Times New Roman" w:cs="Times New Roman"/>
          <w:sz w:val="24"/>
          <w:szCs w:val="24"/>
          <w:lang w:val="en-GB"/>
        </w:rPr>
        <w:t xml:space="preserve">The current ratio of the company has increased by 0.91% from 2018 to 2019 and </w:t>
      </w:r>
      <w:r w:rsidR="00AF769F">
        <w:rPr>
          <w:rFonts w:ascii="Times New Roman" w:eastAsia="Times New Roman" w:hAnsi="Times New Roman" w:cs="Times New Roman"/>
          <w:sz w:val="24"/>
          <w:szCs w:val="24"/>
          <w:lang w:val="en-GB"/>
        </w:rPr>
        <w:t xml:space="preserve">profitability ratio has also increased by 9.20%. On the other hand, debt to equity ratio of the company has decreased by 2.15% so it shows a contradiction in the financial position of the Chocos Plc Company. </w:t>
      </w:r>
      <w:r w:rsidRPr="007C26E6">
        <w:rPr>
          <w:rFonts w:ascii="Times New Roman" w:eastAsia="Times New Roman" w:hAnsi="Times New Roman" w:cs="Times New Roman"/>
          <w:sz w:val="24"/>
          <w:szCs w:val="24"/>
          <w:lang w:val="en-GB"/>
        </w:rPr>
        <w:t xml:space="preserve">The inventory turnover ratio of the company has also decreased in the year 2019 as compared to that of 2018. Therefore, the company’s </w:t>
      </w:r>
      <w:r w:rsidRPr="00E612D6">
        <w:rPr>
          <w:rFonts w:ascii="Times New Roman" w:eastAsia="Times New Roman" w:hAnsi="Times New Roman" w:cs="Times New Roman"/>
          <w:sz w:val="24"/>
          <w:szCs w:val="24"/>
          <w:lang w:val="en-GB"/>
        </w:rPr>
        <w:t xml:space="preserve">ability to generate revenues and profits by selling its inventories has also decreased in the current year (Fisher </w:t>
      </w:r>
      <w:r w:rsidRPr="00E612D6">
        <w:rPr>
          <w:rFonts w:ascii="Times New Roman" w:eastAsia="Times New Roman" w:hAnsi="Times New Roman" w:cs="Times New Roman"/>
          <w:i/>
          <w:sz w:val="24"/>
          <w:szCs w:val="24"/>
          <w:lang w:val="en-GB"/>
        </w:rPr>
        <w:t xml:space="preserve">et al. </w:t>
      </w:r>
      <w:r w:rsidRPr="00E612D6">
        <w:rPr>
          <w:rFonts w:ascii="Times New Roman" w:eastAsia="Times New Roman" w:hAnsi="Times New Roman" w:cs="Times New Roman"/>
          <w:sz w:val="24"/>
          <w:szCs w:val="24"/>
          <w:lang w:val="en-GB"/>
        </w:rPr>
        <w:t xml:space="preserve">2016, p. 44). However, the profitability of the company has increased in the current year and therefore, it can be said that the company can earn more profit and can meet its obligations. </w:t>
      </w:r>
      <w:r w:rsidR="004B7286" w:rsidRPr="00E612D6">
        <w:rPr>
          <w:rFonts w:ascii="Times New Roman" w:eastAsia="Times New Roman" w:hAnsi="Times New Roman" w:cs="Times New Roman"/>
          <w:sz w:val="24"/>
          <w:szCs w:val="24"/>
          <w:lang w:val="en-GB"/>
        </w:rPr>
        <w:t xml:space="preserve">It can be seen that the asset turnover ratio of the company was 0.63 in the year 2018 but it had increased suitably by 0.69% in the year 2019. It proves that the company has been able to acquire new potential assets </w:t>
      </w:r>
      <w:r w:rsidR="00FE7A67" w:rsidRPr="00E612D6">
        <w:rPr>
          <w:rFonts w:ascii="Times New Roman" w:eastAsia="Times New Roman" w:hAnsi="Times New Roman" w:cs="Times New Roman"/>
          <w:sz w:val="24"/>
          <w:szCs w:val="24"/>
          <w:lang w:val="en-GB"/>
        </w:rPr>
        <w:t xml:space="preserve">through which they could work on paying off their debts. It also proves that the company is currently situated at a profitable position because all of the financial ratios seem to improve from 2018 to 2019. </w:t>
      </w:r>
    </w:p>
    <w:p w14:paraId="0E52B074" w14:textId="2E0443EE" w:rsidR="003D12A0" w:rsidRPr="00E612D6" w:rsidRDefault="003D12A0">
      <w:pPr>
        <w:pStyle w:val="Normal1"/>
        <w:spacing w:line="360" w:lineRule="auto"/>
        <w:jc w:val="both"/>
        <w:rPr>
          <w:rFonts w:ascii="Times New Roman" w:eastAsia="Times New Roman" w:hAnsi="Times New Roman" w:cs="Times New Roman"/>
          <w:sz w:val="24"/>
          <w:szCs w:val="24"/>
          <w:lang w:val="en-GB"/>
        </w:rPr>
      </w:pPr>
      <w:r w:rsidRPr="00E612D6">
        <w:rPr>
          <w:rFonts w:ascii="Times New Roman" w:eastAsia="Times New Roman" w:hAnsi="Times New Roman" w:cs="Times New Roman"/>
          <w:sz w:val="24"/>
          <w:szCs w:val="24"/>
          <w:lang w:val="en-GB"/>
        </w:rPr>
        <w:lastRenderedPageBreak/>
        <w:t>A business like Chocco plc's economic output can be calculated by the company's financial statement, such as the company's profit rate, the company's revenue rate, and the company's ratio plan estimates. It is necessary to note that the higher the organisation's ratio, the more effective the revenue generation organisation is. Chocco Plc's financial statement reveals that both the company's sales and profit rate have risen substantially since 2018.</w:t>
      </w:r>
    </w:p>
    <w:p w14:paraId="74AEBB87" w14:textId="6E5D217A"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05DA33D8" w14:textId="731FC141"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2445C038" w14:textId="31ED91B4"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01FB6256" w14:textId="2CF4EADA"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4AE287EF" w14:textId="2617A949"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74C6246B" w14:textId="23C82B54" w:rsidR="001E2BF9" w:rsidRDefault="001E2BF9">
      <w:pPr>
        <w:pStyle w:val="Normal1"/>
        <w:spacing w:line="360" w:lineRule="auto"/>
        <w:jc w:val="both"/>
        <w:rPr>
          <w:rFonts w:ascii="Times New Roman" w:eastAsia="Times New Roman" w:hAnsi="Times New Roman" w:cs="Times New Roman"/>
          <w:color w:val="FF0000"/>
          <w:sz w:val="24"/>
          <w:szCs w:val="24"/>
          <w:lang w:val="en-GB"/>
        </w:rPr>
      </w:pPr>
    </w:p>
    <w:p w14:paraId="5132E96F" w14:textId="29323B2A"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07148D0F" w14:textId="3A7420E9"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141F67C9" w14:textId="13DD3508"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2848316D" w14:textId="749CDAF1"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4088402B" w14:textId="46128BC3"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50887F05" w14:textId="1F7DD216"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38F165B7" w14:textId="1FD80183"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3CBEC4E0" w14:textId="7D938762"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1FBDBBC8" w14:textId="4CD9A0D3"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53FBAF32" w14:textId="797CE442"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474DA2AD" w14:textId="08669381"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6235685E" w14:textId="35F1DA4E"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1A50BB5A" w14:textId="26303D72"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23B1F869" w14:textId="7D939E3F"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232AC961" w14:textId="3B7C56B2"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2C16B6F1" w14:textId="7E7511F1"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6C3E34F2" w14:textId="2982256C"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00E25D4E" w14:textId="07222E3D"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455496C7" w14:textId="77777777" w:rsidR="00E612D6" w:rsidRDefault="00E612D6">
      <w:pPr>
        <w:pStyle w:val="Normal1"/>
        <w:spacing w:line="360" w:lineRule="auto"/>
        <w:jc w:val="both"/>
        <w:rPr>
          <w:rFonts w:ascii="Times New Roman" w:eastAsia="Times New Roman" w:hAnsi="Times New Roman" w:cs="Times New Roman"/>
          <w:color w:val="FF0000"/>
          <w:sz w:val="24"/>
          <w:szCs w:val="24"/>
          <w:lang w:val="en-GB"/>
        </w:rPr>
      </w:pPr>
    </w:p>
    <w:p w14:paraId="24F708CE" w14:textId="77777777" w:rsidR="001E2BF9" w:rsidRPr="003D12A0" w:rsidRDefault="001E2BF9">
      <w:pPr>
        <w:pStyle w:val="Normal1"/>
        <w:spacing w:line="360" w:lineRule="auto"/>
        <w:jc w:val="both"/>
        <w:rPr>
          <w:rFonts w:ascii="Times New Roman" w:eastAsia="Times New Roman" w:hAnsi="Times New Roman" w:cs="Times New Roman"/>
          <w:color w:val="FF0000"/>
          <w:sz w:val="24"/>
          <w:szCs w:val="24"/>
          <w:lang w:val="en-GB"/>
        </w:rPr>
      </w:pPr>
    </w:p>
    <w:p w14:paraId="15480DF0" w14:textId="5929339C" w:rsidR="00536E72" w:rsidRPr="007C26E6" w:rsidRDefault="00635F57" w:rsidP="00E612D6">
      <w:pPr>
        <w:pStyle w:val="Heading1"/>
        <w:jc w:val="center"/>
        <w:rPr>
          <w:lang w:val="en-GB"/>
        </w:rPr>
      </w:pPr>
      <w:bookmarkStart w:id="7" w:name="_Toc55489978"/>
      <w:r w:rsidRPr="007C26E6">
        <w:rPr>
          <w:lang w:val="en-GB"/>
        </w:rPr>
        <w:lastRenderedPageBreak/>
        <w:t>Conclusion</w:t>
      </w:r>
      <w:bookmarkEnd w:id="7"/>
    </w:p>
    <w:p w14:paraId="084B61B8"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rFonts w:ascii="Times New Roman" w:eastAsia="Times New Roman" w:hAnsi="Times New Roman" w:cs="Times New Roman"/>
          <w:sz w:val="24"/>
          <w:szCs w:val="24"/>
          <w:lang w:val="en-GB"/>
        </w:rPr>
        <w:t xml:space="preserve">An income statement provides information regarding the shares, tax, revenues, equities, profit and loss of a company. Therefore, an income statement can be used as a document for analysing the business performance and financial ability of an organisation. These financial details help the shareholders to analyse the financial performance of the company for developing investment strategies. In this study, an income statement and a balance sheet has been prepared for Eccles Plc. On the other hand, the financial position of Choco Plc has been analysed based on its income statement and balance sheet. The study improves the understanding of financial analysts regarding the use of income statements and balance sheets. It has been revealed in the study that the financial position of Eccles Plc has been improved in the current year while the financial position of Choco Plc has declined in the current year. </w:t>
      </w:r>
    </w:p>
    <w:p w14:paraId="4EF085CB" w14:textId="77777777" w:rsidR="00ED4941" w:rsidRPr="007C26E6" w:rsidRDefault="00ED4941">
      <w:pPr>
        <w:rPr>
          <w:rFonts w:ascii="Times New Roman" w:eastAsia="Times New Roman" w:hAnsi="Times New Roman" w:cs="Times New Roman"/>
          <w:b/>
          <w:sz w:val="24"/>
          <w:szCs w:val="24"/>
          <w:lang w:val="en-GB"/>
        </w:rPr>
      </w:pPr>
      <w:r w:rsidRPr="007C26E6">
        <w:rPr>
          <w:lang w:val="en-GB"/>
        </w:rPr>
        <w:br w:type="page"/>
      </w:r>
    </w:p>
    <w:p w14:paraId="7C498E31" w14:textId="77777777" w:rsidR="00ED4941" w:rsidRPr="007C26E6" w:rsidRDefault="00ED4941" w:rsidP="00ED4941">
      <w:pPr>
        <w:pStyle w:val="Heading1"/>
        <w:rPr>
          <w:lang w:val="en-GB"/>
        </w:rPr>
      </w:pPr>
      <w:bookmarkStart w:id="8" w:name="_Toc55489979"/>
      <w:r w:rsidRPr="007C26E6">
        <w:rPr>
          <w:lang w:val="en-GB"/>
        </w:rPr>
        <w:lastRenderedPageBreak/>
        <w:t>References</w:t>
      </w:r>
      <w:bookmarkEnd w:id="8"/>
    </w:p>
    <w:p w14:paraId="2CE0D8A6"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Berker, S., 2018. A combinatorial argument against practical reasons for belief. Analytic Philosophy, 59(4), pp.427-70.</w:t>
      </w:r>
    </w:p>
    <w:p w14:paraId="48E4330B"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Brede, M. and Henn, C., 2019. Finland’s public sector balance sheet. Baltic Journal of Economics, 19(1), pp.176-194.</w:t>
      </w:r>
    </w:p>
    <w:p w14:paraId="7587058F"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Ciuhureanu, A.T., 2017. Exploratory Study on the Capitalization of Accounting Information by Financial Constructions Determined on the Basis of the Balance Sheet. Scientific Bulletin, 22(2), pp.79-85.</w:t>
      </w:r>
    </w:p>
    <w:p w14:paraId="57ED339D"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Fisher, G.S., Shah, R. and Titman, S., 2016. Analyst long-term growth forecasts, accounting fundamentals and stock returns. Accounting Fundamentals and Stock Returns (April 4, 2016).</w:t>
      </w:r>
    </w:p>
    <w:p w14:paraId="41E1E0D5"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Herawati, A. and Fauzia, F.I., 2018. The Effect of Current Ratio, Debt to Equity Ratio and Return on Asset on Dividend Payout Ratio in Sub-sector Automotive and Component Listed in Indonesia Stock Exchange in Period 2012–2016. KnE Social Sciences.</w:t>
      </w:r>
    </w:p>
    <w:p w14:paraId="117B1A35"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Kadim, A., Sunardi, N. and Husain, T., 2020. The modeling firm's value based on financial ratios, intellectual capital and dividend policy. Accounting, 6(5), pp.859-870.</w:t>
      </w:r>
    </w:p>
    <w:p w14:paraId="3AA91A07"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Karavias, Y., Spilioti, S. and Tzavalis, E., 2020. Investor sentiment effects on share price deviations from their intrinsic values based on accounting fundamentals. Review of Quantitative Finance and Accounting, pp.1-29.</w:t>
      </w:r>
    </w:p>
    <w:p w14:paraId="04584FEB"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Mahardhika, P.A. and Marbun, D., 2016. Pengaruh Current Ratio Dan Debt To Equity Ratio Terhadap Return On Assets. Widyakala: Journal Of Pembangunan Jaya University, 3, pp.23-28.</w:t>
      </w:r>
    </w:p>
    <w:p w14:paraId="4AFEA7E3"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Monte</w:t>
      </w:r>
      <w:r w:rsidRPr="007C26E6">
        <w:rPr>
          <w:rFonts w:ascii="Cambria Math" w:hAnsi="Cambria Math" w:cs="Times New Roman"/>
          <w:color w:val="222222"/>
          <w:sz w:val="24"/>
          <w:szCs w:val="24"/>
          <w:shd w:val="clear" w:color="auto" w:fill="FFFFFF"/>
          <w:lang w:val="en-GB"/>
        </w:rPr>
        <w:t>‐</w:t>
      </w:r>
      <w:r w:rsidRPr="007C26E6">
        <w:rPr>
          <w:rFonts w:ascii="Times New Roman" w:hAnsi="Times New Roman" w:cs="Times New Roman"/>
          <w:color w:val="222222"/>
          <w:sz w:val="24"/>
          <w:szCs w:val="24"/>
          <w:shd w:val="clear" w:color="auto" w:fill="FFFFFF"/>
          <w:lang w:val="en-GB"/>
        </w:rPr>
        <w:t>Mor, D.S., Galdi, F.C. and Costa, C.M., 2018. The role of accounting fundamentals and other information in analyst forecast errors. International Finance, 21(2), pp.175-194.</w:t>
      </w:r>
    </w:p>
    <w:p w14:paraId="267B8E2D"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Nallusamy, S., Balaji, R. and Sundar, S., 2017. Proposed model for inventory review policy through ABC analysis in an automotive manufacturing industry. In International Journal of Engineering Research in Africa (Vol. 29, pp. 165-174). Trans Tech Publications Ltd.</w:t>
      </w:r>
    </w:p>
    <w:p w14:paraId="6D0A1E99"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Nichols, D.C., Wahlen, J.M. and Wieland, M.M., 2017. Pricing and Mispricing of Accounting Fundamentals in the Time</w:t>
      </w:r>
      <w:r w:rsidRPr="007C26E6">
        <w:rPr>
          <w:rFonts w:ascii="Cambria Math" w:hAnsi="Cambria Math" w:cs="Times New Roman"/>
          <w:color w:val="222222"/>
          <w:sz w:val="24"/>
          <w:szCs w:val="24"/>
          <w:shd w:val="clear" w:color="auto" w:fill="FFFFFF"/>
          <w:lang w:val="en-GB"/>
        </w:rPr>
        <w:t>‐</w:t>
      </w:r>
      <w:r w:rsidRPr="007C26E6">
        <w:rPr>
          <w:rFonts w:ascii="Times New Roman" w:hAnsi="Times New Roman" w:cs="Times New Roman"/>
          <w:color w:val="222222"/>
          <w:sz w:val="24"/>
          <w:szCs w:val="24"/>
          <w:shd w:val="clear" w:color="auto" w:fill="FFFFFF"/>
          <w:lang w:val="en-GB"/>
        </w:rPr>
        <w:t>Series and in the Cross Section. Contemporary Accounting Research, 34(3), pp.1378-1417.</w:t>
      </w:r>
    </w:p>
    <w:p w14:paraId="3844D403"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Okeke, R.C. and Nwankpa, L.O., 2017. The accounting fundamentals of multilevel marketing, income security and the poverty challenge in Nigeria. World Scientific News, 77(2), pp.281-297.</w:t>
      </w:r>
    </w:p>
    <w:p w14:paraId="43863774"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lastRenderedPageBreak/>
        <w:t>Purnomo, A., 2018. Influence of The Ratio of Profit Margin, Financial Leverage Ratio, Current Ratio, Quick Ratio Against The Conditions and Financial Distress. Indonesian Journal of Business, Accounting and Management, 1(1).</w:t>
      </w:r>
    </w:p>
    <w:p w14:paraId="0F0A381B" w14:textId="77777777" w:rsidR="00ED4941" w:rsidRPr="007C26E6" w:rsidRDefault="00ED4941" w:rsidP="00ED4941">
      <w:pPr>
        <w:spacing w:line="360" w:lineRule="auto"/>
        <w:jc w:val="both"/>
        <w:rPr>
          <w:rFonts w:ascii="Times New Roman" w:hAnsi="Times New Roman" w:cs="Times New Roman"/>
          <w:color w:val="222222"/>
          <w:sz w:val="24"/>
          <w:szCs w:val="24"/>
          <w:shd w:val="clear" w:color="auto" w:fill="FFFFFF"/>
          <w:lang w:val="en-GB"/>
        </w:rPr>
      </w:pPr>
      <w:r w:rsidRPr="007C26E6">
        <w:rPr>
          <w:rFonts w:ascii="Times New Roman" w:hAnsi="Times New Roman" w:cs="Times New Roman"/>
          <w:color w:val="222222"/>
          <w:sz w:val="24"/>
          <w:szCs w:val="24"/>
          <w:shd w:val="clear" w:color="auto" w:fill="FFFFFF"/>
          <w:lang w:val="en-GB"/>
        </w:rPr>
        <w:t>Saros, D.E., 2020. Balance of Payments Accounting and Theories of Currency Markets. Principles of Political Economy, 3e.</w:t>
      </w:r>
    </w:p>
    <w:p w14:paraId="16172AEB" w14:textId="77777777" w:rsidR="00ED4941" w:rsidRPr="007C26E6" w:rsidRDefault="00ED4941" w:rsidP="00ED4941">
      <w:pPr>
        <w:spacing w:line="360" w:lineRule="auto"/>
        <w:jc w:val="both"/>
        <w:rPr>
          <w:rFonts w:ascii="Times New Roman" w:hAnsi="Times New Roman" w:cs="Times New Roman"/>
          <w:lang w:val="en-GB"/>
        </w:rPr>
      </w:pPr>
      <w:r w:rsidRPr="007C26E6">
        <w:rPr>
          <w:rFonts w:ascii="Times New Roman" w:hAnsi="Times New Roman" w:cs="Times New Roman"/>
          <w:color w:val="222222"/>
          <w:sz w:val="24"/>
          <w:szCs w:val="24"/>
          <w:shd w:val="clear" w:color="auto" w:fill="FFFFFF"/>
          <w:lang w:val="en-GB"/>
        </w:rPr>
        <w:t>Satryo, A.G., Rokhmania, N.A. and Diptyana, P., 2017. The influence of profitability ratio, market ratio, and solvency ratio on the share prices of companies listed on LQ 45 index. The Indonesian Accounting Review, 6(1), pp.55-66.</w:t>
      </w:r>
    </w:p>
    <w:p w14:paraId="11D63B50" w14:textId="77777777" w:rsidR="00ED4941" w:rsidRPr="007C26E6" w:rsidRDefault="00ED4941" w:rsidP="00ED4941">
      <w:pPr>
        <w:pStyle w:val="Normal1"/>
        <w:rPr>
          <w:lang w:val="en-GB"/>
        </w:rPr>
      </w:pPr>
    </w:p>
    <w:p w14:paraId="62AE198B" w14:textId="77777777" w:rsidR="00536E72" w:rsidRPr="007C26E6" w:rsidRDefault="00635F57">
      <w:pPr>
        <w:pStyle w:val="Normal1"/>
        <w:spacing w:line="360" w:lineRule="auto"/>
        <w:jc w:val="both"/>
        <w:rPr>
          <w:rFonts w:ascii="Times New Roman" w:eastAsia="Times New Roman" w:hAnsi="Times New Roman" w:cs="Times New Roman"/>
          <w:sz w:val="24"/>
          <w:szCs w:val="24"/>
          <w:lang w:val="en-GB"/>
        </w:rPr>
      </w:pPr>
      <w:r w:rsidRPr="007C26E6">
        <w:rPr>
          <w:lang w:val="en-GB"/>
        </w:rPr>
        <w:br w:type="page"/>
      </w:r>
    </w:p>
    <w:p w14:paraId="4C16CD26" w14:textId="77777777" w:rsidR="00536E72" w:rsidRPr="007C26E6" w:rsidRDefault="00536E72">
      <w:pPr>
        <w:pStyle w:val="Normal1"/>
        <w:spacing w:line="360" w:lineRule="auto"/>
        <w:jc w:val="both"/>
        <w:rPr>
          <w:rFonts w:ascii="Times New Roman" w:eastAsia="Times New Roman" w:hAnsi="Times New Roman" w:cs="Times New Roman"/>
          <w:b/>
          <w:sz w:val="24"/>
          <w:szCs w:val="24"/>
          <w:lang w:val="en-GB"/>
        </w:rPr>
      </w:pPr>
    </w:p>
    <w:p w14:paraId="21C91AF9" w14:textId="77777777" w:rsidR="00536E72" w:rsidRPr="007C26E6" w:rsidRDefault="00536E72">
      <w:pPr>
        <w:pStyle w:val="Normal1"/>
        <w:spacing w:before="240" w:after="240" w:line="360" w:lineRule="auto"/>
        <w:jc w:val="both"/>
        <w:rPr>
          <w:rFonts w:ascii="Times New Roman" w:eastAsia="Times New Roman" w:hAnsi="Times New Roman" w:cs="Times New Roman"/>
          <w:sz w:val="24"/>
          <w:szCs w:val="24"/>
          <w:lang w:val="en-GB"/>
        </w:rPr>
      </w:pPr>
    </w:p>
    <w:p w14:paraId="3B1C9913" w14:textId="77777777" w:rsidR="00536E72" w:rsidRPr="007C26E6" w:rsidRDefault="00536E72">
      <w:pPr>
        <w:pStyle w:val="Normal1"/>
        <w:spacing w:line="360" w:lineRule="auto"/>
        <w:jc w:val="both"/>
        <w:rPr>
          <w:rFonts w:ascii="Times New Roman" w:eastAsia="Times New Roman" w:hAnsi="Times New Roman" w:cs="Times New Roman"/>
          <w:sz w:val="24"/>
          <w:szCs w:val="24"/>
          <w:lang w:val="en-GB"/>
        </w:rPr>
      </w:pPr>
    </w:p>
    <w:sectPr w:rsidR="00536E72" w:rsidRPr="007C26E6" w:rsidSect="00EF1AA1">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4C4900" w14:textId="77777777" w:rsidR="0034706E" w:rsidRDefault="0034706E" w:rsidP="00EF1AA1">
      <w:pPr>
        <w:spacing w:line="240" w:lineRule="auto"/>
      </w:pPr>
      <w:r>
        <w:separator/>
      </w:r>
    </w:p>
  </w:endnote>
  <w:endnote w:type="continuationSeparator" w:id="0">
    <w:p w14:paraId="0A83F9FB" w14:textId="77777777" w:rsidR="0034706E" w:rsidRDefault="0034706E" w:rsidP="00EF1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90748"/>
      <w:docPartObj>
        <w:docPartGallery w:val="Page Numbers (Bottom of Page)"/>
        <w:docPartUnique/>
      </w:docPartObj>
    </w:sdtPr>
    <w:sdtEndPr>
      <w:rPr>
        <w:rFonts w:ascii="Times New Roman" w:hAnsi="Times New Roman" w:cs="Times New Roman"/>
        <w:sz w:val="20"/>
        <w:szCs w:val="20"/>
      </w:rPr>
    </w:sdtEndPr>
    <w:sdtContent>
      <w:p w14:paraId="6A183DA0" w14:textId="77777777" w:rsidR="00FE7A67" w:rsidRDefault="00FE7A67">
        <w:pPr>
          <w:pStyle w:val="Footer"/>
          <w:jc w:val="right"/>
        </w:pPr>
        <w:r w:rsidRPr="00EF1AA1">
          <w:rPr>
            <w:rFonts w:ascii="Times New Roman" w:hAnsi="Times New Roman" w:cs="Times New Roman"/>
            <w:sz w:val="20"/>
            <w:szCs w:val="20"/>
          </w:rPr>
          <w:fldChar w:fldCharType="begin"/>
        </w:r>
        <w:r w:rsidRPr="00EF1AA1">
          <w:rPr>
            <w:rFonts w:ascii="Times New Roman" w:hAnsi="Times New Roman" w:cs="Times New Roman"/>
            <w:sz w:val="20"/>
            <w:szCs w:val="20"/>
          </w:rPr>
          <w:instrText xml:space="preserve"> PAGE   \* MERGEFORMAT </w:instrText>
        </w:r>
        <w:r w:rsidRPr="00EF1AA1">
          <w:rPr>
            <w:rFonts w:ascii="Times New Roman" w:hAnsi="Times New Roman" w:cs="Times New Roman"/>
            <w:sz w:val="20"/>
            <w:szCs w:val="20"/>
          </w:rPr>
          <w:fldChar w:fldCharType="separate"/>
        </w:r>
        <w:r w:rsidR="00A10ACE">
          <w:rPr>
            <w:rFonts w:ascii="Times New Roman" w:hAnsi="Times New Roman" w:cs="Times New Roman"/>
            <w:noProof/>
            <w:sz w:val="20"/>
            <w:szCs w:val="20"/>
          </w:rPr>
          <w:t>4</w:t>
        </w:r>
        <w:r w:rsidRPr="00EF1AA1">
          <w:rPr>
            <w:rFonts w:ascii="Times New Roman" w:hAnsi="Times New Roman" w:cs="Times New Roman"/>
            <w:sz w:val="20"/>
            <w:szCs w:val="20"/>
          </w:rPr>
          <w:fldChar w:fldCharType="end"/>
        </w:r>
      </w:p>
    </w:sdtContent>
  </w:sdt>
  <w:p w14:paraId="3F011637" w14:textId="77777777" w:rsidR="00FE7A67" w:rsidRDefault="00FE7A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0AA8C" w14:textId="77777777" w:rsidR="0034706E" w:rsidRDefault="0034706E" w:rsidP="00EF1AA1">
      <w:pPr>
        <w:spacing w:line="240" w:lineRule="auto"/>
      </w:pPr>
      <w:r>
        <w:separator/>
      </w:r>
    </w:p>
  </w:footnote>
  <w:footnote w:type="continuationSeparator" w:id="0">
    <w:p w14:paraId="5F51F1D8" w14:textId="77777777" w:rsidR="0034706E" w:rsidRDefault="0034706E" w:rsidP="00EF1A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36E72"/>
    <w:rsid w:val="0001792F"/>
    <w:rsid w:val="00057CE5"/>
    <w:rsid w:val="000C325E"/>
    <w:rsid w:val="001720DD"/>
    <w:rsid w:val="001E2BF9"/>
    <w:rsid w:val="002C5D5F"/>
    <w:rsid w:val="00300197"/>
    <w:rsid w:val="00332CC4"/>
    <w:rsid w:val="0034706E"/>
    <w:rsid w:val="0034730D"/>
    <w:rsid w:val="003A77F1"/>
    <w:rsid w:val="003C2C4D"/>
    <w:rsid w:val="003D12A0"/>
    <w:rsid w:val="003E219B"/>
    <w:rsid w:val="003F030D"/>
    <w:rsid w:val="00424F51"/>
    <w:rsid w:val="0043459E"/>
    <w:rsid w:val="00457BAC"/>
    <w:rsid w:val="004B7286"/>
    <w:rsid w:val="00536E72"/>
    <w:rsid w:val="00553AA2"/>
    <w:rsid w:val="005E1D36"/>
    <w:rsid w:val="00635F57"/>
    <w:rsid w:val="00694FE6"/>
    <w:rsid w:val="006B7C8B"/>
    <w:rsid w:val="006F3316"/>
    <w:rsid w:val="007130A7"/>
    <w:rsid w:val="007331E5"/>
    <w:rsid w:val="007504BD"/>
    <w:rsid w:val="007603C6"/>
    <w:rsid w:val="007A59C6"/>
    <w:rsid w:val="007C26E6"/>
    <w:rsid w:val="007D5B9C"/>
    <w:rsid w:val="0082020E"/>
    <w:rsid w:val="008C4B60"/>
    <w:rsid w:val="0092593A"/>
    <w:rsid w:val="00980224"/>
    <w:rsid w:val="009A55AD"/>
    <w:rsid w:val="00A10ACE"/>
    <w:rsid w:val="00A47487"/>
    <w:rsid w:val="00A92ABC"/>
    <w:rsid w:val="00AA0909"/>
    <w:rsid w:val="00AF769F"/>
    <w:rsid w:val="00B13ED5"/>
    <w:rsid w:val="00B417B3"/>
    <w:rsid w:val="00B519A7"/>
    <w:rsid w:val="00B849A6"/>
    <w:rsid w:val="00BC7C4A"/>
    <w:rsid w:val="00CD5266"/>
    <w:rsid w:val="00D11376"/>
    <w:rsid w:val="00D97D51"/>
    <w:rsid w:val="00E612D6"/>
    <w:rsid w:val="00E95D9F"/>
    <w:rsid w:val="00ED4941"/>
    <w:rsid w:val="00EF1AA1"/>
    <w:rsid w:val="00EF3291"/>
    <w:rsid w:val="00F40145"/>
    <w:rsid w:val="00FE7A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5B8B3"/>
  <w15:docId w15:val="{90B216DF-1829-4CB7-AC5F-C3FCF5B1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D51"/>
  </w:style>
  <w:style w:type="paragraph" w:styleId="Heading1">
    <w:name w:val="heading 1"/>
    <w:basedOn w:val="Normal1"/>
    <w:next w:val="Normal1"/>
    <w:rsid w:val="007A59C6"/>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7A59C6"/>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536E72"/>
    <w:pPr>
      <w:keepNext/>
      <w:keepLines/>
      <w:spacing w:before="320" w:after="80"/>
      <w:outlineLvl w:val="2"/>
    </w:pPr>
    <w:rPr>
      <w:color w:val="434343"/>
      <w:sz w:val="28"/>
      <w:szCs w:val="28"/>
    </w:rPr>
  </w:style>
  <w:style w:type="paragraph" w:styleId="Heading4">
    <w:name w:val="heading 4"/>
    <w:basedOn w:val="Normal1"/>
    <w:next w:val="Normal1"/>
    <w:rsid w:val="00536E72"/>
    <w:pPr>
      <w:keepNext/>
      <w:keepLines/>
      <w:spacing w:before="280" w:after="80"/>
      <w:outlineLvl w:val="3"/>
    </w:pPr>
    <w:rPr>
      <w:color w:val="666666"/>
      <w:sz w:val="24"/>
      <w:szCs w:val="24"/>
    </w:rPr>
  </w:style>
  <w:style w:type="paragraph" w:styleId="Heading5">
    <w:name w:val="heading 5"/>
    <w:basedOn w:val="Normal1"/>
    <w:next w:val="Normal1"/>
    <w:rsid w:val="00536E72"/>
    <w:pPr>
      <w:keepNext/>
      <w:keepLines/>
      <w:spacing w:before="240" w:after="80"/>
      <w:outlineLvl w:val="4"/>
    </w:pPr>
    <w:rPr>
      <w:color w:val="666666"/>
    </w:rPr>
  </w:style>
  <w:style w:type="paragraph" w:styleId="Heading6">
    <w:name w:val="heading 6"/>
    <w:basedOn w:val="Normal1"/>
    <w:next w:val="Normal1"/>
    <w:rsid w:val="00536E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36E72"/>
  </w:style>
  <w:style w:type="paragraph" w:styleId="Title">
    <w:name w:val="Title"/>
    <w:basedOn w:val="Normal1"/>
    <w:next w:val="Normal1"/>
    <w:rsid w:val="00536E72"/>
    <w:pPr>
      <w:keepNext/>
      <w:keepLines/>
      <w:spacing w:after="60"/>
    </w:pPr>
    <w:rPr>
      <w:sz w:val="52"/>
      <w:szCs w:val="52"/>
    </w:rPr>
  </w:style>
  <w:style w:type="paragraph" w:styleId="Subtitle">
    <w:name w:val="Subtitle"/>
    <w:basedOn w:val="Normal1"/>
    <w:next w:val="Normal1"/>
    <w:rsid w:val="00536E72"/>
    <w:pPr>
      <w:keepNext/>
      <w:keepLines/>
      <w:spacing w:after="320"/>
    </w:pPr>
    <w:rPr>
      <w:color w:val="666666"/>
      <w:sz w:val="30"/>
      <w:szCs w:val="30"/>
    </w:rPr>
  </w:style>
  <w:style w:type="table" w:customStyle="1" w:styleId="a">
    <w:basedOn w:val="TableNormal"/>
    <w:rsid w:val="00536E72"/>
    <w:tblPr>
      <w:tblStyleRowBandSize w:val="1"/>
      <w:tblStyleColBandSize w:val="1"/>
      <w:tblCellMar>
        <w:top w:w="100" w:type="dxa"/>
        <w:left w:w="100" w:type="dxa"/>
        <w:bottom w:w="100" w:type="dxa"/>
        <w:right w:w="100" w:type="dxa"/>
      </w:tblCellMar>
    </w:tblPr>
  </w:style>
  <w:style w:type="table" w:customStyle="1" w:styleId="a0">
    <w:basedOn w:val="TableNormal"/>
    <w:rsid w:val="00536E72"/>
    <w:tblPr>
      <w:tblStyleRowBandSize w:val="1"/>
      <w:tblStyleColBandSize w:val="1"/>
      <w:tblCellMar>
        <w:top w:w="100" w:type="dxa"/>
        <w:left w:w="100" w:type="dxa"/>
        <w:bottom w:w="100" w:type="dxa"/>
        <w:right w:w="100" w:type="dxa"/>
      </w:tblCellMar>
    </w:tblPr>
  </w:style>
  <w:style w:type="table" w:customStyle="1" w:styleId="a1">
    <w:basedOn w:val="TableNormal"/>
    <w:rsid w:val="00536E7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057CE5"/>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057CE5"/>
    <w:pPr>
      <w:spacing w:after="100"/>
    </w:pPr>
  </w:style>
  <w:style w:type="paragraph" w:styleId="TOC2">
    <w:name w:val="toc 2"/>
    <w:basedOn w:val="Normal"/>
    <w:next w:val="Normal"/>
    <w:autoRedefine/>
    <w:uiPriority w:val="39"/>
    <w:unhideWhenUsed/>
    <w:rsid w:val="00057CE5"/>
    <w:pPr>
      <w:spacing w:after="100"/>
      <w:ind w:left="220"/>
    </w:pPr>
  </w:style>
  <w:style w:type="character" w:styleId="Hyperlink">
    <w:name w:val="Hyperlink"/>
    <w:basedOn w:val="DefaultParagraphFont"/>
    <w:uiPriority w:val="99"/>
    <w:unhideWhenUsed/>
    <w:rsid w:val="00057CE5"/>
    <w:rPr>
      <w:color w:val="0000FF" w:themeColor="hyperlink"/>
      <w:u w:val="single"/>
    </w:rPr>
  </w:style>
  <w:style w:type="paragraph" w:styleId="BalloonText">
    <w:name w:val="Balloon Text"/>
    <w:basedOn w:val="Normal"/>
    <w:link w:val="BalloonTextChar"/>
    <w:uiPriority w:val="99"/>
    <w:semiHidden/>
    <w:unhideWhenUsed/>
    <w:rsid w:val="00057C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CE5"/>
    <w:rPr>
      <w:rFonts w:ascii="Tahoma" w:hAnsi="Tahoma" w:cs="Tahoma"/>
      <w:sz w:val="16"/>
      <w:szCs w:val="16"/>
    </w:rPr>
  </w:style>
  <w:style w:type="paragraph" w:styleId="Header">
    <w:name w:val="header"/>
    <w:basedOn w:val="Normal"/>
    <w:link w:val="HeaderChar"/>
    <w:uiPriority w:val="99"/>
    <w:semiHidden/>
    <w:unhideWhenUsed/>
    <w:rsid w:val="00EF1AA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F1AA1"/>
  </w:style>
  <w:style w:type="paragraph" w:styleId="Footer">
    <w:name w:val="footer"/>
    <w:basedOn w:val="Normal"/>
    <w:link w:val="FooterChar"/>
    <w:uiPriority w:val="99"/>
    <w:unhideWhenUsed/>
    <w:rsid w:val="00EF1AA1"/>
    <w:pPr>
      <w:tabs>
        <w:tab w:val="center" w:pos="4513"/>
        <w:tab w:val="right" w:pos="9026"/>
      </w:tabs>
      <w:spacing w:line="240" w:lineRule="auto"/>
    </w:pPr>
  </w:style>
  <w:style w:type="character" w:customStyle="1" w:styleId="FooterChar">
    <w:name w:val="Footer Char"/>
    <w:basedOn w:val="DefaultParagraphFont"/>
    <w:link w:val="Footer"/>
    <w:uiPriority w:val="99"/>
    <w:rsid w:val="00EF1AA1"/>
  </w:style>
  <w:style w:type="table" w:styleId="LightShading-Accent3">
    <w:name w:val="Light Shading Accent 3"/>
    <w:basedOn w:val="TableNormal"/>
    <w:uiPriority w:val="60"/>
    <w:rsid w:val="009A55AD"/>
    <w:pPr>
      <w:spacing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ableGrid">
    <w:name w:val="Table Grid"/>
    <w:basedOn w:val="TableNormal"/>
    <w:uiPriority w:val="59"/>
    <w:rsid w:val="00B519A7"/>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01493">
      <w:bodyDiv w:val="1"/>
      <w:marLeft w:val="0"/>
      <w:marRight w:val="0"/>
      <w:marTop w:val="0"/>
      <w:marBottom w:val="0"/>
      <w:divBdr>
        <w:top w:val="none" w:sz="0" w:space="0" w:color="auto"/>
        <w:left w:val="none" w:sz="0" w:space="0" w:color="auto"/>
        <w:bottom w:val="none" w:sz="0" w:space="0" w:color="auto"/>
        <w:right w:val="none" w:sz="0" w:space="0" w:color="auto"/>
      </w:divBdr>
      <w:divsChild>
        <w:div w:id="265314364">
          <w:marLeft w:val="0"/>
          <w:marRight w:val="0"/>
          <w:marTop w:val="0"/>
          <w:marBottom w:val="0"/>
          <w:divBdr>
            <w:top w:val="none" w:sz="0" w:space="0" w:color="auto"/>
            <w:left w:val="none" w:sz="0" w:space="0" w:color="auto"/>
            <w:bottom w:val="none" w:sz="0" w:space="0" w:color="auto"/>
            <w:right w:val="none" w:sz="0" w:space="0" w:color="auto"/>
          </w:divBdr>
        </w:div>
        <w:div w:id="297806009">
          <w:marLeft w:val="0"/>
          <w:marRight w:val="0"/>
          <w:marTop w:val="0"/>
          <w:marBottom w:val="0"/>
          <w:divBdr>
            <w:top w:val="none" w:sz="0" w:space="0" w:color="auto"/>
            <w:left w:val="none" w:sz="0" w:space="0" w:color="auto"/>
            <w:bottom w:val="none" w:sz="0" w:space="0" w:color="auto"/>
            <w:right w:val="none" w:sz="0" w:space="0" w:color="auto"/>
          </w:divBdr>
        </w:div>
        <w:div w:id="1181968309">
          <w:marLeft w:val="0"/>
          <w:marRight w:val="0"/>
          <w:marTop w:val="0"/>
          <w:marBottom w:val="0"/>
          <w:divBdr>
            <w:top w:val="none" w:sz="0" w:space="0" w:color="auto"/>
            <w:left w:val="none" w:sz="0" w:space="0" w:color="auto"/>
            <w:bottom w:val="none" w:sz="0" w:space="0" w:color="auto"/>
            <w:right w:val="none" w:sz="0" w:space="0" w:color="auto"/>
          </w:divBdr>
        </w:div>
        <w:div w:id="811488512">
          <w:marLeft w:val="0"/>
          <w:marRight w:val="0"/>
          <w:marTop w:val="0"/>
          <w:marBottom w:val="0"/>
          <w:divBdr>
            <w:top w:val="none" w:sz="0" w:space="0" w:color="auto"/>
            <w:left w:val="none" w:sz="0" w:space="0" w:color="auto"/>
            <w:bottom w:val="none" w:sz="0" w:space="0" w:color="auto"/>
            <w:right w:val="none" w:sz="0" w:space="0" w:color="auto"/>
          </w:divBdr>
        </w:div>
        <w:div w:id="2043168925">
          <w:marLeft w:val="0"/>
          <w:marRight w:val="0"/>
          <w:marTop w:val="0"/>
          <w:marBottom w:val="0"/>
          <w:divBdr>
            <w:top w:val="none" w:sz="0" w:space="0" w:color="auto"/>
            <w:left w:val="none" w:sz="0" w:space="0" w:color="auto"/>
            <w:bottom w:val="none" w:sz="0" w:space="0" w:color="auto"/>
            <w:right w:val="none" w:sz="0" w:space="0" w:color="auto"/>
          </w:divBdr>
        </w:div>
        <w:div w:id="1269241300">
          <w:marLeft w:val="0"/>
          <w:marRight w:val="0"/>
          <w:marTop w:val="0"/>
          <w:marBottom w:val="0"/>
          <w:divBdr>
            <w:top w:val="none" w:sz="0" w:space="0" w:color="auto"/>
            <w:left w:val="none" w:sz="0" w:space="0" w:color="auto"/>
            <w:bottom w:val="none" w:sz="0" w:space="0" w:color="auto"/>
            <w:right w:val="none" w:sz="0" w:space="0" w:color="auto"/>
          </w:divBdr>
        </w:div>
      </w:divsChild>
    </w:div>
    <w:div w:id="199785381">
      <w:bodyDiv w:val="1"/>
      <w:marLeft w:val="0"/>
      <w:marRight w:val="0"/>
      <w:marTop w:val="0"/>
      <w:marBottom w:val="0"/>
      <w:divBdr>
        <w:top w:val="none" w:sz="0" w:space="0" w:color="auto"/>
        <w:left w:val="none" w:sz="0" w:space="0" w:color="auto"/>
        <w:bottom w:val="none" w:sz="0" w:space="0" w:color="auto"/>
        <w:right w:val="none" w:sz="0" w:space="0" w:color="auto"/>
      </w:divBdr>
    </w:div>
    <w:div w:id="207569859">
      <w:bodyDiv w:val="1"/>
      <w:marLeft w:val="0"/>
      <w:marRight w:val="0"/>
      <w:marTop w:val="0"/>
      <w:marBottom w:val="0"/>
      <w:divBdr>
        <w:top w:val="none" w:sz="0" w:space="0" w:color="auto"/>
        <w:left w:val="none" w:sz="0" w:space="0" w:color="auto"/>
        <w:bottom w:val="none" w:sz="0" w:space="0" w:color="auto"/>
        <w:right w:val="none" w:sz="0" w:space="0" w:color="auto"/>
      </w:divBdr>
      <w:divsChild>
        <w:div w:id="727806469">
          <w:marLeft w:val="0"/>
          <w:marRight w:val="0"/>
          <w:marTop w:val="0"/>
          <w:marBottom w:val="0"/>
          <w:divBdr>
            <w:top w:val="none" w:sz="0" w:space="0" w:color="auto"/>
            <w:left w:val="none" w:sz="0" w:space="0" w:color="auto"/>
            <w:bottom w:val="none" w:sz="0" w:space="0" w:color="auto"/>
            <w:right w:val="none" w:sz="0" w:space="0" w:color="auto"/>
          </w:divBdr>
        </w:div>
        <w:div w:id="1375695138">
          <w:marLeft w:val="0"/>
          <w:marRight w:val="0"/>
          <w:marTop w:val="0"/>
          <w:marBottom w:val="0"/>
          <w:divBdr>
            <w:top w:val="none" w:sz="0" w:space="0" w:color="auto"/>
            <w:left w:val="none" w:sz="0" w:space="0" w:color="auto"/>
            <w:bottom w:val="none" w:sz="0" w:space="0" w:color="auto"/>
            <w:right w:val="none" w:sz="0" w:space="0" w:color="auto"/>
          </w:divBdr>
        </w:div>
        <w:div w:id="1578124438">
          <w:marLeft w:val="0"/>
          <w:marRight w:val="0"/>
          <w:marTop w:val="0"/>
          <w:marBottom w:val="0"/>
          <w:divBdr>
            <w:top w:val="none" w:sz="0" w:space="0" w:color="auto"/>
            <w:left w:val="none" w:sz="0" w:space="0" w:color="auto"/>
            <w:bottom w:val="none" w:sz="0" w:space="0" w:color="auto"/>
            <w:right w:val="none" w:sz="0" w:space="0" w:color="auto"/>
          </w:divBdr>
        </w:div>
        <w:div w:id="1503278478">
          <w:marLeft w:val="0"/>
          <w:marRight w:val="0"/>
          <w:marTop w:val="0"/>
          <w:marBottom w:val="0"/>
          <w:divBdr>
            <w:top w:val="none" w:sz="0" w:space="0" w:color="auto"/>
            <w:left w:val="none" w:sz="0" w:space="0" w:color="auto"/>
            <w:bottom w:val="none" w:sz="0" w:space="0" w:color="auto"/>
            <w:right w:val="none" w:sz="0" w:space="0" w:color="auto"/>
          </w:divBdr>
        </w:div>
        <w:div w:id="560209512">
          <w:marLeft w:val="0"/>
          <w:marRight w:val="0"/>
          <w:marTop w:val="0"/>
          <w:marBottom w:val="0"/>
          <w:divBdr>
            <w:top w:val="none" w:sz="0" w:space="0" w:color="auto"/>
            <w:left w:val="none" w:sz="0" w:space="0" w:color="auto"/>
            <w:bottom w:val="none" w:sz="0" w:space="0" w:color="auto"/>
            <w:right w:val="none" w:sz="0" w:space="0" w:color="auto"/>
          </w:divBdr>
        </w:div>
        <w:div w:id="51008303">
          <w:marLeft w:val="0"/>
          <w:marRight w:val="0"/>
          <w:marTop w:val="0"/>
          <w:marBottom w:val="0"/>
          <w:divBdr>
            <w:top w:val="none" w:sz="0" w:space="0" w:color="auto"/>
            <w:left w:val="none" w:sz="0" w:space="0" w:color="auto"/>
            <w:bottom w:val="none" w:sz="0" w:space="0" w:color="auto"/>
            <w:right w:val="none" w:sz="0" w:space="0" w:color="auto"/>
          </w:divBdr>
        </w:div>
        <w:div w:id="1518428223">
          <w:marLeft w:val="0"/>
          <w:marRight w:val="0"/>
          <w:marTop w:val="0"/>
          <w:marBottom w:val="0"/>
          <w:divBdr>
            <w:top w:val="none" w:sz="0" w:space="0" w:color="auto"/>
            <w:left w:val="none" w:sz="0" w:space="0" w:color="auto"/>
            <w:bottom w:val="none" w:sz="0" w:space="0" w:color="auto"/>
            <w:right w:val="none" w:sz="0" w:space="0" w:color="auto"/>
          </w:divBdr>
        </w:div>
        <w:div w:id="139199388">
          <w:marLeft w:val="0"/>
          <w:marRight w:val="0"/>
          <w:marTop w:val="0"/>
          <w:marBottom w:val="0"/>
          <w:divBdr>
            <w:top w:val="none" w:sz="0" w:space="0" w:color="auto"/>
            <w:left w:val="none" w:sz="0" w:space="0" w:color="auto"/>
            <w:bottom w:val="none" w:sz="0" w:space="0" w:color="auto"/>
            <w:right w:val="none" w:sz="0" w:space="0" w:color="auto"/>
          </w:divBdr>
        </w:div>
      </w:divsChild>
    </w:div>
    <w:div w:id="281614780">
      <w:bodyDiv w:val="1"/>
      <w:marLeft w:val="0"/>
      <w:marRight w:val="0"/>
      <w:marTop w:val="0"/>
      <w:marBottom w:val="0"/>
      <w:divBdr>
        <w:top w:val="none" w:sz="0" w:space="0" w:color="auto"/>
        <w:left w:val="none" w:sz="0" w:space="0" w:color="auto"/>
        <w:bottom w:val="none" w:sz="0" w:space="0" w:color="auto"/>
        <w:right w:val="none" w:sz="0" w:space="0" w:color="auto"/>
      </w:divBdr>
    </w:div>
    <w:div w:id="420836400">
      <w:bodyDiv w:val="1"/>
      <w:marLeft w:val="0"/>
      <w:marRight w:val="0"/>
      <w:marTop w:val="0"/>
      <w:marBottom w:val="0"/>
      <w:divBdr>
        <w:top w:val="none" w:sz="0" w:space="0" w:color="auto"/>
        <w:left w:val="none" w:sz="0" w:space="0" w:color="auto"/>
        <w:bottom w:val="none" w:sz="0" w:space="0" w:color="auto"/>
        <w:right w:val="none" w:sz="0" w:space="0" w:color="auto"/>
      </w:divBdr>
      <w:divsChild>
        <w:div w:id="1540045029">
          <w:marLeft w:val="0"/>
          <w:marRight w:val="0"/>
          <w:marTop w:val="0"/>
          <w:marBottom w:val="0"/>
          <w:divBdr>
            <w:top w:val="none" w:sz="0" w:space="0" w:color="auto"/>
            <w:left w:val="none" w:sz="0" w:space="0" w:color="auto"/>
            <w:bottom w:val="none" w:sz="0" w:space="0" w:color="auto"/>
            <w:right w:val="none" w:sz="0" w:space="0" w:color="auto"/>
          </w:divBdr>
        </w:div>
        <w:div w:id="1427311396">
          <w:marLeft w:val="0"/>
          <w:marRight w:val="0"/>
          <w:marTop w:val="0"/>
          <w:marBottom w:val="0"/>
          <w:divBdr>
            <w:top w:val="none" w:sz="0" w:space="0" w:color="auto"/>
            <w:left w:val="none" w:sz="0" w:space="0" w:color="auto"/>
            <w:bottom w:val="none" w:sz="0" w:space="0" w:color="auto"/>
            <w:right w:val="none" w:sz="0" w:space="0" w:color="auto"/>
          </w:divBdr>
        </w:div>
        <w:div w:id="1882553261">
          <w:marLeft w:val="0"/>
          <w:marRight w:val="0"/>
          <w:marTop w:val="0"/>
          <w:marBottom w:val="0"/>
          <w:divBdr>
            <w:top w:val="none" w:sz="0" w:space="0" w:color="auto"/>
            <w:left w:val="none" w:sz="0" w:space="0" w:color="auto"/>
            <w:bottom w:val="none" w:sz="0" w:space="0" w:color="auto"/>
            <w:right w:val="none" w:sz="0" w:space="0" w:color="auto"/>
          </w:divBdr>
        </w:div>
        <w:div w:id="1283878892">
          <w:marLeft w:val="0"/>
          <w:marRight w:val="0"/>
          <w:marTop w:val="0"/>
          <w:marBottom w:val="0"/>
          <w:divBdr>
            <w:top w:val="none" w:sz="0" w:space="0" w:color="auto"/>
            <w:left w:val="none" w:sz="0" w:space="0" w:color="auto"/>
            <w:bottom w:val="none" w:sz="0" w:space="0" w:color="auto"/>
            <w:right w:val="none" w:sz="0" w:space="0" w:color="auto"/>
          </w:divBdr>
        </w:div>
        <w:div w:id="1190874091">
          <w:marLeft w:val="0"/>
          <w:marRight w:val="0"/>
          <w:marTop w:val="0"/>
          <w:marBottom w:val="0"/>
          <w:divBdr>
            <w:top w:val="none" w:sz="0" w:space="0" w:color="auto"/>
            <w:left w:val="none" w:sz="0" w:space="0" w:color="auto"/>
            <w:bottom w:val="none" w:sz="0" w:space="0" w:color="auto"/>
            <w:right w:val="none" w:sz="0" w:space="0" w:color="auto"/>
          </w:divBdr>
        </w:div>
        <w:div w:id="303394162">
          <w:marLeft w:val="0"/>
          <w:marRight w:val="0"/>
          <w:marTop w:val="0"/>
          <w:marBottom w:val="0"/>
          <w:divBdr>
            <w:top w:val="none" w:sz="0" w:space="0" w:color="auto"/>
            <w:left w:val="none" w:sz="0" w:space="0" w:color="auto"/>
            <w:bottom w:val="none" w:sz="0" w:space="0" w:color="auto"/>
            <w:right w:val="none" w:sz="0" w:space="0" w:color="auto"/>
          </w:divBdr>
        </w:div>
        <w:div w:id="1219975003">
          <w:marLeft w:val="0"/>
          <w:marRight w:val="0"/>
          <w:marTop w:val="0"/>
          <w:marBottom w:val="0"/>
          <w:divBdr>
            <w:top w:val="none" w:sz="0" w:space="0" w:color="auto"/>
            <w:left w:val="none" w:sz="0" w:space="0" w:color="auto"/>
            <w:bottom w:val="none" w:sz="0" w:space="0" w:color="auto"/>
            <w:right w:val="none" w:sz="0" w:space="0" w:color="auto"/>
          </w:divBdr>
        </w:div>
        <w:div w:id="1872841484">
          <w:marLeft w:val="0"/>
          <w:marRight w:val="0"/>
          <w:marTop w:val="0"/>
          <w:marBottom w:val="0"/>
          <w:divBdr>
            <w:top w:val="none" w:sz="0" w:space="0" w:color="auto"/>
            <w:left w:val="none" w:sz="0" w:space="0" w:color="auto"/>
            <w:bottom w:val="none" w:sz="0" w:space="0" w:color="auto"/>
            <w:right w:val="none" w:sz="0" w:space="0" w:color="auto"/>
          </w:divBdr>
        </w:div>
      </w:divsChild>
    </w:div>
    <w:div w:id="469520279">
      <w:bodyDiv w:val="1"/>
      <w:marLeft w:val="0"/>
      <w:marRight w:val="0"/>
      <w:marTop w:val="0"/>
      <w:marBottom w:val="0"/>
      <w:divBdr>
        <w:top w:val="none" w:sz="0" w:space="0" w:color="auto"/>
        <w:left w:val="none" w:sz="0" w:space="0" w:color="auto"/>
        <w:bottom w:val="none" w:sz="0" w:space="0" w:color="auto"/>
        <w:right w:val="none" w:sz="0" w:space="0" w:color="auto"/>
      </w:divBdr>
      <w:divsChild>
        <w:div w:id="28800623">
          <w:marLeft w:val="0"/>
          <w:marRight w:val="0"/>
          <w:marTop w:val="0"/>
          <w:marBottom w:val="0"/>
          <w:divBdr>
            <w:top w:val="none" w:sz="0" w:space="0" w:color="auto"/>
            <w:left w:val="none" w:sz="0" w:space="0" w:color="auto"/>
            <w:bottom w:val="none" w:sz="0" w:space="0" w:color="auto"/>
            <w:right w:val="none" w:sz="0" w:space="0" w:color="auto"/>
          </w:divBdr>
        </w:div>
        <w:div w:id="463430604">
          <w:marLeft w:val="0"/>
          <w:marRight w:val="0"/>
          <w:marTop w:val="0"/>
          <w:marBottom w:val="0"/>
          <w:divBdr>
            <w:top w:val="none" w:sz="0" w:space="0" w:color="auto"/>
            <w:left w:val="none" w:sz="0" w:space="0" w:color="auto"/>
            <w:bottom w:val="none" w:sz="0" w:space="0" w:color="auto"/>
            <w:right w:val="none" w:sz="0" w:space="0" w:color="auto"/>
          </w:divBdr>
        </w:div>
        <w:div w:id="610554536">
          <w:marLeft w:val="0"/>
          <w:marRight w:val="0"/>
          <w:marTop w:val="0"/>
          <w:marBottom w:val="0"/>
          <w:divBdr>
            <w:top w:val="none" w:sz="0" w:space="0" w:color="auto"/>
            <w:left w:val="none" w:sz="0" w:space="0" w:color="auto"/>
            <w:bottom w:val="none" w:sz="0" w:space="0" w:color="auto"/>
            <w:right w:val="none" w:sz="0" w:space="0" w:color="auto"/>
          </w:divBdr>
        </w:div>
        <w:div w:id="713307035">
          <w:marLeft w:val="0"/>
          <w:marRight w:val="0"/>
          <w:marTop w:val="0"/>
          <w:marBottom w:val="0"/>
          <w:divBdr>
            <w:top w:val="none" w:sz="0" w:space="0" w:color="auto"/>
            <w:left w:val="none" w:sz="0" w:space="0" w:color="auto"/>
            <w:bottom w:val="none" w:sz="0" w:space="0" w:color="auto"/>
            <w:right w:val="none" w:sz="0" w:space="0" w:color="auto"/>
          </w:divBdr>
        </w:div>
        <w:div w:id="1697653183">
          <w:marLeft w:val="0"/>
          <w:marRight w:val="0"/>
          <w:marTop w:val="0"/>
          <w:marBottom w:val="0"/>
          <w:divBdr>
            <w:top w:val="none" w:sz="0" w:space="0" w:color="auto"/>
            <w:left w:val="none" w:sz="0" w:space="0" w:color="auto"/>
            <w:bottom w:val="none" w:sz="0" w:space="0" w:color="auto"/>
            <w:right w:val="none" w:sz="0" w:space="0" w:color="auto"/>
          </w:divBdr>
        </w:div>
        <w:div w:id="516424855">
          <w:marLeft w:val="0"/>
          <w:marRight w:val="0"/>
          <w:marTop w:val="0"/>
          <w:marBottom w:val="0"/>
          <w:divBdr>
            <w:top w:val="none" w:sz="0" w:space="0" w:color="auto"/>
            <w:left w:val="none" w:sz="0" w:space="0" w:color="auto"/>
            <w:bottom w:val="none" w:sz="0" w:space="0" w:color="auto"/>
            <w:right w:val="none" w:sz="0" w:space="0" w:color="auto"/>
          </w:divBdr>
        </w:div>
      </w:divsChild>
    </w:div>
    <w:div w:id="487132998">
      <w:bodyDiv w:val="1"/>
      <w:marLeft w:val="0"/>
      <w:marRight w:val="0"/>
      <w:marTop w:val="0"/>
      <w:marBottom w:val="0"/>
      <w:divBdr>
        <w:top w:val="none" w:sz="0" w:space="0" w:color="auto"/>
        <w:left w:val="none" w:sz="0" w:space="0" w:color="auto"/>
        <w:bottom w:val="none" w:sz="0" w:space="0" w:color="auto"/>
        <w:right w:val="none" w:sz="0" w:space="0" w:color="auto"/>
      </w:divBdr>
      <w:divsChild>
        <w:div w:id="1529872977">
          <w:marLeft w:val="0"/>
          <w:marRight w:val="0"/>
          <w:marTop w:val="0"/>
          <w:marBottom w:val="0"/>
          <w:divBdr>
            <w:top w:val="none" w:sz="0" w:space="0" w:color="auto"/>
            <w:left w:val="none" w:sz="0" w:space="0" w:color="auto"/>
            <w:bottom w:val="none" w:sz="0" w:space="0" w:color="auto"/>
            <w:right w:val="none" w:sz="0" w:space="0" w:color="auto"/>
          </w:divBdr>
        </w:div>
        <w:div w:id="1631666525">
          <w:marLeft w:val="0"/>
          <w:marRight w:val="0"/>
          <w:marTop w:val="0"/>
          <w:marBottom w:val="0"/>
          <w:divBdr>
            <w:top w:val="none" w:sz="0" w:space="0" w:color="auto"/>
            <w:left w:val="none" w:sz="0" w:space="0" w:color="auto"/>
            <w:bottom w:val="none" w:sz="0" w:space="0" w:color="auto"/>
            <w:right w:val="none" w:sz="0" w:space="0" w:color="auto"/>
          </w:divBdr>
        </w:div>
        <w:div w:id="468137030">
          <w:marLeft w:val="0"/>
          <w:marRight w:val="0"/>
          <w:marTop w:val="0"/>
          <w:marBottom w:val="0"/>
          <w:divBdr>
            <w:top w:val="none" w:sz="0" w:space="0" w:color="auto"/>
            <w:left w:val="none" w:sz="0" w:space="0" w:color="auto"/>
            <w:bottom w:val="none" w:sz="0" w:space="0" w:color="auto"/>
            <w:right w:val="none" w:sz="0" w:space="0" w:color="auto"/>
          </w:divBdr>
        </w:div>
        <w:div w:id="2030637259">
          <w:marLeft w:val="0"/>
          <w:marRight w:val="0"/>
          <w:marTop w:val="0"/>
          <w:marBottom w:val="0"/>
          <w:divBdr>
            <w:top w:val="none" w:sz="0" w:space="0" w:color="auto"/>
            <w:left w:val="none" w:sz="0" w:space="0" w:color="auto"/>
            <w:bottom w:val="none" w:sz="0" w:space="0" w:color="auto"/>
            <w:right w:val="none" w:sz="0" w:space="0" w:color="auto"/>
          </w:divBdr>
        </w:div>
        <w:div w:id="999191652">
          <w:marLeft w:val="0"/>
          <w:marRight w:val="0"/>
          <w:marTop w:val="0"/>
          <w:marBottom w:val="0"/>
          <w:divBdr>
            <w:top w:val="none" w:sz="0" w:space="0" w:color="auto"/>
            <w:left w:val="none" w:sz="0" w:space="0" w:color="auto"/>
            <w:bottom w:val="none" w:sz="0" w:space="0" w:color="auto"/>
            <w:right w:val="none" w:sz="0" w:space="0" w:color="auto"/>
          </w:divBdr>
        </w:div>
        <w:div w:id="1569266833">
          <w:marLeft w:val="0"/>
          <w:marRight w:val="0"/>
          <w:marTop w:val="0"/>
          <w:marBottom w:val="0"/>
          <w:divBdr>
            <w:top w:val="none" w:sz="0" w:space="0" w:color="auto"/>
            <w:left w:val="none" w:sz="0" w:space="0" w:color="auto"/>
            <w:bottom w:val="none" w:sz="0" w:space="0" w:color="auto"/>
            <w:right w:val="none" w:sz="0" w:space="0" w:color="auto"/>
          </w:divBdr>
        </w:div>
        <w:div w:id="2058622400">
          <w:marLeft w:val="0"/>
          <w:marRight w:val="0"/>
          <w:marTop w:val="0"/>
          <w:marBottom w:val="0"/>
          <w:divBdr>
            <w:top w:val="none" w:sz="0" w:space="0" w:color="auto"/>
            <w:left w:val="none" w:sz="0" w:space="0" w:color="auto"/>
            <w:bottom w:val="none" w:sz="0" w:space="0" w:color="auto"/>
            <w:right w:val="none" w:sz="0" w:space="0" w:color="auto"/>
          </w:divBdr>
        </w:div>
        <w:div w:id="1823043306">
          <w:marLeft w:val="0"/>
          <w:marRight w:val="0"/>
          <w:marTop w:val="0"/>
          <w:marBottom w:val="0"/>
          <w:divBdr>
            <w:top w:val="none" w:sz="0" w:space="0" w:color="auto"/>
            <w:left w:val="none" w:sz="0" w:space="0" w:color="auto"/>
            <w:bottom w:val="none" w:sz="0" w:space="0" w:color="auto"/>
            <w:right w:val="none" w:sz="0" w:space="0" w:color="auto"/>
          </w:divBdr>
        </w:div>
      </w:divsChild>
    </w:div>
    <w:div w:id="700130241">
      <w:bodyDiv w:val="1"/>
      <w:marLeft w:val="0"/>
      <w:marRight w:val="0"/>
      <w:marTop w:val="0"/>
      <w:marBottom w:val="0"/>
      <w:divBdr>
        <w:top w:val="none" w:sz="0" w:space="0" w:color="auto"/>
        <w:left w:val="none" w:sz="0" w:space="0" w:color="auto"/>
        <w:bottom w:val="none" w:sz="0" w:space="0" w:color="auto"/>
        <w:right w:val="none" w:sz="0" w:space="0" w:color="auto"/>
      </w:divBdr>
      <w:divsChild>
        <w:div w:id="1354185684">
          <w:marLeft w:val="0"/>
          <w:marRight w:val="0"/>
          <w:marTop w:val="0"/>
          <w:marBottom w:val="0"/>
          <w:divBdr>
            <w:top w:val="none" w:sz="0" w:space="0" w:color="auto"/>
            <w:left w:val="none" w:sz="0" w:space="0" w:color="auto"/>
            <w:bottom w:val="none" w:sz="0" w:space="0" w:color="auto"/>
            <w:right w:val="none" w:sz="0" w:space="0" w:color="auto"/>
          </w:divBdr>
        </w:div>
        <w:div w:id="1465923392">
          <w:marLeft w:val="0"/>
          <w:marRight w:val="0"/>
          <w:marTop w:val="0"/>
          <w:marBottom w:val="0"/>
          <w:divBdr>
            <w:top w:val="none" w:sz="0" w:space="0" w:color="auto"/>
            <w:left w:val="none" w:sz="0" w:space="0" w:color="auto"/>
            <w:bottom w:val="none" w:sz="0" w:space="0" w:color="auto"/>
            <w:right w:val="none" w:sz="0" w:space="0" w:color="auto"/>
          </w:divBdr>
        </w:div>
        <w:div w:id="876814912">
          <w:marLeft w:val="0"/>
          <w:marRight w:val="0"/>
          <w:marTop w:val="0"/>
          <w:marBottom w:val="0"/>
          <w:divBdr>
            <w:top w:val="none" w:sz="0" w:space="0" w:color="auto"/>
            <w:left w:val="none" w:sz="0" w:space="0" w:color="auto"/>
            <w:bottom w:val="none" w:sz="0" w:space="0" w:color="auto"/>
            <w:right w:val="none" w:sz="0" w:space="0" w:color="auto"/>
          </w:divBdr>
        </w:div>
        <w:div w:id="2125876517">
          <w:marLeft w:val="0"/>
          <w:marRight w:val="0"/>
          <w:marTop w:val="0"/>
          <w:marBottom w:val="0"/>
          <w:divBdr>
            <w:top w:val="none" w:sz="0" w:space="0" w:color="auto"/>
            <w:left w:val="none" w:sz="0" w:space="0" w:color="auto"/>
            <w:bottom w:val="none" w:sz="0" w:space="0" w:color="auto"/>
            <w:right w:val="none" w:sz="0" w:space="0" w:color="auto"/>
          </w:divBdr>
        </w:div>
      </w:divsChild>
    </w:div>
    <w:div w:id="835269763">
      <w:bodyDiv w:val="1"/>
      <w:marLeft w:val="0"/>
      <w:marRight w:val="0"/>
      <w:marTop w:val="0"/>
      <w:marBottom w:val="0"/>
      <w:divBdr>
        <w:top w:val="none" w:sz="0" w:space="0" w:color="auto"/>
        <w:left w:val="none" w:sz="0" w:space="0" w:color="auto"/>
        <w:bottom w:val="none" w:sz="0" w:space="0" w:color="auto"/>
        <w:right w:val="none" w:sz="0" w:space="0" w:color="auto"/>
      </w:divBdr>
      <w:divsChild>
        <w:div w:id="1777946537">
          <w:marLeft w:val="0"/>
          <w:marRight w:val="0"/>
          <w:marTop w:val="0"/>
          <w:marBottom w:val="0"/>
          <w:divBdr>
            <w:top w:val="none" w:sz="0" w:space="0" w:color="auto"/>
            <w:left w:val="none" w:sz="0" w:space="0" w:color="auto"/>
            <w:bottom w:val="none" w:sz="0" w:space="0" w:color="auto"/>
            <w:right w:val="none" w:sz="0" w:space="0" w:color="auto"/>
          </w:divBdr>
        </w:div>
        <w:div w:id="851724145">
          <w:marLeft w:val="0"/>
          <w:marRight w:val="0"/>
          <w:marTop w:val="0"/>
          <w:marBottom w:val="0"/>
          <w:divBdr>
            <w:top w:val="none" w:sz="0" w:space="0" w:color="auto"/>
            <w:left w:val="none" w:sz="0" w:space="0" w:color="auto"/>
            <w:bottom w:val="none" w:sz="0" w:space="0" w:color="auto"/>
            <w:right w:val="none" w:sz="0" w:space="0" w:color="auto"/>
          </w:divBdr>
        </w:div>
        <w:div w:id="1325742299">
          <w:marLeft w:val="0"/>
          <w:marRight w:val="0"/>
          <w:marTop w:val="0"/>
          <w:marBottom w:val="0"/>
          <w:divBdr>
            <w:top w:val="none" w:sz="0" w:space="0" w:color="auto"/>
            <w:left w:val="none" w:sz="0" w:space="0" w:color="auto"/>
            <w:bottom w:val="none" w:sz="0" w:space="0" w:color="auto"/>
            <w:right w:val="none" w:sz="0" w:space="0" w:color="auto"/>
          </w:divBdr>
        </w:div>
        <w:div w:id="944120796">
          <w:marLeft w:val="0"/>
          <w:marRight w:val="0"/>
          <w:marTop w:val="0"/>
          <w:marBottom w:val="0"/>
          <w:divBdr>
            <w:top w:val="none" w:sz="0" w:space="0" w:color="auto"/>
            <w:left w:val="none" w:sz="0" w:space="0" w:color="auto"/>
            <w:bottom w:val="none" w:sz="0" w:space="0" w:color="auto"/>
            <w:right w:val="none" w:sz="0" w:space="0" w:color="auto"/>
          </w:divBdr>
        </w:div>
      </w:divsChild>
    </w:div>
    <w:div w:id="875049336">
      <w:bodyDiv w:val="1"/>
      <w:marLeft w:val="0"/>
      <w:marRight w:val="0"/>
      <w:marTop w:val="0"/>
      <w:marBottom w:val="0"/>
      <w:divBdr>
        <w:top w:val="none" w:sz="0" w:space="0" w:color="auto"/>
        <w:left w:val="none" w:sz="0" w:space="0" w:color="auto"/>
        <w:bottom w:val="none" w:sz="0" w:space="0" w:color="auto"/>
        <w:right w:val="none" w:sz="0" w:space="0" w:color="auto"/>
      </w:divBdr>
      <w:divsChild>
        <w:div w:id="964120503">
          <w:marLeft w:val="0"/>
          <w:marRight w:val="0"/>
          <w:marTop w:val="0"/>
          <w:marBottom w:val="0"/>
          <w:divBdr>
            <w:top w:val="none" w:sz="0" w:space="0" w:color="auto"/>
            <w:left w:val="none" w:sz="0" w:space="0" w:color="auto"/>
            <w:bottom w:val="none" w:sz="0" w:space="0" w:color="auto"/>
            <w:right w:val="none" w:sz="0" w:space="0" w:color="auto"/>
          </w:divBdr>
        </w:div>
        <w:div w:id="1167676231">
          <w:marLeft w:val="0"/>
          <w:marRight w:val="0"/>
          <w:marTop w:val="0"/>
          <w:marBottom w:val="0"/>
          <w:divBdr>
            <w:top w:val="none" w:sz="0" w:space="0" w:color="auto"/>
            <w:left w:val="none" w:sz="0" w:space="0" w:color="auto"/>
            <w:bottom w:val="none" w:sz="0" w:space="0" w:color="auto"/>
            <w:right w:val="none" w:sz="0" w:space="0" w:color="auto"/>
          </w:divBdr>
        </w:div>
        <w:div w:id="1885363691">
          <w:marLeft w:val="0"/>
          <w:marRight w:val="0"/>
          <w:marTop w:val="0"/>
          <w:marBottom w:val="0"/>
          <w:divBdr>
            <w:top w:val="none" w:sz="0" w:space="0" w:color="auto"/>
            <w:left w:val="none" w:sz="0" w:space="0" w:color="auto"/>
            <w:bottom w:val="none" w:sz="0" w:space="0" w:color="auto"/>
            <w:right w:val="none" w:sz="0" w:space="0" w:color="auto"/>
          </w:divBdr>
        </w:div>
        <w:div w:id="408770513">
          <w:marLeft w:val="0"/>
          <w:marRight w:val="0"/>
          <w:marTop w:val="0"/>
          <w:marBottom w:val="0"/>
          <w:divBdr>
            <w:top w:val="none" w:sz="0" w:space="0" w:color="auto"/>
            <w:left w:val="none" w:sz="0" w:space="0" w:color="auto"/>
            <w:bottom w:val="none" w:sz="0" w:space="0" w:color="auto"/>
            <w:right w:val="none" w:sz="0" w:space="0" w:color="auto"/>
          </w:divBdr>
        </w:div>
        <w:div w:id="534923584">
          <w:marLeft w:val="0"/>
          <w:marRight w:val="0"/>
          <w:marTop w:val="0"/>
          <w:marBottom w:val="0"/>
          <w:divBdr>
            <w:top w:val="none" w:sz="0" w:space="0" w:color="auto"/>
            <w:left w:val="none" w:sz="0" w:space="0" w:color="auto"/>
            <w:bottom w:val="none" w:sz="0" w:space="0" w:color="auto"/>
            <w:right w:val="none" w:sz="0" w:space="0" w:color="auto"/>
          </w:divBdr>
        </w:div>
        <w:div w:id="1045060322">
          <w:marLeft w:val="0"/>
          <w:marRight w:val="0"/>
          <w:marTop w:val="0"/>
          <w:marBottom w:val="0"/>
          <w:divBdr>
            <w:top w:val="none" w:sz="0" w:space="0" w:color="auto"/>
            <w:left w:val="none" w:sz="0" w:space="0" w:color="auto"/>
            <w:bottom w:val="none" w:sz="0" w:space="0" w:color="auto"/>
            <w:right w:val="none" w:sz="0" w:space="0" w:color="auto"/>
          </w:divBdr>
        </w:div>
      </w:divsChild>
    </w:div>
    <w:div w:id="907375403">
      <w:bodyDiv w:val="1"/>
      <w:marLeft w:val="0"/>
      <w:marRight w:val="0"/>
      <w:marTop w:val="0"/>
      <w:marBottom w:val="0"/>
      <w:divBdr>
        <w:top w:val="none" w:sz="0" w:space="0" w:color="auto"/>
        <w:left w:val="none" w:sz="0" w:space="0" w:color="auto"/>
        <w:bottom w:val="none" w:sz="0" w:space="0" w:color="auto"/>
        <w:right w:val="none" w:sz="0" w:space="0" w:color="auto"/>
      </w:divBdr>
      <w:divsChild>
        <w:div w:id="781001171">
          <w:marLeft w:val="0"/>
          <w:marRight w:val="0"/>
          <w:marTop w:val="0"/>
          <w:marBottom w:val="0"/>
          <w:divBdr>
            <w:top w:val="none" w:sz="0" w:space="0" w:color="auto"/>
            <w:left w:val="none" w:sz="0" w:space="0" w:color="auto"/>
            <w:bottom w:val="none" w:sz="0" w:space="0" w:color="auto"/>
            <w:right w:val="none" w:sz="0" w:space="0" w:color="auto"/>
          </w:divBdr>
        </w:div>
        <w:div w:id="491146068">
          <w:marLeft w:val="0"/>
          <w:marRight w:val="0"/>
          <w:marTop w:val="0"/>
          <w:marBottom w:val="0"/>
          <w:divBdr>
            <w:top w:val="none" w:sz="0" w:space="0" w:color="auto"/>
            <w:left w:val="none" w:sz="0" w:space="0" w:color="auto"/>
            <w:bottom w:val="none" w:sz="0" w:space="0" w:color="auto"/>
            <w:right w:val="none" w:sz="0" w:space="0" w:color="auto"/>
          </w:divBdr>
        </w:div>
        <w:div w:id="1862476574">
          <w:marLeft w:val="0"/>
          <w:marRight w:val="0"/>
          <w:marTop w:val="0"/>
          <w:marBottom w:val="0"/>
          <w:divBdr>
            <w:top w:val="none" w:sz="0" w:space="0" w:color="auto"/>
            <w:left w:val="none" w:sz="0" w:space="0" w:color="auto"/>
            <w:bottom w:val="none" w:sz="0" w:space="0" w:color="auto"/>
            <w:right w:val="none" w:sz="0" w:space="0" w:color="auto"/>
          </w:divBdr>
        </w:div>
        <w:div w:id="933784558">
          <w:marLeft w:val="0"/>
          <w:marRight w:val="0"/>
          <w:marTop w:val="0"/>
          <w:marBottom w:val="0"/>
          <w:divBdr>
            <w:top w:val="none" w:sz="0" w:space="0" w:color="auto"/>
            <w:left w:val="none" w:sz="0" w:space="0" w:color="auto"/>
            <w:bottom w:val="none" w:sz="0" w:space="0" w:color="auto"/>
            <w:right w:val="none" w:sz="0" w:space="0" w:color="auto"/>
          </w:divBdr>
        </w:div>
        <w:div w:id="673533636">
          <w:marLeft w:val="0"/>
          <w:marRight w:val="0"/>
          <w:marTop w:val="0"/>
          <w:marBottom w:val="0"/>
          <w:divBdr>
            <w:top w:val="none" w:sz="0" w:space="0" w:color="auto"/>
            <w:left w:val="none" w:sz="0" w:space="0" w:color="auto"/>
            <w:bottom w:val="none" w:sz="0" w:space="0" w:color="auto"/>
            <w:right w:val="none" w:sz="0" w:space="0" w:color="auto"/>
          </w:divBdr>
        </w:div>
        <w:div w:id="1497988765">
          <w:marLeft w:val="0"/>
          <w:marRight w:val="0"/>
          <w:marTop w:val="0"/>
          <w:marBottom w:val="0"/>
          <w:divBdr>
            <w:top w:val="none" w:sz="0" w:space="0" w:color="auto"/>
            <w:left w:val="none" w:sz="0" w:space="0" w:color="auto"/>
            <w:bottom w:val="none" w:sz="0" w:space="0" w:color="auto"/>
            <w:right w:val="none" w:sz="0" w:space="0" w:color="auto"/>
          </w:divBdr>
        </w:div>
        <w:div w:id="1833135702">
          <w:marLeft w:val="0"/>
          <w:marRight w:val="0"/>
          <w:marTop w:val="0"/>
          <w:marBottom w:val="0"/>
          <w:divBdr>
            <w:top w:val="none" w:sz="0" w:space="0" w:color="auto"/>
            <w:left w:val="none" w:sz="0" w:space="0" w:color="auto"/>
            <w:bottom w:val="none" w:sz="0" w:space="0" w:color="auto"/>
            <w:right w:val="none" w:sz="0" w:space="0" w:color="auto"/>
          </w:divBdr>
        </w:div>
        <w:div w:id="213856060">
          <w:marLeft w:val="0"/>
          <w:marRight w:val="0"/>
          <w:marTop w:val="0"/>
          <w:marBottom w:val="0"/>
          <w:divBdr>
            <w:top w:val="none" w:sz="0" w:space="0" w:color="auto"/>
            <w:left w:val="none" w:sz="0" w:space="0" w:color="auto"/>
            <w:bottom w:val="none" w:sz="0" w:space="0" w:color="auto"/>
            <w:right w:val="none" w:sz="0" w:space="0" w:color="auto"/>
          </w:divBdr>
        </w:div>
      </w:divsChild>
    </w:div>
    <w:div w:id="1133017305">
      <w:bodyDiv w:val="1"/>
      <w:marLeft w:val="0"/>
      <w:marRight w:val="0"/>
      <w:marTop w:val="0"/>
      <w:marBottom w:val="0"/>
      <w:divBdr>
        <w:top w:val="none" w:sz="0" w:space="0" w:color="auto"/>
        <w:left w:val="none" w:sz="0" w:space="0" w:color="auto"/>
        <w:bottom w:val="none" w:sz="0" w:space="0" w:color="auto"/>
        <w:right w:val="none" w:sz="0" w:space="0" w:color="auto"/>
      </w:divBdr>
    </w:div>
    <w:div w:id="1447771003">
      <w:bodyDiv w:val="1"/>
      <w:marLeft w:val="0"/>
      <w:marRight w:val="0"/>
      <w:marTop w:val="0"/>
      <w:marBottom w:val="0"/>
      <w:divBdr>
        <w:top w:val="none" w:sz="0" w:space="0" w:color="auto"/>
        <w:left w:val="none" w:sz="0" w:space="0" w:color="auto"/>
        <w:bottom w:val="none" w:sz="0" w:space="0" w:color="auto"/>
        <w:right w:val="none" w:sz="0" w:space="0" w:color="auto"/>
      </w:divBdr>
      <w:divsChild>
        <w:div w:id="1543713463">
          <w:marLeft w:val="0"/>
          <w:marRight w:val="0"/>
          <w:marTop w:val="0"/>
          <w:marBottom w:val="0"/>
          <w:divBdr>
            <w:top w:val="none" w:sz="0" w:space="0" w:color="auto"/>
            <w:left w:val="none" w:sz="0" w:space="0" w:color="auto"/>
            <w:bottom w:val="none" w:sz="0" w:space="0" w:color="auto"/>
            <w:right w:val="none" w:sz="0" w:space="0" w:color="auto"/>
          </w:divBdr>
        </w:div>
        <w:div w:id="472990861">
          <w:marLeft w:val="0"/>
          <w:marRight w:val="0"/>
          <w:marTop w:val="0"/>
          <w:marBottom w:val="0"/>
          <w:divBdr>
            <w:top w:val="none" w:sz="0" w:space="0" w:color="auto"/>
            <w:left w:val="none" w:sz="0" w:space="0" w:color="auto"/>
            <w:bottom w:val="none" w:sz="0" w:space="0" w:color="auto"/>
            <w:right w:val="none" w:sz="0" w:space="0" w:color="auto"/>
          </w:divBdr>
        </w:div>
        <w:div w:id="1661037903">
          <w:marLeft w:val="0"/>
          <w:marRight w:val="0"/>
          <w:marTop w:val="0"/>
          <w:marBottom w:val="0"/>
          <w:divBdr>
            <w:top w:val="none" w:sz="0" w:space="0" w:color="auto"/>
            <w:left w:val="none" w:sz="0" w:space="0" w:color="auto"/>
            <w:bottom w:val="none" w:sz="0" w:space="0" w:color="auto"/>
            <w:right w:val="none" w:sz="0" w:space="0" w:color="auto"/>
          </w:divBdr>
        </w:div>
        <w:div w:id="704257392">
          <w:marLeft w:val="0"/>
          <w:marRight w:val="0"/>
          <w:marTop w:val="0"/>
          <w:marBottom w:val="0"/>
          <w:divBdr>
            <w:top w:val="none" w:sz="0" w:space="0" w:color="auto"/>
            <w:left w:val="none" w:sz="0" w:space="0" w:color="auto"/>
            <w:bottom w:val="none" w:sz="0" w:space="0" w:color="auto"/>
            <w:right w:val="none" w:sz="0" w:space="0" w:color="auto"/>
          </w:divBdr>
        </w:div>
        <w:div w:id="1436093502">
          <w:marLeft w:val="0"/>
          <w:marRight w:val="0"/>
          <w:marTop w:val="0"/>
          <w:marBottom w:val="0"/>
          <w:divBdr>
            <w:top w:val="none" w:sz="0" w:space="0" w:color="auto"/>
            <w:left w:val="none" w:sz="0" w:space="0" w:color="auto"/>
            <w:bottom w:val="none" w:sz="0" w:space="0" w:color="auto"/>
            <w:right w:val="none" w:sz="0" w:space="0" w:color="auto"/>
          </w:divBdr>
        </w:div>
        <w:div w:id="763574775">
          <w:marLeft w:val="0"/>
          <w:marRight w:val="0"/>
          <w:marTop w:val="0"/>
          <w:marBottom w:val="0"/>
          <w:divBdr>
            <w:top w:val="none" w:sz="0" w:space="0" w:color="auto"/>
            <w:left w:val="none" w:sz="0" w:space="0" w:color="auto"/>
            <w:bottom w:val="none" w:sz="0" w:space="0" w:color="auto"/>
            <w:right w:val="none" w:sz="0" w:space="0" w:color="auto"/>
          </w:divBdr>
        </w:div>
      </w:divsChild>
    </w:div>
    <w:div w:id="1513913493">
      <w:bodyDiv w:val="1"/>
      <w:marLeft w:val="0"/>
      <w:marRight w:val="0"/>
      <w:marTop w:val="0"/>
      <w:marBottom w:val="0"/>
      <w:divBdr>
        <w:top w:val="none" w:sz="0" w:space="0" w:color="auto"/>
        <w:left w:val="none" w:sz="0" w:space="0" w:color="auto"/>
        <w:bottom w:val="none" w:sz="0" w:space="0" w:color="auto"/>
        <w:right w:val="none" w:sz="0" w:space="0" w:color="auto"/>
      </w:divBdr>
    </w:div>
    <w:div w:id="1606645031">
      <w:bodyDiv w:val="1"/>
      <w:marLeft w:val="0"/>
      <w:marRight w:val="0"/>
      <w:marTop w:val="0"/>
      <w:marBottom w:val="0"/>
      <w:divBdr>
        <w:top w:val="none" w:sz="0" w:space="0" w:color="auto"/>
        <w:left w:val="none" w:sz="0" w:space="0" w:color="auto"/>
        <w:bottom w:val="none" w:sz="0" w:space="0" w:color="auto"/>
        <w:right w:val="none" w:sz="0" w:space="0" w:color="auto"/>
      </w:divBdr>
    </w:div>
    <w:div w:id="2057047044">
      <w:bodyDiv w:val="1"/>
      <w:marLeft w:val="0"/>
      <w:marRight w:val="0"/>
      <w:marTop w:val="0"/>
      <w:marBottom w:val="0"/>
      <w:divBdr>
        <w:top w:val="none" w:sz="0" w:space="0" w:color="auto"/>
        <w:left w:val="none" w:sz="0" w:space="0" w:color="auto"/>
        <w:bottom w:val="none" w:sz="0" w:space="0" w:color="auto"/>
        <w:right w:val="none" w:sz="0" w:space="0" w:color="auto"/>
      </w:divBdr>
    </w:div>
    <w:div w:id="2097287472">
      <w:bodyDiv w:val="1"/>
      <w:marLeft w:val="0"/>
      <w:marRight w:val="0"/>
      <w:marTop w:val="0"/>
      <w:marBottom w:val="0"/>
      <w:divBdr>
        <w:top w:val="none" w:sz="0" w:space="0" w:color="auto"/>
        <w:left w:val="none" w:sz="0" w:space="0" w:color="auto"/>
        <w:bottom w:val="none" w:sz="0" w:space="0" w:color="auto"/>
        <w:right w:val="none" w:sz="0" w:space="0" w:color="auto"/>
      </w:divBdr>
    </w:div>
    <w:div w:id="2102141920">
      <w:bodyDiv w:val="1"/>
      <w:marLeft w:val="0"/>
      <w:marRight w:val="0"/>
      <w:marTop w:val="0"/>
      <w:marBottom w:val="0"/>
      <w:divBdr>
        <w:top w:val="none" w:sz="0" w:space="0" w:color="auto"/>
        <w:left w:val="none" w:sz="0" w:space="0" w:color="auto"/>
        <w:bottom w:val="none" w:sz="0" w:space="0" w:color="auto"/>
        <w:right w:val="none" w:sz="0" w:space="0" w:color="auto"/>
      </w:divBdr>
      <w:divsChild>
        <w:div w:id="742534341">
          <w:marLeft w:val="0"/>
          <w:marRight w:val="0"/>
          <w:marTop w:val="0"/>
          <w:marBottom w:val="0"/>
          <w:divBdr>
            <w:top w:val="none" w:sz="0" w:space="0" w:color="auto"/>
            <w:left w:val="none" w:sz="0" w:space="0" w:color="auto"/>
            <w:bottom w:val="none" w:sz="0" w:space="0" w:color="auto"/>
            <w:right w:val="none" w:sz="0" w:space="0" w:color="auto"/>
          </w:divBdr>
        </w:div>
        <w:div w:id="61872603">
          <w:marLeft w:val="0"/>
          <w:marRight w:val="0"/>
          <w:marTop w:val="0"/>
          <w:marBottom w:val="0"/>
          <w:divBdr>
            <w:top w:val="none" w:sz="0" w:space="0" w:color="auto"/>
            <w:left w:val="none" w:sz="0" w:space="0" w:color="auto"/>
            <w:bottom w:val="none" w:sz="0" w:space="0" w:color="auto"/>
            <w:right w:val="none" w:sz="0" w:space="0" w:color="auto"/>
          </w:divBdr>
        </w:div>
        <w:div w:id="2012633099">
          <w:marLeft w:val="0"/>
          <w:marRight w:val="0"/>
          <w:marTop w:val="0"/>
          <w:marBottom w:val="0"/>
          <w:divBdr>
            <w:top w:val="none" w:sz="0" w:space="0" w:color="auto"/>
            <w:left w:val="none" w:sz="0" w:space="0" w:color="auto"/>
            <w:bottom w:val="none" w:sz="0" w:space="0" w:color="auto"/>
            <w:right w:val="none" w:sz="0" w:space="0" w:color="auto"/>
          </w:divBdr>
        </w:div>
        <w:div w:id="1350254021">
          <w:marLeft w:val="0"/>
          <w:marRight w:val="0"/>
          <w:marTop w:val="0"/>
          <w:marBottom w:val="0"/>
          <w:divBdr>
            <w:top w:val="none" w:sz="0" w:space="0" w:color="auto"/>
            <w:left w:val="none" w:sz="0" w:space="0" w:color="auto"/>
            <w:bottom w:val="none" w:sz="0" w:space="0" w:color="auto"/>
            <w:right w:val="none" w:sz="0" w:space="0" w:color="auto"/>
          </w:divBdr>
        </w:div>
        <w:div w:id="1071393415">
          <w:marLeft w:val="0"/>
          <w:marRight w:val="0"/>
          <w:marTop w:val="0"/>
          <w:marBottom w:val="0"/>
          <w:divBdr>
            <w:top w:val="none" w:sz="0" w:space="0" w:color="auto"/>
            <w:left w:val="none" w:sz="0" w:space="0" w:color="auto"/>
            <w:bottom w:val="none" w:sz="0" w:space="0" w:color="auto"/>
            <w:right w:val="none" w:sz="0" w:space="0" w:color="auto"/>
          </w:divBdr>
        </w:div>
        <w:div w:id="10480935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D:\debasmita\november\5.11.20\pogo\final%202\SOU-NOV-051120-0819AM-Anastasia%20Slepuhin.%208%20days%2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debasmita\november\5.11.20\pogo\final%202\SOU-NOV-051120-0819AM-Anastasia%20Slepuhin.%208%20day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plotArea>
      <c:layout/>
      <c:lineChart>
        <c:grouping val="stacked"/>
        <c:varyColors val="0"/>
        <c:ser>
          <c:idx val="0"/>
          <c:order val="0"/>
          <c:tx>
            <c:strRef>
              <c:f>'Question 1'!$C$2:$C$3</c:f>
              <c:strCache>
                <c:ptCount val="1"/>
                <c:pt idx="0">
                  <c:v>Year 2018 Amount (£)</c:v>
                </c:pt>
              </c:strCache>
            </c:strRef>
          </c:tx>
          <c:cat>
            <c:strRef>
              <c:f>('Question 1'!$B$6,'Question 1'!$B$8,'Question 1'!$B$13,'Question 1'!$B$15,'Question 1'!$B$17)</c:f>
              <c:strCache>
                <c:ptCount val="5"/>
                <c:pt idx="0">
                  <c:v>Total net revenue </c:v>
                </c:pt>
                <c:pt idx="1">
                  <c:v>Gross profit </c:v>
                </c:pt>
                <c:pt idx="2">
                  <c:v>Total expense </c:v>
                </c:pt>
                <c:pt idx="3">
                  <c:v>Profit before taxation </c:v>
                </c:pt>
                <c:pt idx="4">
                  <c:v>Net profit </c:v>
                </c:pt>
              </c:strCache>
            </c:strRef>
          </c:cat>
          <c:val>
            <c:numRef>
              <c:f>('Question 1'!$C$6,'Question 1'!$C$8,'Question 1'!$C$13,'Question 1'!$C$15,'Question 1'!$C$17)</c:f>
              <c:numCache>
                <c:formatCode>#,##0</c:formatCode>
                <c:ptCount val="5"/>
                <c:pt idx="0">
                  <c:v>958650</c:v>
                </c:pt>
                <c:pt idx="1">
                  <c:v>380000</c:v>
                </c:pt>
                <c:pt idx="2">
                  <c:v>454480</c:v>
                </c:pt>
                <c:pt idx="3">
                  <c:v>377020</c:v>
                </c:pt>
                <c:pt idx="4">
                  <c:v>309020</c:v>
                </c:pt>
              </c:numCache>
            </c:numRef>
          </c:val>
          <c:smooth val="0"/>
          <c:extLst>
            <c:ext xmlns:c16="http://schemas.microsoft.com/office/drawing/2014/chart" uri="{C3380CC4-5D6E-409C-BE32-E72D297353CC}">
              <c16:uniqueId val="{00000000-AB89-48B3-9659-B0DB2FFF4F5E}"/>
            </c:ext>
          </c:extLst>
        </c:ser>
        <c:ser>
          <c:idx val="1"/>
          <c:order val="1"/>
          <c:tx>
            <c:strRef>
              <c:f>'Question 1'!$D$2:$D$3</c:f>
              <c:strCache>
                <c:ptCount val="1"/>
                <c:pt idx="0">
                  <c:v>Year 2019  Amount (£)</c:v>
                </c:pt>
              </c:strCache>
            </c:strRef>
          </c:tx>
          <c:cat>
            <c:strRef>
              <c:f>('Question 1'!$B$6,'Question 1'!$B$8,'Question 1'!$B$13,'Question 1'!$B$15,'Question 1'!$B$17)</c:f>
              <c:strCache>
                <c:ptCount val="5"/>
                <c:pt idx="0">
                  <c:v>Total net revenue </c:v>
                </c:pt>
                <c:pt idx="1">
                  <c:v>Gross profit </c:v>
                </c:pt>
                <c:pt idx="2">
                  <c:v>Total expense </c:v>
                </c:pt>
                <c:pt idx="3">
                  <c:v>Profit before taxation </c:v>
                </c:pt>
                <c:pt idx="4">
                  <c:v>Net profit </c:v>
                </c:pt>
              </c:strCache>
            </c:strRef>
          </c:cat>
          <c:val>
            <c:numRef>
              <c:f>('Question 1'!$D$6,'Question 1'!$D$8,'Question 1'!$D$13,'Question 1'!$D$15,'Question 1'!$D$17)</c:f>
              <c:numCache>
                <c:formatCode>General</c:formatCode>
                <c:ptCount val="5"/>
                <c:pt idx="0">
                  <c:v>764115</c:v>
                </c:pt>
                <c:pt idx="1">
                  <c:v>127600</c:v>
                </c:pt>
                <c:pt idx="2">
                  <c:v>499928</c:v>
                </c:pt>
                <c:pt idx="3">
                  <c:v>497728</c:v>
                </c:pt>
                <c:pt idx="4">
                  <c:v>422928</c:v>
                </c:pt>
              </c:numCache>
            </c:numRef>
          </c:val>
          <c:smooth val="0"/>
          <c:extLst>
            <c:ext xmlns:c16="http://schemas.microsoft.com/office/drawing/2014/chart" uri="{C3380CC4-5D6E-409C-BE32-E72D297353CC}">
              <c16:uniqueId val="{00000001-AB89-48B3-9659-B0DB2FFF4F5E}"/>
            </c:ext>
          </c:extLst>
        </c:ser>
        <c:dLbls>
          <c:showLegendKey val="0"/>
          <c:showVal val="0"/>
          <c:showCatName val="0"/>
          <c:showSerName val="0"/>
          <c:showPercent val="0"/>
          <c:showBubbleSize val="0"/>
        </c:dLbls>
        <c:marker val="1"/>
        <c:smooth val="0"/>
        <c:axId val="85539072"/>
        <c:axId val="96944512"/>
      </c:lineChart>
      <c:catAx>
        <c:axId val="85539072"/>
        <c:scaling>
          <c:orientation val="minMax"/>
        </c:scaling>
        <c:delete val="0"/>
        <c:axPos val="b"/>
        <c:numFmt formatCode="General" sourceLinked="0"/>
        <c:majorTickMark val="out"/>
        <c:minorTickMark val="none"/>
        <c:tickLblPos val="nextTo"/>
        <c:crossAx val="96944512"/>
        <c:crosses val="autoZero"/>
        <c:auto val="1"/>
        <c:lblAlgn val="ctr"/>
        <c:lblOffset val="100"/>
        <c:noMultiLvlLbl val="0"/>
      </c:catAx>
      <c:valAx>
        <c:axId val="96944512"/>
        <c:scaling>
          <c:orientation val="minMax"/>
        </c:scaling>
        <c:delete val="0"/>
        <c:axPos val="l"/>
        <c:majorGridlines/>
        <c:numFmt formatCode="#,##0" sourceLinked="1"/>
        <c:majorTickMark val="out"/>
        <c:minorTickMark val="none"/>
        <c:tickLblPos val="nextTo"/>
        <c:crossAx val="85539072"/>
        <c:crosses val="autoZero"/>
        <c:crossBetween val="between"/>
      </c:valAx>
    </c:plotArea>
    <c:legend>
      <c:legendPos val="r"/>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lineChart>
        <c:grouping val="stacked"/>
        <c:varyColors val="0"/>
        <c:ser>
          <c:idx val="0"/>
          <c:order val="0"/>
          <c:tx>
            <c:strRef>
              <c:f>'Question 2'!$C$2</c:f>
              <c:strCache>
                <c:ptCount val="1"/>
                <c:pt idx="0">
                  <c:v>2019</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2'!$B$3,'Question 2'!$B$6,'Question 2'!$B$11,'Question 2'!$B$15,'Question 2'!$B$18)</c:f>
              <c:strCache>
                <c:ptCount val="5"/>
                <c:pt idx="0">
                  <c:v>Particulars </c:v>
                </c:pt>
                <c:pt idx="1">
                  <c:v>Current ratio </c:v>
                </c:pt>
                <c:pt idx="2">
                  <c:v>Debt to equity ratio</c:v>
                </c:pt>
                <c:pt idx="3">
                  <c:v>Quick ratio </c:v>
                </c:pt>
                <c:pt idx="4">
                  <c:v>Assest turnover ratio </c:v>
                </c:pt>
              </c:strCache>
            </c:strRef>
          </c:cat>
          <c:val>
            <c:numRef>
              <c:f>('Question 2'!$C$3,'Question 2'!$C$6,'Question 2'!$C$11,'Question 2'!$C$15,'Question 2'!$C$18)</c:f>
              <c:numCache>
                <c:formatCode>General</c:formatCode>
                <c:ptCount val="5"/>
                <c:pt idx="0">
                  <c:v>0</c:v>
                </c:pt>
                <c:pt idx="1">
                  <c:v>0.91716447630426123</c:v>
                </c:pt>
                <c:pt idx="2">
                  <c:v>2.1528497409326426</c:v>
                </c:pt>
                <c:pt idx="3">
                  <c:v>0.71804062126642787</c:v>
                </c:pt>
                <c:pt idx="4">
                  <c:v>0.69207066557107655</c:v>
                </c:pt>
              </c:numCache>
            </c:numRef>
          </c:val>
          <c:smooth val="0"/>
          <c:extLst>
            <c:ext xmlns:c16="http://schemas.microsoft.com/office/drawing/2014/chart" uri="{C3380CC4-5D6E-409C-BE32-E72D297353CC}">
              <c16:uniqueId val="{00000000-7FE3-4A04-A34F-2CA81042E421}"/>
            </c:ext>
          </c:extLst>
        </c:ser>
        <c:ser>
          <c:idx val="1"/>
          <c:order val="1"/>
          <c:tx>
            <c:strRef>
              <c:f>'Question 2'!$D$2</c:f>
              <c:strCache>
                <c:ptCount val="1"/>
                <c:pt idx="0">
                  <c:v>2018</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('Question 2'!$B$3,'Question 2'!$B$6,'Question 2'!$B$11,'Question 2'!$B$15,'Question 2'!$B$18)</c:f>
              <c:strCache>
                <c:ptCount val="5"/>
                <c:pt idx="0">
                  <c:v>Particulars </c:v>
                </c:pt>
                <c:pt idx="1">
                  <c:v>Current ratio </c:v>
                </c:pt>
                <c:pt idx="2">
                  <c:v>Debt to equity ratio</c:v>
                </c:pt>
                <c:pt idx="3">
                  <c:v>Quick ratio </c:v>
                </c:pt>
                <c:pt idx="4">
                  <c:v>Assest turnover ratio </c:v>
                </c:pt>
              </c:strCache>
            </c:strRef>
          </c:cat>
          <c:val>
            <c:numRef>
              <c:f>('Question 2'!$D$3,'Question 2'!$D$6,'Question 2'!$D$11,'Question 2'!$D$15,'Question 2'!$D$18)</c:f>
              <c:numCache>
                <c:formatCode>General</c:formatCode>
                <c:ptCount val="5"/>
                <c:pt idx="0">
                  <c:v>0</c:v>
                </c:pt>
                <c:pt idx="1">
                  <c:v>0.77314510833880523</c:v>
                </c:pt>
                <c:pt idx="2">
                  <c:v>2.4639423076923079</c:v>
                </c:pt>
                <c:pt idx="3">
                  <c:v>0.78365068942875904</c:v>
                </c:pt>
                <c:pt idx="4">
                  <c:v>0.63854466144542488</c:v>
                </c:pt>
              </c:numCache>
            </c:numRef>
          </c:val>
          <c:smooth val="0"/>
          <c:extLst>
            <c:ext xmlns:c16="http://schemas.microsoft.com/office/drawing/2014/chart" uri="{C3380CC4-5D6E-409C-BE32-E72D297353CC}">
              <c16:uniqueId val="{00000001-7FE3-4A04-A34F-2CA81042E421}"/>
            </c:ext>
          </c:extLst>
        </c:ser>
        <c:dLbls>
          <c:showLegendKey val="0"/>
          <c:showVal val="1"/>
          <c:showCatName val="0"/>
          <c:showSerName val="0"/>
          <c:showPercent val="0"/>
          <c:showBubbleSize val="0"/>
        </c:dLbls>
        <c:marker val="1"/>
        <c:smooth val="0"/>
        <c:axId val="97037312"/>
        <c:axId val="97129600"/>
      </c:lineChart>
      <c:catAx>
        <c:axId val="97037312"/>
        <c:scaling>
          <c:orientation val="minMax"/>
        </c:scaling>
        <c:delete val="0"/>
        <c:axPos val="b"/>
        <c:numFmt formatCode="General" sourceLinked="0"/>
        <c:majorTickMark val="none"/>
        <c:minorTickMark val="none"/>
        <c:tickLblPos val="nextTo"/>
        <c:crossAx val="97129600"/>
        <c:crosses val="autoZero"/>
        <c:auto val="1"/>
        <c:lblAlgn val="ctr"/>
        <c:lblOffset val="100"/>
        <c:noMultiLvlLbl val="0"/>
      </c:catAx>
      <c:valAx>
        <c:axId val="97129600"/>
        <c:scaling>
          <c:orientation val="minMax"/>
        </c:scaling>
        <c:delete val="0"/>
        <c:axPos val="l"/>
        <c:majorGridlines/>
        <c:numFmt formatCode="General" sourceLinked="1"/>
        <c:majorTickMark val="none"/>
        <c:minorTickMark val="none"/>
        <c:tickLblPos val="nextTo"/>
        <c:crossAx val="97037312"/>
        <c:crosses val="autoZero"/>
        <c:crossBetween val="between"/>
      </c:valAx>
    </c:plotArea>
    <c:legend>
      <c:legendPos val="r"/>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F6522-9724-4763-9308-DFD43DB84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Petru</cp:lastModifiedBy>
  <cp:revision>17</cp:revision>
  <dcterms:created xsi:type="dcterms:W3CDTF">2020-11-11T07:02:00Z</dcterms:created>
  <dcterms:modified xsi:type="dcterms:W3CDTF">2020-11-11T11:16:00Z</dcterms:modified>
</cp:coreProperties>
</file>