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EDCA7B" w14:textId="77777777" w:rsidR="00181D8C" w:rsidRPr="00DC7442" w:rsidRDefault="006F21BA"/>
    <w:p w14:paraId="3A7D8642" w14:textId="77777777" w:rsidR="00FB4E65" w:rsidRPr="00DC7442" w:rsidRDefault="00FB4E65" w:rsidP="00FB4E65">
      <w:pPr>
        <w:jc w:val="center"/>
        <w:rPr>
          <w:sz w:val="28"/>
          <w:u w:val="single"/>
        </w:rPr>
      </w:pPr>
    </w:p>
    <w:p w14:paraId="7C9466F1" w14:textId="2AD891E3" w:rsidR="00FB4E65" w:rsidRPr="00DC7442" w:rsidRDefault="0047535B" w:rsidP="00FB4E65">
      <w:pPr>
        <w:tabs>
          <w:tab w:val="left" w:pos="1120"/>
        </w:tabs>
        <w:jc w:val="center"/>
        <w:rPr>
          <w:rFonts w:ascii="Calibri" w:eastAsia="Times New Roman" w:hAnsi="Calibri"/>
          <w:sz w:val="28"/>
          <w:u w:val="single"/>
        </w:rPr>
      </w:pPr>
      <w:r>
        <w:rPr>
          <w:rFonts w:ascii="Calibri" w:eastAsia="Times New Roman" w:hAnsi="Calibri"/>
          <w:sz w:val="28"/>
          <w:u w:val="single"/>
        </w:rPr>
        <w:t>How significant were the e</w:t>
      </w:r>
      <w:r w:rsidR="00FB4E65" w:rsidRPr="00DC7442">
        <w:rPr>
          <w:rFonts w:ascii="Calibri" w:eastAsia="Times New Roman" w:hAnsi="Calibri"/>
          <w:sz w:val="28"/>
          <w:u w:val="single"/>
        </w:rPr>
        <w:t>ffects of the Black Death on medieval religion and culture?</w:t>
      </w:r>
    </w:p>
    <w:p w14:paraId="643E2B00" w14:textId="77777777" w:rsidR="00FB4E65" w:rsidRPr="00DC7442" w:rsidRDefault="00FB4E65" w:rsidP="00FB4E65">
      <w:pPr>
        <w:tabs>
          <w:tab w:val="left" w:pos="1120"/>
        </w:tabs>
        <w:jc w:val="center"/>
        <w:rPr>
          <w:rFonts w:ascii="Calibri" w:eastAsia="Times New Roman" w:hAnsi="Calibri"/>
          <w:sz w:val="28"/>
          <w:u w:val="single"/>
        </w:rPr>
      </w:pPr>
    </w:p>
    <w:p w14:paraId="40049E27" w14:textId="5459216B" w:rsidR="00FB4E65" w:rsidRPr="00DC7442" w:rsidRDefault="00A22D42" w:rsidP="00FB4E65">
      <w:pPr>
        <w:tabs>
          <w:tab w:val="left" w:pos="1120"/>
        </w:tabs>
      </w:pPr>
      <w:r w:rsidRPr="00DC7442">
        <w:t xml:space="preserve">During the middle of the fourteenth century, for three years a pandemic known as the ‘Black Death’ ravaged Europe (Langer, 1964: 114). </w:t>
      </w:r>
      <w:r w:rsidR="00BD06AA" w:rsidRPr="00DC7442">
        <w:t>The substantial population drop described by chroniclers was often seen as</w:t>
      </w:r>
      <w:r w:rsidR="0047535B">
        <w:t xml:space="preserve"> an exaggeration</w:t>
      </w:r>
      <w:r w:rsidR="00BD06AA" w:rsidRPr="00DC7442">
        <w:t xml:space="preserve"> (Langer, 1964: 114). However, r</w:t>
      </w:r>
      <w:r w:rsidR="002A3125" w:rsidRPr="00DC7442">
        <w:t xml:space="preserve">ecent estimates show that 25%-50% of the European population was lost to the Black Death (Margerison and Knusel, 2002: 135). </w:t>
      </w:r>
      <w:r w:rsidR="00BD06AA" w:rsidRPr="00DC7442">
        <w:t>The overall European population was reduced</w:t>
      </w:r>
      <w:r w:rsidRPr="00DC7442">
        <w:t xml:space="preserve"> </w:t>
      </w:r>
      <w:r w:rsidR="0010365E" w:rsidRPr="00DC7442">
        <w:t>from an estimated seventy-five million to twenty million (Getz, 1991: 265).</w:t>
      </w:r>
      <w:r w:rsidR="00B27CB2" w:rsidRPr="00DC7442">
        <w:t xml:space="preserve"> </w:t>
      </w:r>
      <w:r w:rsidR="00C5457F" w:rsidRPr="00DC7442">
        <w:t xml:space="preserve">This plague was the first of many periodic outbreaks throughout Europe, the ‘Bubonic Plague’ was the last </w:t>
      </w:r>
      <w:r w:rsidR="004D4B0D" w:rsidRPr="00DC7442">
        <w:t>o</w:t>
      </w:r>
      <w:r w:rsidR="00D14EC0" w:rsidRPr="00DC7442">
        <w:t>f these pandemics</w:t>
      </w:r>
      <w:r w:rsidR="004D4B0D" w:rsidRPr="00DC7442">
        <w:t xml:space="preserve"> in 1665 (Langer, 1964: 114). </w:t>
      </w:r>
      <w:r w:rsidR="00660BED" w:rsidRPr="00DC7442">
        <w:t xml:space="preserve">However, it was the first plague that rocked Medieval society the most, with some authors </w:t>
      </w:r>
      <w:r w:rsidR="00107CD0" w:rsidRPr="00DC7442">
        <w:t xml:space="preserve">referring to it as “the worst disaster to befall mankind” (Langer, 1964: 114). Despite the impact that the Black Death had on Medieval religion and culture, it did not destroy them entirely (Byrne, 2004: 57). </w:t>
      </w:r>
    </w:p>
    <w:p w14:paraId="532313C9" w14:textId="77777777" w:rsidR="00503C77" w:rsidRPr="00DC7442" w:rsidRDefault="00503C77" w:rsidP="00503C77">
      <w:pPr>
        <w:tabs>
          <w:tab w:val="left" w:pos="1120"/>
        </w:tabs>
        <w:rPr>
          <w:sz w:val="28"/>
        </w:rPr>
      </w:pPr>
    </w:p>
    <w:p w14:paraId="251B78DC" w14:textId="5108C845" w:rsidR="00B93337" w:rsidRPr="00DC7442" w:rsidRDefault="00503C77" w:rsidP="00B93337">
      <w:pPr>
        <w:tabs>
          <w:tab w:val="left" w:pos="1120"/>
        </w:tabs>
      </w:pPr>
      <w:r w:rsidRPr="00DC7442">
        <w:t xml:space="preserve">The Black Death </w:t>
      </w:r>
      <w:r w:rsidR="008A089B" w:rsidRPr="00DC7442">
        <w:t>arrived in Europe through</w:t>
      </w:r>
      <w:r w:rsidR="0070031D" w:rsidRPr="00DC7442">
        <w:t xml:space="preserve"> Crimea October 1347, and </w:t>
      </w:r>
      <w:r w:rsidR="00CD231C" w:rsidRPr="00DC7442">
        <w:t xml:space="preserve">then entered </w:t>
      </w:r>
      <w:r w:rsidR="0048240B" w:rsidRPr="00DC7442">
        <w:t>Britain</w:t>
      </w:r>
      <w:r w:rsidR="00CD231C" w:rsidRPr="00DC7442">
        <w:t xml:space="preserve"> through Weymouth port June/July 1348, eventually arriving in London November 1438 (Antoine, 2008: 101). The death rate in London dramatically increased December 1348 and peaked April 1349</w:t>
      </w:r>
      <w:r w:rsidR="00C15F37" w:rsidRPr="00DC7442">
        <w:t xml:space="preserve"> with 200 burials a day. </w:t>
      </w:r>
      <w:r w:rsidR="00CD231C" w:rsidRPr="00DC7442">
        <w:t>(Antoine, 2008: 101</w:t>
      </w:r>
      <w:r w:rsidR="00C15F37" w:rsidRPr="00DC7442">
        <w:t>-103</w:t>
      </w:r>
      <w:r w:rsidR="00CD231C" w:rsidRPr="00DC7442">
        <w:t xml:space="preserve">). </w:t>
      </w:r>
      <w:r w:rsidR="00391999" w:rsidRPr="00DC7442">
        <w:t>This plague</w:t>
      </w:r>
      <w:r w:rsidR="00C15F37" w:rsidRPr="00DC7442">
        <w:t xml:space="preserve"> is thought to have an 80% mortality </w:t>
      </w:r>
      <w:r w:rsidR="00B27CB2" w:rsidRPr="00DC7442">
        <w:t>rate;</w:t>
      </w:r>
      <w:r w:rsidR="00C15F37" w:rsidRPr="00DC7442">
        <w:t xml:space="preserve"> the fear of uncertainty would make people either embrace their religion or turn their backs. </w:t>
      </w:r>
      <w:r w:rsidR="0048240B" w:rsidRPr="00DC7442">
        <w:t>(Langer, 1964: 115)</w:t>
      </w:r>
      <w:r w:rsidR="00C15F37" w:rsidRPr="00DC7442">
        <w:t>.</w:t>
      </w:r>
    </w:p>
    <w:p w14:paraId="6F753FAF" w14:textId="77777777" w:rsidR="0048240B" w:rsidRPr="00DC7442" w:rsidRDefault="0048240B" w:rsidP="00B93337">
      <w:pPr>
        <w:tabs>
          <w:tab w:val="left" w:pos="1120"/>
        </w:tabs>
      </w:pPr>
    </w:p>
    <w:p w14:paraId="233BC3F7" w14:textId="70B10ADA" w:rsidR="00F70C9D" w:rsidRPr="00DC7442" w:rsidRDefault="00F70C9D" w:rsidP="0048240B">
      <w:pPr>
        <w:tabs>
          <w:tab w:val="left" w:pos="1120"/>
        </w:tabs>
      </w:pPr>
      <w:r w:rsidRPr="00DC7442">
        <w:t>We know that the Black Death originated</w:t>
      </w:r>
      <w:r w:rsidR="0048240B" w:rsidRPr="00DC7442">
        <w:t xml:space="preserve"> in Asia Minor and spread</w:t>
      </w:r>
      <w:r w:rsidRPr="00DC7442">
        <w:t xml:space="preserve"> to the Middle East then</w:t>
      </w:r>
      <w:r w:rsidR="0048240B" w:rsidRPr="00DC7442">
        <w:t xml:space="preserve"> t</w:t>
      </w:r>
      <w:r w:rsidRPr="00DC7442">
        <w:t>hrough</w:t>
      </w:r>
      <w:r w:rsidR="0048240B" w:rsidRPr="00DC7442">
        <w:t xml:space="preserve"> Europe (Getz, 1991: 267). Without science, one Medieval explanation for the beginning of the Black Death was an earthquake in China followed by a flood, making the disease move westward (Cantor, 2001: 17). The consequences of the Black Death, included pestilence, famine and death </w:t>
      </w:r>
      <w:r w:rsidRPr="00DC7442">
        <w:t xml:space="preserve">of the general population </w:t>
      </w:r>
      <w:r w:rsidR="0048240B" w:rsidRPr="00DC7442">
        <w:t xml:space="preserve">(Getz. 1991: 267) These consequences seem to mimic the four horsemen of the apocalypse, along with the climatic events the Black Death arguably has similarities with Book of Revelations (Getz, 1991: 267). There is still academic discussion as to whether the Medieval people actually saw the plague as the beginning of ‘the Last Judgement’ (Getz, 1991: 267). </w:t>
      </w:r>
      <w:r w:rsidRPr="00DC7442">
        <w:t xml:space="preserve">While Horrox (1994: 99) believes the Black Death was seen to be the second coming of Christ for the Medieval people, Getz (1991: 267) writes that we should use this assumption with caution. </w:t>
      </w:r>
    </w:p>
    <w:p w14:paraId="46D9A19D" w14:textId="77777777" w:rsidR="00F70C9D" w:rsidRPr="00DC7442" w:rsidRDefault="00F70C9D" w:rsidP="0048240B">
      <w:pPr>
        <w:tabs>
          <w:tab w:val="left" w:pos="1120"/>
        </w:tabs>
      </w:pPr>
    </w:p>
    <w:p w14:paraId="3C4816F6" w14:textId="7A63FAC2" w:rsidR="00FF4B6E" w:rsidRPr="00DC7442" w:rsidRDefault="0048240B" w:rsidP="00B93337">
      <w:pPr>
        <w:tabs>
          <w:tab w:val="left" w:pos="1120"/>
        </w:tabs>
      </w:pPr>
      <w:r w:rsidRPr="00DC7442">
        <w:t xml:space="preserve">While </w:t>
      </w:r>
      <w:r w:rsidR="00F70C9D" w:rsidRPr="00DC7442">
        <w:t xml:space="preserve">Medieval </w:t>
      </w:r>
      <w:r w:rsidRPr="00DC7442">
        <w:t>professors</w:t>
      </w:r>
      <w:r w:rsidR="00FF4B6E" w:rsidRPr="00DC7442">
        <w:t xml:space="preserve">, </w:t>
      </w:r>
      <w:r w:rsidRPr="00DC7442">
        <w:t xml:space="preserve">academics </w:t>
      </w:r>
      <w:r w:rsidR="00FF4B6E" w:rsidRPr="00DC7442">
        <w:t xml:space="preserve">and disputably Pope Clement VI thought the Black Death was caused by the </w:t>
      </w:r>
      <w:r w:rsidRPr="00DC7442">
        <w:t>“astrological place of Saturn in the house of Jupiter” (Cantor, 2001: 23). The</w:t>
      </w:r>
      <w:r w:rsidR="00B93337" w:rsidRPr="00DC7442">
        <w:t xml:space="preserve"> vast majority of the European </w:t>
      </w:r>
      <w:r w:rsidR="00B93337" w:rsidRPr="00DC7442">
        <w:lastRenderedPageBreak/>
        <w:t>population believed the Black Death was a divine punishment by God for people’s sins</w:t>
      </w:r>
      <w:r w:rsidRPr="00DC7442">
        <w:t xml:space="preserve"> (Langer, 1964: 115)</w:t>
      </w:r>
      <w:r w:rsidR="00B62DDB" w:rsidRPr="00DC7442">
        <w:t>, t</w:t>
      </w:r>
      <w:r w:rsidR="00361F33" w:rsidRPr="00DC7442">
        <w:t xml:space="preserve">he </w:t>
      </w:r>
      <w:r w:rsidRPr="00DC7442">
        <w:t xml:space="preserve">belief </w:t>
      </w:r>
      <w:r w:rsidR="00B62DDB" w:rsidRPr="00DC7442">
        <w:t xml:space="preserve">of divine wrath </w:t>
      </w:r>
      <w:r w:rsidR="00361F33" w:rsidRPr="00DC7442">
        <w:t>was expressed in letters</w:t>
      </w:r>
      <w:r w:rsidRPr="00DC7442">
        <w:t xml:space="preserve"> by </w:t>
      </w:r>
      <w:r w:rsidR="00B62DDB" w:rsidRPr="00DC7442">
        <w:t xml:space="preserve">Pope Clement VI (Horrox, 1994: 77, Steiman 1997: 37). </w:t>
      </w:r>
      <w:r w:rsidR="00F70C9D" w:rsidRPr="00DC7442">
        <w:t>Horrox (1994: 97-98) writes that chroniclers appeared to emphasis</w:t>
      </w:r>
      <w:r w:rsidR="0047535B">
        <w:t>e</w:t>
      </w:r>
      <w:r w:rsidR="00F70C9D" w:rsidRPr="00DC7442">
        <w:t xml:space="preserve"> that humanity as a whole was being punished because everyone has sinned. </w:t>
      </w:r>
      <w:r w:rsidR="00371213" w:rsidRPr="00DC7442">
        <w:t xml:space="preserve">Many English chroniclers linked the arrival of the plague to </w:t>
      </w:r>
      <w:r w:rsidR="00F70C9D" w:rsidRPr="00DC7442">
        <w:t xml:space="preserve">the indecent fashions of the 1340s and 1350s and the unsavoury behaviour of the general population (Horrox, 1994: 97). </w:t>
      </w:r>
    </w:p>
    <w:p w14:paraId="52CC9372" w14:textId="77777777" w:rsidR="00FF4B6E" w:rsidRPr="00DC7442" w:rsidRDefault="00FF4B6E" w:rsidP="00B93337">
      <w:pPr>
        <w:tabs>
          <w:tab w:val="left" w:pos="1120"/>
        </w:tabs>
      </w:pPr>
    </w:p>
    <w:p w14:paraId="2765F60F" w14:textId="6897CC1A" w:rsidR="00687BA0" w:rsidRPr="00DC7442" w:rsidRDefault="00687BA0" w:rsidP="00B93337">
      <w:pPr>
        <w:tabs>
          <w:tab w:val="left" w:pos="1120"/>
        </w:tabs>
      </w:pPr>
      <w:r w:rsidRPr="00DC7442">
        <w:t>“Desperation drove some to the abandonment of mortality, others to pathetic extravagances of religiosity or superstition” (Langer, 1964: 117).</w:t>
      </w:r>
      <w:r w:rsidR="00B27CB2" w:rsidRPr="00DC7442">
        <w:t xml:space="preserve"> Recent a</w:t>
      </w:r>
      <w:r w:rsidR="002A3125" w:rsidRPr="00DC7442">
        <w:t xml:space="preserve">rchaeological evidence shows that the Black Death precedes its reputation of being indiscriminate of sex and age (Margerison and Knusel, 2002: 135). This </w:t>
      </w:r>
      <w:r w:rsidR="00FF4B6E" w:rsidRPr="00DC7442">
        <w:t xml:space="preserve">meant that anyone could get infected and die from the disease (Horrox, 1994: 98). The idea that both the sinners and the innocents could be cut down by this pandemic caused uneasiness and fear among the Medieval people (Horrox, 1994: 98). </w:t>
      </w:r>
      <w:r w:rsidR="00361F33" w:rsidRPr="00DC7442">
        <w:t xml:space="preserve">When faced with the uncertainty of death, many people embraced Christianity </w:t>
      </w:r>
      <w:r w:rsidR="0047535B">
        <w:t xml:space="preserve">and </w:t>
      </w:r>
      <w:r w:rsidR="00E41A5C" w:rsidRPr="00DC7442">
        <w:t>congregate</w:t>
      </w:r>
      <w:r w:rsidR="00361F33" w:rsidRPr="00DC7442">
        <w:t>d</w:t>
      </w:r>
      <w:r w:rsidR="00E41A5C" w:rsidRPr="00DC7442">
        <w:t xml:space="preserve"> in churches to pray for forgiveness and protection from God and multiple saints (Langer, 1964: 115). </w:t>
      </w:r>
      <w:r w:rsidR="00AC3159" w:rsidRPr="00DC7442">
        <w:t>They would give gifts and money to the church in order for the priests to pray for their souls</w:t>
      </w:r>
      <w:r w:rsidR="00B27CB2" w:rsidRPr="00DC7442">
        <w:t xml:space="preserve"> and protect them from the plague</w:t>
      </w:r>
      <w:r w:rsidR="00AC3159" w:rsidRPr="00DC7442">
        <w:t xml:space="preserve"> (Langer, 1964: 117). </w:t>
      </w:r>
      <w:r w:rsidR="00E41A5C" w:rsidRPr="00DC7442">
        <w:t xml:space="preserve">Some turned to the extreme of flagellantism, where they would march and whip each other as a physical punishment to atone for their personal sins (Langer, 1964: 115). </w:t>
      </w:r>
      <w:r w:rsidRPr="00DC7442">
        <w:t xml:space="preserve">Those who did not turn to the church in this time of despair instead </w:t>
      </w:r>
      <w:r w:rsidR="00C15F37" w:rsidRPr="00DC7442">
        <w:t>lived their lives with immoralities and defiance (Langer, 1964: 121). This misguided venture is often considered to be fuelled by the guilt the people were feeling</w:t>
      </w:r>
      <w:r w:rsidR="00B27CB2" w:rsidRPr="00DC7442">
        <w:t xml:space="preserve"> for their sins</w:t>
      </w:r>
      <w:r w:rsidR="00C15F37" w:rsidRPr="00DC7442">
        <w:t xml:space="preserve"> instead of outward defiance against religion (Langer, 1964: 121). </w:t>
      </w:r>
    </w:p>
    <w:p w14:paraId="7FE3584D" w14:textId="072D3C83" w:rsidR="00361F33" w:rsidRPr="00DC7442" w:rsidRDefault="00361F33" w:rsidP="000A315C">
      <w:pPr>
        <w:tabs>
          <w:tab w:val="left" w:pos="1120"/>
        </w:tabs>
      </w:pPr>
    </w:p>
    <w:p w14:paraId="75F18FFB" w14:textId="2AC93780" w:rsidR="00A37756" w:rsidRPr="00DC7442" w:rsidRDefault="00E52760" w:rsidP="000A315C">
      <w:pPr>
        <w:tabs>
          <w:tab w:val="left" w:pos="1120"/>
        </w:tabs>
      </w:pPr>
      <w:r w:rsidRPr="00DC7442">
        <w:t xml:space="preserve">Within the three years it took for the Black Death to play out, there was a substantial shift in the religious </w:t>
      </w:r>
      <w:r w:rsidR="00D6027E" w:rsidRPr="00DC7442">
        <w:t>views of the British populace (Langer, 1964: 121). Because the churches</w:t>
      </w:r>
      <w:r w:rsidR="0047535B">
        <w:t>’</w:t>
      </w:r>
      <w:r w:rsidR="00D6027E" w:rsidRPr="00DC7442">
        <w:t xml:space="preserve"> system of gifts for prayers played a large role during the Black Death to no benefit of many people, the public started to turn their backs on Christianity (Gottfried, 1983: 85). In fact, much of the clerical order </w:t>
      </w:r>
      <w:r w:rsidR="00457820" w:rsidRPr="00DC7442">
        <w:t>fled or were</w:t>
      </w:r>
      <w:r w:rsidR="0047535B">
        <w:t xml:space="preserve"> killed by</w:t>
      </w:r>
      <w:r w:rsidR="00D6027E" w:rsidRPr="00DC7442">
        <w:t xml:space="preserve"> the plague, leaving no one to deliver the last rites to the dying (Gottfried, 1983: 84). </w:t>
      </w:r>
      <w:r w:rsidR="004E543F" w:rsidRPr="00DC7442">
        <w:t>As a result of this the Bishop of Bath and Wells issued a letter allowing non-ordained men and in extreme cases women</w:t>
      </w:r>
      <w:r w:rsidR="0047535B">
        <w:t>,</w:t>
      </w:r>
      <w:r w:rsidR="004E543F" w:rsidRPr="00DC7442">
        <w:t xml:space="preserve"> to hear a persons last confession (Daniell, 2005: 189). The Bishop also allowed deacons to administer </w:t>
      </w:r>
      <w:r w:rsidR="002B0AC5" w:rsidRPr="00DC7442">
        <w:t xml:space="preserve">‘The Sacrament of the Eucharist’, but would not allow anyone other than a Priest to give last rites (Daniell, 2005: 189).  </w:t>
      </w:r>
    </w:p>
    <w:p w14:paraId="42692C1B" w14:textId="2775A191" w:rsidR="004E543F" w:rsidRPr="00DC7442" w:rsidRDefault="004E543F" w:rsidP="004E543F">
      <w:pPr>
        <w:tabs>
          <w:tab w:val="left" w:pos="7770"/>
        </w:tabs>
      </w:pPr>
      <w:r w:rsidRPr="00DC7442">
        <w:tab/>
      </w:r>
    </w:p>
    <w:p w14:paraId="76BF5DD6" w14:textId="0E3A7768" w:rsidR="00A37756" w:rsidRPr="00DC7442" w:rsidRDefault="001005C2" w:rsidP="000A315C">
      <w:pPr>
        <w:tabs>
          <w:tab w:val="left" w:pos="1120"/>
        </w:tabs>
      </w:pPr>
      <w:r w:rsidRPr="00DC7442">
        <w:t xml:space="preserve">It is a common argument </w:t>
      </w:r>
      <w:r w:rsidR="008A48BA" w:rsidRPr="00DC7442">
        <w:t>that the Protestant Reformation is a direct consequence of the Black Death (Langer, 1964: 121</w:t>
      </w:r>
      <w:r w:rsidRPr="00DC7442">
        <w:t>, Byrne, 2004: 57</w:t>
      </w:r>
      <w:r w:rsidR="008A48BA" w:rsidRPr="00DC7442">
        <w:t>). Although Langer (1964: 121) believes it is too simple of an explanation, it does have some merit. The failure of the church and its leaders</w:t>
      </w:r>
      <w:r w:rsidR="00787DBD">
        <w:t xml:space="preserve"> to protect the people</w:t>
      </w:r>
      <w:r w:rsidR="008A48BA" w:rsidRPr="00DC7442">
        <w:t xml:space="preserve"> during the pandemic, where the populace was dying and many priests fled (Langer, 1964: 121)</w:t>
      </w:r>
      <w:r w:rsidRPr="00DC7442">
        <w:t>.</w:t>
      </w:r>
      <w:r w:rsidR="008A48BA" w:rsidRPr="00DC7442">
        <w:t xml:space="preserve"> </w:t>
      </w:r>
      <w:r w:rsidRPr="00DC7442">
        <w:t>It would be</w:t>
      </w:r>
      <w:r w:rsidR="008A48BA" w:rsidRPr="00DC7442">
        <w:t xml:space="preserve"> a fair assumption that the people felt abandoned by their religious leaders, giving way to a religious rebellion (Langer, 1964: 121). </w:t>
      </w:r>
      <w:r w:rsidR="00D76809" w:rsidRPr="00DC7442">
        <w:t xml:space="preserve">It is difficult to counter argue as the Reformation leaders were keen on an intimate relationship with God due to the </w:t>
      </w:r>
      <w:r w:rsidR="00F50193" w:rsidRPr="00DC7442">
        <w:t xml:space="preserve">grief and despair they felt during the plague (Langer, 1964: 121). It is these men who created a fundamental new outlook on religion (Langer, 1964: 121). </w:t>
      </w:r>
    </w:p>
    <w:p w14:paraId="0545A2EF" w14:textId="77777777" w:rsidR="00166F56" w:rsidRPr="00DC7442" w:rsidRDefault="00166F56" w:rsidP="000A315C">
      <w:pPr>
        <w:tabs>
          <w:tab w:val="left" w:pos="1120"/>
        </w:tabs>
      </w:pPr>
    </w:p>
    <w:p w14:paraId="42FDBDAB" w14:textId="17970C2B" w:rsidR="00E6196B" w:rsidRPr="00DC7442" w:rsidRDefault="00E6196B" w:rsidP="00E6196B">
      <w:pPr>
        <w:tabs>
          <w:tab w:val="left" w:pos="1120"/>
        </w:tabs>
      </w:pPr>
      <w:r w:rsidRPr="00DC7442">
        <w:t>As mentioned earlier, the idea of ‘Judgement Day’ among the Medieval People was a certainty that would happen one day, in order to prepare themselves, certain burial customs were followed pre 1348 (Daniell, 2005: 181). Excavations of burial sites found human remains with stones (described as ‘ear-muffs</w:t>
      </w:r>
      <w:r w:rsidR="00787DBD">
        <w:t>’</w:t>
      </w:r>
      <w:r w:rsidRPr="00DC7442">
        <w:t xml:space="preserve">) either side of a persons’ head, the function of these was to keep the head facing upwards (Daniell, 2005: 181). This would have been important to people as they believed they would have a direct view of Christ come Judgement Day (Daniell, 2005: 181). This practice died out in early thirteenth century when the concept of purgatory was being emphasised, this shows how changes to religion can effect burial tradition (Daniell, 2005: 181). </w:t>
      </w:r>
    </w:p>
    <w:p w14:paraId="1B623459" w14:textId="77777777" w:rsidR="00E6196B" w:rsidRPr="00DC7442" w:rsidRDefault="00E6196B" w:rsidP="00E6196B">
      <w:pPr>
        <w:tabs>
          <w:tab w:val="left" w:pos="1120"/>
        </w:tabs>
      </w:pPr>
    </w:p>
    <w:p w14:paraId="217EEB0A" w14:textId="77777777" w:rsidR="00E6196B" w:rsidRPr="00DC7442" w:rsidRDefault="00E6196B" w:rsidP="00E6196B">
      <w:pPr>
        <w:tabs>
          <w:tab w:val="left" w:pos="1120"/>
        </w:tabs>
      </w:pPr>
      <w:r w:rsidRPr="00DC7442">
        <w:t xml:space="preserve">With the great number of people dying from the plague at substantial rates, perhaps the biggest problem was how to administer proper burials throughout Europe (Cantor, 2001: 23). With a small number of gravediggers and priests and a large number of the dead, the only solution was mass burials (Cantor, 2001: 23). As the disease spread with increasing fatalities, churches became overwhelmed with the number of burials, so additional, purpose built cemeteries had to open to cope with demand (Horrox, 1994: 64). During the pandemic it was not uncommon for these purpose built cemeteries to be full within a few months of opening (Daneill, 1997: 145). To deal with the influx of death it is thought that four cemeteries were opened in London alone for the sole purpose of the Black Death (Margerison and Knusel, 2002: 135). </w:t>
      </w:r>
    </w:p>
    <w:p w14:paraId="1D0B94A9" w14:textId="77777777" w:rsidR="00E6196B" w:rsidRPr="00DC7442" w:rsidRDefault="00E6196B" w:rsidP="00E6196B">
      <w:pPr>
        <w:tabs>
          <w:tab w:val="left" w:pos="1120"/>
        </w:tabs>
      </w:pPr>
    </w:p>
    <w:p w14:paraId="6052C972" w14:textId="6B00CC91" w:rsidR="00E6196B" w:rsidRPr="00DC7442" w:rsidRDefault="00E6196B" w:rsidP="00E6196B">
      <w:pPr>
        <w:tabs>
          <w:tab w:val="left" w:pos="1120"/>
        </w:tabs>
      </w:pPr>
      <w:r w:rsidRPr="00DC7442">
        <w:t>Only two cemetery sites are known for certain in London, East and West Smithfield, on the site of the Royal Mint (Margerison and Knusel, 2002: 134, Hawkins, 1990: 637). In 1349 Bishop Ralph Stratford purchased the land of West Smithfield, consecrated it and built a chapel (Byrne, 2012: 225, Horrox, 1994: 64). The land of East Smithfield went under the same process once purchased by the clergyman John Corey (Byrne, 2012: 225). The chronicle of Robert of Avesbury comments that between 2</w:t>
      </w:r>
      <w:r w:rsidR="006F21BA">
        <w:t>nd</w:t>
      </w:r>
      <w:bookmarkStart w:id="0" w:name="_GoBack"/>
      <w:bookmarkEnd w:id="0"/>
      <w:r w:rsidRPr="00DC7442">
        <w:t xml:space="preserve"> February and 12</w:t>
      </w:r>
      <w:r w:rsidRPr="00DC7442">
        <w:rPr>
          <w:vertAlign w:val="superscript"/>
        </w:rPr>
        <w:t>th</w:t>
      </w:r>
      <w:r w:rsidRPr="00DC7442">
        <w:t xml:space="preserve"> April, an estimated two hundred bodies were buried daily in the Smithfield cemeteries (Horrox, 1994: 64). The desire to be buried in the parish church was felt by all, it was believed they would be close to family and friends when judgment day arrived (Byrne 2012: 224). With the concept of purgatory now being a place, if buried in your parish church then people would remember to pray for you to quicken your journey through purgatory and on to Heaven (Byrne, 2012: 224). These were the expectations of the Medieval people, however to be faced with the prospect and reality of a purpose built cemetery would have been daunting (Forrest, 2010: 1114). </w:t>
      </w:r>
    </w:p>
    <w:p w14:paraId="63070124" w14:textId="77777777" w:rsidR="00E6196B" w:rsidRPr="00DC7442" w:rsidRDefault="00E6196B" w:rsidP="00E6196B">
      <w:pPr>
        <w:tabs>
          <w:tab w:val="left" w:pos="1120"/>
        </w:tabs>
      </w:pPr>
    </w:p>
    <w:p w14:paraId="1EC39D0B" w14:textId="77777777" w:rsidR="00E6196B" w:rsidRPr="00DC7442" w:rsidRDefault="00E6196B" w:rsidP="00E6196B">
      <w:pPr>
        <w:tabs>
          <w:tab w:val="left" w:pos="1120"/>
        </w:tabs>
      </w:pPr>
      <w:r w:rsidRPr="00DC7442">
        <w:t xml:space="preserve">One common association with the Black Death is the ‘public corpse carriers’, unlike pre-plague funerals where loved ones would have carried the deceased body, now corpses are being loaded onto carts and taken to mass burial sites (Byrne, 2012: 225, Langer, 1964: 117). The idea of this practice, and chroniclers at the time see this as chaotic, that the tradition of East-West burials are abandoned and the bodies are simply dumped with little care (Byrne, 2012: 225). It was a common expectation to have a grave dug on an East-West orientation, when person was buried their head would be placed at the West end (Daniell, 2005: 149). This was in preparation for Judgement day, so when souls are resurrected they would be facing East towards Jerusalem and seeing Christ (Daniell, 2005: 149). </w:t>
      </w:r>
    </w:p>
    <w:p w14:paraId="516C761A" w14:textId="77777777" w:rsidR="00E6196B" w:rsidRPr="00DC7442" w:rsidRDefault="00E6196B" w:rsidP="00E6196B">
      <w:pPr>
        <w:tabs>
          <w:tab w:val="left" w:pos="1120"/>
        </w:tabs>
      </w:pPr>
    </w:p>
    <w:p w14:paraId="48FBABBF" w14:textId="77777777" w:rsidR="00E6196B" w:rsidRPr="00DC7442" w:rsidRDefault="00E6196B" w:rsidP="00E6196B">
      <w:pPr>
        <w:tabs>
          <w:tab w:val="left" w:pos="1120"/>
        </w:tabs>
      </w:pPr>
      <w:r w:rsidRPr="00DC7442">
        <w:t xml:space="preserve">Recent archaeological excavations have disproved this notion of chaos in the Smithfield sites, as all remains in the correct East-West orientation, although the excavation did confirm the use of mass burial trenches (Kendal et al, 2013: 214). West Smithfield features two mass burial trenches with an additional eleven individual grave rows, East Smithfield has one mass burial trench and three grave rows (Margerison and Knusel, 2002: 136). Archaeologists label these cemeteries as ‘catastrophic’ as they were only in use for number of months during the plague (Margerison and Knusel, 2002: 134, Antoine, 2008: 103). The number of dead in reality meant dense burials of five deep in the Smithfield cemeteries, although there is evidence of care taken with the orientation, and each layer of remains covered with earth (Margerison and Knusel, 2002: 136, Byrne, 2012: 225). </w:t>
      </w:r>
    </w:p>
    <w:p w14:paraId="79F8923A" w14:textId="77777777" w:rsidR="00E6196B" w:rsidRPr="00DC7442" w:rsidRDefault="00E6196B" w:rsidP="00E6196B">
      <w:pPr>
        <w:tabs>
          <w:tab w:val="left" w:pos="1120"/>
        </w:tabs>
      </w:pPr>
    </w:p>
    <w:p w14:paraId="305E82E3" w14:textId="06F3671F" w:rsidR="00B27CB2" w:rsidRPr="00DC7442" w:rsidRDefault="00E6196B" w:rsidP="00E6196B">
      <w:pPr>
        <w:tabs>
          <w:tab w:val="left" w:pos="1120"/>
        </w:tabs>
      </w:pPr>
      <w:r w:rsidRPr="00DC7442">
        <w:t xml:space="preserve">There are a limited number of excavations in plague cemeteries, so common practices are difficult to discern, however similarities are present (Margerison and Knusel, 2002: 134). An excavation at Hereford Cathedral’s cemetery revealed three mass graves containing 189 sets of remains (Forrest, 2010: 1116-1117). The evidence suggested that these individuals were victims of a pandemic as they all died in a period of several weeks, making it likely to be a plague pit (Forrest, 2010: 1117). Similarly, to the Smithfield cemetery’s, the bodies were in an East-West orientation, with each layer covered by soil (Forrest, 2010: 1117). These burials also show evidence of the ‘public corpse carriers’ with a number of remains around the edges, suggesting they were tipped in by a cart (Forrest, 2010: 1117). These remains also show that burial during the Black Death was not an immediate event after death. Several remains showed evidence of ‘bone float’, this occurs when a body is left for a period of time after death and the bones move within the body (Forrest, 2010: 1117). Hereford’s Cathedral </w:t>
      </w:r>
      <w:r w:rsidR="00AF1534" w:rsidRPr="00DC7442">
        <w:t>Cemetery</w:t>
      </w:r>
      <w:r w:rsidRPr="00DC7442">
        <w:t xml:space="preserve"> was not</w:t>
      </w:r>
      <w:r w:rsidR="00787DBD">
        <w:t xml:space="preserve"> purpose built like Smithfield, it</w:t>
      </w:r>
      <w:r w:rsidRPr="00DC7442">
        <w:t xml:space="preserve"> was in use before and after the plague, closed in 1791 (Forrest, 2010: 1117). This lone case study could possibly be the foundation of the argument that even though a pandemic was rife, people still stuck with their customs and were buried in their local parishes </w:t>
      </w:r>
      <w:r w:rsidR="00AF1534" w:rsidRPr="00DC7442">
        <w:t xml:space="preserve">(Forrest, 2010: 1117). </w:t>
      </w:r>
    </w:p>
    <w:p w14:paraId="2A5EA6C2" w14:textId="77777777" w:rsidR="00B27CB2" w:rsidRPr="00DC7442" w:rsidRDefault="00B27CB2" w:rsidP="00E6196B">
      <w:pPr>
        <w:tabs>
          <w:tab w:val="left" w:pos="1120"/>
        </w:tabs>
      </w:pPr>
    </w:p>
    <w:p w14:paraId="30FE7124" w14:textId="0C3019F3" w:rsidR="00B93337" w:rsidRPr="00DC7442" w:rsidRDefault="00E6196B" w:rsidP="00E6196B">
      <w:pPr>
        <w:tabs>
          <w:tab w:val="left" w:pos="1120"/>
        </w:tabs>
      </w:pPr>
      <w:r w:rsidRPr="00DC7442">
        <w:t xml:space="preserve">Italian Poet Boccaccio wrote of similar scenes taking place in Florence, in his </w:t>
      </w:r>
      <w:r w:rsidRPr="00DC7442">
        <w:rPr>
          <w:i/>
        </w:rPr>
        <w:t xml:space="preserve">Decameron </w:t>
      </w:r>
      <w:r w:rsidRPr="00DC7442">
        <w:t>(Getz, 1991: 268). He wrote that Florence also had to resort to mass burial trenches to cope with number of dead to be buried, “Here they stowed them away like bales in the hold of a ship and covered the with a little earth until the whole trench was full” (Getz, 1991: 269). Although the descriptions from chroniclers paint undignified deaths and burials during the pandemic, evidence does show that despite the number of deceased, care and thought was taken. These excavations also show how even though people were losing faith in the church, their faith in God became of great importance when buried.</w:t>
      </w:r>
    </w:p>
    <w:p w14:paraId="5EF718DF" w14:textId="77777777" w:rsidR="00AF1534" w:rsidRPr="00DC7442" w:rsidRDefault="00AF1534" w:rsidP="00503C77">
      <w:pPr>
        <w:tabs>
          <w:tab w:val="left" w:pos="1120"/>
        </w:tabs>
      </w:pPr>
    </w:p>
    <w:p w14:paraId="42D863DE" w14:textId="42BFFC9C" w:rsidR="00960F4E" w:rsidRPr="00DC7442" w:rsidRDefault="00D27A2E" w:rsidP="00960F4E">
      <w:pPr>
        <w:tabs>
          <w:tab w:val="left" w:pos="1120"/>
        </w:tabs>
      </w:pPr>
      <w:r w:rsidRPr="00DC7442">
        <w:t>Some historians argue that t</w:t>
      </w:r>
      <w:r w:rsidR="00960F4E" w:rsidRPr="00DC7442">
        <w:t>he Black Death should not be viewed as just a historical event, it should be known as a ‘cultural phenomenon’, as its consequences marked a significant cultural change in European culture. (Forrest, 2010: 1112</w:t>
      </w:r>
      <w:r w:rsidR="0064289F" w:rsidRPr="00DC7442">
        <w:t>, Benedictow, 2004: 387</w:t>
      </w:r>
      <w:r w:rsidR="00960F4E" w:rsidRPr="00DC7442">
        <w:t xml:space="preserve">). </w:t>
      </w:r>
    </w:p>
    <w:p w14:paraId="027C1EDC" w14:textId="77777777" w:rsidR="00960F4E" w:rsidRPr="00DC7442" w:rsidRDefault="00960F4E" w:rsidP="00960F4E">
      <w:pPr>
        <w:tabs>
          <w:tab w:val="left" w:pos="7328"/>
        </w:tabs>
      </w:pPr>
      <w:r w:rsidRPr="00DC7442">
        <w:t xml:space="preserve"> </w:t>
      </w:r>
      <w:r w:rsidRPr="00DC7442">
        <w:tab/>
      </w:r>
    </w:p>
    <w:p w14:paraId="6EB87DEA" w14:textId="037F28EA" w:rsidR="00960F4E" w:rsidRPr="00DC7442" w:rsidRDefault="00960F4E" w:rsidP="00960F4E">
      <w:pPr>
        <w:tabs>
          <w:tab w:val="left" w:pos="1120"/>
        </w:tabs>
      </w:pPr>
      <w:r w:rsidRPr="00DC7442">
        <w:t>Funerary tradition began to transform in the later eleventh century befor</w:t>
      </w:r>
      <w:r w:rsidR="004458D2" w:rsidRPr="00DC7442">
        <w:t>e the Black Death (Daniell, 2005</w:t>
      </w:r>
      <w:r w:rsidRPr="00DC7442">
        <w:t>: 181). The Migration of people throughout Britain meant leaving behind their ancestral burial grounds, to reassert their personal identity</w:t>
      </w:r>
      <w:r w:rsidR="00787DBD">
        <w:t xml:space="preserve"> therefore</w:t>
      </w:r>
      <w:r w:rsidRPr="00DC7442">
        <w:t xml:space="preserve"> flamboyant funerals were inc</w:t>
      </w:r>
      <w:r w:rsidR="004458D2" w:rsidRPr="00DC7442">
        <w:t>reasingly popular (Daniell, 2005</w:t>
      </w:r>
      <w:r w:rsidRPr="00DC7442">
        <w:t xml:space="preserve">: 181). Pre 1348 the death and burial of an individual was </w:t>
      </w:r>
      <w:r w:rsidR="00787DBD">
        <w:t xml:space="preserve">a </w:t>
      </w:r>
      <w:r w:rsidRPr="00DC7442">
        <w:t xml:space="preserve">familial, communal event, as those attending would help the deceased soul fight evil and </w:t>
      </w:r>
      <w:r w:rsidR="004458D2" w:rsidRPr="00DC7442">
        <w:t>move on to Heaven (Daniell, 2005</w:t>
      </w:r>
      <w:r w:rsidRPr="00DC7442">
        <w:t xml:space="preserve">: 192). The high death rate and unscrupulous nature of Black Death meant that these deathbed customs would collapse, instead of being surrounded by people one would expect to die alone </w:t>
      </w:r>
      <w:r w:rsidR="004458D2" w:rsidRPr="00DC7442">
        <w:t>(Daniell, 2005</w:t>
      </w:r>
      <w:r w:rsidRPr="00DC7442">
        <w:t>: 193). It is thought that the initial fatalities from the Black Death would carry on this new tradition and be buried in their local churchyards (Hawkins, 1990: 637). When the death rate peaked, twenty to sixty bodies were being buried together in a single pit (Horrox, 1994: 64). Due to the number of people dying from this disease, the traditional mourning and burial customs of the 14</w:t>
      </w:r>
      <w:r w:rsidRPr="00DC7442">
        <w:rPr>
          <w:vertAlign w:val="superscript"/>
        </w:rPr>
        <w:t>th</w:t>
      </w:r>
      <w:r w:rsidRPr="00DC7442">
        <w:t xml:space="preserve"> century could not be observed (Getz, 1991: 269). It is apparent that the loss of deathbed, and mourning customs was a consequence of the Black Death throughout Europe (Getz, 1991: 268).</w:t>
      </w:r>
    </w:p>
    <w:p w14:paraId="3F1F4DFE" w14:textId="77777777" w:rsidR="000F68BE" w:rsidRPr="00DC7442" w:rsidRDefault="000F68BE" w:rsidP="00960F4E">
      <w:pPr>
        <w:tabs>
          <w:tab w:val="left" w:pos="1120"/>
        </w:tabs>
      </w:pPr>
    </w:p>
    <w:p w14:paraId="0E70E7A7" w14:textId="405156C0" w:rsidR="000F68BE" w:rsidRPr="00DC7442" w:rsidRDefault="000F68BE" w:rsidP="000F68BE">
      <w:r w:rsidRPr="00DC7442">
        <w:t>In the period immediately after the Black Death had subsided in 1351 Medieval culture seemed to shift into an obsession with death and the macabre (Forrest, 2010: 1112). Much of the art post Black Death would feature graves, disease, the Last Judgement and tortures of Hell (Langer, 1964: 121, Benedictow, 2004: 392).  Woodcuts depicting the Danse Macabre became increasingly popular after the Black Death, perhaps as a reminder to the people that everyone will die (Daniell, 2005: 195). On the other hand, literature from the same period like Boccaccios</w:t>
      </w:r>
      <w:r w:rsidRPr="00DC7442">
        <w:rPr>
          <w:i/>
        </w:rPr>
        <w:t xml:space="preserve"> Decameron</w:t>
      </w:r>
      <w:r w:rsidRPr="00DC7442">
        <w:t xml:space="preserve"> and Chaucer’s ‘Canterbury Tales’ seems to express a mind set to enjoy the pleasures in life and avoid hurt (Gottfried, 1983: </w:t>
      </w:r>
      <w:r w:rsidR="00C87F5D" w:rsidRPr="00DC7442">
        <w:t>78-</w:t>
      </w:r>
      <w:r w:rsidRPr="00DC7442">
        <w:t xml:space="preserve">80). </w:t>
      </w:r>
      <w:r w:rsidR="00C87F5D" w:rsidRPr="00DC7442">
        <w:t xml:space="preserve">This mentality was especially </w:t>
      </w:r>
      <w:r w:rsidR="003258A4" w:rsidRPr="00DC7442">
        <w:t>strong</w:t>
      </w:r>
      <w:r w:rsidR="00C87F5D" w:rsidRPr="00DC7442">
        <w:t xml:space="preserve"> among the social elites, which Gottfried (1983: 80) argues that the persistence of</w:t>
      </w:r>
      <w:r w:rsidR="00787DBD">
        <w:t>,</w:t>
      </w:r>
      <w:r w:rsidR="00C87F5D" w:rsidRPr="00DC7442">
        <w:t xml:space="preserve"> played a large part in the moral crisis. </w:t>
      </w:r>
    </w:p>
    <w:p w14:paraId="2EFFD45A" w14:textId="4F0F0648" w:rsidR="000F68BE" w:rsidRPr="00DC7442" w:rsidRDefault="000F68BE" w:rsidP="00960F4E">
      <w:pPr>
        <w:tabs>
          <w:tab w:val="left" w:pos="1120"/>
        </w:tabs>
      </w:pPr>
    </w:p>
    <w:p w14:paraId="0F3978EA" w14:textId="0B79D101" w:rsidR="008718AC" w:rsidRPr="00DC7442" w:rsidRDefault="007D5C8A" w:rsidP="00B93337">
      <w:pPr>
        <w:tabs>
          <w:tab w:val="left" w:pos="1120"/>
        </w:tabs>
      </w:pPr>
      <w:r w:rsidRPr="00DC7442">
        <w:t xml:space="preserve">As mentioned earlier, the death rate caused by the Black Death was unprecedented, </w:t>
      </w:r>
      <w:r w:rsidR="001E245F" w:rsidRPr="00DC7442">
        <w:t xml:space="preserve">with every family and background effected, the social and economic foundations were shaken (Byrne, 2004: 57, Cantor, 2001: 25). It is often thought that Europe and Britain faced an economic crisis once the Black Death had subsided (Horrox, 1994: 70). </w:t>
      </w:r>
      <w:r w:rsidR="00AB6E59" w:rsidRPr="00DC7442">
        <w:t>Benedictow (200: 389) refers to this period as the ‘golden era of the wage worker’. The number of plague deaths meant that sole survivors of large families would receive a large inheritance, if they were of the lower classes they could afford not to work (Horrox, 1994: 70). This resulted in an imbalanced</w:t>
      </w:r>
      <w:r w:rsidR="008A59FF" w:rsidRPr="00DC7442">
        <w:t xml:space="preserve"> society, the previously impoverished workers would refuse to take up their previous roles of cheap labour (Hatcher, 1994: 10).  </w:t>
      </w:r>
      <w:r w:rsidR="008718AC" w:rsidRPr="00DC7442">
        <w:t xml:space="preserve">The </w:t>
      </w:r>
      <w:r w:rsidR="00663A96" w:rsidRPr="00DC7442">
        <w:t>previously</w:t>
      </w:r>
      <w:r w:rsidR="008718AC" w:rsidRPr="00DC7442">
        <w:t xml:space="preserve"> impoverish</w:t>
      </w:r>
      <w:r w:rsidR="00787DBD">
        <w:t>ed</w:t>
      </w:r>
      <w:r w:rsidR="008718AC" w:rsidRPr="00DC7442">
        <w:t xml:space="preserve"> were now able to refuse work, or agree to employment for sometimes triple their previous wage (Horrox, 1994: 70). At a time when the elites of society expected to </w:t>
      </w:r>
      <w:r w:rsidR="00663A96" w:rsidRPr="00DC7442">
        <w:t xml:space="preserve">enjoy their worldly pleasures, they were instead faced with excessive labour shortages, and economic struggles as rents and land-values from farmers plummeted (Langer, 1964: 121). Evidence of peoples wages and prices of goods shows that the economic imbalance </w:t>
      </w:r>
      <w:r w:rsidR="00855F40" w:rsidRPr="00DC7442">
        <w:t>between</w:t>
      </w:r>
      <w:r w:rsidR="00663A96" w:rsidRPr="00DC7442">
        <w:t xml:space="preserve"> goods and services would take decades to rectify (Byrne, 2004: 57). </w:t>
      </w:r>
    </w:p>
    <w:p w14:paraId="6737885E" w14:textId="77777777" w:rsidR="00AB6E59" w:rsidRPr="00DC7442" w:rsidRDefault="00AB6E59" w:rsidP="00B93337">
      <w:pPr>
        <w:tabs>
          <w:tab w:val="left" w:pos="1120"/>
        </w:tabs>
      </w:pPr>
    </w:p>
    <w:p w14:paraId="51AABFE6" w14:textId="4A2AE710" w:rsidR="008718AC" w:rsidRPr="00DC7442" w:rsidRDefault="008718AC" w:rsidP="00B93337">
      <w:pPr>
        <w:tabs>
          <w:tab w:val="left" w:pos="1120"/>
        </w:tabs>
      </w:pPr>
      <w:r w:rsidRPr="00DC7442">
        <w:t>While towns flourished with the building of homes and inheritance money being spent, the rural areas deteriorated (Langer, 1964: 118). A smaller population meant a smaller market for farmers to sell too, with grain prices plummeting many farmers moved to the towns (Langer, 1964: 118). The landlords who were already suffering with a depleted number of workers resorted to keeping the remaining farmers on land by law and occasion</w:t>
      </w:r>
      <w:r w:rsidR="00663A96" w:rsidRPr="00DC7442">
        <w:t xml:space="preserve">ally force (Langer, 1964: 118). Attempts were regularly made by the aristocracy to halt the progress of the lower classes (Hatcher, 1994: 10). </w:t>
      </w:r>
      <w:r w:rsidRPr="00DC7442">
        <w:t xml:space="preserve">In the 1370s, the labour shortage reached a critical level, the social elites </w:t>
      </w:r>
      <w:r w:rsidR="00663A96" w:rsidRPr="00DC7442">
        <w:t>resorted</w:t>
      </w:r>
      <w:r w:rsidRPr="00DC7442">
        <w:t xml:space="preserve"> to passing parliamentary laws to keep wages down in order to rebalance society (Cantor, 2001: 24). This intervention by the Government sparked the Peasants Revolt in 1381 (Cantor, 2001: 24).  </w:t>
      </w:r>
    </w:p>
    <w:p w14:paraId="7C12FD98" w14:textId="77777777" w:rsidR="008718AC" w:rsidRPr="00DC7442" w:rsidRDefault="008718AC" w:rsidP="00B93337">
      <w:pPr>
        <w:tabs>
          <w:tab w:val="left" w:pos="1120"/>
        </w:tabs>
      </w:pPr>
    </w:p>
    <w:p w14:paraId="7A5AA557" w14:textId="37A10FBD" w:rsidR="008718AC" w:rsidRPr="00DC7442" w:rsidRDefault="00855F40" w:rsidP="00B93337">
      <w:pPr>
        <w:tabs>
          <w:tab w:val="left" w:pos="1120"/>
        </w:tabs>
      </w:pPr>
      <w:r w:rsidRPr="00DC7442">
        <w:t xml:space="preserve">Once the Black Death had subsided, numerous changes to Medieval religion and culture were evident. Although undoubtedly other factors would have played a part, we cannot dismiss the influence this plague had on history. </w:t>
      </w:r>
    </w:p>
    <w:p w14:paraId="587762B3" w14:textId="77777777" w:rsidR="00AB6E59" w:rsidRPr="00DC7442" w:rsidRDefault="00AB6E59" w:rsidP="00B93337">
      <w:pPr>
        <w:tabs>
          <w:tab w:val="left" w:pos="1120"/>
        </w:tabs>
      </w:pPr>
    </w:p>
    <w:p w14:paraId="77126416" w14:textId="77777777" w:rsidR="00AB6E59" w:rsidRPr="00DC7442" w:rsidRDefault="00AB6E59" w:rsidP="00B93337">
      <w:pPr>
        <w:tabs>
          <w:tab w:val="left" w:pos="1120"/>
        </w:tabs>
      </w:pPr>
    </w:p>
    <w:p w14:paraId="0A38D2C0" w14:textId="77777777" w:rsidR="00B93337" w:rsidRPr="00DC7442" w:rsidRDefault="00B93337" w:rsidP="00B93337">
      <w:pPr>
        <w:tabs>
          <w:tab w:val="left" w:pos="1120"/>
        </w:tabs>
      </w:pPr>
    </w:p>
    <w:p w14:paraId="40F9B657" w14:textId="77777777" w:rsidR="00B93337" w:rsidRPr="00DC7442" w:rsidRDefault="00B93337" w:rsidP="00B93337">
      <w:pPr>
        <w:tabs>
          <w:tab w:val="left" w:pos="1120"/>
        </w:tabs>
      </w:pPr>
    </w:p>
    <w:p w14:paraId="676C276E" w14:textId="1819CDF2" w:rsidR="00272E19" w:rsidRPr="00DC7442" w:rsidRDefault="00272E19" w:rsidP="00503C77">
      <w:pPr>
        <w:tabs>
          <w:tab w:val="left" w:pos="1120"/>
        </w:tabs>
      </w:pPr>
    </w:p>
    <w:p w14:paraId="3B319CAD" w14:textId="77777777" w:rsidR="00272E19" w:rsidRPr="00DC7442" w:rsidRDefault="00272E19" w:rsidP="00503C77">
      <w:pPr>
        <w:tabs>
          <w:tab w:val="left" w:pos="1120"/>
        </w:tabs>
      </w:pPr>
    </w:p>
    <w:p w14:paraId="5718E8BE" w14:textId="77777777" w:rsidR="00C87F5D" w:rsidRPr="00DC7442" w:rsidRDefault="00C87F5D" w:rsidP="00503C77">
      <w:pPr>
        <w:tabs>
          <w:tab w:val="left" w:pos="1120"/>
        </w:tabs>
      </w:pPr>
    </w:p>
    <w:p w14:paraId="6A29782B" w14:textId="77777777" w:rsidR="007D5C8A" w:rsidRPr="00DC7442" w:rsidRDefault="007D5C8A" w:rsidP="00503C77">
      <w:pPr>
        <w:tabs>
          <w:tab w:val="left" w:pos="1120"/>
        </w:tabs>
      </w:pPr>
    </w:p>
    <w:p w14:paraId="53F3FAB0" w14:textId="77777777" w:rsidR="007D5C8A" w:rsidRPr="00DC7442" w:rsidRDefault="007D5C8A" w:rsidP="00503C77">
      <w:pPr>
        <w:tabs>
          <w:tab w:val="left" w:pos="1120"/>
        </w:tabs>
      </w:pPr>
    </w:p>
    <w:p w14:paraId="3BA88A48" w14:textId="77777777" w:rsidR="00855F40" w:rsidRPr="00DC7442" w:rsidRDefault="00855F40" w:rsidP="00855F40">
      <w:pPr>
        <w:tabs>
          <w:tab w:val="left" w:pos="1120"/>
        </w:tabs>
        <w:jc w:val="center"/>
        <w:rPr>
          <w:sz w:val="28"/>
          <w:u w:val="single"/>
        </w:rPr>
      </w:pPr>
      <w:r w:rsidRPr="00DC7442">
        <w:rPr>
          <w:sz w:val="28"/>
          <w:u w:val="single"/>
        </w:rPr>
        <w:t>Bibliography</w:t>
      </w:r>
    </w:p>
    <w:p w14:paraId="4BCDC3E6" w14:textId="77777777" w:rsidR="00855F40" w:rsidRPr="00DC7442" w:rsidRDefault="00855F40" w:rsidP="00855F40">
      <w:pPr>
        <w:tabs>
          <w:tab w:val="left" w:pos="1120"/>
        </w:tabs>
      </w:pPr>
    </w:p>
    <w:p w14:paraId="2FE11CEE" w14:textId="77777777" w:rsidR="00855F40" w:rsidRPr="00DC7442" w:rsidRDefault="00855F40" w:rsidP="00855F40">
      <w:pPr>
        <w:rPr>
          <w:shd w:val="clear" w:color="auto" w:fill="FFFFFF"/>
          <w:lang w:val="en-US"/>
        </w:rPr>
      </w:pPr>
      <w:r w:rsidRPr="00DC7442">
        <w:rPr>
          <w:shd w:val="clear" w:color="auto" w:fill="FFFFFF"/>
          <w:lang w:val="en-US"/>
        </w:rPr>
        <w:t>Antoine, D. 2008. 5 The Archaeology of “Plague”. </w:t>
      </w:r>
      <w:r w:rsidRPr="00DC7442">
        <w:rPr>
          <w:i/>
          <w:iCs/>
          <w:bdr w:val="none" w:sz="0" w:space="0" w:color="auto" w:frame="1"/>
          <w:shd w:val="clear" w:color="auto" w:fill="FFFFFF"/>
          <w:lang w:val="en-US"/>
        </w:rPr>
        <w:t>Medical History,</w:t>
      </w:r>
      <w:r w:rsidRPr="00DC7442">
        <w:rPr>
          <w:shd w:val="clear" w:color="auto" w:fill="FFFFFF"/>
          <w:lang w:val="en-US"/>
        </w:rPr>
        <w:t> </w:t>
      </w:r>
      <w:r w:rsidRPr="00DC7442">
        <w:rPr>
          <w:iCs/>
          <w:bdr w:val="none" w:sz="0" w:space="0" w:color="auto" w:frame="1"/>
          <w:shd w:val="clear" w:color="auto" w:fill="FFFFFF"/>
          <w:lang w:val="en-US"/>
        </w:rPr>
        <w:t>52</w:t>
      </w:r>
      <w:r w:rsidRPr="00DC7442">
        <w:rPr>
          <w:shd w:val="clear" w:color="auto" w:fill="FFFFFF"/>
          <w:lang w:val="en-US"/>
        </w:rPr>
        <w:t xml:space="preserve">(27): 101-114. </w:t>
      </w:r>
    </w:p>
    <w:p w14:paraId="6A1FB026" w14:textId="77777777" w:rsidR="00855F40" w:rsidRPr="00DC7442" w:rsidRDefault="00855F40" w:rsidP="00855F40">
      <w:pPr>
        <w:rPr>
          <w:lang w:val="en-US"/>
        </w:rPr>
      </w:pPr>
    </w:p>
    <w:p w14:paraId="5CB58BE7" w14:textId="77777777" w:rsidR="00855F40" w:rsidRPr="00DC7442" w:rsidRDefault="00855F40" w:rsidP="00855F40">
      <w:r w:rsidRPr="00DC7442">
        <w:t xml:space="preserve">Benedictow, O. 2004. </w:t>
      </w:r>
      <w:r w:rsidRPr="00DC7442">
        <w:rPr>
          <w:i/>
        </w:rPr>
        <w:t xml:space="preserve">The Black Death 1346-1353: The Complete History. </w:t>
      </w:r>
      <w:r w:rsidRPr="00DC7442">
        <w:t>Woodbridge: The Boydell Press.</w:t>
      </w:r>
    </w:p>
    <w:p w14:paraId="3BC4FE8D" w14:textId="77777777" w:rsidR="00855F40" w:rsidRPr="00DC7442" w:rsidRDefault="00855F40" w:rsidP="00855F40"/>
    <w:p w14:paraId="0F6634B4" w14:textId="77777777" w:rsidR="00855F40" w:rsidRPr="00DC7442" w:rsidRDefault="00855F40" w:rsidP="00855F40">
      <w:r w:rsidRPr="00DC7442">
        <w:t xml:space="preserve">Byrne, J. 2012. </w:t>
      </w:r>
      <w:r w:rsidRPr="00DC7442">
        <w:rPr>
          <w:i/>
        </w:rPr>
        <w:t xml:space="preserve">Encyclopaedia of the Black Death. </w:t>
      </w:r>
      <w:r w:rsidRPr="00DC7442">
        <w:t>Oxford: ABC-CLIO</w:t>
      </w:r>
    </w:p>
    <w:p w14:paraId="5F0089D2" w14:textId="77777777" w:rsidR="00855F40" w:rsidRPr="00DC7442" w:rsidRDefault="00855F40" w:rsidP="00855F40"/>
    <w:p w14:paraId="32B4327A" w14:textId="77777777" w:rsidR="00855F40" w:rsidRPr="00DC7442" w:rsidRDefault="00855F40" w:rsidP="00855F40">
      <w:r w:rsidRPr="00DC7442">
        <w:t xml:space="preserve">Byrne, J. 2004. </w:t>
      </w:r>
      <w:r w:rsidRPr="00DC7442">
        <w:rPr>
          <w:i/>
        </w:rPr>
        <w:t xml:space="preserve">The Black Death. </w:t>
      </w:r>
      <w:r w:rsidRPr="00DC7442">
        <w:t xml:space="preserve">London: Greenwood Press </w:t>
      </w:r>
    </w:p>
    <w:p w14:paraId="46014F75" w14:textId="77777777" w:rsidR="00855F40" w:rsidRPr="00DC7442" w:rsidRDefault="00855F40" w:rsidP="00855F40"/>
    <w:p w14:paraId="3B520CE0" w14:textId="77777777" w:rsidR="00855F40" w:rsidRPr="00DC7442" w:rsidRDefault="00855F40" w:rsidP="00855F40">
      <w:r w:rsidRPr="00DC7442">
        <w:t xml:space="preserve">Cantor, N. 2001. </w:t>
      </w:r>
      <w:r w:rsidRPr="00DC7442">
        <w:rPr>
          <w:i/>
        </w:rPr>
        <w:t xml:space="preserve">In The Wake of the Plague: The Black Death and the World It Made. </w:t>
      </w:r>
      <w:r w:rsidRPr="00DC7442">
        <w:t>New York: The Free Press.</w:t>
      </w:r>
    </w:p>
    <w:p w14:paraId="55C4D141" w14:textId="77777777" w:rsidR="00855F40" w:rsidRPr="00DC7442" w:rsidRDefault="00855F40" w:rsidP="00855F40"/>
    <w:p w14:paraId="7A9C8952" w14:textId="77777777" w:rsidR="00855F40" w:rsidRPr="00DC7442" w:rsidRDefault="00855F40" w:rsidP="00855F40">
      <w:r w:rsidRPr="00DC7442">
        <w:t xml:space="preserve">Daniell, C. 2005: Death and Burial in Medieval England 1066-1550. London: Routledge  </w:t>
      </w:r>
    </w:p>
    <w:p w14:paraId="624CFF68" w14:textId="77777777" w:rsidR="00855F40" w:rsidRPr="00DC7442" w:rsidRDefault="00855F40" w:rsidP="00855F40"/>
    <w:p w14:paraId="3EEF12EC" w14:textId="77777777" w:rsidR="00855F40" w:rsidRPr="00DC7442" w:rsidRDefault="00855F40" w:rsidP="00855F40">
      <w:r w:rsidRPr="00DC7442">
        <w:t xml:space="preserve">Forrest, I. 2010. The Politics of Burial in Late Medieval Hereford. </w:t>
      </w:r>
      <w:r w:rsidRPr="00DC7442">
        <w:rPr>
          <w:i/>
        </w:rPr>
        <w:t xml:space="preserve">The English Historical Review, </w:t>
      </w:r>
      <w:r w:rsidRPr="00DC7442">
        <w:t>125(516): 1110-1138.</w:t>
      </w:r>
    </w:p>
    <w:p w14:paraId="74B5AEEA" w14:textId="77777777" w:rsidR="00855F40" w:rsidRPr="00DC7442" w:rsidRDefault="00855F40" w:rsidP="00855F40"/>
    <w:p w14:paraId="79043646" w14:textId="77777777" w:rsidR="00855F40" w:rsidRPr="00DC7442" w:rsidRDefault="00855F40" w:rsidP="00855F40">
      <w:pPr>
        <w:rPr>
          <w:rFonts w:cs="Arial"/>
          <w:shd w:val="clear" w:color="auto" w:fill="FFFFFF"/>
          <w:lang w:val="en-US"/>
        </w:rPr>
      </w:pPr>
      <w:r w:rsidRPr="00DC7442">
        <w:rPr>
          <w:rFonts w:cs="Arial"/>
          <w:shd w:val="clear" w:color="auto" w:fill="FFFFFF"/>
          <w:lang w:val="en-US"/>
        </w:rPr>
        <w:t>Getz, F. 1991. Black Death and the Silver Lining: Meaning, Continuity, and Revolutionary Change in Histories of Medieval Plague. </w:t>
      </w:r>
      <w:r w:rsidRPr="00DC7442">
        <w:rPr>
          <w:rFonts w:cs="Arial"/>
          <w:i/>
          <w:iCs/>
          <w:shd w:val="clear" w:color="auto" w:fill="FFFFFF"/>
          <w:lang w:val="en-US"/>
        </w:rPr>
        <w:t>Journal of the History of Biology,</w:t>
      </w:r>
      <w:r w:rsidRPr="00DC7442">
        <w:rPr>
          <w:rFonts w:cs="Arial"/>
          <w:shd w:val="clear" w:color="auto" w:fill="FFFFFF"/>
          <w:lang w:val="en-US"/>
        </w:rPr>
        <w:t> </w:t>
      </w:r>
      <w:r w:rsidRPr="00DC7442">
        <w:rPr>
          <w:rFonts w:cs="Arial"/>
          <w:iCs/>
          <w:shd w:val="clear" w:color="auto" w:fill="FFFFFF"/>
          <w:lang w:val="en-US"/>
        </w:rPr>
        <w:t>24</w:t>
      </w:r>
      <w:r w:rsidRPr="00DC7442">
        <w:rPr>
          <w:rFonts w:cs="Arial"/>
          <w:shd w:val="clear" w:color="auto" w:fill="FFFFFF"/>
          <w:lang w:val="en-US"/>
        </w:rPr>
        <w:t xml:space="preserve">(2): 265-289. </w:t>
      </w:r>
    </w:p>
    <w:p w14:paraId="31A31198" w14:textId="77777777" w:rsidR="00855F40" w:rsidRPr="00DC7442" w:rsidRDefault="00855F40" w:rsidP="00855F40">
      <w:pPr>
        <w:rPr>
          <w:rFonts w:cs="Arial"/>
          <w:shd w:val="clear" w:color="auto" w:fill="FFFFFF"/>
          <w:lang w:val="en-US"/>
        </w:rPr>
      </w:pPr>
    </w:p>
    <w:p w14:paraId="57E6B8ED" w14:textId="77777777" w:rsidR="00855F40" w:rsidRPr="00DC7442" w:rsidRDefault="00855F40" w:rsidP="00855F40">
      <w:pPr>
        <w:rPr>
          <w:rFonts w:cs="Arial"/>
          <w:i/>
          <w:shd w:val="clear" w:color="auto" w:fill="FFFFFF"/>
          <w:lang w:val="en-US"/>
        </w:rPr>
      </w:pPr>
      <w:r w:rsidRPr="00DC7442">
        <w:rPr>
          <w:rFonts w:cs="Arial"/>
          <w:shd w:val="clear" w:color="auto" w:fill="FFFFFF"/>
          <w:lang w:val="en-US"/>
        </w:rPr>
        <w:t xml:space="preserve">Gottfried, R. 1983. </w:t>
      </w:r>
      <w:r w:rsidRPr="00DC7442">
        <w:rPr>
          <w:rFonts w:cs="Arial"/>
          <w:i/>
          <w:shd w:val="clear" w:color="auto" w:fill="FFFFFF"/>
          <w:lang w:val="en-US"/>
        </w:rPr>
        <w:t xml:space="preserve">The Black Death: Natural and Human Disaster in Medieval Europe. </w:t>
      </w:r>
      <w:r w:rsidRPr="00DC7442">
        <w:rPr>
          <w:rFonts w:cs="Arial"/>
          <w:shd w:val="clear" w:color="auto" w:fill="FFFFFF"/>
          <w:lang w:val="en-US"/>
        </w:rPr>
        <w:t>New York: The Free Press.</w:t>
      </w:r>
      <w:r w:rsidRPr="00DC7442">
        <w:rPr>
          <w:rFonts w:cs="Arial"/>
          <w:i/>
          <w:shd w:val="clear" w:color="auto" w:fill="FFFFFF"/>
          <w:lang w:val="en-US"/>
        </w:rPr>
        <w:t xml:space="preserve"> </w:t>
      </w:r>
    </w:p>
    <w:p w14:paraId="49514B97" w14:textId="77777777" w:rsidR="00855F40" w:rsidRPr="00DC7442" w:rsidRDefault="00855F40" w:rsidP="00855F40">
      <w:pPr>
        <w:rPr>
          <w:i/>
          <w:lang w:val="en-US"/>
        </w:rPr>
      </w:pPr>
    </w:p>
    <w:p w14:paraId="4ECDC47C" w14:textId="77777777" w:rsidR="00855F40" w:rsidRPr="00DC7442" w:rsidRDefault="00855F40" w:rsidP="00855F40">
      <w:r w:rsidRPr="00DC7442">
        <w:t xml:space="preserve">Hatcher, J. 1994. England in the Aftermath of the Black Death. </w:t>
      </w:r>
      <w:r w:rsidRPr="00DC7442">
        <w:rPr>
          <w:i/>
        </w:rPr>
        <w:t xml:space="preserve">Oxford University Press on behalf of the Past and Present Society. </w:t>
      </w:r>
      <w:r w:rsidRPr="00DC7442">
        <w:t>144: 3-35.</w:t>
      </w:r>
    </w:p>
    <w:p w14:paraId="46F7A0B6" w14:textId="77777777" w:rsidR="00855F40" w:rsidRPr="00DC7442" w:rsidRDefault="00855F40" w:rsidP="00855F40"/>
    <w:p w14:paraId="24DD53E4" w14:textId="77777777" w:rsidR="00855F40" w:rsidRPr="00DC7442" w:rsidRDefault="00855F40" w:rsidP="00855F40">
      <w:r w:rsidRPr="00DC7442">
        <w:t xml:space="preserve">Horrox, R (ed). 1994. </w:t>
      </w:r>
      <w:r w:rsidRPr="00DC7442">
        <w:rPr>
          <w:i/>
        </w:rPr>
        <w:t>The Black Death</w:t>
      </w:r>
      <w:r w:rsidRPr="00DC7442">
        <w:t>. Manchester: Manchester University Press.</w:t>
      </w:r>
    </w:p>
    <w:p w14:paraId="59E80946" w14:textId="77777777" w:rsidR="00855F40" w:rsidRPr="00DC7442" w:rsidRDefault="00855F40" w:rsidP="00855F40"/>
    <w:p w14:paraId="35B8AC28" w14:textId="77777777" w:rsidR="00855F40" w:rsidRPr="00DC7442" w:rsidRDefault="00855F40" w:rsidP="00855F40">
      <w:r w:rsidRPr="00DC7442">
        <w:t>Kendall, E.J. Montgomery, J. Evans, J.A. Stantis, C. Mueller, V. 2013. Mobility, Mortality, and the Middle Ages: Identification of Migrant Individuals in a 14</w:t>
      </w:r>
      <w:r w:rsidRPr="00DC7442">
        <w:rPr>
          <w:vertAlign w:val="superscript"/>
        </w:rPr>
        <w:t>th</w:t>
      </w:r>
      <w:r w:rsidRPr="00DC7442">
        <w:t xml:space="preserve"> Century Black Death Cemetery Population. </w:t>
      </w:r>
      <w:r w:rsidRPr="00DC7442">
        <w:rPr>
          <w:i/>
        </w:rPr>
        <w:t xml:space="preserve">American Journal of Physical Anthropology. </w:t>
      </w:r>
      <w:r w:rsidRPr="00DC7442">
        <w:t>150: 210-222.</w:t>
      </w:r>
    </w:p>
    <w:p w14:paraId="08B13953" w14:textId="77777777" w:rsidR="00855F40" w:rsidRPr="00DC7442" w:rsidRDefault="00855F40" w:rsidP="00855F40"/>
    <w:p w14:paraId="11F0E0E0" w14:textId="77777777" w:rsidR="00855F40" w:rsidRPr="00DC7442" w:rsidRDefault="00855F40" w:rsidP="00855F40">
      <w:pPr>
        <w:rPr>
          <w:rFonts w:cs="Arial"/>
          <w:shd w:val="clear" w:color="auto" w:fill="FFFFFF"/>
          <w:lang w:val="en-US"/>
        </w:rPr>
      </w:pPr>
      <w:r w:rsidRPr="00DC7442">
        <w:rPr>
          <w:rFonts w:cs="Arial"/>
          <w:shd w:val="clear" w:color="auto" w:fill="FFFFFF"/>
          <w:lang w:val="en-US"/>
        </w:rPr>
        <w:t>Langer, W. 1964. The Black Death. </w:t>
      </w:r>
      <w:r w:rsidRPr="00DC7442">
        <w:rPr>
          <w:rFonts w:cs="Arial"/>
          <w:i/>
          <w:iCs/>
          <w:shd w:val="clear" w:color="auto" w:fill="FFFFFF"/>
          <w:lang w:val="en-US"/>
        </w:rPr>
        <w:t>Scientific American, 210</w:t>
      </w:r>
      <w:r w:rsidRPr="00DC7442">
        <w:rPr>
          <w:rFonts w:cs="Arial"/>
          <w:shd w:val="clear" w:color="auto" w:fill="FFFFFF"/>
          <w:lang w:val="en-US"/>
        </w:rPr>
        <w:t xml:space="preserve">(2): 114-121. </w:t>
      </w:r>
    </w:p>
    <w:p w14:paraId="60EF9BEF" w14:textId="77777777" w:rsidR="00855F40" w:rsidRPr="00DC7442" w:rsidRDefault="00855F40" w:rsidP="00855F40">
      <w:pPr>
        <w:rPr>
          <w:lang w:val="en-US"/>
        </w:rPr>
      </w:pPr>
      <w:r w:rsidRPr="00DC7442">
        <w:rPr>
          <w:rFonts w:cs="Arial"/>
          <w:shd w:val="clear" w:color="auto" w:fill="FFFFFF"/>
          <w:lang w:val="en-US"/>
        </w:rPr>
        <w:t xml:space="preserve">Margerison, B.J. Knusel, C.J. 2002. Paleodemographic Comparison of a Catastrophic and an Attritional Death Assemblage. </w:t>
      </w:r>
      <w:r w:rsidRPr="00DC7442">
        <w:rPr>
          <w:rFonts w:cs="Arial"/>
          <w:i/>
          <w:shd w:val="clear" w:color="auto" w:fill="FFFFFF"/>
          <w:lang w:val="en-US"/>
        </w:rPr>
        <w:t xml:space="preserve">American Journal of Physical Anthropology. </w:t>
      </w:r>
      <w:r w:rsidRPr="00DC7442">
        <w:rPr>
          <w:rFonts w:cs="Arial"/>
          <w:shd w:val="clear" w:color="auto" w:fill="FFFFFF"/>
          <w:lang w:val="en-US"/>
        </w:rPr>
        <w:t xml:space="preserve">119: 134-143. </w:t>
      </w:r>
    </w:p>
    <w:p w14:paraId="3682ED0D" w14:textId="77777777" w:rsidR="00272E19" w:rsidRPr="00DC7442" w:rsidRDefault="00272E19" w:rsidP="00503C77">
      <w:pPr>
        <w:tabs>
          <w:tab w:val="left" w:pos="1120"/>
        </w:tabs>
      </w:pPr>
    </w:p>
    <w:sectPr w:rsidR="00272E19" w:rsidRPr="00DC7442" w:rsidSect="00FD6B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AE7D81"/>
    <w:multiLevelType w:val="hybridMultilevel"/>
    <w:tmpl w:val="91E45C16"/>
    <w:lvl w:ilvl="0" w:tplc="50E009BA">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65"/>
    <w:rsid w:val="00027A5A"/>
    <w:rsid w:val="00062F62"/>
    <w:rsid w:val="000A282B"/>
    <w:rsid w:val="000A315C"/>
    <w:rsid w:val="000C53CB"/>
    <w:rsid w:val="000F68BE"/>
    <w:rsid w:val="001005C2"/>
    <w:rsid w:val="001032C8"/>
    <w:rsid w:val="0010365E"/>
    <w:rsid w:val="00105300"/>
    <w:rsid w:val="00107CD0"/>
    <w:rsid w:val="00113B62"/>
    <w:rsid w:val="00117734"/>
    <w:rsid w:val="00166F56"/>
    <w:rsid w:val="00177E75"/>
    <w:rsid w:val="001A6654"/>
    <w:rsid w:val="001C5F0E"/>
    <w:rsid w:val="001C604A"/>
    <w:rsid w:val="001E245F"/>
    <w:rsid w:val="001F7847"/>
    <w:rsid w:val="00272E19"/>
    <w:rsid w:val="00291324"/>
    <w:rsid w:val="002A2F14"/>
    <w:rsid w:val="002A3125"/>
    <w:rsid w:val="002A48C9"/>
    <w:rsid w:val="002B0AC5"/>
    <w:rsid w:val="002C4473"/>
    <w:rsid w:val="002C565F"/>
    <w:rsid w:val="00306C2A"/>
    <w:rsid w:val="003258A4"/>
    <w:rsid w:val="00336BAE"/>
    <w:rsid w:val="00361F33"/>
    <w:rsid w:val="00371213"/>
    <w:rsid w:val="00372FAC"/>
    <w:rsid w:val="00391999"/>
    <w:rsid w:val="003A3330"/>
    <w:rsid w:val="003E352D"/>
    <w:rsid w:val="003F28E4"/>
    <w:rsid w:val="003F473A"/>
    <w:rsid w:val="00403569"/>
    <w:rsid w:val="00405319"/>
    <w:rsid w:val="00433F16"/>
    <w:rsid w:val="004458D2"/>
    <w:rsid w:val="00457820"/>
    <w:rsid w:val="00472615"/>
    <w:rsid w:val="0047535B"/>
    <w:rsid w:val="0048240B"/>
    <w:rsid w:val="004937C6"/>
    <w:rsid w:val="004D4B0D"/>
    <w:rsid w:val="004E543F"/>
    <w:rsid w:val="00503C77"/>
    <w:rsid w:val="00563675"/>
    <w:rsid w:val="00574B65"/>
    <w:rsid w:val="005F3BB8"/>
    <w:rsid w:val="0060338E"/>
    <w:rsid w:val="006257D1"/>
    <w:rsid w:val="0064289F"/>
    <w:rsid w:val="00660BED"/>
    <w:rsid w:val="00663A96"/>
    <w:rsid w:val="00687BA0"/>
    <w:rsid w:val="006F21BA"/>
    <w:rsid w:val="0070031D"/>
    <w:rsid w:val="00760E3C"/>
    <w:rsid w:val="00787DBD"/>
    <w:rsid w:val="007D5C8A"/>
    <w:rsid w:val="00844BB1"/>
    <w:rsid w:val="00855F40"/>
    <w:rsid w:val="0085793A"/>
    <w:rsid w:val="0086513E"/>
    <w:rsid w:val="008718AC"/>
    <w:rsid w:val="008A089B"/>
    <w:rsid w:val="008A48BA"/>
    <w:rsid w:val="008A59FF"/>
    <w:rsid w:val="008D35D0"/>
    <w:rsid w:val="00945A8C"/>
    <w:rsid w:val="00960F4E"/>
    <w:rsid w:val="009B1631"/>
    <w:rsid w:val="009D3E80"/>
    <w:rsid w:val="00A22D42"/>
    <w:rsid w:val="00A37756"/>
    <w:rsid w:val="00AB1468"/>
    <w:rsid w:val="00AB6E59"/>
    <w:rsid w:val="00AC3159"/>
    <w:rsid w:val="00AC371E"/>
    <w:rsid w:val="00AE7104"/>
    <w:rsid w:val="00AF1534"/>
    <w:rsid w:val="00B27CB2"/>
    <w:rsid w:val="00B62DDB"/>
    <w:rsid w:val="00B93337"/>
    <w:rsid w:val="00B9534B"/>
    <w:rsid w:val="00BD06AA"/>
    <w:rsid w:val="00BD360E"/>
    <w:rsid w:val="00C15F37"/>
    <w:rsid w:val="00C5457F"/>
    <w:rsid w:val="00C87F5D"/>
    <w:rsid w:val="00C9526B"/>
    <w:rsid w:val="00CD231C"/>
    <w:rsid w:val="00CF0AE3"/>
    <w:rsid w:val="00D14EC0"/>
    <w:rsid w:val="00D24485"/>
    <w:rsid w:val="00D27A2E"/>
    <w:rsid w:val="00D3218E"/>
    <w:rsid w:val="00D6027E"/>
    <w:rsid w:val="00D76809"/>
    <w:rsid w:val="00DA08FB"/>
    <w:rsid w:val="00DC7442"/>
    <w:rsid w:val="00DE72B7"/>
    <w:rsid w:val="00E2064D"/>
    <w:rsid w:val="00E24680"/>
    <w:rsid w:val="00E32EB1"/>
    <w:rsid w:val="00E41A5C"/>
    <w:rsid w:val="00E43814"/>
    <w:rsid w:val="00E52760"/>
    <w:rsid w:val="00E6196B"/>
    <w:rsid w:val="00EC065A"/>
    <w:rsid w:val="00EF5B94"/>
    <w:rsid w:val="00F50193"/>
    <w:rsid w:val="00F60F15"/>
    <w:rsid w:val="00F61567"/>
    <w:rsid w:val="00F70C9D"/>
    <w:rsid w:val="00FB4E65"/>
    <w:rsid w:val="00FD6B6D"/>
    <w:rsid w:val="00FF4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387D5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pacing w:val="20"/>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C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077280">
      <w:bodyDiv w:val="1"/>
      <w:marLeft w:val="0"/>
      <w:marRight w:val="0"/>
      <w:marTop w:val="0"/>
      <w:marBottom w:val="0"/>
      <w:divBdr>
        <w:top w:val="none" w:sz="0" w:space="0" w:color="auto"/>
        <w:left w:val="none" w:sz="0" w:space="0" w:color="auto"/>
        <w:bottom w:val="none" w:sz="0" w:space="0" w:color="auto"/>
        <w:right w:val="none" w:sz="0" w:space="0" w:color="auto"/>
      </w:divBdr>
    </w:div>
    <w:div w:id="1694839671">
      <w:bodyDiv w:val="1"/>
      <w:marLeft w:val="0"/>
      <w:marRight w:val="0"/>
      <w:marTop w:val="0"/>
      <w:marBottom w:val="0"/>
      <w:divBdr>
        <w:top w:val="none" w:sz="0" w:space="0" w:color="auto"/>
        <w:left w:val="none" w:sz="0" w:space="0" w:color="auto"/>
        <w:bottom w:val="none" w:sz="0" w:space="0" w:color="auto"/>
        <w:right w:val="none" w:sz="0" w:space="0" w:color="auto"/>
      </w:divBdr>
    </w:div>
    <w:div w:id="1771971056">
      <w:bodyDiv w:val="1"/>
      <w:marLeft w:val="0"/>
      <w:marRight w:val="0"/>
      <w:marTop w:val="0"/>
      <w:marBottom w:val="0"/>
      <w:divBdr>
        <w:top w:val="none" w:sz="0" w:space="0" w:color="auto"/>
        <w:left w:val="none" w:sz="0" w:space="0" w:color="auto"/>
        <w:bottom w:val="none" w:sz="0" w:space="0" w:color="auto"/>
        <w:right w:val="none" w:sz="0" w:space="0" w:color="auto"/>
      </w:divBdr>
    </w:div>
    <w:div w:id="1797481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668</TotalTime>
  <Pages>7</Pages>
  <Words>2877</Words>
  <Characters>16405</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27</cp:revision>
  <dcterms:created xsi:type="dcterms:W3CDTF">2018-01-09T15:52:00Z</dcterms:created>
  <dcterms:modified xsi:type="dcterms:W3CDTF">2018-01-12T21:06:00Z</dcterms:modified>
</cp:coreProperties>
</file>