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83EFA" w14:textId="77777777" w:rsidR="00F3049A" w:rsidRPr="00F3049A" w:rsidRDefault="00F3049A" w:rsidP="00E128F1">
      <w:pPr>
        <w:spacing w:line="360" w:lineRule="auto"/>
        <w:jc w:val="both"/>
        <w:rPr>
          <w:rFonts w:asciiTheme="minorBidi" w:hAnsiTheme="minorBidi"/>
          <w:b/>
          <w:bCs/>
        </w:rPr>
      </w:pPr>
      <w:r w:rsidRPr="00F3049A">
        <w:rPr>
          <w:rFonts w:asciiTheme="minorBidi" w:hAnsiTheme="minorBidi"/>
          <w:b/>
          <w:bCs/>
        </w:rPr>
        <w:t xml:space="preserve">Introduction </w:t>
      </w:r>
    </w:p>
    <w:p w14:paraId="7634B1CB" w14:textId="77777777" w:rsidR="00F3049A" w:rsidRPr="00F3049A" w:rsidRDefault="00F3049A" w:rsidP="00E128F1">
      <w:pPr>
        <w:spacing w:line="360" w:lineRule="auto"/>
        <w:jc w:val="both"/>
        <w:rPr>
          <w:rFonts w:asciiTheme="minorBidi" w:hAnsiTheme="minorBidi"/>
        </w:rPr>
      </w:pPr>
    </w:p>
    <w:p w14:paraId="5E95A2B1" w14:textId="77777777" w:rsidR="00F3049A" w:rsidRPr="00F3049A" w:rsidRDefault="00F3049A" w:rsidP="00E128F1">
      <w:pPr>
        <w:spacing w:line="360" w:lineRule="auto"/>
        <w:jc w:val="both"/>
        <w:rPr>
          <w:rFonts w:asciiTheme="minorBidi" w:hAnsiTheme="minorBidi"/>
        </w:rPr>
      </w:pPr>
      <w:r w:rsidRPr="00F3049A">
        <w:rPr>
          <w:rFonts w:asciiTheme="minorBidi" w:hAnsiTheme="minorBidi"/>
        </w:rPr>
        <w:t xml:space="preserve">The narrative of the Syrophoenician/Canaanite Woman is narrated in the Gospel of Matthew and Mark. In both instances, the focal point of the narrative is the faith of the women. The following essay has been divided into three sections. Firstly, a basic overview of the two narratives has been presented with the focus being on the convergences and divergences between the two author's narratives and its reasons. Secondly, after carefully analysing the key differences in the author's versions, the focus of this assignment turns to demonstrate Jesus' appreciation of the woman's faith and its potential for future inter-faith dialogue. The last section dwells into the woman's faith in Jesus and the challenges it poses for inter-faith dialogue. </w:t>
      </w:r>
    </w:p>
    <w:p w14:paraId="6A271A94" w14:textId="77777777" w:rsidR="00E128F1" w:rsidRDefault="00E128F1" w:rsidP="00E128F1">
      <w:pPr>
        <w:spacing w:line="360" w:lineRule="auto"/>
        <w:jc w:val="both"/>
        <w:rPr>
          <w:rFonts w:asciiTheme="minorBidi" w:hAnsiTheme="minorBidi"/>
        </w:rPr>
      </w:pPr>
    </w:p>
    <w:p w14:paraId="483730AF" w14:textId="77777777" w:rsidR="00E128F1" w:rsidRDefault="00E128F1" w:rsidP="00E128F1">
      <w:pPr>
        <w:spacing w:line="360" w:lineRule="auto"/>
        <w:jc w:val="both"/>
        <w:rPr>
          <w:rFonts w:asciiTheme="minorBidi" w:hAnsiTheme="minorBidi"/>
        </w:rPr>
      </w:pPr>
    </w:p>
    <w:p w14:paraId="04E477E9" w14:textId="0A4E2B3B" w:rsidR="00F3049A" w:rsidRPr="00F3049A" w:rsidRDefault="00F3049A" w:rsidP="00E128F1">
      <w:pPr>
        <w:spacing w:line="360" w:lineRule="auto"/>
        <w:jc w:val="both"/>
        <w:rPr>
          <w:rFonts w:asciiTheme="minorBidi" w:hAnsiTheme="minorBidi"/>
          <w:b/>
          <w:bCs/>
        </w:rPr>
      </w:pPr>
      <w:r w:rsidRPr="00F3049A">
        <w:rPr>
          <w:rFonts w:asciiTheme="minorBidi" w:hAnsiTheme="minorBidi"/>
          <w:b/>
          <w:bCs/>
        </w:rPr>
        <w:t xml:space="preserve">Jesus and his </w:t>
      </w:r>
      <w:r w:rsidR="007B1900">
        <w:rPr>
          <w:rFonts w:asciiTheme="minorBidi" w:hAnsiTheme="minorBidi"/>
          <w:b/>
          <w:bCs/>
        </w:rPr>
        <w:t xml:space="preserve">representation. </w:t>
      </w:r>
    </w:p>
    <w:p w14:paraId="4BD8D5F9" w14:textId="77777777" w:rsidR="00F3049A" w:rsidRPr="00F3049A" w:rsidRDefault="00F3049A" w:rsidP="00E128F1">
      <w:pPr>
        <w:spacing w:line="360" w:lineRule="auto"/>
        <w:jc w:val="both"/>
        <w:rPr>
          <w:rFonts w:asciiTheme="minorBidi" w:hAnsiTheme="minorBidi"/>
        </w:rPr>
      </w:pPr>
    </w:p>
    <w:p w14:paraId="5895915D" w14:textId="29A80BC5" w:rsidR="00F3049A" w:rsidRPr="00F3049A" w:rsidRDefault="00F3049A" w:rsidP="00E128F1">
      <w:pPr>
        <w:spacing w:line="360" w:lineRule="auto"/>
        <w:jc w:val="both"/>
        <w:rPr>
          <w:rFonts w:asciiTheme="minorBidi" w:hAnsiTheme="minorBidi"/>
        </w:rPr>
      </w:pPr>
      <w:r w:rsidRPr="00F3049A">
        <w:rPr>
          <w:rFonts w:asciiTheme="minorBidi" w:hAnsiTheme="minorBidi"/>
        </w:rPr>
        <w:t xml:space="preserve">Jesus enters Tyre, (North- West of Galilee) a region which is Gentile in character. In Matthew's version, Jesus </w:t>
      </w:r>
      <w:r w:rsidR="00AD170F">
        <w:rPr>
          <w:rFonts w:asciiTheme="minorBidi" w:hAnsiTheme="minorBidi"/>
        </w:rPr>
        <w:t>is</w:t>
      </w:r>
      <w:r w:rsidRPr="00F3049A">
        <w:rPr>
          <w:rFonts w:asciiTheme="minorBidi" w:hAnsiTheme="minorBidi"/>
        </w:rPr>
        <w:t xml:space="preserve"> immediately recognised by the Canaanite woman as the Lord</w:t>
      </w:r>
      <w:r w:rsidR="00AD170F">
        <w:rPr>
          <w:rFonts w:asciiTheme="minorBidi" w:hAnsiTheme="minorBidi"/>
        </w:rPr>
        <w:t>,</w:t>
      </w:r>
      <w:r w:rsidRPr="00F3049A">
        <w:rPr>
          <w:rFonts w:asciiTheme="minorBidi" w:hAnsiTheme="minorBidi"/>
        </w:rPr>
        <w:t xml:space="preserve"> son of David (Matt 15: 22). </w:t>
      </w:r>
      <w:r w:rsidR="00AD170F">
        <w:rPr>
          <w:rFonts w:asciiTheme="minorBidi" w:hAnsiTheme="minorBidi"/>
        </w:rPr>
        <w:t xml:space="preserve">The woman then tries to get Jesus’ attention until finally </w:t>
      </w:r>
      <w:r w:rsidRPr="00F3049A">
        <w:rPr>
          <w:rFonts w:asciiTheme="minorBidi" w:hAnsiTheme="minorBidi"/>
        </w:rPr>
        <w:t xml:space="preserve">Jesus responds to her call, notifying her he was only sent to the lost sheep of Israel (Matt 15: 24). The woman refuses to accept Jesus' answer and pursues her request, which is equally met with Jesus becoming annoyed with her, reducing her to the title of a dog. Mark's version follows the same line of events, but with few subtle differences. In Mark's version, Jesus is avoiding attention, but the </w:t>
      </w:r>
      <w:r w:rsidR="00AD170F">
        <w:rPr>
          <w:rFonts w:asciiTheme="minorBidi" w:hAnsiTheme="minorBidi"/>
        </w:rPr>
        <w:t xml:space="preserve">woman has heard of when she approaches him with her request </w:t>
      </w:r>
      <w:r w:rsidRPr="00F3049A">
        <w:rPr>
          <w:rFonts w:asciiTheme="minorBidi" w:hAnsiTheme="minorBidi"/>
        </w:rPr>
        <w:t xml:space="preserve">(Mark 7: 24). The woman </w:t>
      </w:r>
      <w:r w:rsidR="00AD170F">
        <w:rPr>
          <w:rFonts w:asciiTheme="minorBidi" w:hAnsiTheme="minorBidi"/>
        </w:rPr>
        <w:t>fails to</w:t>
      </w:r>
      <w:r w:rsidRPr="00F3049A">
        <w:rPr>
          <w:rFonts w:asciiTheme="minorBidi" w:hAnsiTheme="minorBidi"/>
        </w:rPr>
        <w:t xml:space="preserve"> immediately recognise the personhood of Jesus </w:t>
      </w:r>
      <w:r w:rsidR="00AD170F">
        <w:rPr>
          <w:rFonts w:asciiTheme="minorBidi" w:hAnsiTheme="minorBidi"/>
        </w:rPr>
        <w:t>contrary to</w:t>
      </w:r>
      <w:r w:rsidRPr="00F3049A">
        <w:rPr>
          <w:rFonts w:asciiTheme="minorBidi" w:hAnsiTheme="minorBidi"/>
        </w:rPr>
        <w:t xml:space="preserve"> Matthew's version. As such, neither does she cause hindrance to Jesus and his disciples, though she does beg Jesus (Mark 7: 25) like in Matthew's version. Jesus here replies differently to Matthew's version, too, stating, "Let the children be fed first, for it is not fair to take the children's food and throw it to the dogs". Mark does not use the specific word Israel but does allude to it by identifying Israel as the Children. In addition to this Mark does not stop Jesus' mission to the Israelites, only, he indicates it would be unfair to attend to the outsiders before attending to the Israelites. Taking the </w:t>
      </w:r>
      <w:r w:rsidRPr="00F3049A">
        <w:rPr>
          <w:rFonts w:asciiTheme="minorBidi" w:hAnsiTheme="minorBidi"/>
        </w:rPr>
        <w:lastRenderedPageBreak/>
        <w:t xml:space="preserve">account at face value explains very little of the author's intentions and theology. It is no coincidence that the same narrative </w:t>
      </w:r>
      <w:r w:rsidR="00AD170F">
        <w:rPr>
          <w:rFonts w:asciiTheme="minorBidi" w:hAnsiTheme="minorBidi"/>
        </w:rPr>
        <w:t xml:space="preserve">is narrated differently with </w:t>
      </w:r>
      <w:r w:rsidRPr="00F3049A">
        <w:rPr>
          <w:rFonts w:asciiTheme="minorBidi" w:hAnsiTheme="minorBidi"/>
        </w:rPr>
        <w:t xml:space="preserve">the literary form </w:t>
      </w:r>
      <w:r w:rsidR="00AD170F">
        <w:rPr>
          <w:rFonts w:asciiTheme="minorBidi" w:hAnsiTheme="minorBidi"/>
        </w:rPr>
        <w:t xml:space="preserve">in each narrative is seeking to leave a different impression on the reader. </w:t>
      </w:r>
    </w:p>
    <w:p w14:paraId="7CF689CD" w14:textId="77777777" w:rsidR="00F3049A" w:rsidRPr="00F3049A" w:rsidRDefault="00F3049A" w:rsidP="00E128F1">
      <w:pPr>
        <w:spacing w:line="360" w:lineRule="auto"/>
        <w:jc w:val="both"/>
        <w:rPr>
          <w:rFonts w:asciiTheme="minorBidi" w:hAnsiTheme="minorBidi"/>
        </w:rPr>
      </w:pPr>
    </w:p>
    <w:p w14:paraId="191188B1" w14:textId="784F9144" w:rsidR="00F3049A" w:rsidRPr="00F3049A" w:rsidRDefault="00F3049A" w:rsidP="00E128F1">
      <w:pPr>
        <w:spacing w:line="360" w:lineRule="auto"/>
        <w:jc w:val="both"/>
        <w:rPr>
          <w:rFonts w:asciiTheme="minorBidi" w:hAnsiTheme="minorBidi"/>
        </w:rPr>
      </w:pPr>
      <w:r w:rsidRPr="00F3049A">
        <w:rPr>
          <w:rFonts w:asciiTheme="minorBidi" w:hAnsiTheme="minorBidi"/>
        </w:rPr>
        <w:t>The subtle differences between the accounts, under closer lens, should not go unnoticed</w:t>
      </w:r>
      <w:r w:rsidR="00AD170F">
        <w:rPr>
          <w:rFonts w:asciiTheme="minorBidi" w:hAnsiTheme="minorBidi"/>
        </w:rPr>
        <w:t>. A</w:t>
      </w:r>
      <w:r w:rsidRPr="00F3049A">
        <w:rPr>
          <w:rFonts w:asciiTheme="minorBidi" w:hAnsiTheme="minorBidi"/>
        </w:rPr>
        <w:t>s it were, by putting flesh onto the bone, by reading the inauguration of Jesus in the accounts and the</w:t>
      </w:r>
      <w:r w:rsidR="00AD170F">
        <w:rPr>
          <w:rFonts w:asciiTheme="minorBidi" w:hAnsiTheme="minorBidi"/>
        </w:rPr>
        <w:t xml:space="preserve"> reception of Jesus’ response to the woman will</w:t>
      </w:r>
      <w:r w:rsidRPr="00F3049A">
        <w:rPr>
          <w:rFonts w:asciiTheme="minorBidi" w:hAnsiTheme="minorBidi"/>
        </w:rPr>
        <w:t xml:space="preserve"> enable us to view the account through the author's lens and broaden our understanding of the message inherent in the</w:t>
      </w:r>
      <w:r w:rsidR="00AD170F">
        <w:rPr>
          <w:rFonts w:asciiTheme="minorBidi" w:hAnsiTheme="minorBidi"/>
        </w:rPr>
        <w:t>ir</w:t>
      </w:r>
      <w:r w:rsidRPr="00F3049A">
        <w:rPr>
          <w:rFonts w:asciiTheme="minorBidi" w:hAnsiTheme="minorBidi"/>
        </w:rPr>
        <w:t xml:space="preserve"> narrative</w:t>
      </w:r>
      <w:r w:rsidR="00AD170F">
        <w:rPr>
          <w:rFonts w:asciiTheme="minorBidi" w:hAnsiTheme="minorBidi"/>
        </w:rPr>
        <w:t>s</w:t>
      </w:r>
      <w:r w:rsidRPr="00F3049A">
        <w:rPr>
          <w:rFonts w:asciiTheme="minorBidi" w:hAnsiTheme="minorBidi"/>
        </w:rPr>
        <w:t>. The specific title Lord</w:t>
      </w:r>
      <w:r w:rsidR="00AD170F">
        <w:rPr>
          <w:rFonts w:asciiTheme="minorBidi" w:hAnsiTheme="minorBidi"/>
        </w:rPr>
        <w:t>,</w:t>
      </w:r>
      <w:r w:rsidRPr="00F3049A">
        <w:rPr>
          <w:rFonts w:asciiTheme="minorBidi" w:hAnsiTheme="minorBidi"/>
        </w:rPr>
        <w:t xml:space="preserve"> son of David given to Jesus in the Matthean narrative is surprising considering Jesus just</w:t>
      </w:r>
      <w:r w:rsidR="00AD170F">
        <w:rPr>
          <w:rFonts w:asciiTheme="minorBidi" w:hAnsiTheme="minorBidi"/>
        </w:rPr>
        <w:t xml:space="preserve"> entered a new territory</w:t>
      </w:r>
      <w:r w:rsidRPr="00F3049A">
        <w:rPr>
          <w:rFonts w:asciiTheme="minorBidi" w:hAnsiTheme="minorBidi"/>
        </w:rPr>
        <w:t xml:space="preserve">, and </w:t>
      </w:r>
      <w:r w:rsidR="00AD170F">
        <w:rPr>
          <w:rFonts w:asciiTheme="minorBidi" w:hAnsiTheme="minorBidi"/>
        </w:rPr>
        <w:t>Jesus is a stranger there</w:t>
      </w:r>
      <w:r w:rsidRPr="00F3049A">
        <w:rPr>
          <w:rFonts w:asciiTheme="minorBidi" w:hAnsiTheme="minorBidi"/>
        </w:rPr>
        <w:t xml:space="preserve">. Observing Matthean gospel, </w:t>
      </w:r>
      <w:proofErr w:type="spellStart"/>
      <w:r w:rsidRPr="00F3049A">
        <w:rPr>
          <w:rFonts w:asciiTheme="minorBidi" w:hAnsiTheme="minorBidi"/>
        </w:rPr>
        <w:t>Viviano</w:t>
      </w:r>
      <w:proofErr w:type="spellEnd"/>
      <w:r w:rsidRPr="00F3049A">
        <w:rPr>
          <w:rFonts w:asciiTheme="minorBidi" w:hAnsiTheme="minorBidi"/>
        </w:rPr>
        <w:t xml:space="preserve"> posits when Matthew refers to Jesus as the son of David, Matthew is perceiving Jesus as the new Solomon a wise man and a healer</w:t>
      </w:r>
      <w:r w:rsidR="009A3B9C">
        <w:rPr>
          <w:rStyle w:val="FootnoteReference"/>
          <w:rFonts w:asciiTheme="minorBidi" w:hAnsiTheme="minorBidi"/>
        </w:rPr>
        <w:footnoteReference w:id="1"/>
      </w:r>
      <w:r w:rsidRPr="00F3049A">
        <w:rPr>
          <w:rFonts w:asciiTheme="minorBidi" w:hAnsiTheme="minorBidi"/>
        </w:rPr>
        <w:t xml:space="preserve">. The implication of this brings to attention Matthew is versed in the Hebrew scriptures and is cognizance of the Jewish tradition. Hauerwas, shares similar sentiment to </w:t>
      </w:r>
      <w:proofErr w:type="spellStart"/>
      <w:r w:rsidRPr="00F3049A">
        <w:rPr>
          <w:rFonts w:asciiTheme="minorBidi" w:hAnsiTheme="minorBidi"/>
        </w:rPr>
        <w:t>Viviano</w:t>
      </w:r>
      <w:proofErr w:type="spellEnd"/>
      <w:r w:rsidRPr="00F3049A">
        <w:rPr>
          <w:rFonts w:asciiTheme="minorBidi" w:hAnsiTheme="minorBidi"/>
        </w:rPr>
        <w:t xml:space="preserve"> in that he identifies Matthew's intention for choosing a Canaanite woman as the one who identifies Jesus as the son of David, but he further argues David in the Hebrew Bible killed the Canaanites for their disbelief in God, whereas here Jesus is ready to converse with a Canaanite</w:t>
      </w:r>
      <w:r w:rsidR="009A3B9C">
        <w:rPr>
          <w:rStyle w:val="FootnoteReference"/>
          <w:rFonts w:asciiTheme="minorBidi" w:hAnsiTheme="minorBidi"/>
        </w:rPr>
        <w:footnoteReference w:id="2"/>
      </w:r>
      <w:r w:rsidRPr="00F3049A">
        <w:rPr>
          <w:rFonts w:asciiTheme="minorBidi" w:hAnsiTheme="minorBidi"/>
        </w:rPr>
        <w:t xml:space="preserve">. According to Hauerwas Matthew is making use of David's narrative in the Hebrew Bible to glorify the person of Jesus and his acts. If in the Hebrew Bible David killed his enemies to overcome them, Jesus in this narrative is merciful to his adversaries who are won over by mercy and faith.  </w:t>
      </w:r>
    </w:p>
    <w:p w14:paraId="50B5B4A8" w14:textId="77777777" w:rsidR="00F3049A" w:rsidRPr="00F3049A" w:rsidRDefault="00F3049A" w:rsidP="00E128F1">
      <w:pPr>
        <w:spacing w:line="360" w:lineRule="auto"/>
        <w:jc w:val="both"/>
        <w:rPr>
          <w:rFonts w:asciiTheme="minorBidi" w:hAnsiTheme="minorBidi"/>
        </w:rPr>
      </w:pPr>
    </w:p>
    <w:p w14:paraId="65E0805F" w14:textId="407BCE11" w:rsidR="00F3049A" w:rsidRPr="00F3049A" w:rsidRDefault="00F3049A" w:rsidP="00E128F1">
      <w:pPr>
        <w:spacing w:line="360" w:lineRule="auto"/>
        <w:jc w:val="both"/>
        <w:rPr>
          <w:rFonts w:asciiTheme="minorBidi" w:hAnsiTheme="minorBidi"/>
        </w:rPr>
      </w:pPr>
      <w:r w:rsidRPr="00F3049A">
        <w:rPr>
          <w:rFonts w:asciiTheme="minorBidi" w:hAnsiTheme="minorBidi"/>
        </w:rPr>
        <w:t xml:space="preserve">In Marks account Jesus tries to avoid attention, but the people have heard of Jesus and the woman approaches Jesus (Mark 7: 24-25). A key feature in </w:t>
      </w:r>
      <w:proofErr w:type="spellStart"/>
      <w:r w:rsidRPr="00F3049A">
        <w:rPr>
          <w:rFonts w:asciiTheme="minorBidi" w:hAnsiTheme="minorBidi"/>
        </w:rPr>
        <w:t>Marcan</w:t>
      </w:r>
      <w:proofErr w:type="spellEnd"/>
      <w:r w:rsidRPr="00F3049A">
        <w:rPr>
          <w:rFonts w:asciiTheme="minorBidi" w:hAnsiTheme="minorBidi"/>
        </w:rPr>
        <w:t xml:space="preserve"> Christology coined as the messianic secret is where Jesus keeps his identity secret and tells others to remain silent. Harrington explains this phenomenon is Marks way of demonstrating Jesus in his public ministry neither </w:t>
      </w:r>
      <w:r w:rsidRPr="00F3049A">
        <w:rPr>
          <w:rFonts w:asciiTheme="minorBidi" w:hAnsiTheme="minorBidi"/>
        </w:rPr>
        <w:lastRenderedPageBreak/>
        <w:t>claimed or nor was he recognised as such</w:t>
      </w:r>
      <w:r w:rsidR="009A3B9C">
        <w:rPr>
          <w:rStyle w:val="FootnoteReference"/>
          <w:rFonts w:asciiTheme="minorBidi" w:hAnsiTheme="minorBidi"/>
        </w:rPr>
        <w:footnoteReference w:id="3"/>
      </w:r>
      <w:r w:rsidRPr="00F3049A">
        <w:rPr>
          <w:rFonts w:asciiTheme="minorBidi" w:hAnsiTheme="minorBidi"/>
        </w:rPr>
        <w:t xml:space="preserve">. For Mark, Jesus has to be recognised gradually by his audience. The woman is unaware of Jesus, </w:t>
      </w:r>
      <w:r w:rsidR="00AD170F">
        <w:rPr>
          <w:rFonts w:asciiTheme="minorBidi" w:hAnsiTheme="minorBidi"/>
        </w:rPr>
        <w:t>news of him has reached her</w:t>
      </w:r>
      <w:r w:rsidRPr="00F3049A">
        <w:rPr>
          <w:rFonts w:asciiTheme="minorBidi" w:hAnsiTheme="minorBidi"/>
        </w:rPr>
        <w:t xml:space="preserve">. Her visit met by her request will unfold contributing to the recognition of Jesus as the story unfolds. Although Jesus has to be identified gradually in Mark's narrative, the woman is given two identity markers, which are absent in Matthew's version. Mark labels the woman as a Gentile of Syrophoenician origin (Mark 7: 27). The first adjective describes the women's religion and the second adjective establishes her nationality. The significance of this in Mark's version corresponds to the </w:t>
      </w:r>
      <w:proofErr w:type="spellStart"/>
      <w:r w:rsidRPr="00F3049A">
        <w:rPr>
          <w:rFonts w:asciiTheme="minorBidi" w:hAnsiTheme="minorBidi"/>
        </w:rPr>
        <w:t>Marcan</w:t>
      </w:r>
      <w:proofErr w:type="spellEnd"/>
      <w:r w:rsidRPr="00F3049A">
        <w:rPr>
          <w:rFonts w:asciiTheme="minorBidi" w:hAnsiTheme="minorBidi"/>
        </w:rPr>
        <w:t xml:space="preserve"> theme of coming into the recognition of Jesus</w:t>
      </w:r>
      <w:r w:rsidR="009A3B9C">
        <w:rPr>
          <w:rStyle w:val="FootnoteReference"/>
          <w:rFonts w:asciiTheme="minorBidi" w:hAnsiTheme="minorBidi"/>
        </w:rPr>
        <w:footnoteReference w:id="4"/>
      </w:r>
      <w:r w:rsidRPr="00F3049A">
        <w:rPr>
          <w:rFonts w:asciiTheme="minorBidi" w:hAnsiTheme="minorBidi"/>
        </w:rPr>
        <w:t xml:space="preserve">. Mark is breaking the boundaries between ethnicity and religious identity. Jews, Gentiles together find their identity in Jesus. Matthew, however, relates the narrative from the perspective of establishing Jesus' authority as a Jewish figure who incorporates the outsiders into his kingdom. </w:t>
      </w:r>
    </w:p>
    <w:p w14:paraId="70A9B990" w14:textId="77777777" w:rsidR="00F3049A" w:rsidRPr="00F3049A" w:rsidRDefault="00F3049A" w:rsidP="00E128F1">
      <w:pPr>
        <w:spacing w:line="360" w:lineRule="auto"/>
        <w:jc w:val="both"/>
        <w:rPr>
          <w:rFonts w:asciiTheme="minorBidi" w:hAnsiTheme="minorBidi"/>
        </w:rPr>
      </w:pPr>
    </w:p>
    <w:p w14:paraId="3A40CF96" w14:textId="02C0723E" w:rsidR="00F3049A" w:rsidRPr="00F3049A" w:rsidRDefault="00F3049A" w:rsidP="00DC7F6E">
      <w:pPr>
        <w:spacing w:line="360" w:lineRule="auto"/>
        <w:jc w:val="both"/>
        <w:rPr>
          <w:rFonts w:asciiTheme="minorBidi" w:hAnsiTheme="minorBidi"/>
        </w:rPr>
      </w:pPr>
      <w:r w:rsidRPr="00F3049A">
        <w:rPr>
          <w:rFonts w:asciiTheme="minorBidi" w:hAnsiTheme="minorBidi"/>
        </w:rPr>
        <w:t>After Jesus</w:t>
      </w:r>
      <w:r w:rsidR="00AD170F">
        <w:rPr>
          <w:rFonts w:asciiTheme="minorBidi" w:hAnsiTheme="minorBidi"/>
        </w:rPr>
        <w:t>’ induction</w:t>
      </w:r>
      <w:r w:rsidRPr="00F3049A">
        <w:rPr>
          <w:rFonts w:asciiTheme="minorBidi" w:hAnsiTheme="minorBidi"/>
        </w:rPr>
        <w:t>, the narratives</w:t>
      </w:r>
      <w:r w:rsidR="00AD170F">
        <w:rPr>
          <w:rFonts w:asciiTheme="minorBidi" w:hAnsiTheme="minorBidi"/>
        </w:rPr>
        <w:t xml:space="preserve"> come to a climax where Jesus is having a discussion with the woman. </w:t>
      </w:r>
      <w:r w:rsidRPr="00F3049A">
        <w:rPr>
          <w:rFonts w:asciiTheme="minorBidi" w:hAnsiTheme="minorBidi"/>
        </w:rPr>
        <w:t xml:space="preserve">In Matthew's Gospel </w:t>
      </w:r>
      <w:r w:rsidR="00D25F93">
        <w:rPr>
          <w:rFonts w:asciiTheme="minorBidi" w:hAnsiTheme="minorBidi"/>
        </w:rPr>
        <w:t>Jesus notifies her</w:t>
      </w:r>
      <w:r w:rsidRPr="00F3049A">
        <w:rPr>
          <w:rFonts w:asciiTheme="minorBidi" w:hAnsiTheme="minorBidi"/>
        </w:rPr>
        <w:t>, indefinitely, that he was only sent to the people of Israel (Matt 15: 24). This</w:t>
      </w:r>
      <w:r w:rsidR="00DC7F6E">
        <w:rPr>
          <w:rFonts w:asciiTheme="minorBidi" w:hAnsiTheme="minorBidi"/>
        </w:rPr>
        <w:t xml:space="preserve"> </w:t>
      </w:r>
      <w:r w:rsidRPr="00F3049A">
        <w:rPr>
          <w:rFonts w:asciiTheme="minorBidi" w:hAnsiTheme="minorBidi"/>
        </w:rPr>
        <w:t xml:space="preserve">harsh response </w:t>
      </w:r>
      <w:r w:rsidR="00DC7F6E">
        <w:rPr>
          <w:rFonts w:asciiTheme="minorBidi" w:hAnsiTheme="minorBidi"/>
        </w:rPr>
        <w:t xml:space="preserve">encourages the woman to counter Jesus with her own response leaving Jesus dumbfounded, to which he replies, </w:t>
      </w:r>
      <w:r w:rsidRPr="00F3049A">
        <w:rPr>
          <w:rFonts w:asciiTheme="minorBidi" w:hAnsiTheme="minorBidi"/>
        </w:rPr>
        <w:t>"great is your faith!"</w:t>
      </w:r>
      <w:r w:rsidR="009A3B9C">
        <w:rPr>
          <w:rFonts w:asciiTheme="minorBidi" w:hAnsiTheme="minorBidi"/>
        </w:rPr>
        <w:t>.</w:t>
      </w:r>
      <w:r w:rsidR="009A3B9C">
        <w:rPr>
          <w:rStyle w:val="FootnoteReference"/>
          <w:rFonts w:asciiTheme="minorBidi" w:hAnsiTheme="minorBidi"/>
        </w:rPr>
        <w:footnoteReference w:id="5"/>
      </w:r>
      <w:r w:rsidRPr="00F3049A">
        <w:rPr>
          <w:rFonts w:asciiTheme="minorBidi" w:hAnsiTheme="minorBidi"/>
        </w:rPr>
        <w:t xml:space="preserve"> (Matt 15: 28). Jesus confirming the woman's faith at the end of the narrative is rather strange considering in the opening dialogue the woman demonstrat</w:t>
      </w:r>
      <w:r w:rsidR="00DC7F6E">
        <w:rPr>
          <w:rFonts w:asciiTheme="minorBidi" w:hAnsiTheme="minorBidi"/>
        </w:rPr>
        <w:t>ed</w:t>
      </w:r>
      <w:r w:rsidRPr="00F3049A">
        <w:rPr>
          <w:rFonts w:asciiTheme="minorBidi" w:hAnsiTheme="minorBidi"/>
        </w:rPr>
        <w:t xml:space="preserve"> her faith in Jesus by calling him, Lord. </w:t>
      </w:r>
      <w:r w:rsidR="00DC7F6E">
        <w:rPr>
          <w:rFonts w:asciiTheme="minorBidi" w:hAnsiTheme="minorBidi"/>
        </w:rPr>
        <w:t>Moreover,</w:t>
      </w:r>
      <w:r w:rsidRPr="00F3049A">
        <w:rPr>
          <w:rFonts w:asciiTheme="minorBidi" w:hAnsiTheme="minorBidi"/>
        </w:rPr>
        <w:t xml:space="preserve"> throughout her conversation, she refers to Jesus as Lord. Giving the title Lord to Jesus in the opening scene denotes Jesus is the </w:t>
      </w:r>
      <w:proofErr w:type="spellStart"/>
      <w:r w:rsidRPr="00F3049A">
        <w:rPr>
          <w:rFonts w:asciiTheme="minorBidi" w:hAnsiTheme="minorBidi"/>
        </w:rPr>
        <w:t>savior</w:t>
      </w:r>
      <w:proofErr w:type="spellEnd"/>
      <w:r w:rsidRPr="00F3049A">
        <w:rPr>
          <w:rFonts w:asciiTheme="minorBidi" w:hAnsiTheme="minorBidi"/>
        </w:rPr>
        <w:t xml:space="preserve"> of the Israelites, yet at the same time by reiterating this same title throughout the narrative the woman understands her position in front of Jesus keeping Jesus' status high</w:t>
      </w:r>
      <w:r w:rsidR="009A3B9C">
        <w:rPr>
          <w:rStyle w:val="FootnoteReference"/>
          <w:rFonts w:asciiTheme="minorBidi" w:hAnsiTheme="minorBidi"/>
        </w:rPr>
        <w:footnoteReference w:id="6"/>
      </w:r>
      <w:r w:rsidRPr="00F3049A">
        <w:rPr>
          <w:rFonts w:asciiTheme="minorBidi" w:hAnsiTheme="minorBidi"/>
        </w:rPr>
        <w:t xml:space="preserve"> . This would be probable in so far, the woman </w:t>
      </w:r>
      <w:r w:rsidR="00DC7F6E">
        <w:rPr>
          <w:rFonts w:asciiTheme="minorBidi" w:hAnsiTheme="minorBidi"/>
        </w:rPr>
        <w:lastRenderedPageBreak/>
        <w:t xml:space="preserve">referred to Jesus as master, </w:t>
      </w:r>
      <w:r w:rsidR="00DC7F6E" w:rsidRPr="00F3049A">
        <w:rPr>
          <w:rFonts w:asciiTheme="minorBidi" w:hAnsiTheme="minorBidi"/>
        </w:rPr>
        <w:t>at which point it would be plausible to suggest that the woman was conforming to the social structures of hierarchy</w:t>
      </w:r>
      <w:r w:rsidR="00DC7F6E">
        <w:rPr>
          <w:rFonts w:asciiTheme="minorBidi" w:hAnsiTheme="minorBidi"/>
        </w:rPr>
        <w:t xml:space="preserve">.  But the woman </w:t>
      </w:r>
      <w:r w:rsidRPr="00F3049A">
        <w:rPr>
          <w:rFonts w:asciiTheme="minorBidi" w:hAnsiTheme="minorBidi"/>
        </w:rPr>
        <w:t>acknowledg</w:t>
      </w:r>
      <w:r w:rsidR="00DC7F6E">
        <w:rPr>
          <w:rFonts w:asciiTheme="minorBidi" w:hAnsiTheme="minorBidi"/>
        </w:rPr>
        <w:t>es</w:t>
      </w:r>
      <w:r w:rsidRPr="00F3049A">
        <w:rPr>
          <w:rFonts w:asciiTheme="minorBidi" w:hAnsiTheme="minorBidi"/>
        </w:rPr>
        <w:t xml:space="preserve"> Jesus as</w:t>
      </w:r>
      <w:r w:rsidR="00DC7F6E">
        <w:rPr>
          <w:rFonts w:asciiTheme="minorBidi" w:hAnsiTheme="minorBidi"/>
        </w:rPr>
        <w:t xml:space="preserve"> her</w:t>
      </w:r>
      <w:r w:rsidRPr="00F3049A">
        <w:rPr>
          <w:rFonts w:asciiTheme="minorBidi" w:hAnsiTheme="minorBidi"/>
        </w:rPr>
        <w:t xml:space="preserve"> Lord </w:t>
      </w:r>
      <w:r w:rsidR="00DC7F6E">
        <w:rPr>
          <w:rFonts w:asciiTheme="minorBidi" w:hAnsiTheme="minorBidi"/>
        </w:rPr>
        <w:t xml:space="preserve">rather than her master. </w:t>
      </w:r>
    </w:p>
    <w:p w14:paraId="63687426" w14:textId="77777777" w:rsidR="00F3049A" w:rsidRPr="00F3049A" w:rsidRDefault="00F3049A" w:rsidP="00E128F1">
      <w:pPr>
        <w:spacing w:line="360" w:lineRule="auto"/>
        <w:jc w:val="both"/>
        <w:rPr>
          <w:rFonts w:asciiTheme="minorBidi" w:hAnsiTheme="minorBidi"/>
        </w:rPr>
      </w:pPr>
    </w:p>
    <w:p w14:paraId="37CCA54D" w14:textId="2C95663C" w:rsidR="00DC7F6E" w:rsidRPr="00F3049A" w:rsidRDefault="00F3049A" w:rsidP="00DC7F6E">
      <w:pPr>
        <w:spacing w:line="360" w:lineRule="auto"/>
        <w:jc w:val="both"/>
        <w:rPr>
          <w:rFonts w:asciiTheme="minorBidi" w:hAnsiTheme="minorBidi"/>
        </w:rPr>
      </w:pPr>
      <w:r w:rsidRPr="00F3049A">
        <w:rPr>
          <w:rFonts w:asciiTheme="minorBidi" w:hAnsiTheme="minorBidi"/>
        </w:rPr>
        <w:t>Consequently, by telling the woman he was only sent to Israel and then realising her faith, the double adjective ‘Lord, son of David' signifies Jesus for Matthew is like the great warrior David who will unite the kingdom of God and the chosen kingdom was Israel but now the community of non-Jews who believe in Jesus is the chosen people of God</w:t>
      </w:r>
      <w:r w:rsidR="009A3B9C">
        <w:rPr>
          <w:rStyle w:val="FootnoteReference"/>
          <w:rFonts w:asciiTheme="minorBidi" w:hAnsiTheme="minorBidi"/>
        </w:rPr>
        <w:footnoteReference w:id="7"/>
      </w:r>
      <w:r w:rsidRPr="00F3049A">
        <w:rPr>
          <w:rFonts w:asciiTheme="minorBidi" w:hAnsiTheme="minorBidi"/>
        </w:rPr>
        <w:t>. It seems puzzling to think Jesus was unaware of the woman's faith in him throughout the entire discussion.</w:t>
      </w:r>
      <w:r w:rsidR="00DC7F6E">
        <w:rPr>
          <w:rFonts w:asciiTheme="minorBidi" w:hAnsiTheme="minorBidi"/>
        </w:rPr>
        <w:t xml:space="preserve"> </w:t>
      </w:r>
      <w:r w:rsidRPr="00F3049A">
        <w:rPr>
          <w:rFonts w:asciiTheme="minorBidi" w:hAnsiTheme="minorBidi"/>
        </w:rPr>
        <w:t>The confusion inherent in the narrative is not so much in Jesus' understanding of the woman's faith in as much it is a representation of the author's understanding of Jesus and his mission.</w:t>
      </w:r>
      <w:r w:rsidR="00DC7F6E">
        <w:rPr>
          <w:rFonts w:asciiTheme="minorBidi" w:hAnsiTheme="minorBidi"/>
        </w:rPr>
        <w:t xml:space="preserve"> </w:t>
      </w:r>
      <w:r w:rsidR="00DC7F6E" w:rsidRPr="00F3049A">
        <w:rPr>
          <w:rFonts w:asciiTheme="minorBidi" w:hAnsiTheme="minorBidi"/>
        </w:rPr>
        <w:t>Jesus igno</w:t>
      </w:r>
      <w:r w:rsidR="00DC7F6E">
        <w:rPr>
          <w:rFonts w:asciiTheme="minorBidi" w:hAnsiTheme="minorBidi"/>
        </w:rPr>
        <w:t>r</w:t>
      </w:r>
      <w:r w:rsidR="00DC7F6E">
        <w:rPr>
          <w:rFonts w:asciiTheme="minorBidi" w:hAnsiTheme="minorBidi"/>
        </w:rPr>
        <w:t>ing her and</w:t>
      </w:r>
      <w:r w:rsidR="00DC7F6E">
        <w:rPr>
          <w:rFonts w:asciiTheme="minorBidi" w:hAnsiTheme="minorBidi"/>
        </w:rPr>
        <w:t xml:space="preserve"> </w:t>
      </w:r>
      <w:r w:rsidR="00DC7F6E">
        <w:rPr>
          <w:rFonts w:asciiTheme="minorBidi" w:hAnsiTheme="minorBidi"/>
        </w:rPr>
        <w:t>referring to her</w:t>
      </w:r>
      <w:r w:rsidR="00DC7F6E" w:rsidRPr="00F3049A">
        <w:rPr>
          <w:rFonts w:asciiTheme="minorBidi" w:hAnsiTheme="minorBidi"/>
        </w:rPr>
        <w:t xml:space="preserve"> </w:t>
      </w:r>
      <w:r w:rsidR="00DC7F6E">
        <w:rPr>
          <w:rFonts w:asciiTheme="minorBidi" w:hAnsiTheme="minorBidi"/>
        </w:rPr>
        <w:t xml:space="preserve">as a dog </w:t>
      </w:r>
      <w:r w:rsidR="00DC7F6E" w:rsidRPr="00F3049A">
        <w:rPr>
          <w:rFonts w:asciiTheme="minorBidi" w:hAnsiTheme="minorBidi"/>
        </w:rPr>
        <w:t>only to confirm her faith in him</w:t>
      </w:r>
      <w:r w:rsidR="00DC7F6E">
        <w:rPr>
          <w:rFonts w:asciiTheme="minorBidi" w:hAnsiTheme="minorBidi"/>
        </w:rPr>
        <w:t xml:space="preserve"> is </w:t>
      </w:r>
      <w:r w:rsidRPr="00F3049A">
        <w:rPr>
          <w:rFonts w:asciiTheme="minorBidi" w:hAnsiTheme="minorBidi"/>
        </w:rPr>
        <w:t xml:space="preserve">Matthew's </w:t>
      </w:r>
      <w:r w:rsidR="00DC7F6E">
        <w:rPr>
          <w:rFonts w:asciiTheme="minorBidi" w:hAnsiTheme="minorBidi"/>
        </w:rPr>
        <w:t xml:space="preserve">approach to highlight the importance of Jesus’ attachment to the Hebrew tradition. The woman represents the non-Jewish Christian who is an outsider yet at the same time an insider. Matthew’s dichotomy is reflected by Jesus’ treatment of the woman. </w:t>
      </w:r>
      <w:r w:rsidR="00DC7F6E" w:rsidRPr="00F3049A">
        <w:rPr>
          <w:rFonts w:asciiTheme="minorBidi" w:hAnsiTheme="minorBidi"/>
        </w:rPr>
        <w:t xml:space="preserve">The woman is constantly presented as anathema in the Matthean narrative, even then she manages to preserve her faith in Jesus. For Matthew faith in Jesus is only justified in so far it is accepted that Jesus inherited the promise of Israel. By locating Jesus in the history of Israel and having the Canaanite woman confirm her faith in him, Jesus for Matthew remains a Jewish leader. </w:t>
      </w:r>
    </w:p>
    <w:p w14:paraId="393CBAA9" w14:textId="2E184A96" w:rsidR="00F3049A" w:rsidRPr="00F3049A" w:rsidRDefault="00DC7F6E" w:rsidP="00DC7F6E">
      <w:pPr>
        <w:spacing w:line="360" w:lineRule="auto"/>
        <w:jc w:val="both"/>
        <w:rPr>
          <w:rFonts w:asciiTheme="minorBidi" w:hAnsiTheme="minorBidi"/>
        </w:rPr>
      </w:pPr>
      <w:r>
        <w:rPr>
          <w:rFonts w:asciiTheme="minorBidi" w:hAnsiTheme="minorBidi"/>
        </w:rPr>
        <w:t xml:space="preserve"> </w:t>
      </w:r>
    </w:p>
    <w:p w14:paraId="2BB1145B" w14:textId="7355EB33" w:rsidR="00F3049A" w:rsidRPr="00F3049A" w:rsidRDefault="00F3049A" w:rsidP="00E128F1">
      <w:pPr>
        <w:spacing w:line="360" w:lineRule="auto"/>
        <w:jc w:val="both"/>
        <w:rPr>
          <w:rFonts w:asciiTheme="minorBidi" w:hAnsiTheme="minorBidi"/>
        </w:rPr>
      </w:pPr>
      <w:r w:rsidRPr="00F3049A">
        <w:rPr>
          <w:rFonts w:asciiTheme="minorBidi" w:hAnsiTheme="minorBidi"/>
        </w:rPr>
        <w:t xml:space="preserve">In Mark's version, the woman </w:t>
      </w:r>
      <w:r w:rsidR="00DC7F6E">
        <w:rPr>
          <w:rFonts w:asciiTheme="minorBidi" w:hAnsiTheme="minorBidi"/>
        </w:rPr>
        <w:t xml:space="preserve">is not rejected, rather Jesus </w:t>
      </w:r>
      <w:r w:rsidRPr="00F3049A">
        <w:rPr>
          <w:rFonts w:asciiTheme="minorBidi" w:hAnsiTheme="minorBidi"/>
        </w:rPr>
        <w:t xml:space="preserve">reassures </w:t>
      </w:r>
      <w:r w:rsidR="00DC7F6E">
        <w:rPr>
          <w:rFonts w:asciiTheme="minorBidi" w:hAnsiTheme="minorBidi"/>
        </w:rPr>
        <w:t>her that</w:t>
      </w:r>
      <w:r w:rsidRPr="00F3049A">
        <w:rPr>
          <w:rFonts w:asciiTheme="minorBidi" w:hAnsiTheme="minorBidi"/>
        </w:rPr>
        <w:t xml:space="preserve"> it would be unfair to attend to the needs of the outsiders before</w:t>
      </w:r>
      <w:r w:rsidR="00DC7F6E">
        <w:rPr>
          <w:rFonts w:asciiTheme="minorBidi" w:hAnsiTheme="minorBidi"/>
        </w:rPr>
        <w:t xml:space="preserve"> attending </w:t>
      </w:r>
      <w:r w:rsidRPr="00F3049A">
        <w:rPr>
          <w:rFonts w:asciiTheme="minorBidi" w:hAnsiTheme="minorBidi"/>
        </w:rPr>
        <w:t>to the needs of his people (Mark 7: 27). The difference in Mark's statement illuminates the possibility of hope for future gentiles</w:t>
      </w:r>
      <w:r w:rsidR="009A3B9C">
        <w:rPr>
          <w:rStyle w:val="FootnoteReference"/>
          <w:rFonts w:asciiTheme="minorBidi" w:hAnsiTheme="minorBidi"/>
        </w:rPr>
        <w:footnoteReference w:id="8"/>
      </w:r>
      <w:r w:rsidRPr="00F3049A">
        <w:rPr>
          <w:rFonts w:asciiTheme="minorBidi" w:hAnsiTheme="minorBidi"/>
        </w:rPr>
        <w:t xml:space="preserve">. Flanagan takes a slightly different approach to Edwards and observes the social context and setting of the conversation between Jesus and the woman. He argues the woman's response </w:t>
      </w:r>
      <w:r w:rsidRPr="00F3049A">
        <w:rPr>
          <w:rFonts w:asciiTheme="minorBidi" w:hAnsiTheme="minorBidi"/>
        </w:rPr>
        <w:lastRenderedPageBreak/>
        <w:t>defeats Jesus. In a society where honour is very important being defeated by a woman would be considered demeaning, Jesus graciously accepts the defeat</w:t>
      </w:r>
      <w:r w:rsidR="009A3B9C">
        <w:rPr>
          <w:rStyle w:val="FootnoteReference"/>
          <w:rFonts w:asciiTheme="minorBidi" w:hAnsiTheme="minorBidi"/>
        </w:rPr>
        <w:footnoteReference w:id="9"/>
      </w:r>
      <w:r w:rsidRPr="00F3049A">
        <w:rPr>
          <w:rFonts w:asciiTheme="minorBidi" w:hAnsiTheme="minorBidi"/>
        </w:rPr>
        <w:t xml:space="preserve">. Though it is tempting to take a feminist approach of the two passages, which would take up the remaining of this essay, the conflict between Jesus and the woman is not on the grounds of gender imbalance. Suppose we say the opposition was a male who corrected Jesus and his message in a populated gentile area hurt Jesus' ego any less than that of the woman's response?  The reason for refusal is simply because she is not an Israelite, which bears no significance on which gender the response came from. Moreover, Jesus' reply and his willingness to rectify his own mistake is a remarkable representation of Jesus' human nature. Jesus stands corrected by the woman to which he replies, </w:t>
      </w:r>
      <w:r w:rsidRPr="009A3B9C">
        <w:rPr>
          <w:rFonts w:asciiTheme="minorBidi" w:hAnsiTheme="minorBidi"/>
        </w:rPr>
        <w:t>"For saying that, you may go"</w:t>
      </w:r>
      <w:r w:rsidR="009A3B9C" w:rsidRPr="009A3B9C">
        <w:rPr>
          <w:rStyle w:val="FootnoteReference"/>
          <w:rFonts w:asciiTheme="minorBidi" w:hAnsiTheme="minorBidi"/>
        </w:rPr>
        <w:footnoteReference w:id="10"/>
      </w:r>
      <w:r w:rsidR="00C21A25">
        <w:rPr>
          <w:rFonts w:asciiTheme="minorBidi" w:hAnsiTheme="minorBidi"/>
        </w:rPr>
        <w:t>.</w:t>
      </w:r>
      <w:r w:rsidRPr="00F3049A">
        <w:rPr>
          <w:rFonts w:asciiTheme="minorBidi" w:hAnsiTheme="minorBidi"/>
        </w:rPr>
        <w:t xml:space="preserve"> If anything, the woman redefines what faith means and teaches Jesus a lesson. Her persistent nature verifies her hope and faith in Jesus based on her receiving news of Jesus</w:t>
      </w:r>
      <w:r w:rsidR="00C21A25">
        <w:rPr>
          <w:rStyle w:val="FootnoteReference"/>
          <w:rFonts w:asciiTheme="minorBidi" w:hAnsiTheme="minorBidi"/>
        </w:rPr>
        <w:footnoteReference w:id="11"/>
      </w:r>
      <w:r w:rsidRPr="00F3049A">
        <w:rPr>
          <w:rFonts w:asciiTheme="minorBidi" w:hAnsiTheme="minorBidi"/>
        </w:rPr>
        <w:t>. Taking the final section of the narrative in conjunction with the opening section of the narrative the woman entered as an agnostic, she wrestled with Jesus and even managed to influence Jesus' faith. But to be certain that Jesus was the Lord, son of God she returns home one last time to witness with her own two eyes that the demon has left her daughter, just like Jesus told her.</w:t>
      </w:r>
    </w:p>
    <w:p w14:paraId="37D49FF6" w14:textId="77777777" w:rsidR="00E128F1" w:rsidRDefault="00E128F1" w:rsidP="00E128F1">
      <w:pPr>
        <w:spacing w:line="360" w:lineRule="auto"/>
        <w:jc w:val="both"/>
        <w:rPr>
          <w:rFonts w:asciiTheme="minorBidi" w:hAnsiTheme="minorBidi"/>
          <w:b/>
          <w:bCs/>
        </w:rPr>
      </w:pPr>
    </w:p>
    <w:p w14:paraId="4B3530DC" w14:textId="77777777" w:rsidR="00E128F1" w:rsidRDefault="00E128F1" w:rsidP="00E128F1">
      <w:pPr>
        <w:spacing w:line="360" w:lineRule="auto"/>
        <w:jc w:val="both"/>
        <w:rPr>
          <w:rFonts w:asciiTheme="minorBidi" w:hAnsiTheme="minorBidi"/>
          <w:b/>
          <w:bCs/>
        </w:rPr>
      </w:pPr>
    </w:p>
    <w:p w14:paraId="5306C2A5" w14:textId="73096A05" w:rsidR="00F3049A" w:rsidRPr="00F3049A" w:rsidRDefault="00F3049A" w:rsidP="00E128F1">
      <w:pPr>
        <w:spacing w:line="360" w:lineRule="auto"/>
        <w:jc w:val="both"/>
        <w:rPr>
          <w:rFonts w:asciiTheme="minorBidi" w:hAnsiTheme="minorBidi"/>
          <w:b/>
          <w:bCs/>
        </w:rPr>
      </w:pPr>
      <w:r w:rsidRPr="00F3049A">
        <w:rPr>
          <w:rFonts w:asciiTheme="minorBidi" w:hAnsiTheme="minorBidi"/>
          <w:b/>
          <w:bCs/>
        </w:rPr>
        <w:t xml:space="preserve">Possibility for future Opportunity </w:t>
      </w:r>
    </w:p>
    <w:p w14:paraId="45662801" w14:textId="77777777" w:rsidR="00F3049A" w:rsidRPr="00F3049A" w:rsidRDefault="00F3049A" w:rsidP="00E128F1">
      <w:pPr>
        <w:spacing w:line="360" w:lineRule="auto"/>
        <w:jc w:val="both"/>
        <w:rPr>
          <w:rFonts w:asciiTheme="minorBidi" w:hAnsiTheme="minorBidi"/>
        </w:rPr>
      </w:pPr>
    </w:p>
    <w:p w14:paraId="7B199610" w14:textId="3E9D7BCD" w:rsidR="00F3049A" w:rsidRPr="00F3049A" w:rsidRDefault="00F3049A" w:rsidP="00E128F1">
      <w:pPr>
        <w:spacing w:line="360" w:lineRule="auto"/>
        <w:jc w:val="both"/>
        <w:rPr>
          <w:rFonts w:asciiTheme="minorBidi" w:hAnsiTheme="minorBidi"/>
        </w:rPr>
      </w:pPr>
      <w:r w:rsidRPr="00F3049A">
        <w:rPr>
          <w:rFonts w:asciiTheme="minorBidi" w:hAnsiTheme="minorBidi"/>
        </w:rPr>
        <w:t xml:space="preserve">Reflecting on Jesus and the woman's conversation in Matthew 15: 21-29 and Mark's 7: 24-30 narrative presents us with several possibilities for inter-faith dialogue. Be as it may, what remains fascinating is with all the indifferences shared between the woman and Jesus, Jesus recognised the inherent value of the woman's faith and is open to reconsidering his initial stance on faith. The protagonist of religious pluralism, John Hick, in his infamous work, God Has </w:t>
      </w:r>
      <w:r w:rsidRPr="00F3049A">
        <w:rPr>
          <w:rFonts w:asciiTheme="minorBidi" w:hAnsiTheme="minorBidi"/>
        </w:rPr>
        <w:lastRenderedPageBreak/>
        <w:t>Many Names, maintains God is always working through His creation in various ways; and since God created mankind in diverse groups and cultures, whichever path one takes and comes to recognise God has inherent value of Truth in it</w:t>
      </w:r>
      <w:r w:rsidR="00C21A25">
        <w:rPr>
          <w:rStyle w:val="FootnoteReference"/>
          <w:rFonts w:asciiTheme="minorBidi" w:hAnsiTheme="minorBidi"/>
        </w:rPr>
        <w:footnoteReference w:id="12"/>
      </w:r>
      <w:r w:rsidR="00C21A25">
        <w:rPr>
          <w:rFonts w:asciiTheme="minorBidi" w:hAnsiTheme="minorBidi"/>
        </w:rPr>
        <w:t>.</w:t>
      </w:r>
      <w:r w:rsidRPr="00F3049A">
        <w:rPr>
          <w:rFonts w:asciiTheme="minorBidi" w:hAnsiTheme="minorBidi"/>
        </w:rPr>
        <w:t xml:space="preserve"> For Hick all paths that seek to find God have an inherent value because God is working with the creation, directing them to God. God here is proactive who is in constant engagement with the creation leading them to the Ultimate Truth. </w:t>
      </w:r>
      <w:proofErr w:type="spellStart"/>
      <w:r w:rsidRPr="00F3049A">
        <w:rPr>
          <w:rFonts w:asciiTheme="minorBidi" w:hAnsiTheme="minorBidi"/>
        </w:rPr>
        <w:t>Pannenberg</w:t>
      </w:r>
      <w:proofErr w:type="spellEnd"/>
      <w:r w:rsidRPr="00F3049A">
        <w:rPr>
          <w:rFonts w:asciiTheme="minorBidi" w:hAnsiTheme="minorBidi"/>
        </w:rPr>
        <w:t xml:space="preserve"> criticises Hick vision of pluralism and argues God does work through the creation, but for the fact that Jesus was the representative of God on earth, the path to God is only attainable through Jesus and accepting him as the son of God</w:t>
      </w:r>
      <w:r w:rsidR="00C21A25">
        <w:rPr>
          <w:rStyle w:val="FootnoteReference"/>
          <w:rFonts w:asciiTheme="minorBidi" w:hAnsiTheme="minorBidi"/>
        </w:rPr>
        <w:footnoteReference w:id="13"/>
      </w:r>
      <w:r w:rsidRPr="00F3049A">
        <w:rPr>
          <w:rFonts w:asciiTheme="minorBidi" w:hAnsiTheme="minorBidi"/>
        </w:rPr>
        <w:t xml:space="preserve">. </w:t>
      </w:r>
      <w:proofErr w:type="spellStart"/>
      <w:r w:rsidRPr="00F3049A">
        <w:rPr>
          <w:rFonts w:asciiTheme="minorBidi" w:hAnsiTheme="minorBidi"/>
        </w:rPr>
        <w:t>Pannenberg</w:t>
      </w:r>
      <w:proofErr w:type="spellEnd"/>
      <w:r w:rsidRPr="00F3049A">
        <w:rPr>
          <w:rFonts w:asciiTheme="minorBidi" w:hAnsiTheme="minorBidi"/>
        </w:rPr>
        <w:t xml:space="preserve"> and Hick agree with the notion that God works through the creation. However, where they differ is the former highlights that alternative routes have the potential to lead one to the truth, with God dictating the cause, whereas the latter emphasises the importance of accepting Jesus before the path is accessible to God. </w:t>
      </w:r>
    </w:p>
    <w:p w14:paraId="1F9ECCA4" w14:textId="77777777" w:rsidR="00F3049A" w:rsidRPr="00F3049A" w:rsidRDefault="00F3049A" w:rsidP="00E128F1">
      <w:pPr>
        <w:spacing w:line="360" w:lineRule="auto"/>
        <w:jc w:val="both"/>
        <w:rPr>
          <w:rFonts w:asciiTheme="minorBidi" w:hAnsiTheme="minorBidi"/>
        </w:rPr>
      </w:pPr>
    </w:p>
    <w:p w14:paraId="2A1D678D" w14:textId="77777777" w:rsidR="00F3049A" w:rsidRPr="00F3049A" w:rsidRDefault="00F3049A" w:rsidP="00E128F1">
      <w:pPr>
        <w:spacing w:line="360" w:lineRule="auto"/>
        <w:jc w:val="both"/>
        <w:rPr>
          <w:rFonts w:asciiTheme="minorBidi" w:hAnsiTheme="minorBidi"/>
        </w:rPr>
      </w:pPr>
      <w:r w:rsidRPr="00F3049A">
        <w:rPr>
          <w:rFonts w:asciiTheme="minorBidi" w:hAnsiTheme="minorBidi"/>
        </w:rPr>
        <w:t xml:space="preserve">Jesus being a Jew and the woman being a Canaanite sit at opposite ends when it comes to belief, religion, and ethnicity. If we consider the woman's position in Mark's narrative the sole purpose of her visit was based on her enthusiasm to verify her faith in Jesus. This is eventually established when she confirms the demon has left her daughter. Jesus is none the wiser. As far as Jesus was concerned, he was unaware of the woman's inherent belief and intentions she had of him, yet he gave her a platform to express her conviction. Moreover, Jesus in his conversation with the woman expresses and lends the possibility of hope for that woman. He did not treat her maliciously nor did he show signs of displeasure and rebuked her, providing we go with Marks account. In Matthew's account, the woman is aware of Jesus grandeur. Jesus rebukes, denies and belittles her, even after all this Jesus recognises the woman's faith in him giving little importance to the content of her faith. The faith the woman has in Jesus in both scenarios demonstrates though it is possible that God works through Jesus, </w:t>
      </w:r>
      <w:r w:rsidRPr="00F3049A">
        <w:rPr>
          <w:rFonts w:asciiTheme="minorBidi" w:hAnsiTheme="minorBidi"/>
        </w:rPr>
        <w:lastRenderedPageBreak/>
        <w:t xml:space="preserve">the woman is also an instrument of God who refines Jesus' definition of faith and understanding of conviction. The woman here for a brief moment becomes the teacher, teaching Jesus, there are alternative routes to God.  </w:t>
      </w:r>
    </w:p>
    <w:p w14:paraId="2C7F0D69" w14:textId="77777777" w:rsidR="00E128F1" w:rsidRDefault="00E128F1" w:rsidP="00E128F1">
      <w:pPr>
        <w:spacing w:line="360" w:lineRule="auto"/>
        <w:jc w:val="both"/>
        <w:rPr>
          <w:rFonts w:asciiTheme="minorBidi" w:hAnsiTheme="minorBidi"/>
        </w:rPr>
      </w:pPr>
    </w:p>
    <w:p w14:paraId="20501DE2" w14:textId="213234E9" w:rsidR="00F3049A" w:rsidRPr="00F3049A" w:rsidRDefault="00F3049A" w:rsidP="00E128F1">
      <w:pPr>
        <w:spacing w:line="360" w:lineRule="auto"/>
        <w:jc w:val="both"/>
        <w:rPr>
          <w:rFonts w:asciiTheme="minorBidi" w:hAnsiTheme="minorBidi"/>
          <w:b/>
          <w:bCs/>
        </w:rPr>
      </w:pPr>
      <w:r w:rsidRPr="00F3049A">
        <w:rPr>
          <w:rFonts w:asciiTheme="minorBidi" w:hAnsiTheme="minorBidi"/>
          <w:b/>
          <w:bCs/>
        </w:rPr>
        <w:t>Challenges for Inter-Faith dialogue</w:t>
      </w:r>
    </w:p>
    <w:p w14:paraId="3C9726F1" w14:textId="77777777" w:rsidR="00F3049A" w:rsidRPr="00F3049A" w:rsidRDefault="00F3049A" w:rsidP="00E128F1">
      <w:pPr>
        <w:spacing w:line="360" w:lineRule="auto"/>
        <w:jc w:val="both"/>
        <w:rPr>
          <w:rFonts w:asciiTheme="minorBidi" w:hAnsiTheme="minorBidi"/>
        </w:rPr>
      </w:pPr>
    </w:p>
    <w:p w14:paraId="0DBDBC1A" w14:textId="4EF760B5" w:rsidR="00F3049A" w:rsidRPr="00F3049A" w:rsidRDefault="00F3049A" w:rsidP="00E128F1">
      <w:pPr>
        <w:spacing w:line="360" w:lineRule="auto"/>
        <w:jc w:val="both"/>
        <w:rPr>
          <w:rFonts w:asciiTheme="minorBidi" w:hAnsiTheme="minorBidi"/>
        </w:rPr>
      </w:pPr>
      <w:r w:rsidRPr="00F3049A">
        <w:rPr>
          <w:rFonts w:asciiTheme="minorBidi" w:hAnsiTheme="minorBidi"/>
        </w:rPr>
        <w:t>Although we appreciate Jesus' recognition of the woman's faith and its relevance for future inter-faith dialogue, it is difficult to dismiss the authors' view of the woman's faith in Jesus that permeates throughout the narratives. Put simply, Jesus recognising the woman's faith and learning from it is not enough. For her child to be cured, the woman in return had to believe in Jesus as the lord, saviour. If this is the case which seems to be the author's implicit intention, then Jesus does not give freely, without demanding faith in return. Jesus is the a priori before any demands are met, which negate the demands of those who fail to bring faith in Jesus. God's revelation in Christ is the testimony of God's self-disclosure in Jesus Christ this makes Christianity unique to other non-Christian traditions, which the Church must proclaim and keep true to</w:t>
      </w:r>
      <w:r w:rsidR="00C21A25">
        <w:rPr>
          <w:rStyle w:val="FootnoteReference"/>
          <w:rFonts w:asciiTheme="minorBidi" w:hAnsiTheme="minorBidi"/>
        </w:rPr>
        <w:footnoteReference w:id="14"/>
      </w:r>
      <w:r w:rsidRPr="00F3049A">
        <w:rPr>
          <w:rFonts w:asciiTheme="minorBidi" w:hAnsiTheme="minorBidi"/>
        </w:rPr>
        <w:t xml:space="preserve">. Kraemer's admiration for Christianity comes as no surprise considering he is a Christian. What is significant in his proposal is that the only foreseeable way of reaching God is through Jesus which is a stumbling block for those who do not have faith in Christ. Karl </w:t>
      </w:r>
      <w:proofErr w:type="spellStart"/>
      <w:r w:rsidRPr="00F3049A">
        <w:rPr>
          <w:rFonts w:asciiTheme="minorBidi" w:hAnsiTheme="minorBidi"/>
        </w:rPr>
        <w:t>Rahner</w:t>
      </w:r>
      <w:proofErr w:type="spellEnd"/>
      <w:r w:rsidRPr="00F3049A">
        <w:rPr>
          <w:rFonts w:asciiTheme="minorBidi" w:hAnsiTheme="minorBidi"/>
        </w:rPr>
        <w:t xml:space="preserve"> an ardent advocate of religious inclusivism coined the term Anonymous Christian, which is believers of the non-Christian tradition who believe in a God and demonstrate fellowship of others is acting in the spirit of Christianity, but they are unaware of it</w:t>
      </w:r>
      <w:r w:rsidR="00C21A25">
        <w:rPr>
          <w:rStyle w:val="FootnoteReference"/>
          <w:rFonts w:asciiTheme="minorBidi" w:hAnsiTheme="minorBidi"/>
        </w:rPr>
        <w:footnoteReference w:id="15"/>
      </w:r>
      <w:r w:rsidRPr="00F3049A">
        <w:rPr>
          <w:rFonts w:asciiTheme="minorBidi" w:hAnsiTheme="minorBidi"/>
        </w:rPr>
        <w:t xml:space="preserve">. </w:t>
      </w:r>
      <w:proofErr w:type="spellStart"/>
      <w:r w:rsidRPr="00F3049A">
        <w:rPr>
          <w:rFonts w:asciiTheme="minorBidi" w:hAnsiTheme="minorBidi"/>
        </w:rPr>
        <w:t>Rahner's</w:t>
      </w:r>
      <w:proofErr w:type="spellEnd"/>
      <w:r w:rsidRPr="00F3049A">
        <w:rPr>
          <w:rFonts w:asciiTheme="minorBidi" w:hAnsiTheme="minorBidi"/>
        </w:rPr>
        <w:t xml:space="preserve"> proposition assumes the woman was a Christian unknowingly. If we take Mark's narrative, we could accept that the woman was unknowingly a Jesus faithful and became a convinced believer after the child was cured. In Matthew's narrative to assume she was unaware of her faith in Jesus is inconsistent with her identifying Jesus as the Lord, son of David and referring to him as master throughout the narrative. </w:t>
      </w:r>
    </w:p>
    <w:p w14:paraId="42E5EF09" w14:textId="77777777" w:rsidR="00F3049A" w:rsidRPr="00F3049A" w:rsidRDefault="00F3049A" w:rsidP="00E128F1">
      <w:pPr>
        <w:spacing w:line="360" w:lineRule="auto"/>
        <w:jc w:val="both"/>
        <w:rPr>
          <w:rFonts w:asciiTheme="minorBidi" w:hAnsiTheme="minorBidi"/>
        </w:rPr>
      </w:pPr>
    </w:p>
    <w:p w14:paraId="0A1011F3" w14:textId="4B2425A7" w:rsidR="00F3049A" w:rsidRPr="00F3049A" w:rsidRDefault="00F3049A" w:rsidP="00E128F1">
      <w:pPr>
        <w:spacing w:line="360" w:lineRule="auto"/>
        <w:jc w:val="both"/>
        <w:rPr>
          <w:rFonts w:asciiTheme="minorBidi" w:hAnsiTheme="minorBidi"/>
        </w:rPr>
      </w:pPr>
      <w:r w:rsidRPr="00F3049A">
        <w:rPr>
          <w:rFonts w:asciiTheme="minorBidi" w:hAnsiTheme="minorBidi"/>
        </w:rPr>
        <w:t>Hans K</w:t>
      </w:r>
      <w:r w:rsidR="00C21A25">
        <w:rPr>
          <w:rFonts w:asciiTheme="minorBidi" w:hAnsiTheme="minorBidi"/>
        </w:rPr>
        <w:t>ung</w:t>
      </w:r>
      <w:r w:rsidRPr="00F3049A">
        <w:rPr>
          <w:rFonts w:asciiTheme="minorBidi" w:hAnsiTheme="minorBidi"/>
        </w:rPr>
        <w:t xml:space="preserve"> another inclusivist did not only see faith in Christ important but argued Jesus incarnated Gods deeds and will, and is embodied with God's cause through history, making him a public advocate of God and man</w:t>
      </w:r>
      <w:r w:rsidR="00C21A25">
        <w:rPr>
          <w:rStyle w:val="FootnoteReference"/>
          <w:rFonts w:asciiTheme="minorBidi" w:hAnsiTheme="minorBidi"/>
        </w:rPr>
        <w:footnoteReference w:id="16"/>
      </w:r>
      <w:r w:rsidR="00C21A25">
        <w:rPr>
          <w:rFonts w:asciiTheme="minorBidi" w:hAnsiTheme="minorBidi"/>
        </w:rPr>
        <w:t>.</w:t>
      </w:r>
      <w:r w:rsidRPr="00F3049A">
        <w:rPr>
          <w:rFonts w:asciiTheme="minorBidi" w:hAnsiTheme="minorBidi"/>
        </w:rPr>
        <w:t xml:space="preserve"> Here not only is faith in Jesus important, but his works are synonymous with the works of God that is working through the course of history. The child being cured is a manifestation of faith in Jesus and Jesus' Christian God and his works. Consequently, we may say Jesus did recognise the value of truth in her faith in which case there was no reason for the woman to recognise Jesus as the Lord, son of David (Matthew's version), or even verify her faith in Jesus based on what she had heard of him. However, this is not the case. The relationship between God and the creation is bought into reconciliation and establishment by God's gracious act of electing Jesus who actualises the covenant between God and man</w:t>
      </w:r>
      <w:r w:rsidR="00C21A25">
        <w:rPr>
          <w:rStyle w:val="FootnoteReference"/>
          <w:rFonts w:asciiTheme="minorBidi" w:hAnsiTheme="minorBidi"/>
        </w:rPr>
        <w:footnoteReference w:id="17"/>
      </w:r>
      <w:r w:rsidRPr="00F3049A">
        <w:rPr>
          <w:rFonts w:asciiTheme="minorBidi" w:hAnsiTheme="minorBidi"/>
        </w:rPr>
        <w:t xml:space="preserve">. Based on a few of the viewpoints mentioned above, the one consistent message that resonates in all of them is the unanimous agreement of having conviction in Jesus. </w:t>
      </w:r>
      <w:proofErr w:type="spellStart"/>
      <w:r w:rsidRPr="00F3049A">
        <w:rPr>
          <w:rFonts w:asciiTheme="minorBidi" w:hAnsiTheme="minorBidi"/>
        </w:rPr>
        <w:t>Rahner</w:t>
      </w:r>
      <w:proofErr w:type="spellEnd"/>
      <w:r w:rsidRPr="00F3049A">
        <w:rPr>
          <w:rFonts w:asciiTheme="minorBidi" w:hAnsiTheme="minorBidi"/>
        </w:rPr>
        <w:t xml:space="preserve"> and K</w:t>
      </w:r>
      <w:r w:rsidR="00C21A25">
        <w:rPr>
          <w:rFonts w:asciiTheme="minorBidi" w:hAnsiTheme="minorBidi"/>
        </w:rPr>
        <w:t>ung</w:t>
      </w:r>
      <w:r w:rsidRPr="00F3049A">
        <w:rPr>
          <w:rFonts w:asciiTheme="minorBidi" w:hAnsiTheme="minorBidi"/>
        </w:rPr>
        <w:t xml:space="preserve"> are slightly lenient in that they see other paths of having truth in them and the process of coming to the ultimate truth is the working of God. Kraemer and Barth are less gracious in that they see the works of God only in Jesus and as such Jesus has to be accepted as the incarnate of God. With this being said, suppose we say the woman refused Jesus and remained adamant that Jesus was not the Lord and failed to recognise Jesus as her master. Similarly, let us speculate and say Jesus failed to live up to the woman's expectations and disregarded the rumours, and upon returning home she continued in her disbelief. Likewise, we could ask if Jesus was so moved by the woman's faith why did Jesus not convert to her religion. Taking the following hypothesis into account it would be prudent to ask would the authors have the woman's child cured if she refused to bring faith in Jesus, or would they leave her with crumbs to eat like a dog without any cure for her child. </w:t>
      </w:r>
    </w:p>
    <w:p w14:paraId="258D5D6A" w14:textId="77777777" w:rsidR="00F3049A" w:rsidRPr="00F3049A" w:rsidRDefault="00F3049A" w:rsidP="00E128F1">
      <w:pPr>
        <w:spacing w:line="360" w:lineRule="auto"/>
        <w:jc w:val="both"/>
        <w:rPr>
          <w:rFonts w:asciiTheme="minorBidi" w:hAnsiTheme="minorBidi"/>
        </w:rPr>
      </w:pPr>
    </w:p>
    <w:p w14:paraId="17103B69" w14:textId="33455B1F" w:rsidR="00C408AD" w:rsidRDefault="00F3049A" w:rsidP="00E128F1">
      <w:pPr>
        <w:spacing w:line="360" w:lineRule="auto"/>
        <w:jc w:val="both"/>
        <w:rPr>
          <w:rFonts w:asciiTheme="minorBidi" w:hAnsiTheme="minorBidi"/>
        </w:rPr>
      </w:pPr>
      <w:r w:rsidRPr="00F3049A">
        <w:rPr>
          <w:rFonts w:asciiTheme="minorBidi" w:hAnsiTheme="minorBidi"/>
        </w:rPr>
        <w:lastRenderedPageBreak/>
        <w:t xml:space="preserve">The main differences between the two narratives is how Jesus is presented and how the woman's faith is represented. Each author emphasises the woman's faith in Jesus yet at the same time how they narrate this theme reflects the author's inherent understanding of Jesus. In the Matthean narrative, Jesus is seen as the successor of the Israelite tradition, whereas in Mark's version Jesus' mission is eventually realised. The significance of this perceptions has a direct impact on how the theme of faith is dealt with and its potential </w:t>
      </w:r>
      <w:r w:rsidR="007B1900">
        <w:rPr>
          <w:rFonts w:asciiTheme="minorBidi" w:hAnsiTheme="minorBidi"/>
        </w:rPr>
        <w:t>for future</w:t>
      </w:r>
      <w:r w:rsidRPr="00F3049A">
        <w:rPr>
          <w:rFonts w:asciiTheme="minorBidi" w:hAnsiTheme="minorBidi"/>
        </w:rPr>
        <w:t xml:space="preserve"> inter-faith dialogue. Jesus understanding of the woman's faith in both of the narratives invites people to recognise that faith in other traditions can make one revaluate one's understanding of faith from within their tradition. Nevertheless, while there is an appreciation of the others faith, the one consistent challenge faith poses from an inter-faith perspective is when the other has a faith different to us and are unwilling to accept the credibility of our faith must they change their faith and accept our faith for their faith to be justified.  </w:t>
      </w:r>
      <w:bookmarkStart w:id="0" w:name="_GoBack"/>
      <w:bookmarkEnd w:id="0"/>
    </w:p>
    <w:p w14:paraId="44288FD6" w14:textId="6322D6DD" w:rsidR="009A3B9C" w:rsidRDefault="009A3B9C" w:rsidP="00F3049A">
      <w:pPr>
        <w:rPr>
          <w:rFonts w:asciiTheme="minorBidi" w:hAnsiTheme="minorBidi"/>
        </w:rPr>
      </w:pPr>
    </w:p>
    <w:p w14:paraId="2CF0FE10" w14:textId="77777777" w:rsidR="00E128F1" w:rsidRDefault="00E128F1" w:rsidP="009A3B9C">
      <w:pPr>
        <w:rPr>
          <w:rFonts w:asciiTheme="minorBidi" w:hAnsiTheme="minorBidi"/>
          <w:b/>
          <w:bCs/>
        </w:rPr>
      </w:pPr>
    </w:p>
    <w:p w14:paraId="41B8EC1D" w14:textId="4A856343" w:rsidR="00E128F1" w:rsidRDefault="00E128F1" w:rsidP="009A3B9C">
      <w:pPr>
        <w:rPr>
          <w:rFonts w:asciiTheme="minorBidi" w:hAnsiTheme="minorBidi"/>
          <w:b/>
          <w:bCs/>
        </w:rPr>
      </w:pPr>
    </w:p>
    <w:p w14:paraId="7A3DEDAF" w14:textId="34D44571" w:rsidR="00E128F1" w:rsidRDefault="00E128F1" w:rsidP="009A3B9C">
      <w:pPr>
        <w:rPr>
          <w:rFonts w:asciiTheme="minorBidi" w:hAnsiTheme="minorBidi"/>
          <w:b/>
          <w:bCs/>
        </w:rPr>
      </w:pPr>
    </w:p>
    <w:p w14:paraId="4373B7F8" w14:textId="77777777" w:rsidR="00B568A1" w:rsidRDefault="00B568A1" w:rsidP="009A3B9C">
      <w:pPr>
        <w:rPr>
          <w:rFonts w:asciiTheme="minorBidi" w:hAnsiTheme="minorBidi"/>
          <w:b/>
          <w:bCs/>
        </w:rPr>
      </w:pPr>
    </w:p>
    <w:p w14:paraId="4E5D3A06" w14:textId="77777777" w:rsidR="00AD170F" w:rsidRDefault="00AD170F" w:rsidP="00B568A1">
      <w:pPr>
        <w:jc w:val="center"/>
        <w:rPr>
          <w:rFonts w:asciiTheme="minorBidi" w:hAnsiTheme="minorBidi"/>
          <w:b/>
          <w:bCs/>
        </w:rPr>
      </w:pPr>
    </w:p>
    <w:p w14:paraId="1C514751" w14:textId="77777777" w:rsidR="00AD170F" w:rsidRDefault="00AD170F" w:rsidP="00B568A1">
      <w:pPr>
        <w:jc w:val="center"/>
        <w:rPr>
          <w:rFonts w:asciiTheme="minorBidi" w:hAnsiTheme="minorBidi"/>
          <w:b/>
          <w:bCs/>
        </w:rPr>
      </w:pPr>
    </w:p>
    <w:p w14:paraId="5A881D54" w14:textId="77777777" w:rsidR="00AD170F" w:rsidRDefault="00AD170F" w:rsidP="00B568A1">
      <w:pPr>
        <w:jc w:val="center"/>
        <w:rPr>
          <w:rFonts w:asciiTheme="minorBidi" w:hAnsiTheme="minorBidi"/>
          <w:b/>
          <w:bCs/>
        </w:rPr>
      </w:pPr>
    </w:p>
    <w:p w14:paraId="710BD509" w14:textId="77777777" w:rsidR="00AD170F" w:rsidRDefault="00AD170F" w:rsidP="00B568A1">
      <w:pPr>
        <w:jc w:val="center"/>
        <w:rPr>
          <w:rFonts w:asciiTheme="minorBidi" w:hAnsiTheme="minorBidi"/>
          <w:b/>
          <w:bCs/>
        </w:rPr>
      </w:pPr>
    </w:p>
    <w:p w14:paraId="78F152E4" w14:textId="77777777" w:rsidR="00AD170F" w:rsidRDefault="00AD170F" w:rsidP="00B568A1">
      <w:pPr>
        <w:jc w:val="center"/>
        <w:rPr>
          <w:rFonts w:asciiTheme="minorBidi" w:hAnsiTheme="minorBidi"/>
          <w:b/>
          <w:bCs/>
        </w:rPr>
      </w:pPr>
    </w:p>
    <w:p w14:paraId="4953BD1E" w14:textId="77777777" w:rsidR="00AD170F" w:rsidRDefault="00AD170F" w:rsidP="00B568A1">
      <w:pPr>
        <w:jc w:val="center"/>
        <w:rPr>
          <w:rFonts w:asciiTheme="minorBidi" w:hAnsiTheme="minorBidi"/>
          <w:b/>
          <w:bCs/>
        </w:rPr>
      </w:pPr>
    </w:p>
    <w:p w14:paraId="08FEC4DE" w14:textId="77777777" w:rsidR="00DC7F6E" w:rsidRDefault="00DC7F6E" w:rsidP="00B568A1">
      <w:pPr>
        <w:jc w:val="center"/>
        <w:rPr>
          <w:rFonts w:asciiTheme="minorBidi" w:hAnsiTheme="minorBidi"/>
          <w:b/>
          <w:bCs/>
        </w:rPr>
      </w:pPr>
    </w:p>
    <w:p w14:paraId="31648CE2" w14:textId="77777777" w:rsidR="00DC7F6E" w:rsidRDefault="00DC7F6E" w:rsidP="00B568A1">
      <w:pPr>
        <w:jc w:val="center"/>
        <w:rPr>
          <w:rFonts w:asciiTheme="minorBidi" w:hAnsiTheme="minorBidi"/>
          <w:b/>
          <w:bCs/>
        </w:rPr>
      </w:pPr>
    </w:p>
    <w:p w14:paraId="5FC42BB0" w14:textId="77777777" w:rsidR="00DC7F6E" w:rsidRDefault="00DC7F6E" w:rsidP="00B568A1">
      <w:pPr>
        <w:jc w:val="center"/>
        <w:rPr>
          <w:rFonts w:asciiTheme="minorBidi" w:hAnsiTheme="minorBidi"/>
          <w:b/>
          <w:bCs/>
        </w:rPr>
      </w:pPr>
    </w:p>
    <w:p w14:paraId="695C65A5" w14:textId="77777777" w:rsidR="00DC7F6E" w:rsidRDefault="00DC7F6E" w:rsidP="00B568A1">
      <w:pPr>
        <w:jc w:val="center"/>
        <w:rPr>
          <w:rFonts w:asciiTheme="minorBidi" w:hAnsiTheme="minorBidi"/>
          <w:b/>
          <w:bCs/>
        </w:rPr>
      </w:pPr>
    </w:p>
    <w:p w14:paraId="5BC184A6" w14:textId="77777777" w:rsidR="00DC7F6E" w:rsidRDefault="00DC7F6E" w:rsidP="00B568A1">
      <w:pPr>
        <w:jc w:val="center"/>
        <w:rPr>
          <w:rFonts w:asciiTheme="minorBidi" w:hAnsiTheme="minorBidi"/>
          <w:b/>
          <w:bCs/>
        </w:rPr>
      </w:pPr>
    </w:p>
    <w:p w14:paraId="773A8DF0" w14:textId="77777777" w:rsidR="00DC7F6E" w:rsidRDefault="00DC7F6E" w:rsidP="00B568A1">
      <w:pPr>
        <w:jc w:val="center"/>
        <w:rPr>
          <w:rFonts w:asciiTheme="minorBidi" w:hAnsiTheme="minorBidi"/>
          <w:b/>
          <w:bCs/>
        </w:rPr>
      </w:pPr>
    </w:p>
    <w:p w14:paraId="48DB1282" w14:textId="77777777" w:rsidR="00DC7F6E" w:rsidRDefault="00DC7F6E" w:rsidP="00B568A1">
      <w:pPr>
        <w:jc w:val="center"/>
        <w:rPr>
          <w:rFonts w:asciiTheme="minorBidi" w:hAnsiTheme="minorBidi"/>
          <w:b/>
          <w:bCs/>
        </w:rPr>
      </w:pPr>
    </w:p>
    <w:p w14:paraId="21893769" w14:textId="77777777" w:rsidR="00DC7F6E" w:rsidRDefault="00DC7F6E" w:rsidP="00B568A1">
      <w:pPr>
        <w:jc w:val="center"/>
        <w:rPr>
          <w:rFonts w:asciiTheme="minorBidi" w:hAnsiTheme="minorBidi"/>
          <w:b/>
          <w:bCs/>
        </w:rPr>
      </w:pPr>
    </w:p>
    <w:p w14:paraId="5921BDBC" w14:textId="77777777" w:rsidR="00DC7F6E" w:rsidRDefault="00DC7F6E" w:rsidP="00B568A1">
      <w:pPr>
        <w:jc w:val="center"/>
        <w:rPr>
          <w:rFonts w:asciiTheme="minorBidi" w:hAnsiTheme="minorBidi"/>
          <w:b/>
          <w:bCs/>
        </w:rPr>
      </w:pPr>
    </w:p>
    <w:p w14:paraId="767F07E9" w14:textId="77777777" w:rsidR="00DC7F6E" w:rsidRDefault="00DC7F6E" w:rsidP="00B568A1">
      <w:pPr>
        <w:jc w:val="center"/>
        <w:rPr>
          <w:rFonts w:asciiTheme="minorBidi" w:hAnsiTheme="minorBidi"/>
          <w:b/>
          <w:bCs/>
        </w:rPr>
      </w:pPr>
    </w:p>
    <w:p w14:paraId="21C8E822" w14:textId="77777777" w:rsidR="00DC7F6E" w:rsidRDefault="00DC7F6E" w:rsidP="00B568A1">
      <w:pPr>
        <w:jc w:val="center"/>
        <w:rPr>
          <w:rFonts w:asciiTheme="minorBidi" w:hAnsiTheme="minorBidi"/>
          <w:b/>
          <w:bCs/>
        </w:rPr>
      </w:pPr>
    </w:p>
    <w:p w14:paraId="5F1846BA" w14:textId="77777777" w:rsidR="00427F40" w:rsidRDefault="00427F40" w:rsidP="00B568A1">
      <w:pPr>
        <w:jc w:val="center"/>
        <w:rPr>
          <w:rFonts w:asciiTheme="minorBidi" w:hAnsiTheme="minorBidi"/>
          <w:b/>
          <w:bCs/>
        </w:rPr>
      </w:pPr>
    </w:p>
    <w:p w14:paraId="573CB4BC" w14:textId="77777777" w:rsidR="00427F40" w:rsidRDefault="00427F40" w:rsidP="00B568A1">
      <w:pPr>
        <w:jc w:val="center"/>
        <w:rPr>
          <w:rFonts w:asciiTheme="minorBidi" w:hAnsiTheme="minorBidi"/>
          <w:b/>
          <w:bCs/>
        </w:rPr>
      </w:pPr>
    </w:p>
    <w:p w14:paraId="2B847139" w14:textId="77777777" w:rsidR="00427F40" w:rsidRDefault="00427F40" w:rsidP="00B568A1">
      <w:pPr>
        <w:jc w:val="center"/>
        <w:rPr>
          <w:rFonts w:asciiTheme="minorBidi" w:hAnsiTheme="minorBidi"/>
          <w:b/>
          <w:bCs/>
        </w:rPr>
      </w:pPr>
    </w:p>
    <w:p w14:paraId="1811DE96" w14:textId="77777777" w:rsidR="007B1900" w:rsidRDefault="007B1900" w:rsidP="00B568A1">
      <w:pPr>
        <w:jc w:val="center"/>
        <w:rPr>
          <w:rFonts w:asciiTheme="minorBidi" w:hAnsiTheme="minorBidi"/>
          <w:b/>
          <w:bCs/>
        </w:rPr>
      </w:pPr>
    </w:p>
    <w:p w14:paraId="6AA58AF8" w14:textId="77777777" w:rsidR="007B1900" w:rsidRDefault="007B1900" w:rsidP="00B568A1">
      <w:pPr>
        <w:jc w:val="center"/>
        <w:rPr>
          <w:rFonts w:asciiTheme="minorBidi" w:hAnsiTheme="minorBidi"/>
          <w:b/>
          <w:bCs/>
        </w:rPr>
      </w:pPr>
    </w:p>
    <w:p w14:paraId="52F0D037" w14:textId="77777777" w:rsidR="007B1900" w:rsidRDefault="007B1900" w:rsidP="00B568A1">
      <w:pPr>
        <w:jc w:val="center"/>
        <w:rPr>
          <w:rFonts w:asciiTheme="minorBidi" w:hAnsiTheme="minorBidi"/>
          <w:b/>
          <w:bCs/>
        </w:rPr>
      </w:pPr>
    </w:p>
    <w:p w14:paraId="2EF69187" w14:textId="77777777" w:rsidR="007B1900" w:rsidRDefault="007B1900" w:rsidP="00B568A1">
      <w:pPr>
        <w:jc w:val="center"/>
        <w:rPr>
          <w:rFonts w:asciiTheme="minorBidi" w:hAnsiTheme="minorBidi"/>
          <w:b/>
          <w:bCs/>
        </w:rPr>
      </w:pPr>
    </w:p>
    <w:p w14:paraId="74406A42" w14:textId="77777777" w:rsidR="007B1900" w:rsidRDefault="007B1900" w:rsidP="00B568A1">
      <w:pPr>
        <w:jc w:val="center"/>
        <w:rPr>
          <w:rFonts w:asciiTheme="minorBidi" w:hAnsiTheme="minorBidi"/>
          <w:b/>
          <w:bCs/>
        </w:rPr>
      </w:pPr>
    </w:p>
    <w:p w14:paraId="065FB621" w14:textId="6639523F" w:rsidR="009A3B9C" w:rsidRDefault="009A3B9C" w:rsidP="007B1900">
      <w:pPr>
        <w:jc w:val="center"/>
        <w:rPr>
          <w:rFonts w:asciiTheme="minorBidi" w:hAnsiTheme="minorBidi"/>
          <w:b/>
          <w:bCs/>
        </w:rPr>
      </w:pPr>
      <w:r>
        <w:rPr>
          <w:rFonts w:asciiTheme="minorBidi" w:hAnsiTheme="minorBidi"/>
          <w:b/>
          <w:bCs/>
        </w:rPr>
        <w:t>Reference List</w:t>
      </w:r>
    </w:p>
    <w:p w14:paraId="7ABE2107" w14:textId="6B0602A0" w:rsidR="00B568A1" w:rsidRDefault="00B568A1" w:rsidP="009A3B9C">
      <w:pPr>
        <w:rPr>
          <w:rFonts w:asciiTheme="minorBidi" w:hAnsiTheme="minorBidi"/>
          <w:b/>
          <w:bCs/>
        </w:rPr>
      </w:pPr>
    </w:p>
    <w:p w14:paraId="68DE9762" w14:textId="77777777" w:rsidR="00B568A1" w:rsidRDefault="00B568A1" w:rsidP="00B568A1">
      <w:pPr>
        <w:rPr>
          <w:rFonts w:asciiTheme="minorBidi" w:eastAsia="Times New Roman" w:hAnsiTheme="minorBidi"/>
          <w:b/>
          <w:bCs/>
          <w:color w:val="000000"/>
          <w:shd w:val="clear" w:color="auto" w:fill="FFFFFF"/>
        </w:rPr>
      </w:pPr>
    </w:p>
    <w:p w14:paraId="3E62741A" w14:textId="71808D10" w:rsidR="00B568A1" w:rsidRPr="00B568A1" w:rsidRDefault="00B568A1" w:rsidP="00B568A1">
      <w:pPr>
        <w:rPr>
          <w:rFonts w:asciiTheme="minorBidi" w:eastAsia="Times New Roman" w:hAnsiTheme="minorBidi"/>
          <w:color w:val="000000"/>
          <w:shd w:val="clear" w:color="auto" w:fill="FFFFFF"/>
        </w:rPr>
      </w:pPr>
      <w:r w:rsidRPr="00B568A1">
        <w:rPr>
          <w:rFonts w:asciiTheme="minorBidi" w:eastAsia="Times New Roman" w:hAnsiTheme="minorBidi"/>
          <w:color w:val="000000"/>
          <w:shd w:val="clear" w:color="auto" w:fill="FFFFFF"/>
        </w:rPr>
        <w:t xml:space="preserve">Barth, Karl, </w:t>
      </w:r>
      <w:r w:rsidRPr="00B568A1">
        <w:rPr>
          <w:rFonts w:asciiTheme="minorBidi" w:eastAsia="Times New Roman" w:hAnsiTheme="minorBidi"/>
          <w:i/>
          <w:iCs/>
          <w:color w:val="000000"/>
          <w:shd w:val="clear" w:color="auto" w:fill="FFFFFF"/>
        </w:rPr>
        <w:t xml:space="preserve">Church </w:t>
      </w:r>
      <w:proofErr w:type="spellStart"/>
      <w:r w:rsidRPr="00B568A1">
        <w:rPr>
          <w:rFonts w:asciiTheme="minorBidi" w:eastAsia="Times New Roman" w:hAnsiTheme="minorBidi"/>
          <w:i/>
          <w:iCs/>
          <w:color w:val="000000"/>
          <w:shd w:val="clear" w:color="auto" w:fill="FFFFFF"/>
        </w:rPr>
        <w:t>Dogmatics</w:t>
      </w:r>
      <w:proofErr w:type="spellEnd"/>
      <w:r w:rsidRPr="00B568A1">
        <w:rPr>
          <w:rFonts w:asciiTheme="minorBidi" w:eastAsia="Times New Roman" w:hAnsiTheme="minorBidi"/>
          <w:i/>
          <w:iCs/>
          <w:color w:val="000000"/>
          <w:shd w:val="clear" w:color="auto" w:fill="FFFFFF"/>
        </w:rPr>
        <w:t>: The Doctrine of Reconciliation</w:t>
      </w:r>
      <w:r w:rsidRPr="00B568A1">
        <w:rPr>
          <w:rFonts w:asciiTheme="minorBidi" w:eastAsia="Times New Roman" w:hAnsiTheme="minorBidi"/>
          <w:color w:val="000000"/>
          <w:shd w:val="clear" w:color="auto" w:fill="FFFFFF"/>
        </w:rPr>
        <w:t xml:space="preserve">, 14 </w:t>
      </w:r>
      <w:proofErr w:type="spellStart"/>
      <w:r w:rsidRPr="00B568A1">
        <w:rPr>
          <w:rFonts w:asciiTheme="minorBidi" w:eastAsia="Times New Roman" w:hAnsiTheme="minorBidi"/>
          <w:color w:val="000000"/>
          <w:shd w:val="clear" w:color="auto" w:fill="FFFFFF"/>
        </w:rPr>
        <w:t>vols</w:t>
      </w:r>
      <w:proofErr w:type="spellEnd"/>
      <w:r w:rsidRPr="00B568A1">
        <w:rPr>
          <w:rFonts w:asciiTheme="minorBidi" w:eastAsia="Times New Roman" w:hAnsiTheme="minorBidi"/>
          <w:color w:val="000000"/>
          <w:shd w:val="clear" w:color="auto" w:fill="FFFFFF"/>
        </w:rPr>
        <w:t xml:space="preserve"> (London: T&amp;T Clark Publication, 1961).</w:t>
      </w:r>
    </w:p>
    <w:p w14:paraId="6BB087A3" w14:textId="6E50568C" w:rsidR="00B568A1" w:rsidRPr="00B568A1" w:rsidRDefault="00B568A1" w:rsidP="00B568A1">
      <w:pPr>
        <w:rPr>
          <w:rFonts w:asciiTheme="minorBidi" w:eastAsia="Times New Roman" w:hAnsiTheme="minorBidi"/>
          <w:color w:val="000000"/>
          <w:shd w:val="clear" w:color="auto" w:fill="FFFFFF"/>
        </w:rPr>
      </w:pPr>
    </w:p>
    <w:p w14:paraId="166F0141" w14:textId="77777777" w:rsidR="00B568A1" w:rsidRPr="00B568A1" w:rsidRDefault="00B568A1" w:rsidP="00B568A1">
      <w:pPr>
        <w:rPr>
          <w:rFonts w:asciiTheme="minorBidi" w:hAnsiTheme="minorBidi"/>
        </w:rPr>
      </w:pPr>
      <w:r w:rsidRPr="00B568A1">
        <w:rPr>
          <w:rFonts w:asciiTheme="minorBidi" w:hAnsiTheme="minorBidi"/>
        </w:rPr>
        <w:t xml:space="preserve">Bible (Matthew 15: 28). </w:t>
      </w:r>
    </w:p>
    <w:p w14:paraId="3B8FDBCD" w14:textId="77777777" w:rsidR="00B568A1" w:rsidRPr="00B568A1" w:rsidRDefault="00B568A1" w:rsidP="00B568A1">
      <w:pPr>
        <w:rPr>
          <w:rFonts w:asciiTheme="minorBidi" w:hAnsiTheme="minorBidi"/>
        </w:rPr>
      </w:pPr>
    </w:p>
    <w:p w14:paraId="18F0225D" w14:textId="77777777" w:rsidR="00B568A1" w:rsidRPr="00B568A1" w:rsidRDefault="00B568A1" w:rsidP="00B568A1">
      <w:pPr>
        <w:rPr>
          <w:rFonts w:asciiTheme="minorBidi" w:eastAsia="Times New Roman" w:hAnsiTheme="minorBidi"/>
          <w:color w:val="000000"/>
          <w:shd w:val="clear" w:color="auto" w:fill="FFFFFF"/>
        </w:rPr>
      </w:pPr>
      <w:r w:rsidRPr="00B568A1">
        <w:rPr>
          <w:rFonts w:asciiTheme="minorBidi" w:hAnsiTheme="minorBidi"/>
        </w:rPr>
        <w:t xml:space="preserve">Bible (Mark 7: 29). </w:t>
      </w:r>
    </w:p>
    <w:p w14:paraId="1B152D13" w14:textId="77777777" w:rsidR="00B568A1" w:rsidRPr="00B568A1" w:rsidRDefault="00B568A1" w:rsidP="00B568A1">
      <w:pPr>
        <w:rPr>
          <w:rFonts w:asciiTheme="minorBidi" w:eastAsia="Times New Roman" w:hAnsiTheme="minorBidi"/>
          <w:color w:val="000000"/>
          <w:shd w:val="clear" w:color="auto" w:fill="FFFFFF"/>
        </w:rPr>
      </w:pPr>
    </w:p>
    <w:p w14:paraId="5000C500" w14:textId="77777777" w:rsidR="00B568A1" w:rsidRPr="00B568A1" w:rsidRDefault="00B568A1" w:rsidP="00B568A1">
      <w:pPr>
        <w:rPr>
          <w:rFonts w:asciiTheme="minorBidi" w:hAnsiTheme="minorBidi"/>
        </w:rPr>
      </w:pPr>
      <w:r w:rsidRPr="00B568A1">
        <w:rPr>
          <w:rFonts w:asciiTheme="minorBidi" w:hAnsiTheme="minorBidi"/>
        </w:rPr>
        <w:t xml:space="preserve">Davies, William D and Allison, Dale C, </w:t>
      </w:r>
      <w:r w:rsidRPr="00B568A1">
        <w:rPr>
          <w:rFonts w:asciiTheme="minorBidi" w:hAnsiTheme="minorBidi"/>
          <w:i/>
          <w:iCs/>
        </w:rPr>
        <w:t>Matthew: A Short Commentary</w:t>
      </w:r>
      <w:r w:rsidRPr="00B568A1">
        <w:rPr>
          <w:rFonts w:asciiTheme="minorBidi" w:hAnsiTheme="minorBidi"/>
        </w:rPr>
        <w:t xml:space="preserve"> (London: T&amp;T Clark, 2004). </w:t>
      </w:r>
    </w:p>
    <w:p w14:paraId="609FADE2" w14:textId="0009CB3A" w:rsidR="00B568A1" w:rsidRPr="00B568A1" w:rsidRDefault="00B568A1" w:rsidP="009A3B9C">
      <w:pPr>
        <w:rPr>
          <w:rFonts w:asciiTheme="minorBidi" w:hAnsiTheme="minorBidi"/>
        </w:rPr>
      </w:pPr>
    </w:p>
    <w:p w14:paraId="530FC8E8" w14:textId="77777777" w:rsidR="00B568A1" w:rsidRPr="00B568A1" w:rsidRDefault="00B568A1" w:rsidP="00B568A1">
      <w:pPr>
        <w:rPr>
          <w:rFonts w:asciiTheme="minorBidi" w:hAnsiTheme="minorBidi"/>
        </w:rPr>
      </w:pPr>
      <w:r w:rsidRPr="00B568A1">
        <w:rPr>
          <w:rFonts w:asciiTheme="minorBidi" w:hAnsiTheme="minorBidi"/>
        </w:rPr>
        <w:t xml:space="preserve">Edwards, James R, </w:t>
      </w:r>
      <w:r w:rsidRPr="00B568A1">
        <w:rPr>
          <w:rFonts w:asciiTheme="minorBidi" w:hAnsiTheme="minorBidi"/>
          <w:i/>
          <w:iCs/>
        </w:rPr>
        <w:t>The Gospel According to Mark</w:t>
      </w:r>
      <w:r w:rsidRPr="00B568A1">
        <w:rPr>
          <w:rFonts w:asciiTheme="minorBidi" w:hAnsiTheme="minorBidi"/>
        </w:rPr>
        <w:t xml:space="preserve"> (Michigan: Eerdmans Publishing Company, 2002).</w:t>
      </w:r>
    </w:p>
    <w:p w14:paraId="12C60DE5" w14:textId="09F1B0F7" w:rsidR="00B568A1" w:rsidRPr="00B568A1" w:rsidRDefault="00B568A1" w:rsidP="009A3B9C">
      <w:pPr>
        <w:rPr>
          <w:rFonts w:asciiTheme="minorBidi" w:hAnsiTheme="minorBidi"/>
        </w:rPr>
      </w:pPr>
    </w:p>
    <w:p w14:paraId="6A8B933A" w14:textId="77777777" w:rsidR="00B568A1" w:rsidRPr="00B568A1" w:rsidRDefault="00B568A1" w:rsidP="00B568A1">
      <w:pPr>
        <w:rPr>
          <w:rFonts w:asciiTheme="minorBidi" w:hAnsiTheme="minorBidi"/>
        </w:rPr>
      </w:pPr>
      <w:r w:rsidRPr="00B568A1">
        <w:rPr>
          <w:rFonts w:asciiTheme="minorBidi" w:hAnsiTheme="minorBidi"/>
        </w:rPr>
        <w:t xml:space="preserve">Flanagan, Patrick J, </w:t>
      </w:r>
      <w:r w:rsidRPr="00B568A1">
        <w:rPr>
          <w:rFonts w:asciiTheme="minorBidi" w:hAnsiTheme="minorBidi"/>
          <w:i/>
          <w:iCs/>
        </w:rPr>
        <w:t xml:space="preserve">The Gospel of Mark Made Easy </w:t>
      </w:r>
      <w:r w:rsidRPr="00B568A1">
        <w:rPr>
          <w:rFonts w:asciiTheme="minorBidi" w:hAnsiTheme="minorBidi"/>
        </w:rPr>
        <w:t xml:space="preserve">(New Jersey: Paulist Press, 1997). </w:t>
      </w:r>
    </w:p>
    <w:p w14:paraId="181EA423" w14:textId="77777777" w:rsidR="00B568A1" w:rsidRPr="00B568A1" w:rsidRDefault="00B568A1" w:rsidP="009A3B9C">
      <w:pPr>
        <w:rPr>
          <w:rFonts w:asciiTheme="minorBidi" w:hAnsiTheme="minorBidi"/>
        </w:rPr>
      </w:pPr>
    </w:p>
    <w:p w14:paraId="0FFEA5D7" w14:textId="77777777" w:rsidR="00B568A1" w:rsidRPr="00B568A1" w:rsidRDefault="00B568A1" w:rsidP="00B568A1">
      <w:pPr>
        <w:rPr>
          <w:rFonts w:asciiTheme="minorBidi" w:hAnsiTheme="minorBidi"/>
        </w:rPr>
      </w:pPr>
      <w:r w:rsidRPr="00B568A1">
        <w:rPr>
          <w:rFonts w:asciiTheme="minorBidi" w:hAnsiTheme="minorBidi"/>
        </w:rPr>
        <w:t xml:space="preserve">Harrington, Daniel J, ‘The Gospel According to Matthew’, in </w:t>
      </w:r>
      <w:r w:rsidRPr="00B568A1">
        <w:rPr>
          <w:rFonts w:asciiTheme="minorBidi" w:hAnsiTheme="minorBidi"/>
          <w:i/>
          <w:iCs/>
        </w:rPr>
        <w:t>The New Jerome Biblical Commentary</w:t>
      </w:r>
      <w:r w:rsidRPr="00B568A1">
        <w:rPr>
          <w:rFonts w:asciiTheme="minorBidi" w:hAnsiTheme="minorBidi"/>
        </w:rPr>
        <w:t xml:space="preserve">, ed. by Raymond E, Brown., Joseph A, </w:t>
      </w:r>
      <w:proofErr w:type="spellStart"/>
      <w:r w:rsidRPr="00B568A1">
        <w:rPr>
          <w:rFonts w:asciiTheme="minorBidi" w:hAnsiTheme="minorBidi"/>
        </w:rPr>
        <w:t>Fitzmyer</w:t>
      </w:r>
      <w:proofErr w:type="spellEnd"/>
      <w:r w:rsidRPr="00B568A1">
        <w:rPr>
          <w:rFonts w:asciiTheme="minorBidi" w:hAnsiTheme="minorBidi"/>
        </w:rPr>
        <w:t xml:space="preserve">., Roland E, Murphy (London: Geoffrey Chapman, 1993). </w:t>
      </w:r>
    </w:p>
    <w:p w14:paraId="20DAB7A1" w14:textId="5C0A8DE8" w:rsidR="009A3B9C" w:rsidRPr="00B568A1" w:rsidRDefault="009A3B9C" w:rsidP="009A3B9C">
      <w:pPr>
        <w:rPr>
          <w:rFonts w:asciiTheme="minorBidi" w:hAnsiTheme="minorBidi"/>
        </w:rPr>
      </w:pPr>
    </w:p>
    <w:p w14:paraId="4E30B210" w14:textId="77777777" w:rsidR="00B568A1" w:rsidRPr="00B568A1" w:rsidRDefault="00B568A1" w:rsidP="00B568A1">
      <w:pPr>
        <w:rPr>
          <w:rFonts w:asciiTheme="minorBidi" w:hAnsiTheme="minorBidi"/>
        </w:rPr>
      </w:pPr>
      <w:r w:rsidRPr="00B568A1">
        <w:rPr>
          <w:rFonts w:asciiTheme="minorBidi" w:hAnsiTheme="minorBidi"/>
        </w:rPr>
        <w:t xml:space="preserve">Hauerwas, Stanley, </w:t>
      </w:r>
      <w:r w:rsidRPr="00B568A1">
        <w:rPr>
          <w:rFonts w:asciiTheme="minorBidi" w:hAnsiTheme="minorBidi"/>
          <w:i/>
          <w:iCs/>
        </w:rPr>
        <w:t xml:space="preserve">Matthew </w:t>
      </w:r>
      <w:r w:rsidRPr="00B568A1">
        <w:rPr>
          <w:rFonts w:asciiTheme="minorBidi" w:hAnsiTheme="minorBidi"/>
        </w:rPr>
        <w:t xml:space="preserve">(London: SCM Press, 2006).  </w:t>
      </w:r>
    </w:p>
    <w:p w14:paraId="7AE290A2" w14:textId="77777777" w:rsidR="00B568A1" w:rsidRPr="00B568A1" w:rsidRDefault="00B568A1" w:rsidP="009A3B9C">
      <w:pPr>
        <w:rPr>
          <w:rFonts w:asciiTheme="minorBidi" w:hAnsiTheme="minorBidi"/>
        </w:rPr>
      </w:pPr>
    </w:p>
    <w:p w14:paraId="01C35257" w14:textId="31597A32" w:rsidR="009A3B9C" w:rsidRPr="00B568A1" w:rsidRDefault="009A3B9C" w:rsidP="009A3B9C">
      <w:pPr>
        <w:rPr>
          <w:rFonts w:asciiTheme="minorBidi" w:hAnsiTheme="minorBidi"/>
        </w:rPr>
      </w:pPr>
      <w:r w:rsidRPr="00B568A1">
        <w:rPr>
          <w:rFonts w:asciiTheme="minorBidi" w:hAnsiTheme="minorBidi"/>
        </w:rPr>
        <w:t xml:space="preserve">Hick, John, God has Many Names (Philadelphia: The Westminster Press, 1980). </w:t>
      </w:r>
    </w:p>
    <w:p w14:paraId="50B196E5" w14:textId="47F6BB03" w:rsidR="00B568A1" w:rsidRPr="00B568A1" w:rsidRDefault="00B568A1" w:rsidP="009A3B9C">
      <w:pPr>
        <w:rPr>
          <w:rFonts w:asciiTheme="minorBidi" w:hAnsiTheme="minorBidi"/>
        </w:rPr>
      </w:pPr>
    </w:p>
    <w:p w14:paraId="184571EB" w14:textId="77777777" w:rsidR="00B568A1" w:rsidRPr="00B568A1" w:rsidRDefault="00B568A1" w:rsidP="00B568A1">
      <w:pPr>
        <w:rPr>
          <w:rFonts w:asciiTheme="minorBidi" w:eastAsia="Times New Roman" w:hAnsiTheme="minorBidi"/>
          <w:color w:val="000000"/>
          <w:shd w:val="clear" w:color="auto" w:fill="FFFFFF"/>
        </w:rPr>
      </w:pPr>
      <w:r w:rsidRPr="00B568A1">
        <w:rPr>
          <w:rFonts w:asciiTheme="minorBidi" w:eastAsia="Times New Roman" w:hAnsiTheme="minorBidi"/>
          <w:color w:val="000000"/>
          <w:shd w:val="clear" w:color="auto" w:fill="FFFFFF"/>
        </w:rPr>
        <w:t xml:space="preserve">Kraemer, Hendrik, </w:t>
      </w:r>
      <w:r w:rsidRPr="00B568A1">
        <w:rPr>
          <w:rFonts w:asciiTheme="minorBidi" w:eastAsia="Times New Roman" w:hAnsiTheme="minorBidi"/>
          <w:i/>
          <w:iCs/>
          <w:color w:val="000000"/>
          <w:shd w:val="clear" w:color="auto" w:fill="FFFFFF"/>
        </w:rPr>
        <w:t>The Christian Message in a Non-Christian World</w:t>
      </w:r>
      <w:r w:rsidRPr="00B568A1">
        <w:rPr>
          <w:rFonts w:asciiTheme="minorBidi" w:eastAsia="Times New Roman" w:hAnsiTheme="minorBidi"/>
          <w:color w:val="000000"/>
          <w:shd w:val="clear" w:color="auto" w:fill="FFFFFF"/>
        </w:rPr>
        <w:t xml:space="preserve"> (New York: Harper Press, 1938). </w:t>
      </w:r>
    </w:p>
    <w:p w14:paraId="5F714A8A" w14:textId="6C270AF4" w:rsidR="00B568A1" w:rsidRPr="00B568A1" w:rsidRDefault="00B568A1" w:rsidP="009A3B9C">
      <w:pPr>
        <w:rPr>
          <w:rFonts w:asciiTheme="minorBidi" w:hAnsiTheme="minorBidi"/>
        </w:rPr>
      </w:pPr>
    </w:p>
    <w:p w14:paraId="0A07A0AF" w14:textId="77777777" w:rsidR="00B568A1" w:rsidRPr="00B568A1" w:rsidRDefault="00B568A1" w:rsidP="00B568A1">
      <w:pPr>
        <w:rPr>
          <w:rFonts w:asciiTheme="minorBidi" w:hAnsiTheme="minorBidi"/>
        </w:rPr>
      </w:pPr>
      <w:r w:rsidRPr="00B568A1">
        <w:rPr>
          <w:rFonts w:asciiTheme="minorBidi" w:eastAsia="Times New Roman" w:hAnsiTheme="minorBidi"/>
          <w:color w:val="000000"/>
          <w:shd w:val="clear" w:color="auto" w:fill="FFFFFF"/>
        </w:rPr>
        <w:t>Kung, Hans, On Being a Christian, trans. by Edward Quinn (New York: Doubleday, 1976).</w:t>
      </w:r>
    </w:p>
    <w:p w14:paraId="30DC2F19" w14:textId="77777777" w:rsidR="00B568A1" w:rsidRPr="00B568A1" w:rsidRDefault="00B568A1" w:rsidP="009A3B9C">
      <w:pPr>
        <w:rPr>
          <w:rFonts w:asciiTheme="minorBidi" w:hAnsiTheme="minorBidi"/>
        </w:rPr>
      </w:pPr>
    </w:p>
    <w:p w14:paraId="5B70F8CB" w14:textId="25B5FB20" w:rsidR="00B568A1" w:rsidRPr="00B568A1" w:rsidRDefault="00B568A1" w:rsidP="00B568A1">
      <w:pPr>
        <w:rPr>
          <w:rFonts w:asciiTheme="minorBidi" w:hAnsiTheme="minorBidi"/>
        </w:rPr>
      </w:pPr>
      <w:r w:rsidRPr="00B568A1">
        <w:rPr>
          <w:rFonts w:asciiTheme="minorBidi" w:hAnsiTheme="minorBidi"/>
        </w:rPr>
        <w:t xml:space="preserve">Morris, Leon, </w:t>
      </w:r>
      <w:r w:rsidRPr="00B568A1">
        <w:rPr>
          <w:rFonts w:asciiTheme="minorBidi" w:hAnsiTheme="minorBidi"/>
          <w:i/>
          <w:iCs/>
        </w:rPr>
        <w:t>The Gospel According to Matthew</w:t>
      </w:r>
      <w:r w:rsidRPr="00B568A1">
        <w:rPr>
          <w:rFonts w:asciiTheme="minorBidi" w:hAnsiTheme="minorBidi"/>
        </w:rPr>
        <w:t xml:space="preserve"> (Michigan: Eerdmans Publishing Company, 1992).  </w:t>
      </w:r>
    </w:p>
    <w:p w14:paraId="516FC94D" w14:textId="488A5E2C" w:rsidR="00B568A1" w:rsidRPr="00B568A1" w:rsidRDefault="00B568A1" w:rsidP="00B568A1">
      <w:pPr>
        <w:rPr>
          <w:rFonts w:asciiTheme="minorBidi" w:hAnsiTheme="minorBidi"/>
        </w:rPr>
      </w:pPr>
    </w:p>
    <w:p w14:paraId="1203ABB7" w14:textId="77777777" w:rsidR="00B568A1" w:rsidRPr="00B568A1" w:rsidRDefault="00B568A1" w:rsidP="00B568A1">
      <w:pPr>
        <w:rPr>
          <w:rFonts w:asciiTheme="minorBidi" w:hAnsiTheme="minorBidi"/>
        </w:rPr>
      </w:pPr>
      <w:proofErr w:type="spellStart"/>
      <w:r w:rsidRPr="00B568A1">
        <w:rPr>
          <w:rFonts w:asciiTheme="minorBidi" w:hAnsiTheme="minorBidi"/>
        </w:rPr>
        <w:t>Pannenberg</w:t>
      </w:r>
      <w:proofErr w:type="spellEnd"/>
      <w:r w:rsidRPr="00B568A1">
        <w:rPr>
          <w:rFonts w:asciiTheme="minorBidi" w:hAnsiTheme="minorBidi"/>
        </w:rPr>
        <w:t xml:space="preserve">, </w:t>
      </w:r>
      <w:proofErr w:type="spellStart"/>
      <w:r w:rsidRPr="00B568A1">
        <w:rPr>
          <w:rFonts w:asciiTheme="minorBidi" w:hAnsiTheme="minorBidi"/>
        </w:rPr>
        <w:t>Wolfhart</w:t>
      </w:r>
      <w:proofErr w:type="spellEnd"/>
      <w:r w:rsidRPr="00B568A1">
        <w:rPr>
          <w:rFonts w:asciiTheme="minorBidi" w:hAnsiTheme="minorBidi"/>
        </w:rPr>
        <w:t xml:space="preserve">. ‘Religious Pluralism and Conflicting Truth Claims: The Problem of a Theology of the World Religions’, in </w:t>
      </w:r>
      <w:r w:rsidRPr="00B568A1">
        <w:rPr>
          <w:rFonts w:asciiTheme="minorBidi" w:hAnsiTheme="minorBidi"/>
          <w:i/>
          <w:iCs/>
        </w:rPr>
        <w:t>Christian Uniqueness Reconsidered: The Myth of a Pluralistic Theology of Religions, ed. by Gavin D’Costa</w:t>
      </w:r>
      <w:r w:rsidRPr="00B568A1">
        <w:rPr>
          <w:rFonts w:asciiTheme="minorBidi" w:hAnsiTheme="minorBidi"/>
        </w:rPr>
        <w:t xml:space="preserve"> (New York: Orbis Press, 1990).  </w:t>
      </w:r>
    </w:p>
    <w:p w14:paraId="7F4B9798" w14:textId="7D650ABD" w:rsidR="00B568A1" w:rsidRPr="00B568A1" w:rsidRDefault="00B568A1" w:rsidP="00B568A1">
      <w:pPr>
        <w:rPr>
          <w:rFonts w:asciiTheme="minorBidi" w:hAnsiTheme="minorBidi"/>
        </w:rPr>
      </w:pPr>
    </w:p>
    <w:p w14:paraId="1F91E2C2" w14:textId="76FA0632" w:rsidR="00B568A1" w:rsidRPr="00B568A1" w:rsidRDefault="00B568A1" w:rsidP="00B568A1">
      <w:pPr>
        <w:rPr>
          <w:rFonts w:asciiTheme="minorBidi" w:hAnsiTheme="minorBidi"/>
        </w:rPr>
      </w:pPr>
      <w:proofErr w:type="spellStart"/>
      <w:r w:rsidRPr="00B568A1">
        <w:rPr>
          <w:rFonts w:asciiTheme="minorBidi" w:hAnsiTheme="minorBidi"/>
        </w:rPr>
        <w:t>Rahner</w:t>
      </w:r>
      <w:proofErr w:type="spellEnd"/>
      <w:r w:rsidRPr="00B568A1">
        <w:rPr>
          <w:rFonts w:asciiTheme="minorBidi" w:hAnsiTheme="minorBidi"/>
        </w:rPr>
        <w:t xml:space="preserve">, Karl, </w:t>
      </w:r>
      <w:r w:rsidRPr="00B568A1">
        <w:rPr>
          <w:rFonts w:asciiTheme="minorBidi" w:hAnsiTheme="minorBidi"/>
          <w:i/>
          <w:iCs/>
        </w:rPr>
        <w:t>Theological Investigations</w:t>
      </w:r>
      <w:r w:rsidRPr="00B568A1">
        <w:rPr>
          <w:rFonts w:asciiTheme="minorBidi" w:hAnsiTheme="minorBidi"/>
        </w:rPr>
        <w:t xml:space="preserve">, 5 </w:t>
      </w:r>
      <w:proofErr w:type="spellStart"/>
      <w:r w:rsidRPr="00B568A1">
        <w:rPr>
          <w:rFonts w:asciiTheme="minorBidi" w:hAnsiTheme="minorBidi"/>
        </w:rPr>
        <w:t>vols</w:t>
      </w:r>
      <w:proofErr w:type="spellEnd"/>
      <w:r w:rsidRPr="00B568A1">
        <w:rPr>
          <w:rFonts w:asciiTheme="minorBidi" w:hAnsiTheme="minorBidi"/>
        </w:rPr>
        <w:t xml:space="preserve"> (London: </w:t>
      </w:r>
      <w:proofErr w:type="spellStart"/>
      <w:r w:rsidRPr="00B568A1">
        <w:rPr>
          <w:rFonts w:asciiTheme="minorBidi" w:hAnsiTheme="minorBidi"/>
        </w:rPr>
        <w:t>Darton</w:t>
      </w:r>
      <w:proofErr w:type="spellEnd"/>
      <w:r w:rsidRPr="00B568A1">
        <w:rPr>
          <w:rFonts w:asciiTheme="minorBidi" w:hAnsiTheme="minorBidi"/>
        </w:rPr>
        <w:t>, Longman &amp; Todd, 1966).</w:t>
      </w:r>
    </w:p>
    <w:p w14:paraId="70CCB428" w14:textId="78285671" w:rsidR="00B568A1" w:rsidRPr="00B568A1" w:rsidRDefault="00B568A1" w:rsidP="00B568A1">
      <w:pPr>
        <w:rPr>
          <w:rFonts w:asciiTheme="minorBidi" w:hAnsiTheme="minorBidi"/>
        </w:rPr>
      </w:pPr>
    </w:p>
    <w:p w14:paraId="2F99E85D" w14:textId="77777777" w:rsidR="00B568A1" w:rsidRPr="00B568A1" w:rsidRDefault="00B568A1" w:rsidP="00B568A1">
      <w:pPr>
        <w:rPr>
          <w:rFonts w:asciiTheme="minorBidi" w:hAnsiTheme="minorBidi"/>
        </w:rPr>
      </w:pPr>
      <w:proofErr w:type="spellStart"/>
      <w:r w:rsidRPr="00B568A1">
        <w:rPr>
          <w:rFonts w:asciiTheme="minorBidi" w:hAnsiTheme="minorBidi"/>
        </w:rPr>
        <w:t>Schweizer</w:t>
      </w:r>
      <w:proofErr w:type="spellEnd"/>
      <w:r w:rsidRPr="00B568A1">
        <w:rPr>
          <w:rFonts w:asciiTheme="minorBidi" w:hAnsiTheme="minorBidi"/>
        </w:rPr>
        <w:t xml:space="preserve">, Edward, </w:t>
      </w:r>
      <w:r w:rsidRPr="00B568A1">
        <w:rPr>
          <w:rFonts w:asciiTheme="minorBidi" w:hAnsiTheme="minorBidi"/>
          <w:i/>
          <w:iCs/>
        </w:rPr>
        <w:t xml:space="preserve">The Good News According to Mark, trans. by Donald H. </w:t>
      </w:r>
      <w:proofErr w:type="spellStart"/>
      <w:r w:rsidRPr="00B568A1">
        <w:rPr>
          <w:rFonts w:asciiTheme="minorBidi" w:hAnsiTheme="minorBidi"/>
          <w:i/>
          <w:iCs/>
        </w:rPr>
        <w:t>Madvig</w:t>
      </w:r>
      <w:proofErr w:type="spellEnd"/>
      <w:r w:rsidRPr="00B568A1">
        <w:rPr>
          <w:rFonts w:asciiTheme="minorBidi" w:hAnsiTheme="minorBidi"/>
        </w:rPr>
        <w:t xml:space="preserve"> (London: SPCK, 1970). </w:t>
      </w:r>
    </w:p>
    <w:p w14:paraId="3E892D41" w14:textId="77777777" w:rsidR="00B568A1" w:rsidRPr="00B568A1" w:rsidRDefault="00B568A1" w:rsidP="00B568A1">
      <w:pPr>
        <w:rPr>
          <w:rFonts w:asciiTheme="minorBidi" w:hAnsiTheme="minorBidi"/>
        </w:rPr>
      </w:pPr>
    </w:p>
    <w:p w14:paraId="2859FED4" w14:textId="77777777" w:rsidR="00B568A1" w:rsidRPr="00B568A1" w:rsidRDefault="00B568A1" w:rsidP="00B568A1">
      <w:pPr>
        <w:rPr>
          <w:rFonts w:asciiTheme="minorBidi" w:hAnsiTheme="minorBidi"/>
        </w:rPr>
      </w:pPr>
    </w:p>
    <w:p w14:paraId="3D3A8595" w14:textId="77777777" w:rsidR="009A3B9C" w:rsidRPr="00B568A1" w:rsidRDefault="009A3B9C" w:rsidP="009A3B9C">
      <w:pPr>
        <w:rPr>
          <w:rFonts w:asciiTheme="minorBidi" w:hAnsiTheme="minorBidi"/>
        </w:rPr>
      </w:pPr>
    </w:p>
    <w:p w14:paraId="092384E5" w14:textId="77777777" w:rsidR="009A3B9C" w:rsidRPr="00B568A1" w:rsidRDefault="009A3B9C" w:rsidP="009A3B9C">
      <w:pPr>
        <w:rPr>
          <w:rFonts w:asciiTheme="minorBidi" w:hAnsiTheme="minorBidi"/>
        </w:rPr>
      </w:pPr>
      <w:proofErr w:type="spellStart"/>
      <w:r w:rsidRPr="00B568A1">
        <w:rPr>
          <w:rFonts w:asciiTheme="minorBidi" w:hAnsiTheme="minorBidi"/>
        </w:rPr>
        <w:t>Viviano</w:t>
      </w:r>
      <w:proofErr w:type="spellEnd"/>
      <w:r w:rsidRPr="00B568A1">
        <w:rPr>
          <w:rFonts w:asciiTheme="minorBidi" w:hAnsiTheme="minorBidi"/>
        </w:rPr>
        <w:t xml:space="preserve">, Benedict T,’ The Gospel According to Matthew’, in </w:t>
      </w:r>
      <w:r w:rsidRPr="00B568A1">
        <w:rPr>
          <w:rFonts w:asciiTheme="minorBidi" w:hAnsiTheme="minorBidi"/>
          <w:i/>
          <w:iCs/>
        </w:rPr>
        <w:t>The New Jerome Biblical Commentary</w:t>
      </w:r>
      <w:r w:rsidRPr="00B568A1">
        <w:rPr>
          <w:rFonts w:asciiTheme="minorBidi" w:hAnsiTheme="minorBidi"/>
        </w:rPr>
        <w:t xml:space="preserve">, ed. by Raymond E, Brown., Joseph A, </w:t>
      </w:r>
      <w:proofErr w:type="spellStart"/>
      <w:r w:rsidRPr="00B568A1">
        <w:rPr>
          <w:rFonts w:asciiTheme="minorBidi" w:hAnsiTheme="minorBidi"/>
        </w:rPr>
        <w:t>Fitzmyer</w:t>
      </w:r>
      <w:proofErr w:type="spellEnd"/>
      <w:r w:rsidRPr="00B568A1">
        <w:rPr>
          <w:rFonts w:asciiTheme="minorBidi" w:hAnsiTheme="minorBidi"/>
        </w:rPr>
        <w:t xml:space="preserve">., Roland E, Murphy (London: Geoffrey Chapman, 1993). </w:t>
      </w:r>
    </w:p>
    <w:p w14:paraId="32ADEE8E" w14:textId="77777777" w:rsidR="009A3B9C" w:rsidRDefault="009A3B9C" w:rsidP="009A3B9C">
      <w:pPr>
        <w:rPr>
          <w:rFonts w:asciiTheme="minorBidi" w:hAnsiTheme="minorBidi"/>
          <w:b/>
          <w:bCs/>
        </w:rPr>
      </w:pPr>
    </w:p>
    <w:p w14:paraId="487632E5" w14:textId="77777777" w:rsidR="009A3B9C" w:rsidRDefault="009A3B9C" w:rsidP="009A3B9C">
      <w:pPr>
        <w:rPr>
          <w:rFonts w:asciiTheme="minorBidi" w:hAnsiTheme="minorBidi"/>
          <w:b/>
          <w:bCs/>
        </w:rPr>
      </w:pPr>
    </w:p>
    <w:p w14:paraId="6AF440E2" w14:textId="56747F1B" w:rsidR="009A3B9C" w:rsidRDefault="009A3B9C" w:rsidP="009A3B9C">
      <w:pPr>
        <w:rPr>
          <w:rFonts w:asciiTheme="minorBidi" w:hAnsiTheme="minorBidi"/>
          <w:b/>
          <w:bCs/>
        </w:rPr>
      </w:pPr>
      <w:r>
        <w:rPr>
          <w:rFonts w:asciiTheme="minorBidi" w:hAnsiTheme="minorBidi"/>
          <w:b/>
          <w:bCs/>
        </w:rPr>
        <w:t xml:space="preserve">Bibliography </w:t>
      </w:r>
    </w:p>
    <w:p w14:paraId="4E3D087F" w14:textId="167BDA3D" w:rsidR="00B568A1" w:rsidRDefault="00B568A1" w:rsidP="009A3B9C">
      <w:pPr>
        <w:rPr>
          <w:rFonts w:asciiTheme="minorBidi" w:hAnsiTheme="minorBidi"/>
          <w:b/>
          <w:bCs/>
        </w:rPr>
      </w:pPr>
    </w:p>
    <w:p w14:paraId="6E59766F" w14:textId="77777777" w:rsidR="00B568A1" w:rsidRPr="001D4E68" w:rsidRDefault="00B568A1" w:rsidP="00B568A1">
      <w:pPr>
        <w:rPr>
          <w:rFonts w:asciiTheme="minorBidi" w:hAnsiTheme="minorBidi"/>
        </w:rPr>
      </w:pPr>
      <w:r w:rsidRPr="001D4E68">
        <w:rPr>
          <w:rFonts w:asciiTheme="minorBidi" w:hAnsiTheme="minorBidi"/>
        </w:rPr>
        <w:t xml:space="preserve">Garland, David E, </w:t>
      </w:r>
      <w:r w:rsidRPr="001D4E68">
        <w:rPr>
          <w:rFonts w:asciiTheme="minorBidi" w:hAnsiTheme="minorBidi"/>
          <w:i/>
          <w:iCs/>
        </w:rPr>
        <w:t>Reading Matthew: A literacy and Theological Commentary on the First Gospel</w:t>
      </w:r>
      <w:r w:rsidRPr="001D4E68">
        <w:rPr>
          <w:rFonts w:asciiTheme="minorBidi" w:hAnsiTheme="minorBidi"/>
        </w:rPr>
        <w:t xml:space="preserve"> (New York: SPCK, 2003).  </w:t>
      </w:r>
    </w:p>
    <w:p w14:paraId="2870116E" w14:textId="77777777" w:rsidR="00B568A1" w:rsidRDefault="00B568A1" w:rsidP="009A3B9C">
      <w:pPr>
        <w:rPr>
          <w:rFonts w:asciiTheme="minorBidi" w:hAnsiTheme="minorBidi"/>
          <w:b/>
          <w:bCs/>
        </w:rPr>
      </w:pPr>
    </w:p>
    <w:p w14:paraId="36E72018" w14:textId="77777777" w:rsidR="00B568A1" w:rsidRDefault="00B568A1" w:rsidP="00B568A1">
      <w:pPr>
        <w:rPr>
          <w:rFonts w:asciiTheme="minorBidi" w:hAnsiTheme="minorBidi"/>
        </w:rPr>
      </w:pPr>
      <w:r w:rsidRPr="001D4E68">
        <w:rPr>
          <w:rFonts w:asciiTheme="minorBidi" w:hAnsiTheme="minorBidi"/>
        </w:rPr>
        <w:t xml:space="preserve">Johnson, Sherman E, </w:t>
      </w:r>
      <w:r w:rsidRPr="001D4E68">
        <w:rPr>
          <w:rFonts w:asciiTheme="minorBidi" w:hAnsiTheme="minorBidi"/>
          <w:i/>
          <w:iCs/>
        </w:rPr>
        <w:t xml:space="preserve">The Gospel According to St Mark </w:t>
      </w:r>
      <w:r w:rsidRPr="001D4E68">
        <w:rPr>
          <w:rFonts w:asciiTheme="minorBidi" w:hAnsiTheme="minorBidi"/>
        </w:rPr>
        <w:t xml:space="preserve">(London: Adam &amp; Charles Black, 1960). </w:t>
      </w:r>
    </w:p>
    <w:p w14:paraId="376A135D" w14:textId="77777777" w:rsidR="009A3B9C" w:rsidRDefault="009A3B9C" w:rsidP="009A3B9C">
      <w:pPr>
        <w:rPr>
          <w:rFonts w:asciiTheme="minorBidi" w:hAnsiTheme="minorBidi"/>
          <w:b/>
          <w:bCs/>
        </w:rPr>
      </w:pPr>
    </w:p>
    <w:p w14:paraId="7B75BAF6" w14:textId="77777777" w:rsidR="009A3B9C" w:rsidRPr="001D4E68" w:rsidRDefault="009A3B9C" w:rsidP="009A3B9C">
      <w:pPr>
        <w:rPr>
          <w:rFonts w:asciiTheme="minorBidi" w:eastAsia="Times New Roman" w:hAnsiTheme="minorBidi"/>
          <w:color w:val="000000"/>
          <w:shd w:val="clear" w:color="auto" w:fill="FFFFFF"/>
        </w:rPr>
      </w:pPr>
      <w:r w:rsidRPr="001D4E68">
        <w:rPr>
          <w:rFonts w:asciiTheme="minorBidi" w:eastAsia="Times New Roman" w:hAnsiTheme="minorBidi"/>
          <w:color w:val="000000"/>
          <w:shd w:val="clear" w:color="auto" w:fill="FFFFFF"/>
        </w:rPr>
        <w:t xml:space="preserve">Plantinga, Alvin,’ Pluralism: A Defence of Religious Exclusivism’, in, The Philosophical Challenge of Religious Diversity, ed. by Philip L, Quinn and Kevin Meeker (Oxford: Oxford University Press, 2000).   </w:t>
      </w:r>
    </w:p>
    <w:p w14:paraId="6E9269F3" w14:textId="77777777" w:rsidR="009A3B9C" w:rsidRDefault="009A3B9C" w:rsidP="009A3B9C">
      <w:pPr>
        <w:rPr>
          <w:rFonts w:asciiTheme="minorBidi" w:hAnsiTheme="minorBidi"/>
          <w:b/>
          <w:bCs/>
        </w:rPr>
      </w:pPr>
    </w:p>
    <w:p w14:paraId="01F76F6A" w14:textId="77777777" w:rsidR="009A3B9C" w:rsidRDefault="009A3B9C" w:rsidP="009A3B9C">
      <w:pPr>
        <w:rPr>
          <w:rFonts w:asciiTheme="minorBidi" w:hAnsiTheme="minorBidi"/>
          <w:b/>
          <w:bCs/>
        </w:rPr>
      </w:pPr>
    </w:p>
    <w:p w14:paraId="3C30DA1E" w14:textId="77777777" w:rsidR="009A3B9C" w:rsidRDefault="009A3B9C" w:rsidP="009A3B9C">
      <w:pPr>
        <w:rPr>
          <w:rFonts w:asciiTheme="minorBidi" w:hAnsiTheme="minorBidi"/>
        </w:rPr>
      </w:pPr>
    </w:p>
    <w:p w14:paraId="4A99B91F" w14:textId="77777777" w:rsidR="009A3B9C" w:rsidRPr="00BF1CE8" w:rsidRDefault="009A3B9C" w:rsidP="00F3049A">
      <w:pPr>
        <w:rPr>
          <w:rFonts w:asciiTheme="minorBidi" w:hAnsiTheme="minorBidi"/>
        </w:rPr>
      </w:pPr>
    </w:p>
    <w:sectPr w:rsidR="009A3B9C" w:rsidRPr="00BF1CE8" w:rsidSect="00E128F1">
      <w:pgSz w:w="11900" w:h="16840"/>
      <w:pgMar w:top="1440" w:right="1729" w:bottom="1440" w:left="172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8E8EB" w14:textId="77777777" w:rsidR="003D773F" w:rsidRDefault="003D773F" w:rsidP="009A3B9C">
      <w:r>
        <w:separator/>
      </w:r>
    </w:p>
  </w:endnote>
  <w:endnote w:type="continuationSeparator" w:id="0">
    <w:p w14:paraId="7292205C" w14:textId="77777777" w:rsidR="003D773F" w:rsidRDefault="003D773F" w:rsidP="009A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E57AC" w14:textId="77777777" w:rsidR="003D773F" w:rsidRDefault="003D773F" w:rsidP="009A3B9C">
      <w:r>
        <w:separator/>
      </w:r>
    </w:p>
  </w:footnote>
  <w:footnote w:type="continuationSeparator" w:id="0">
    <w:p w14:paraId="29D67EF1" w14:textId="77777777" w:rsidR="003D773F" w:rsidRDefault="003D773F" w:rsidP="009A3B9C">
      <w:r>
        <w:continuationSeparator/>
      </w:r>
    </w:p>
  </w:footnote>
  <w:footnote w:id="1">
    <w:p w14:paraId="78868D50" w14:textId="7A9C8FB3" w:rsidR="009A3B9C" w:rsidRDefault="009A3B9C" w:rsidP="009A3B9C">
      <w:pPr>
        <w:rPr>
          <w:rFonts w:asciiTheme="minorBidi" w:hAnsiTheme="minorBidi"/>
          <w:b/>
          <w:bCs/>
        </w:rPr>
      </w:pPr>
      <w:r>
        <w:rPr>
          <w:rStyle w:val="FootnoteReference"/>
        </w:rPr>
        <w:footnoteRef/>
      </w:r>
      <w:r w:rsidRPr="009A3B9C">
        <w:rPr>
          <w:sz w:val="20"/>
          <w:szCs w:val="20"/>
        </w:rPr>
        <w:t>, Benedict</w:t>
      </w:r>
      <w:r>
        <w:rPr>
          <w:sz w:val="20"/>
          <w:szCs w:val="20"/>
        </w:rPr>
        <w:t xml:space="preserve">. </w:t>
      </w:r>
      <w:r w:rsidRPr="009A3B9C">
        <w:rPr>
          <w:sz w:val="20"/>
          <w:szCs w:val="20"/>
        </w:rPr>
        <w:t>T,</w:t>
      </w:r>
      <w:r>
        <w:rPr>
          <w:sz w:val="20"/>
          <w:szCs w:val="20"/>
        </w:rPr>
        <w:t xml:space="preserve"> </w:t>
      </w:r>
      <w:proofErr w:type="spellStart"/>
      <w:r w:rsidRPr="009A3B9C">
        <w:rPr>
          <w:sz w:val="20"/>
          <w:szCs w:val="20"/>
        </w:rPr>
        <w:t>Viviano</w:t>
      </w:r>
      <w:proofErr w:type="spellEnd"/>
      <w:r>
        <w:rPr>
          <w:sz w:val="20"/>
          <w:szCs w:val="20"/>
        </w:rPr>
        <w:t>,’</w:t>
      </w:r>
      <w:r w:rsidRPr="009A3B9C">
        <w:rPr>
          <w:sz w:val="20"/>
          <w:szCs w:val="20"/>
        </w:rPr>
        <w:t xml:space="preserve"> The Gospel According to Matthew’, in </w:t>
      </w:r>
      <w:r w:rsidRPr="009A3B9C">
        <w:rPr>
          <w:i/>
          <w:iCs/>
          <w:sz w:val="20"/>
          <w:szCs w:val="20"/>
        </w:rPr>
        <w:t>The New Jerome Biblical Commentary</w:t>
      </w:r>
      <w:r w:rsidRPr="009A3B9C">
        <w:rPr>
          <w:sz w:val="20"/>
          <w:szCs w:val="20"/>
        </w:rPr>
        <w:t xml:space="preserve">, ed. by Raymond E, Brown., Joseph A, </w:t>
      </w:r>
      <w:proofErr w:type="spellStart"/>
      <w:r w:rsidRPr="009A3B9C">
        <w:rPr>
          <w:sz w:val="20"/>
          <w:szCs w:val="20"/>
        </w:rPr>
        <w:t>Fitzmyer</w:t>
      </w:r>
      <w:proofErr w:type="spellEnd"/>
      <w:r w:rsidRPr="009A3B9C">
        <w:rPr>
          <w:sz w:val="20"/>
          <w:szCs w:val="20"/>
        </w:rPr>
        <w:t>., Roland E, Murphy (London: Geoffrey Chapman, 1993)</w:t>
      </w:r>
      <w:r>
        <w:rPr>
          <w:sz w:val="20"/>
          <w:szCs w:val="20"/>
        </w:rPr>
        <w:t xml:space="preserve">, p. 631. </w:t>
      </w:r>
      <w:r>
        <w:rPr>
          <w:rFonts w:asciiTheme="minorBidi" w:hAnsiTheme="minorBidi"/>
          <w:b/>
          <w:bCs/>
        </w:rPr>
        <w:t xml:space="preserve"> </w:t>
      </w:r>
    </w:p>
    <w:p w14:paraId="62392D84" w14:textId="67129E19" w:rsidR="009A3B9C" w:rsidRDefault="009A3B9C">
      <w:pPr>
        <w:pStyle w:val="FootnoteText"/>
      </w:pPr>
    </w:p>
  </w:footnote>
  <w:footnote w:id="2">
    <w:p w14:paraId="402B1334" w14:textId="5633360A" w:rsidR="009A3B9C" w:rsidRPr="00431DF1" w:rsidRDefault="009A3B9C" w:rsidP="009A3B9C">
      <w:pPr>
        <w:rPr>
          <w:rFonts w:asciiTheme="minorBidi" w:hAnsiTheme="minorBidi"/>
          <w:b/>
          <w:bCs/>
        </w:rPr>
      </w:pPr>
      <w:r>
        <w:rPr>
          <w:rStyle w:val="FootnoteReference"/>
        </w:rPr>
        <w:footnoteRef/>
      </w:r>
      <w:r>
        <w:t xml:space="preserve"> </w:t>
      </w:r>
      <w:r w:rsidRPr="009A3B9C">
        <w:rPr>
          <w:sz w:val="20"/>
          <w:szCs w:val="20"/>
        </w:rPr>
        <w:t>Stanley</w:t>
      </w:r>
      <w:r>
        <w:rPr>
          <w:sz w:val="20"/>
          <w:szCs w:val="20"/>
        </w:rPr>
        <w:t xml:space="preserve"> </w:t>
      </w:r>
      <w:r w:rsidRPr="009A3B9C">
        <w:rPr>
          <w:sz w:val="20"/>
          <w:szCs w:val="20"/>
        </w:rPr>
        <w:t>Hauerwas</w:t>
      </w:r>
      <w:r>
        <w:rPr>
          <w:sz w:val="20"/>
          <w:szCs w:val="20"/>
        </w:rPr>
        <w:t xml:space="preserve">, </w:t>
      </w:r>
      <w:r w:rsidRPr="009A3B9C">
        <w:rPr>
          <w:sz w:val="20"/>
          <w:szCs w:val="20"/>
        </w:rPr>
        <w:t>Matthew</w:t>
      </w:r>
      <w:r w:rsidRPr="009A3B9C">
        <w:rPr>
          <w:i/>
          <w:iCs/>
          <w:sz w:val="20"/>
          <w:szCs w:val="20"/>
        </w:rPr>
        <w:t xml:space="preserve"> </w:t>
      </w:r>
      <w:r w:rsidRPr="009A3B9C">
        <w:rPr>
          <w:sz w:val="20"/>
          <w:szCs w:val="20"/>
        </w:rPr>
        <w:t>(London: SCM Press, 2006)</w:t>
      </w:r>
      <w:r w:rsidRPr="009A3B9C">
        <w:rPr>
          <w:sz w:val="20"/>
          <w:szCs w:val="20"/>
        </w:rPr>
        <w:t>, p. 144.</w:t>
      </w:r>
      <w:r>
        <w:rPr>
          <w:b/>
          <w:bCs/>
          <w:sz w:val="20"/>
          <w:szCs w:val="20"/>
        </w:rPr>
        <w:t xml:space="preserve"> </w:t>
      </w:r>
      <w:r>
        <w:rPr>
          <w:rFonts w:asciiTheme="minorBidi" w:hAnsiTheme="minorBidi"/>
          <w:b/>
          <w:bCs/>
        </w:rPr>
        <w:t xml:space="preserve"> </w:t>
      </w:r>
      <w:r w:rsidRPr="00431DF1">
        <w:rPr>
          <w:rFonts w:asciiTheme="minorBidi" w:hAnsiTheme="minorBidi"/>
          <w:b/>
          <w:bCs/>
        </w:rPr>
        <w:t xml:space="preserve"> </w:t>
      </w:r>
    </w:p>
    <w:p w14:paraId="25A0EA4C" w14:textId="784DC4E1" w:rsidR="009A3B9C" w:rsidRDefault="009A3B9C">
      <w:pPr>
        <w:pStyle w:val="FootnoteText"/>
      </w:pPr>
    </w:p>
  </w:footnote>
  <w:footnote w:id="3">
    <w:p w14:paraId="39B4D01E" w14:textId="422C05EA" w:rsidR="009A3B9C" w:rsidRDefault="009A3B9C" w:rsidP="009A3B9C">
      <w:pPr>
        <w:rPr>
          <w:rFonts w:asciiTheme="minorBidi" w:hAnsiTheme="minorBidi"/>
          <w:b/>
          <w:bCs/>
        </w:rPr>
      </w:pPr>
      <w:r>
        <w:rPr>
          <w:rStyle w:val="FootnoteReference"/>
        </w:rPr>
        <w:footnoteRef/>
      </w:r>
      <w:r>
        <w:rPr>
          <w:rFonts w:asciiTheme="minorBidi" w:hAnsiTheme="minorBidi"/>
          <w:b/>
          <w:bCs/>
        </w:rPr>
        <w:t xml:space="preserve"> </w:t>
      </w:r>
      <w:r w:rsidRPr="009A3B9C">
        <w:rPr>
          <w:sz w:val="20"/>
          <w:szCs w:val="20"/>
        </w:rPr>
        <w:t>Daniel</w:t>
      </w:r>
      <w:r w:rsidRPr="009A3B9C">
        <w:rPr>
          <w:sz w:val="20"/>
          <w:szCs w:val="20"/>
        </w:rPr>
        <w:t xml:space="preserve">. </w:t>
      </w:r>
      <w:r w:rsidRPr="009A3B9C">
        <w:rPr>
          <w:sz w:val="20"/>
          <w:szCs w:val="20"/>
        </w:rPr>
        <w:t>J</w:t>
      </w:r>
      <w:r w:rsidRPr="009A3B9C">
        <w:rPr>
          <w:sz w:val="20"/>
          <w:szCs w:val="20"/>
        </w:rPr>
        <w:t xml:space="preserve"> </w:t>
      </w:r>
      <w:r w:rsidRPr="009A3B9C">
        <w:rPr>
          <w:sz w:val="20"/>
          <w:szCs w:val="20"/>
        </w:rPr>
        <w:t>Harrington</w:t>
      </w:r>
      <w:r w:rsidRPr="009A3B9C">
        <w:rPr>
          <w:sz w:val="20"/>
          <w:szCs w:val="20"/>
        </w:rPr>
        <w:t>,</w:t>
      </w:r>
      <w:r w:rsidRPr="009A3B9C">
        <w:rPr>
          <w:sz w:val="20"/>
          <w:szCs w:val="20"/>
        </w:rPr>
        <w:t xml:space="preserve"> ‘The Gospel According to Matthew’, in </w:t>
      </w:r>
      <w:r w:rsidRPr="009A3B9C">
        <w:rPr>
          <w:i/>
          <w:iCs/>
          <w:sz w:val="20"/>
          <w:szCs w:val="20"/>
        </w:rPr>
        <w:t>The New Jerome Biblical Commentary</w:t>
      </w:r>
      <w:r w:rsidRPr="009A3B9C">
        <w:rPr>
          <w:sz w:val="20"/>
          <w:szCs w:val="20"/>
        </w:rPr>
        <w:t xml:space="preserve">, ed. by Raymond E, Brown., Joseph A, </w:t>
      </w:r>
      <w:proofErr w:type="spellStart"/>
      <w:r w:rsidRPr="009A3B9C">
        <w:rPr>
          <w:sz w:val="20"/>
          <w:szCs w:val="20"/>
        </w:rPr>
        <w:t>Fitzmyer</w:t>
      </w:r>
      <w:proofErr w:type="spellEnd"/>
      <w:r w:rsidRPr="009A3B9C">
        <w:rPr>
          <w:sz w:val="20"/>
          <w:szCs w:val="20"/>
        </w:rPr>
        <w:t>., Roland E, Murphy (London: Geoffrey Chapman, 1993)</w:t>
      </w:r>
      <w:r w:rsidRPr="009A3B9C">
        <w:rPr>
          <w:sz w:val="20"/>
          <w:szCs w:val="20"/>
        </w:rPr>
        <w:t>, p. 597.</w:t>
      </w:r>
      <w:r>
        <w:rPr>
          <w:b/>
          <w:bCs/>
          <w:sz w:val="20"/>
          <w:szCs w:val="20"/>
        </w:rPr>
        <w:t xml:space="preserve"> </w:t>
      </w:r>
      <w:r>
        <w:rPr>
          <w:rFonts w:asciiTheme="minorBidi" w:hAnsiTheme="minorBidi"/>
          <w:b/>
          <w:bCs/>
        </w:rPr>
        <w:t xml:space="preserve"> </w:t>
      </w:r>
    </w:p>
    <w:p w14:paraId="7F68AD48" w14:textId="5C118FDC" w:rsidR="009A3B9C" w:rsidRDefault="009A3B9C">
      <w:pPr>
        <w:pStyle w:val="FootnoteText"/>
      </w:pPr>
    </w:p>
  </w:footnote>
  <w:footnote w:id="4">
    <w:p w14:paraId="734BC19E" w14:textId="6F4CF98C" w:rsidR="009A3B9C" w:rsidRDefault="009A3B9C" w:rsidP="009A3B9C">
      <w:pPr>
        <w:rPr>
          <w:rFonts w:asciiTheme="minorBidi" w:hAnsiTheme="minorBidi"/>
          <w:b/>
          <w:bCs/>
        </w:rPr>
      </w:pPr>
      <w:r>
        <w:rPr>
          <w:rStyle w:val="FootnoteReference"/>
        </w:rPr>
        <w:footnoteRef/>
      </w:r>
      <w:r>
        <w:t xml:space="preserve"> </w:t>
      </w:r>
      <w:r w:rsidRPr="009A3B9C">
        <w:rPr>
          <w:sz w:val="20"/>
          <w:szCs w:val="20"/>
        </w:rPr>
        <w:t xml:space="preserve">James </w:t>
      </w:r>
      <w:proofErr w:type="spellStart"/>
      <w:r w:rsidRPr="009A3B9C">
        <w:rPr>
          <w:sz w:val="20"/>
          <w:szCs w:val="20"/>
        </w:rPr>
        <w:t>R</w:t>
      </w:r>
      <w:r w:rsidRPr="009A3B9C">
        <w:rPr>
          <w:sz w:val="20"/>
          <w:szCs w:val="20"/>
        </w:rPr>
        <w:t xml:space="preserve">. </w:t>
      </w:r>
      <w:proofErr w:type="spellEnd"/>
      <w:r w:rsidRPr="009A3B9C">
        <w:rPr>
          <w:sz w:val="20"/>
          <w:szCs w:val="20"/>
        </w:rPr>
        <w:t>Edwards</w:t>
      </w:r>
      <w:r w:rsidRPr="009A3B9C">
        <w:rPr>
          <w:sz w:val="20"/>
          <w:szCs w:val="20"/>
        </w:rPr>
        <w:t xml:space="preserve">, </w:t>
      </w:r>
      <w:r w:rsidRPr="009A3B9C">
        <w:rPr>
          <w:i/>
          <w:iCs/>
          <w:sz w:val="20"/>
          <w:szCs w:val="20"/>
        </w:rPr>
        <w:t>The Gospel According to Mark</w:t>
      </w:r>
      <w:r w:rsidRPr="009A3B9C">
        <w:rPr>
          <w:sz w:val="20"/>
          <w:szCs w:val="20"/>
        </w:rPr>
        <w:t xml:space="preserve"> (Michigan: Eerdmans Publishing Company, 2002)</w:t>
      </w:r>
      <w:r w:rsidRPr="009A3B9C">
        <w:rPr>
          <w:sz w:val="20"/>
          <w:szCs w:val="20"/>
        </w:rPr>
        <w:t>, p. 219.</w:t>
      </w:r>
      <w:r>
        <w:rPr>
          <w:rFonts w:asciiTheme="minorBidi" w:hAnsiTheme="minorBidi"/>
          <w:b/>
          <w:bCs/>
        </w:rPr>
        <w:t xml:space="preserve"> </w:t>
      </w:r>
    </w:p>
    <w:p w14:paraId="004B5164" w14:textId="56F8676E" w:rsidR="009A3B9C" w:rsidRDefault="009A3B9C">
      <w:pPr>
        <w:pStyle w:val="FootnoteText"/>
      </w:pPr>
    </w:p>
  </w:footnote>
  <w:footnote w:id="5">
    <w:p w14:paraId="549D5B31" w14:textId="37733737" w:rsidR="009A3B9C" w:rsidRDefault="009A3B9C">
      <w:pPr>
        <w:pStyle w:val="FootnoteText"/>
      </w:pPr>
      <w:r>
        <w:rPr>
          <w:rStyle w:val="FootnoteReference"/>
        </w:rPr>
        <w:footnoteRef/>
      </w:r>
      <w:r>
        <w:t xml:space="preserve"> Bible (Matthew 15: 28). </w:t>
      </w:r>
    </w:p>
  </w:footnote>
  <w:footnote w:id="6">
    <w:p w14:paraId="5231A2F8" w14:textId="72F2E831" w:rsidR="009A3B9C" w:rsidRDefault="009A3B9C" w:rsidP="009A3B9C">
      <w:pPr>
        <w:rPr>
          <w:rFonts w:asciiTheme="minorBidi" w:hAnsiTheme="minorBidi"/>
          <w:b/>
          <w:bCs/>
        </w:rPr>
      </w:pPr>
      <w:r>
        <w:rPr>
          <w:rStyle w:val="FootnoteReference"/>
        </w:rPr>
        <w:footnoteRef/>
      </w:r>
      <w:r>
        <w:rPr>
          <w:rFonts w:asciiTheme="minorBidi" w:hAnsiTheme="minorBidi"/>
          <w:b/>
          <w:bCs/>
        </w:rPr>
        <w:t xml:space="preserve"> </w:t>
      </w:r>
      <w:r w:rsidRPr="009A3B9C">
        <w:rPr>
          <w:sz w:val="20"/>
          <w:szCs w:val="20"/>
        </w:rPr>
        <w:t>William</w:t>
      </w:r>
      <w:r w:rsidRPr="009A3B9C">
        <w:rPr>
          <w:sz w:val="20"/>
          <w:szCs w:val="20"/>
        </w:rPr>
        <w:t xml:space="preserve">. </w:t>
      </w:r>
      <w:r w:rsidRPr="009A3B9C">
        <w:rPr>
          <w:sz w:val="20"/>
          <w:szCs w:val="20"/>
        </w:rPr>
        <w:t>D Davies</w:t>
      </w:r>
      <w:r w:rsidRPr="009A3B9C">
        <w:rPr>
          <w:sz w:val="20"/>
          <w:szCs w:val="20"/>
        </w:rPr>
        <w:t xml:space="preserve"> </w:t>
      </w:r>
      <w:r w:rsidRPr="009A3B9C">
        <w:rPr>
          <w:sz w:val="20"/>
          <w:szCs w:val="20"/>
        </w:rPr>
        <w:t>and Dale C,</w:t>
      </w:r>
      <w:r w:rsidRPr="009A3B9C">
        <w:rPr>
          <w:sz w:val="20"/>
          <w:szCs w:val="20"/>
        </w:rPr>
        <w:t xml:space="preserve"> </w:t>
      </w:r>
      <w:r w:rsidRPr="009A3B9C">
        <w:rPr>
          <w:sz w:val="20"/>
          <w:szCs w:val="20"/>
        </w:rPr>
        <w:t xml:space="preserve">Allison, </w:t>
      </w:r>
      <w:r w:rsidRPr="009A3B9C">
        <w:rPr>
          <w:i/>
          <w:iCs/>
          <w:sz w:val="20"/>
          <w:szCs w:val="20"/>
        </w:rPr>
        <w:t>Matthew: A Short Commentary</w:t>
      </w:r>
      <w:r w:rsidRPr="009A3B9C">
        <w:rPr>
          <w:sz w:val="20"/>
          <w:szCs w:val="20"/>
        </w:rPr>
        <w:t xml:space="preserve"> (London: T&amp;T Clark, 2004)</w:t>
      </w:r>
      <w:r w:rsidRPr="009A3B9C">
        <w:rPr>
          <w:sz w:val="20"/>
          <w:szCs w:val="20"/>
        </w:rPr>
        <w:t>, pp. 256-57.</w:t>
      </w:r>
      <w:r>
        <w:rPr>
          <w:rFonts w:asciiTheme="minorBidi" w:hAnsiTheme="minorBidi"/>
          <w:b/>
          <w:bCs/>
        </w:rPr>
        <w:t xml:space="preserve"> </w:t>
      </w:r>
    </w:p>
    <w:p w14:paraId="70316FC2" w14:textId="1C0A368D" w:rsidR="009A3B9C" w:rsidRDefault="009A3B9C">
      <w:pPr>
        <w:pStyle w:val="FootnoteText"/>
      </w:pPr>
    </w:p>
  </w:footnote>
  <w:footnote w:id="7">
    <w:p w14:paraId="2364E544" w14:textId="146C95DF" w:rsidR="009A3B9C" w:rsidRDefault="009A3B9C" w:rsidP="009A3B9C">
      <w:pPr>
        <w:rPr>
          <w:rFonts w:asciiTheme="minorBidi" w:hAnsiTheme="minorBidi"/>
          <w:b/>
          <w:bCs/>
        </w:rPr>
      </w:pPr>
      <w:r>
        <w:rPr>
          <w:rStyle w:val="FootnoteReference"/>
        </w:rPr>
        <w:footnoteRef/>
      </w:r>
      <w:r>
        <w:t xml:space="preserve"> </w:t>
      </w:r>
      <w:r w:rsidRPr="009A3B9C">
        <w:rPr>
          <w:sz w:val="20"/>
          <w:szCs w:val="20"/>
        </w:rPr>
        <w:t>Leon</w:t>
      </w:r>
      <w:r w:rsidRPr="009A3B9C">
        <w:rPr>
          <w:sz w:val="20"/>
          <w:szCs w:val="20"/>
        </w:rPr>
        <w:t xml:space="preserve"> Morris, </w:t>
      </w:r>
      <w:r w:rsidRPr="009A3B9C">
        <w:rPr>
          <w:i/>
          <w:iCs/>
          <w:sz w:val="20"/>
          <w:szCs w:val="20"/>
        </w:rPr>
        <w:t>The Gospel According to Matthew</w:t>
      </w:r>
      <w:r w:rsidRPr="009A3B9C">
        <w:rPr>
          <w:sz w:val="20"/>
          <w:szCs w:val="20"/>
        </w:rPr>
        <w:t xml:space="preserve"> (Michigan: Eerdmans Publishing Company, 1992)</w:t>
      </w:r>
      <w:r w:rsidRPr="009A3B9C">
        <w:rPr>
          <w:sz w:val="20"/>
          <w:szCs w:val="20"/>
        </w:rPr>
        <w:t>, pp. 402-03.</w:t>
      </w:r>
      <w:r>
        <w:rPr>
          <w:rFonts w:asciiTheme="minorBidi" w:hAnsiTheme="minorBidi"/>
          <w:b/>
          <w:bCs/>
        </w:rPr>
        <w:t xml:space="preserve"> </w:t>
      </w:r>
      <w:r>
        <w:rPr>
          <w:rFonts w:asciiTheme="minorBidi" w:hAnsiTheme="minorBidi"/>
          <w:b/>
          <w:bCs/>
        </w:rPr>
        <w:t xml:space="preserve">  </w:t>
      </w:r>
    </w:p>
    <w:p w14:paraId="5073F7BA" w14:textId="1760BF53" w:rsidR="009A3B9C" w:rsidRDefault="009A3B9C">
      <w:pPr>
        <w:pStyle w:val="FootnoteText"/>
      </w:pPr>
    </w:p>
  </w:footnote>
  <w:footnote w:id="8">
    <w:p w14:paraId="0929D516" w14:textId="6BFD2C1D" w:rsidR="009A3B9C" w:rsidRPr="00E128F1" w:rsidRDefault="009A3B9C" w:rsidP="009A3B9C">
      <w:pPr>
        <w:rPr>
          <w:sz w:val="20"/>
          <w:szCs w:val="20"/>
        </w:rPr>
      </w:pPr>
      <w:r>
        <w:rPr>
          <w:rStyle w:val="FootnoteReference"/>
        </w:rPr>
        <w:footnoteRef/>
      </w:r>
      <w:r>
        <w:t xml:space="preserve"> </w:t>
      </w:r>
      <w:r w:rsidRPr="00E128F1">
        <w:rPr>
          <w:sz w:val="20"/>
          <w:szCs w:val="20"/>
        </w:rPr>
        <w:t>James</w:t>
      </w:r>
      <w:r w:rsidRPr="00E128F1">
        <w:rPr>
          <w:sz w:val="20"/>
          <w:szCs w:val="20"/>
        </w:rPr>
        <w:t xml:space="preserve">. R </w:t>
      </w:r>
      <w:r w:rsidRPr="00E128F1">
        <w:rPr>
          <w:sz w:val="20"/>
          <w:szCs w:val="20"/>
        </w:rPr>
        <w:t xml:space="preserve">Edwards, </w:t>
      </w:r>
      <w:r w:rsidRPr="00E128F1">
        <w:rPr>
          <w:i/>
          <w:iCs/>
          <w:sz w:val="20"/>
          <w:szCs w:val="20"/>
        </w:rPr>
        <w:t>The Gospel According to Mark</w:t>
      </w:r>
      <w:r w:rsidRPr="00E128F1">
        <w:rPr>
          <w:sz w:val="20"/>
          <w:szCs w:val="20"/>
        </w:rPr>
        <w:t xml:space="preserve"> (Michigan: Eerdmans Publishing Company, 2002)</w:t>
      </w:r>
      <w:r w:rsidRPr="00E128F1">
        <w:rPr>
          <w:sz w:val="20"/>
          <w:szCs w:val="20"/>
        </w:rPr>
        <w:t>, p. 218.</w:t>
      </w:r>
    </w:p>
    <w:p w14:paraId="5060D8A8" w14:textId="61A5F433" w:rsidR="009A3B9C" w:rsidRDefault="009A3B9C">
      <w:pPr>
        <w:pStyle w:val="FootnoteText"/>
      </w:pPr>
    </w:p>
  </w:footnote>
  <w:footnote w:id="9">
    <w:p w14:paraId="606DF84E" w14:textId="172B4C23" w:rsidR="009A3B9C" w:rsidRDefault="009A3B9C" w:rsidP="009A3B9C">
      <w:pPr>
        <w:rPr>
          <w:rFonts w:asciiTheme="minorBidi" w:hAnsiTheme="minorBidi"/>
          <w:b/>
          <w:bCs/>
        </w:rPr>
      </w:pPr>
      <w:r>
        <w:rPr>
          <w:rStyle w:val="FootnoteReference"/>
        </w:rPr>
        <w:footnoteRef/>
      </w:r>
      <w:r>
        <w:t xml:space="preserve"> </w:t>
      </w:r>
      <w:r w:rsidRPr="009A3B9C">
        <w:rPr>
          <w:sz w:val="20"/>
          <w:szCs w:val="20"/>
        </w:rPr>
        <w:t>Patrick</w:t>
      </w:r>
      <w:r w:rsidRPr="009A3B9C">
        <w:rPr>
          <w:sz w:val="20"/>
          <w:szCs w:val="20"/>
        </w:rPr>
        <w:t xml:space="preserve">. </w:t>
      </w:r>
      <w:r w:rsidRPr="009A3B9C">
        <w:rPr>
          <w:sz w:val="20"/>
          <w:szCs w:val="20"/>
        </w:rPr>
        <w:t xml:space="preserve">J Flanagan, </w:t>
      </w:r>
      <w:r w:rsidRPr="009A3B9C">
        <w:rPr>
          <w:i/>
          <w:iCs/>
          <w:sz w:val="20"/>
          <w:szCs w:val="20"/>
        </w:rPr>
        <w:t xml:space="preserve">The Gospel of Mark Made Easy </w:t>
      </w:r>
      <w:r w:rsidRPr="009A3B9C">
        <w:rPr>
          <w:sz w:val="20"/>
          <w:szCs w:val="20"/>
        </w:rPr>
        <w:t>(New Jersey: Paulist Press, 1997)</w:t>
      </w:r>
      <w:r w:rsidRPr="009A3B9C">
        <w:rPr>
          <w:sz w:val="20"/>
          <w:szCs w:val="20"/>
        </w:rPr>
        <w:t>, pp. 77-78.</w:t>
      </w:r>
      <w:r>
        <w:rPr>
          <w:rFonts w:asciiTheme="minorBidi" w:hAnsiTheme="minorBidi"/>
          <w:b/>
          <w:bCs/>
        </w:rPr>
        <w:t xml:space="preserve"> </w:t>
      </w:r>
      <w:r>
        <w:rPr>
          <w:rFonts w:asciiTheme="minorBidi" w:hAnsiTheme="minorBidi"/>
          <w:b/>
          <w:bCs/>
        </w:rPr>
        <w:t xml:space="preserve"> </w:t>
      </w:r>
    </w:p>
    <w:p w14:paraId="7CFCA105" w14:textId="3D1A221E" w:rsidR="009A3B9C" w:rsidRDefault="009A3B9C">
      <w:pPr>
        <w:pStyle w:val="FootnoteText"/>
      </w:pPr>
    </w:p>
  </w:footnote>
  <w:footnote w:id="10">
    <w:p w14:paraId="5BDC629D" w14:textId="1D25ACBD" w:rsidR="009A3B9C" w:rsidRDefault="009A3B9C">
      <w:pPr>
        <w:pStyle w:val="FootnoteText"/>
      </w:pPr>
      <w:r>
        <w:rPr>
          <w:rStyle w:val="FootnoteReference"/>
        </w:rPr>
        <w:footnoteRef/>
      </w:r>
      <w:r>
        <w:t xml:space="preserve"> Bible (</w:t>
      </w:r>
      <w:r w:rsidRPr="00F3049A">
        <w:rPr>
          <w:rFonts w:asciiTheme="minorBidi" w:hAnsiTheme="minorBidi"/>
        </w:rPr>
        <w:t>Mark 7: 29).</w:t>
      </w:r>
    </w:p>
  </w:footnote>
  <w:footnote w:id="11">
    <w:p w14:paraId="0CC0065E" w14:textId="20AC4BF7" w:rsidR="00C21A25" w:rsidRDefault="00C21A25" w:rsidP="00C21A25">
      <w:pPr>
        <w:rPr>
          <w:rFonts w:asciiTheme="minorBidi" w:hAnsiTheme="minorBidi"/>
          <w:b/>
          <w:bCs/>
        </w:rPr>
      </w:pPr>
      <w:r>
        <w:rPr>
          <w:rStyle w:val="FootnoteReference"/>
        </w:rPr>
        <w:footnoteRef/>
      </w:r>
      <w:r>
        <w:t xml:space="preserve"> </w:t>
      </w:r>
      <w:r w:rsidRPr="00C21A25">
        <w:rPr>
          <w:sz w:val="20"/>
          <w:szCs w:val="20"/>
        </w:rPr>
        <w:t>Edward</w:t>
      </w:r>
      <w:r w:rsidRPr="00C21A25">
        <w:rPr>
          <w:sz w:val="20"/>
          <w:szCs w:val="20"/>
        </w:rPr>
        <w:t xml:space="preserve"> </w:t>
      </w:r>
      <w:proofErr w:type="spellStart"/>
      <w:r w:rsidRPr="00C21A25">
        <w:rPr>
          <w:sz w:val="20"/>
          <w:szCs w:val="20"/>
        </w:rPr>
        <w:t>Schweizer</w:t>
      </w:r>
      <w:proofErr w:type="spellEnd"/>
      <w:r w:rsidRPr="00C21A25">
        <w:rPr>
          <w:sz w:val="20"/>
          <w:szCs w:val="20"/>
        </w:rPr>
        <w:t xml:space="preserve">, </w:t>
      </w:r>
      <w:r w:rsidRPr="00C21A25">
        <w:rPr>
          <w:i/>
          <w:iCs/>
          <w:sz w:val="20"/>
          <w:szCs w:val="20"/>
        </w:rPr>
        <w:t xml:space="preserve">The Good News According to Mark, trans. by Donald H. </w:t>
      </w:r>
      <w:proofErr w:type="spellStart"/>
      <w:r w:rsidRPr="00C21A25">
        <w:rPr>
          <w:i/>
          <w:iCs/>
          <w:sz w:val="20"/>
          <w:szCs w:val="20"/>
        </w:rPr>
        <w:t>Madvig</w:t>
      </w:r>
      <w:proofErr w:type="spellEnd"/>
      <w:r w:rsidRPr="00C21A25">
        <w:rPr>
          <w:sz w:val="20"/>
          <w:szCs w:val="20"/>
        </w:rPr>
        <w:t xml:space="preserve"> (London: SPCK, 1970)</w:t>
      </w:r>
      <w:r w:rsidRPr="00C21A25">
        <w:rPr>
          <w:sz w:val="20"/>
          <w:szCs w:val="20"/>
        </w:rPr>
        <w:t>, p. 159.</w:t>
      </w:r>
      <w:r>
        <w:rPr>
          <w:rFonts w:asciiTheme="minorBidi" w:hAnsiTheme="minorBidi"/>
          <w:b/>
          <w:bCs/>
        </w:rPr>
        <w:t xml:space="preserve">  </w:t>
      </w:r>
    </w:p>
    <w:p w14:paraId="6BB40F2F" w14:textId="175DEA9E" w:rsidR="00C21A25" w:rsidRDefault="00C21A25">
      <w:pPr>
        <w:pStyle w:val="FootnoteText"/>
      </w:pPr>
    </w:p>
  </w:footnote>
  <w:footnote w:id="12">
    <w:p w14:paraId="7B721984" w14:textId="3B97FB4A" w:rsidR="00C21A25" w:rsidRDefault="00C21A25">
      <w:pPr>
        <w:pStyle w:val="FootnoteText"/>
      </w:pPr>
      <w:r>
        <w:rPr>
          <w:rStyle w:val="FootnoteReference"/>
        </w:rPr>
        <w:footnoteRef/>
      </w:r>
      <w:r>
        <w:t xml:space="preserve"> </w:t>
      </w:r>
      <w:r w:rsidRPr="00C21A25">
        <w:t>John</w:t>
      </w:r>
      <w:r>
        <w:t xml:space="preserve"> Hick</w:t>
      </w:r>
      <w:r w:rsidRPr="00C21A25">
        <w:t>, God has Many Names (Philadelphia: The Westminster Press, 1980)</w:t>
      </w:r>
      <w:r w:rsidRPr="00C21A25">
        <w:t>, pp. 43-62.</w:t>
      </w:r>
      <w:r>
        <w:rPr>
          <w:rFonts w:asciiTheme="minorBidi" w:hAnsiTheme="minorBidi"/>
          <w:b/>
          <w:bCs/>
        </w:rPr>
        <w:t xml:space="preserve"> </w:t>
      </w:r>
    </w:p>
  </w:footnote>
  <w:footnote w:id="13">
    <w:p w14:paraId="17E0E8E4" w14:textId="593F6931" w:rsidR="00C21A25" w:rsidRPr="005E54FA" w:rsidRDefault="00C21A25" w:rsidP="00C21A25">
      <w:pPr>
        <w:rPr>
          <w:rFonts w:asciiTheme="minorBidi" w:hAnsiTheme="minorBidi"/>
        </w:rPr>
      </w:pPr>
      <w:r>
        <w:rPr>
          <w:rStyle w:val="FootnoteReference"/>
        </w:rPr>
        <w:footnoteRef/>
      </w:r>
      <w:r>
        <w:rPr>
          <w:sz w:val="20"/>
          <w:szCs w:val="20"/>
        </w:rPr>
        <w:t xml:space="preserve"> </w:t>
      </w:r>
      <w:r w:rsidRPr="00C21A25">
        <w:rPr>
          <w:sz w:val="20"/>
          <w:szCs w:val="20"/>
        </w:rPr>
        <w:t xml:space="preserve"> </w:t>
      </w:r>
      <w:proofErr w:type="spellStart"/>
      <w:r w:rsidRPr="00C21A25">
        <w:rPr>
          <w:sz w:val="20"/>
          <w:szCs w:val="20"/>
        </w:rPr>
        <w:t>Wolfhart</w:t>
      </w:r>
      <w:proofErr w:type="spellEnd"/>
      <w:r>
        <w:rPr>
          <w:sz w:val="20"/>
          <w:szCs w:val="20"/>
        </w:rPr>
        <w:t xml:space="preserve"> </w:t>
      </w:r>
      <w:proofErr w:type="spellStart"/>
      <w:r w:rsidRPr="00C21A25">
        <w:rPr>
          <w:sz w:val="20"/>
          <w:szCs w:val="20"/>
        </w:rPr>
        <w:t>Pannenberg</w:t>
      </w:r>
      <w:proofErr w:type="spellEnd"/>
      <w:r>
        <w:rPr>
          <w:sz w:val="20"/>
          <w:szCs w:val="20"/>
        </w:rPr>
        <w:t xml:space="preserve">, </w:t>
      </w:r>
      <w:r w:rsidRPr="00C21A25">
        <w:rPr>
          <w:sz w:val="20"/>
          <w:szCs w:val="20"/>
        </w:rPr>
        <w:t xml:space="preserve">‘Religious Pluralism and Conflicting Truth Claims: The Problem of a Theology of the World Religions’, in </w:t>
      </w:r>
      <w:r w:rsidRPr="00C21A25">
        <w:rPr>
          <w:i/>
          <w:iCs/>
          <w:sz w:val="20"/>
          <w:szCs w:val="20"/>
        </w:rPr>
        <w:t>Christian Uniqueness Reconsidered: The Myth of a Pluralistic Theology of Religions, ed. by Gavin D’Costa</w:t>
      </w:r>
      <w:r w:rsidRPr="00C21A25">
        <w:rPr>
          <w:sz w:val="20"/>
          <w:szCs w:val="20"/>
        </w:rPr>
        <w:t xml:space="preserve"> (New York: Orbis Press, 1990)</w:t>
      </w:r>
      <w:r>
        <w:rPr>
          <w:sz w:val="20"/>
          <w:szCs w:val="20"/>
        </w:rPr>
        <w:t xml:space="preserve">, pp. 99-103. </w:t>
      </w:r>
    </w:p>
    <w:p w14:paraId="3A96330F" w14:textId="1D972BCA" w:rsidR="00C21A25" w:rsidRDefault="00C21A25">
      <w:pPr>
        <w:pStyle w:val="FootnoteText"/>
      </w:pPr>
    </w:p>
  </w:footnote>
  <w:footnote w:id="14">
    <w:p w14:paraId="50D195E0" w14:textId="349FB728" w:rsidR="00C21A25" w:rsidRDefault="00C21A25" w:rsidP="00C21A25">
      <w:pPr>
        <w:rPr>
          <w:rFonts w:asciiTheme="minorBidi" w:eastAsia="Times New Roman" w:hAnsiTheme="minorBidi"/>
          <w:b/>
          <w:bCs/>
          <w:color w:val="000000"/>
          <w:shd w:val="clear" w:color="auto" w:fill="FFFFFF"/>
        </w:rPr>
      </w:pPr>
      <w:r>
        <w:rPr>
          <w:rStyle w:val="FootnoteReference"/>
        </w:rPr>
        <w:footnoteRef/>
      </w:r>
      <w:r>
        <w:t xml:space="preserve"> </w:t>
      </w:r>
      <w:r w:rsidRPr="00C21A25">
        <w:rPr>
          <w:rFonts w:eastAsia="Times New Roman"/>
          <w:color w:val="000000"/>
          <w:sz w:val="20"/>
          <w:szCs w:val="20"/>
          <w:shd w:val="clear" w:color="auto" w:fill="FFFFFF"/>
        </w:rPr>
        <w:t>Hendrik</w:t>
      </w:r>
      <w:r>
        <w:rPr>
          <w:rFonts w:eastAsia="Times New Roman"/>
          <w:color w:val="000000"/>
          <w:sz w:val="20"/>
          <w:szCs w:val="20"/>
          <w:shd w:val="clear" w:color="auto" w:fill="FFFFFF"/>
        </w:rPr>
        <w:t xml:space="preserve"> </w:t>
      </w:r>
      <w:r w:rsidRPr="00C21A25">
        <w:rPr>
          <w:rFonts w:eastAsia="Times New Roman"/>
          <w:color w:val="000000"/>
          <w:sz w:val="20"/>
          <w:szCs w:val="20"/>
          <w:shd w:val="clear" w:color="auto" w:fill="FFFFFF"/>
        </w:rPr>
        <w:t xml:space="preserve">Kraemer, </w:t>
      </w:r>
      <w:r w:rsidRPr="00C21A25">
        <w:rPr>
          <w:rFonts w:eastAsia="Times New Roman"/>
          <w:i/>
          <w:iCs/>
          <w:color w:val="000000"/>
          <w:sz w:val="20"/>
          <w:szCs w:val="20"/>
          <w:shd w:val="clear" w:color="auto" w:fill="FFFFFF"/>
        </w:rPr>
        <w:t>The Christian Message in a Non-Christian World</w:t>
      </w:r>
      <w:r w:rsidRPr="00C21A25">
        <w:rPr>
          <w:rFonts w:eastAsia="Times New Roman"/>
          <w:color w:val="000000"/>
          <w:sz w:val="20"/>
          <w:szCs w:val="20"/>
          <w:shd w:val="clear" w:color="auto" w:fill="FFFFFF"/>
        </w:rPr>
        <w:t xml:space="preserve"> (New York: Harper Press, 1938)</w:t>
      </w:r>
      <w:r w:rsidRPr="00C21A25">
        <w:rPr>
          <w:rFonts w:eastAsia="Times New Roman"/>
          <w:color w:val="000000"/>
          <w:sz w:val="20"/>
          <w:szCs w:val="20"/>
          <w:shd w:val="clear" w:color="auto" w:fill="FFFFFF"/>
        </w:rPr>
        <w:t>, pp. 3, 70.</w:t>
      </w:r>
      <w:r>
        <w:rPr>
          <w:rFonts w:asciiTheme="minorBidi" w:eastAsia="Times New Roman" w:hAnsiTheme="minorBidi"/>
          <w:b/>
          <w:bCs/>
          <w:color w:val="000000"/>
          <w:shd w:val="clear" w:color="auto" w:fill="FFFFFF"/>
        </w:rPr>
        <w:t xml:space="preserve"> </w:t>
      </w:r>
    </w:p>
    <w:p w14:paraId="47BD0E14" w14:textId="25D6CD90" w:rsidR="00C21A25" w:rsidRDefault="00C21A25">
      <w:pPr>
        <w:pStyle w:val="FootnoteText"/>
      </w:pPr>
    </w:p>
  </w:footnote>
  <w:footnote w:id="15">
    <w:p w14:paraId="0079B435" w14:textId="02F459DD" w:rsidR="00C21A25" w:rsidRDefault="00C21A25" w:rsidP="00C21A25">
      <w:pPr>
        <w:rPr>
          <w:rFonts w:asciiTheme="minorBidi" w:hAnsiTheme="minorBidi"/>
          <w:b/>
          <w:bCs/>
        </w:rPr>
      </w:pPr>
      <w:r>
        <w:rPr>
          <w:rStyle w:val="FootnoteReference"/>
        </w:rPr>
        <w:footnoteRef/>
      </w:r>
      <w:r>
        <w:t xml:space="preserve"> </w:t>
      </w:r>
      <w:r w:rsidRPr="00C21A25">
        <w:rPr>
          <w:sz w:val="20"/>
          <w:szCs w:val="20"/>
        </w:rPr>
        <w:t>Karl</w:t>
      </w:r>
      <w:r>
        <w:rPr>
          <w:sz w:val="20"/>
          <w:szCs w:val="20"/>
        </w:rPr>
        <w:t xml:space="preserve"> </w:t>
      </w:r>
      <w:proofErr w:type="spellStart"/>
      <w:r w:rsidRPr="00C21A25">
        <w:rPr>
          <w:sz w:val="20"/>
          <w:szCs w:val="20"/>
        </w:rPr>
        <w:t>Rahner</w:t>
      </w:r>
      <w:proofErr w:type="spellEnd"/>
      <w:r w:rsidRPr="00C21A25">
        <w:rPr>
          <w:sz w:val="20"/>
          <w:szCs w:val="20"/>
        </w:rPr>
        <w:t xml:space="preserve">, </w:t>
      </w:r>
      <w:r w:rsidRPr="00C21A25">
        <w:rPr>
          <w:i/>
          <w:iCs/>
          <w:sz w:val="20"/>
          <w:szCs w:val="20"/>
        </w:rPr>
        <w:t>Theological Investigations</w:t>
      </w:r>
      <w:r w:rsidRPr="00C21A25">
        <w:rPr>
          <w:sz w:val="20"/>
          <w:szCs w:val="20"/>
        </w:rPr>
        <w:t xml:space="preserve">, 5 </w:t>
      </w:r>
      <w:proofErr w:type="spellStart"/>
      <w:r w:rsidRPr="00C21A25">
        <w:rPr>
          <w:sz w:val="20"/>
          <w:szCs w:val="20"/>
        </w:rPr>
        <w:t>vols</w:t>
      </w:r>
      <w:proofErr w:type="spellEnd"/>
      <w:r w:rsidRPr="00C21A25">
        <w:rPr>
          <w:sz w:val="20"/>
          <w:szCs w:val="20"/>
        </w:rPr>
        <w:t xml:space="preserve"> (London: </w:t>
      </w:r>
      <w:proofErr w:type="spellStart"/>
      <w:r w:rsidRPr="00C21A25">
        <w:rPr>
          <w:sz w:val="20"/>
          <w:szCs w:val="20"/>
        </w:rPr>
        <w:t>Darton</w:t>
      </w:r>
      <w:proofErr w:type="spellEnd"/>
      <w:r w:rsidRPr="00C21A25">
        <w:rPr>
          <w:sz w:val="20"/>
          <w:szCs w:val="20"/>
        </w:rPr>
        <w:t>, Longman &amp; Todd, 1966)</w:t>
      </w:r>
      <w:r w:rsidRPr="00C21A25">
        <w:rPr>
          <w:sz w:val="20"/>
          <w:szCs w:val="20"/>
        </w:rPr>
        <w:t>, pp. 131-34</w:t>
      </w:r>
    </w:p>
    <w:p w14:paraId="0E1D2E66" w14:textId="0D595FAB" w:rsidR="00C21A25" w:rsidRDefault="00C21A25">
      <w:pPr>
        <w:pStyle w:val="FootnoteText"/>
      </w:pPr>
    </w:p>
  </w:footnote>
  <w:footnote w:id="16">
    <w:p w14:paraId="39718F22" w14:textId="124D1CAC" w:rsidR="00C21A25" w:rsidRDefault="00C21A25" w:rsidP="00C21A25">
      <w:pPr>
        <w:rPr>
          <w:rFonts w:asciiTheme="minorBidi" w:hAnsiTheme="minorBidi"/>
          <w:b/>
          <w:bCs/>
        </w:rPr>
      </w:pPr>
      <w:r>
        <w:rPr>
          <w:rStyle w:val="FootnoteReference"/>
        </w:rPr>
        <w:footnoteRef/>
      </w:r>
      <w:r>
        <w:t xml:space="preserve"> </w:t>
      </w:r>
      <w:r w:rsidRPr="00C21A25">
        <w:rPr>
          <w:rFonts w:eastAsia="Times New Roman"/>
          <w:color w:val="000000"/>
          <w:sz w:val="20"/>
          <w:szCs w:val="20"/>
          <w:shd w:val="clear" w:color="auto" w:fill="FFFFFF"/>
        </w:rPr>
        <w:t>Hans</w:t>
      </w:r>
      <w:r>
        <w:rPr>
          <w:rFonts w:eastAsia="Times New Roman"/>
          <w:color w:val="000000"/>
          <w:sz w:val="20"/>
          <w:szCs w:val="20"/>
          <w:shd w:val="clear" w:color="auto" w:fill="FFFFFF"/>
        </w:rPr>
        <w:t xml:space="preserve"> </w:t>
      </w:r>
      <w:r w:rsidRPr="00C21A25">
        <w:rPr>
          <w:rFonts w:eastAsia="Times New Roman"/>
          <w:color w:val="000000"/>
          <w:sz w:val="20"/>
          <w:szCs w:val="20"/>
          <w:shd w:val="clear" w:color="auto" w:fill="FFFFFF"/>
        </w:rPr>
        <w:t>K</w:t>
      </w:r>
      <w:r>
        <w:rPr>
          <w:rFonts w:eastAsia="Times New Roman"/>
          <w:color w:val="000000"/>
          <w:sz w:val="20"/>
          <w:szCs w:val="20"/>
          <w:shd w:val="clear" w:color="auto" w:fill="FFFFFF"/>
        </w:rPr>
        <w:t>ung</w:t>
      </w:r>
      <w:r w:rsidRPr="00C21A25">
        <w:rPr>
          <w:rFonts w:eastAsia="Times New Roman"/>
          <w:color w:val="000000"/>
          <w:sz w:val="20"/>
          <w:szCs w:val="20"/>
          <w:shd w:val="clear" w:color="auto" w:fill="FFFFFF"/>
        </w:rPr>
        <w:t>, On Being a Christian, trans. by Edward Quinn (New York: Doubleday, 1976)</w:t>
      </w:r>
      <w:r w:rsidRPr="00C21A25">
        <w:rPr>
          <w:rFonts w:eastAsia="Times New Roman"/>
          <w:color w:val="000000"/>
          <w:sz w:val="20"/>
          <w:szCs w:val="20"/>
          <w:shd w:val="clear" w:color="auto" w:fill="FFFFFF"/>
        </w:rPr>
        <w:t>, pp. 293-301.</w:t>
      </w:r>
      <w:r>
        <w:rPr>
          <w:rFonts w:asciiTheme="minorBidi" w:eastAsia="Times New Roman" w:hAnsiTheme="minorBidi"/>
          <w:b/>
          <w:bCs/>
          <w:color w:val="000000"/>
          <w:shd w:val="clear" w:color="auto" w:fill="FFFFFF"/>
        </w:rPr>
        <w:t xml:space="preserve"> </w:t>
      </w:r>
    </w:p>
    <w:p w14:paraId="28497E72" w14:textId="4AA9389E" w:rsidR="00C21A25" w:rsidRDefault="00C21A25">
      <w:pPr>
        <w:pStyle w:val="FootnoteText"/>
      </w:pPr>
    </w:p>
  </w:footnote>
  <w:footnote w:id="17">
    <w:p w14:paraId="47DEF93A" w14:textId="3351BD0A" w:rsidR="00C21A25" w:rsidRDefault="00C21A25" w:rsidP="00C21A25">
      <w:pPr>
        <w:rPr>
          <w:rFonts w:asciiTheme="minorBidi" w:eastAsia="Times New Roman" w:hAnsiTheme="minorBidi"/>
          <w:b/>
          <w:bCs/>
          <w:color w:val="000000"/>
          <w:shd w:val="clear" w:color="auto" w:fill="FFFFFF"/>
        </w:rPr>
      </w:pPr>
      <w:r>
        <w:rPr>
          <w:rStyle w:val="FootnoteReference"/>
        </w:rPr>
        <w:footnoteRef/>
      </w:r>
      <w:r>
        <w:t xml:space="preserve"> </w:t>
      </w:r>
      <w:r w:rsidRPr="00C21A25">
        <w:rPr>
          <w:rFonts w:eastAsia="Times New Roman"/>
          <w:color w:val="000000"/>
          <w:sz w:val="20"/>
          <w:szCs w:val="20"/>
          <w:shd w:val="clear" w:color="auto" w:fill="FFFFFF"/>
        </w:rPr>
        <w:t>Karl</w:t>
      </w:r>
      <w:r>
        <w:rPr>
          <w:rFonts w:eastAsia="Times New Roman"/>
          <w:color w:val="000000"/>
          <w:sz w:val="20"/>
          <w:szCs w:val="20"/>
          <w:shd w:val="clear" w:color="auto" w:fill="FFFFFF"/>
        </w:rPr>
        <w:t xml:space="preserve"> </w:t>
      </w:r>
      <w:r w:rsidRPr="00C21A25">
        <w:rPr>
          <w:rFonts w:eastAsia="Times New Roman"/>
          <w:color w:val="000000"/>
          <w:sz w:val="20"/>
          <w:szCs w:val="20"/>
          <w:shd w:val="clear" w:color="auto" w:fill="FFFFFF"/>
        </w:rPr>
        <w:t xml:space="preserve">Barth, </w:t>
      </w:r>
      <w:r w:rsidRPr="00C21A25">
        <w:rPr>
          <w:rFonts w:eastAsia="Times New Roman"/>
          <w:i/>
          <w:iCs/>
          <w:color w:val="000000"/>
          <w:sz w:val="20"/>
          <w:szCs w:val="20"/>
          <w:shd w:val="clear" w:color="auto" w:fill="FFFFFF"/>
        </w:rPr>
        <w:t xml:space="preserve">Church </w:t>
      </w:r>
      <w:proofErr w:type="spellStart"/>
      <w:r w:rsidRPr="00C21A25">
        <w:rPr>
          <w:rFonts w:eastAsia="Times New Roman"/>
          <w:i/>
          <w:iCs/>
          <w:color w:val="000000"/>
          <w:sz w:val="20"/>
          <w:szCs w:val="20"/>
          <w:shd w:val="clear" w:color="auto" w:fill="FFFFFF"/>
        </w:rPr>
        <w:t>Dogmatics</w:t>
      </w:r>
      <w:proofErr w:type="spellEnd"/>
      <w:r w:rsidRPr="00C21A25">
        <w:rPr>
          <w:rFonts w:eastAsia="Times New Roman"/>
          <w:i/>
          <w:iCs/>
          <w:color w:val="000000"/>
          <w:sz w:val="20"/>
          <w:szCs w:val="20"/>
          <w:shd w:val="clear" w:color="auto" w:fill="FFFFFF"/>
        </w:rPr>
        <w:t>: The Doctrine of Reconciliation</w:t>
      </w:r>
      <w:r w:rsidRPr="00C21A25">
        <w:rPr>
          <w:rFonts w:eastAsia="Times New Roman"/>
          <w:color w:val="000000"/>
          <w:sz w:val="20"/>
          <w:szCs w:val="20"/>
          <w:shd w:val="clear" w:color="auto" w:fill="FFFFFF"/>
        </w:rPr>
        <w:t xml:space="preserve">, 14 </w:t>
      </w:r>
      <w:proofErr w:type="spellStart"/>
      <w:r w:rsidRPr="00C21A25">
        <w:rPr>
          <w:rFonts w:eastAsia="Times New Roman"/>
          <w:color w:val="000000"/>
          <w:sz w:val="20"/>
          <w:szCs w:val="20"/>
          <w:shd w:val="clear" w:color="auto" w:fill="FFFFFF"/>
        </w:rPr>
        <w:t>vols</w:t>
      </w:r>
      <w:proofErr w:type="spellEnd"/>
      <w:r w:rsidRPr="00C21A25">
        <w:rPr>
          <w:rFonts w:eastAsia="Times New Roman"/>
          <w:color w:val="000000"/>
          <w:sz w:val="20"/>
          <w:szCs w:val="20"/>
          <w:shd w:val="clear" w:color="auto" w:fill="FFFFFF"/>
        </w:rPr>
        <w:t xml:space="preserve"> (London: T&amp;T Clark Publication, 1961)</w:t>
      </w:r>
      <w:r w:rsidRPr="00C21A25">
        <w:rPr>
          <w:rFonts w:eastAsia="Times New Roman"/>
          <w:color w:val="000000"/>
          <w:sz w:val="20"/>
          <w:szCs w:val="20"/>
          <w:shd w:val="clear" w:color="auto" w:fill="FFFFFF"/>
        </w:rPr>
        <w:t>, p. 4.</w:t>
      </w:r>
      <w:r>
        <w:rPr>
          <w:rFonts w:asciiTheme="minorBidi" w:eastAsia="Times New Roman" w:hAnsiTheme="minorBidi"/>
          <w:b/>
          <w:bCs/>
          <w:color w:val="000000"/>
          <w:shd w:val="clear" w:color="auto" w:fill="FFFFFF"/>
        </w:rPr>
        <w:t xml:space="preserve"> </w:t>
      </w:r>
    </w:p>
    <w:p w14:paraId="0CE39F0F" w14:textId="7611FAD5" w:rsidR="00C21A25" w:rsidRDefault="00C21A25">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CE8"/>
    <w:rsid w:val="003D773F"/>
    <w:rsid w:val="00422309"/>
    <w:rsid w:val="00427F40"/>
    <w:rsid w:val="0048663C"/>
    <w:rsid w:val="004F04F0"/>
    <w:rsid w:val="0074688C"/>
    <w:rsid w:val="007B1900"/>
    <w:rsid w:val="009A3B9C"/>
    <w:rsid w:val="00AD170F"/>
    <w:rsid w:val="00B568A1"/>
    <w:rsid w:val="00B72CBD"/>
    <w:rsid w:val="00BF1CE8"/>
    <w:rsid w:val="00C21A25"/>
    <w:rsid w:val="00D25F93"/>
    <w:rsid w:val="00D276B6"/>
    <w:rsid w:val="00D96C3E"/>
    <w:rsid w:val="00DC7F6E"/>
    <w:rsid w:val="00E128F1"/>
    <w:rsid w:val="00E728C4"/>
    <w:rsid w:val="00F3049A"/>
    <w:rsid w:val="00F536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133A3"/>
  <w14:defaultImageDpi w14:val="32767"/>
  <w15:chartTrackingRefBased/>
  <w15:docId w15:val="{183E91F5-9997-504F-8570-D165F64D1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F1C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BF1CE8"/>
  </w:style>
  <w:style w:type="character" w:styleId="Hyperlink">
    <w:name w:val="Hyperlink"/>
    <w:basedOn w:val="DefaultParagraphFont"/>
    <w:uiPriority w:val="99"/>
    <w:semiHidden/>
    <w:unhideWhenUsed/>
    <w:rsid w:val="00BF1CE8"/>
    <w:rPr>
      <w:color w:val="0000FF"/>
      <w:u w:val="single"/>
    </w:rPr>
  </w:style>
  <w:style w:type="paragraph" w:styleId="BalloonText">
    <w:name w:val="Balloon Text"/>
    <w:basedOn w:val="Normal"/>
    <w:link w:val="BalloonTextChar"/>
    <w:uiPriority w:val="99"/>
    <w:semiHidden/>
    <w:unhideWhenUsed/>
    <w:rsid w:val="00BF1CE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F1CE8"/>
    <w:rPr>
      <w:rFonts w:ascii="Times New Roman" w:hAnsi="Times New Roman" w:cs="Times New Roman"/>
      <w:sz w:val="18"/>
      <w:szCs w:val="18"/>
    </w:rPr>
  </w:style>
  <w:style w:type="character" w:styleId="Emphasis">
    <w:name w:val="Emphasis"/>
    <w:basedOn w:val="DefaultParagraphFont"/>
    <w:uiPriority w:val="20"/>
    <w:qFormat/>
    <w:rsid w:val="00BF1CE8"/>
    <w:rPr>
      <w:i/>
      <w:iCs/>
    </w:rPr>
  </w:style>
  <w:style w:type="paragraph" w:styleId="FootnoteText">
    <w:name w:val="footnote text"/>
    <w:basedOn w:val="Normal"/>
    <w:link w:val="FootnoteTextChar"/>
    <w:uiPriority w:val="99"/>
    <w:semiHidden/>
    <w:unhideWhenUsed/>
    <w:rsid w:val="009A3B9C"/>
    <w:rPr>
      <w:sz w:val="20"/>
      <w:szCs w:val="20"/>
    </w:rPr>
  </w:style>
  <w:style w:type="character" w:customStyle="1" w:styleId="FootnoteTextChar">
    <w:name w:val="Footnote Text Char"/>
    <w:basedOn w:val="DefaultParagraphFont"/>
    <w:link w:val="FootnoteText"/>
    <w:uiPriority w:val="99"/>
    <w:semiHidden/>
    <w:rsid w:val="009A3B9C"/>
    <w:rPr>
      <w:sz w:val="20"/>
      <w:szCs w:val="20"/>
    </w:rPr>
  </w:style>
  <w:style w:type="character" w:styleId="FootnoteReference">
    <w:name w:val="footnote reference"/>
    <w:basedOn w:val="DefaultParagraphFont"/>
    <w:uiPriority w:val="99"/>
    <w:semiHidden/>
    <w:unhideWhenUsed/>
    <w:rsid w:val="009A3B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0EED5E-6375-FF41-96D6-003AAB296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11</Pages>
  <Words>2966</Words>
  <Characters>16909</Characters>
  <Application>Microsoft Office Word</Application>
  <DocSecurity>0</DocSecurity>
  <Lines>140</Lines>
  <Paragraphs>39</Paragraphs>
  <ScaleCrop>false</ScaleCrop>
  <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Bhamji</dc:creator>
  <cp:keywords/>
  <dc:description/>
  <cp:lastModifiedBy>Talha Bhamji</cp:lastModifiedBy>
  <cp:revision>9</cp:revision>
  <dcterms:created xsi:type="dcterms:W3CDTF">2019-06-03T04:28:00Z</dcterms:created>
  <dcterms:modified xsi:type="dcterms:W3CDTF">2019-06-03T05:51:00Z</dcterms:modified>
</cp:coreProperties>
</file>