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5A9AB" w14:textId="6F50F3FF" w:rsidR="00184CD1" w:rsidRPr="002D5021" w:rsidRDefault="00364E7A">
      <w:pPr>
        <w:pStyle w:val="NoSpacing"/>
        <w:rPr>
          <w:rFonts w:ascii="Calibri" w:hAnsi="Calibri" w:cs="Calibri"/>
          <w:sz w:val="22"/>
          <w:szCs w:val="22"/>
        </w:rPr>
      </w:pPr>
      <w:r w:rsidRPr="002D5021">
        <w:rPr>
          <w:rFonts w:ascii="Calibri" w:hAnsi="Calibri" w:cs="Calibri"/>
          <w:sz w:val="22"/>
          <w:szCs w:val="22"/>
        </w:rPr>
        <w:t>SHAREEN BI</w:t>
      </w:r>
    </w:p>
    <w:p w14:paraId="3B9AE76D" w14:textId="54AAB03C" w:rsidR="00184CD1" w:rsidRPr="002D5021" w:rsidRDefault="00364E7A">
      <w:pPr>
        <w:pStyle w:val="NoSpacing"/>
        <w:rPr>
          <w:rFonts w:ascii="Calibri" w:hAnsi="Calibri" w:cs="Calibri"/>
          <w:sz w:val="22"/>
          <w:szCs w:val="22"/>
        </w:rPr>
      </w:pPr>
      <w:r w:rsidRPr="002D5021">
        <w:rPr>
          <w:rFonts w:ascii="Calibri" w:hAnsi="Calibri" w:cs="Calibri"/>
          <w:sz w:val="22"/>
          <w:szCs w:val="22"/>
        </w:rPr>
        <w:t>BMHP5019</w:t>
      </w:r>
      <w:r w:rsidRPr="002D5021">
        <w:rPr>
          <w:rFonts w:ascii="Calibri" w:hAnsi="Calibri" w:cs="Calibri"/>
          <w:sz w:val="22"/>
          <w:szCs w:val="22"/>
        </w:rPr>
        <w:t xml:space="preserve"> - </w:t>
      </w:r>
      <w:r w:rsidRPr="002D5021">
        <w:rPr>
          <w:rStyle w:val="agcmg"/>
          <w:rFonts w:ascii="Calibri" w:hAnsi="Calibri" w:cs="Calibri"/>
          <w:sz w:val="22"/>
          <w:szCs w:val="22"/>
        </w:rPr>
        <w:t>2318894</w:t>
      </w:r>
    </w:p>
    <w:p w14:paraId="40AD266D" w14:textId="5C266728" w:rsidR="00184CD1" w:rsidRPr="002D5021" w:rsidRDefault="00364E7A" w:rsidP="00364E7A">
      <w:pPr>
        <w:pStyle w:val="NoSpacing"/>
        <w:rPr>
          <w:rFonts w:ascii="Calibri" w:hAnsi="Calibri" w:cs="Calibri"/>
          <w:sz w:val="22"/>
          <w:szCs w:val="22"/>
        </w:rPr>
      </w:pPr>
      <w:r w:rsidRPr="002D5021">
        <w:rPr>
          <w:rFonts w:ascii="Calibri" w:hAnsi="Calibri" w:cs="Calibri"/>
          <w:sz w:val="22"/>
          <w:szCs w:val="22"/>
        </w:rPr>
        <w:t xml:space="preserve">Component </w:t>
      </w:r>
      <w:r w:rsidRPr="002D5021">
        <w:rPr>
          <w:rFonts w:ascii="Calibri" w:hAnsi="Calibri" w:cs="Calibri"/>
          <w:sz w:val="22"/>
          <w:szCs w:val="22"/>
        </w:rPr>
        <w:t>1: Written</w:t>
      </w:r>
      <w:r w:rsidRPr="002D5021">
        <w:rPr>
          <w:rFonts w:ascii="Calibri" w:hAnsi="Calibri" w:cs="Calibri"/>
          <w:sz w:val="22"/>
          <w:szCs w:val="22"/>
        </w:rPr>
        <w:t xml:space="preserve"> Assignment (Research Proposal)</w:t>
      </w:r>
    </w:p>
    <w:p w14:paraId="4DA7F7AB" w14:textId="73BDA192" w:rsidR="00184CD1" w:rsidRPr="002D5021" w:rsidRDefault="00364E7A">
      <w:pPr>
        <w:pStyle w:val="NoSpacing"/>
        <w:rPr>
          <w:rFonts w:ascii="Calibri" w:hAnsi="Calibri" w:cs="Calibri"/>
          <w:sz w:val="22"/>
          <w:szCs w:val="22"/>
        </w:rPr>
      </w:pPr>
      <w:r w:rsidRPr="002D5021">
        <w:rPr>
          <w:rFonts w:ascii="Calibri" w:hAnsi="Calibri" w:cs="Calibri"/>
          <w:sz w:val="22"/>
          <w:szCs w:val="22"/>
        </w:rPr>
        <w:t>6th October 2025</w:t>
      </w:r>
    </w:p>
    <w:p w14:paraId="09F3F845" w14:textId="77777777" w:rsidR="00855FDA" w:rsidRPr="002D5021" w:rsidRDefault="00855FDA">
      <w:pPr>
        <w:pStyle w:val="NoSpacing"/>
        <w:rPr>
          <w:rFonts w:ascii="Calibri" w:hAnsi="Calibri" w:cs="Calibri"/>
          <w:sz w:val="22"/>
          <w:szCs w:val="22"/>
        </w:rPr>
      </w:pPr>
    </w:p>
    <w:p w14:paraId="09BF6BCA" w14:textId="0F96DA69" w:rsidR="00364E7A" w:rsidRPr="002D5021" w:rsidRDefault="00364E7A">
      <w:pPr>
        <w:pStyle w:val="Title"/>
        <w:rPr>
          <w:rFonts w:ascii="Calibri" w:hAnsi="Calibri" w:cs="Calibri"/>
          <w:sz w:val="22"/>
          <w:szCs w:val="22"/>
          <w:lang w:val="en-GB" w:bidi="en-GB"/>
        </w:rPr>
      </w:pPr>
      <w:r w:rsidRPr="002D5021">
        <w:rPr>
          <w:rFonts w:ascii="Calibri" w:hAnsi="Calibri" w:cs="Calibri"/>
          <w:sz w:val="22"/>
          <w:szCs w:val="22"/>
        </w:rPr>
        <w:t>A Review of Dementia and Alcohol Use in UK Healthcare: Identifying Themes Using Aveyard’s Simplified Thematic Analysis</w:t>
      </w:r>
      <w:r w:rsidR="00DC24A1" w:rsidRPr="002D5021">
        <w:rPr>
          <w:rFonts w:ascii="Calibri" w:hAnsi="Calibri" w:cs="Calibri"/>
          <w:sz w:val="22"/>
          <w:szCs w:val="22"/>
          <w:lang w:val="en-GB" w:bidi="en-GB"/>
        </w:rPr>
        <w:t xml:space="preserve">: </w:t>
      </w:r>
    </w:p>
    <w:p w14:paraId="6BE44BC7" w14:textId="77777777" w:rsidR="00855FDA" w:rsidRPr="002D5021" w:rsidRDefault="00855FDA" w:rsidP="00855FDA">
      <w:pPr>
        <w:rPr>
          <w:rFonts w:ascii="Calibri" w:hAnsi="Calibri" w:cs="Calibri"/>
          <w:sz w:val="22"/>
          <w:szCs w:val="22"/>
          <w:lang w:val="en-GB" w:bidi="en-GB"/>
        </w:rPr>
      </w:pPr>
    </w:p>
    <w:p w14:paraId="3272B384" w14:textId="740917A9" w:rsidR="00E7586D" w:rsidRPr="00E7586D" w:rsidRDefault="00E7586D" w:rsidP="00E7586D">
      <w:pPr>
        <w:jc w:val="center"/>
        <w:rPr>
          <w:rFonts w:ascii="Calibri" w:eastAsiaTheme="majorEastAsia" w:hAnsi="Calibri" w:cs="Calibri"/>
          <w:spacing w:val="-10"/>
          <w:kern w:val="28"/>
          <w:sz w:val="22"/>
          <w:szCs w:val="22"/>
          <w:lang w:val="en-GB"/>
        </w:rPr>
      </w:pPr>
      <w:r w:rsidRPr="00E7586D">
        <w:rPr>
          <w:rFonts w:ascii="Calibri" w:eastAsiaTheme="majorEastAsia" w:hAnsi="Calibri" w:cs="Calibri"/>
          <w:spacing w:val="-10"/>
          <w:kern w:val="28"/>
          <w:sz w:val="22"/>
          <w:szCs w:val="22"/>
          <w:lang w:val="en-GB"/>
        </w:rPr>
        <w:t>Background and Justification </w:t>
      </w:r>
      <w:r w:rsidRPr="00E7586D">
        <w:rPr>
          <w:rFonts w:ascii="Calibri" w:eastAsiaTheme="majorEastAsia" w:hAnsi="Calibri" w:cs="Calibri"/>
          <w:spacing w:val="-10"/>
          <w:kern w:val="28"/>
          <w:sz w:val="22"/>
          <w:szCs w:val="22"/>
          <w:lang w:val="en-GB"/>
        </w:rPr>
        <w:br/>
      </w:r>
      <w:r w:rsidRPr="00E7586D">
        <w:rPr>
          <w:rFonts w:ascii="Calibri" w:eastAsiaTheme="majorEastAsia" w:hAnsi="Calibri" w:cs="Calibri"/>
          <w:spacing w:val="-10"/>
          <w:kern w:val="28"/>
          <w:sz w:val="22"/>
          <w:szCs w:val="22"/>
          <w:lang w:val="en-GB"/>
        </w:rPr>
        <w:br/>
        <w:t>In the UK, about a million people have dementia (</w:t>
      </w:r>
      <w:hyperlink r:id="rId9" w:tgtFrame="_blank" w:history="1">
        <w:r w:rsidRPr="00E7586D">
          <w:rPr>
            <w:rStyle w:val="Hyperlink"/>
            <w:rFonts w:ascii="Calibri" w:eastAsiaTheme="majorEastAsia" w:hAnsi="Calibri" w:cs="Calibri"/>
            <w:spacing w:val="-10"/>
            <w:kern w:val="28"/>
            <w:sz w:val="22"/>
            <w:szCs w:val="22"/>
            <w:lang w:val="en-GB"/>
          </w:rPr>
          <w:t>alzheime</w:t>
        </w:r>
        <w:r w:rsidRPr="00E7586D">
          <w:rPr>
            <w:rStyle w:val="Hyperlink"/>
            <w:rFonts w:ascii="Calibri" w:eastAsiaTheme="majorEastAsia" w:hAnsi="Calibri" w:cs="Calibri"/>
            <w:spacing w:val="-10"/>
            <w:kern w:val="28"/>
            <w:sz w:val="22"/>
            <w:szCs w:val="22"/>
            <w:lang w:val="en-GB"/>
          </w:rPr>
          <w:t>r</w:t>
        </w:r>
        <w:r w:rsidRPr="00E7586D">
          <w:rPr>
            <w:rStyle w:val="Hyperlink"/>
            <w:rFonts w:ascii="Calibri" w:eastAsiaTheme="majorEastAsia" w:hAnsi="Calibri" w:cs="Calibri"/>
            <w:spacing w:val="-10"/>
            <w:kern w:val="28"/>
            <w:sz w:val="22"/>
            <w:szCs w:val="22"/>
            <w:lang w:val="en-GB"/>
          </w:rPr>
          <w:t>s.org.uk</w:t>
        </w:r>
      </w:hyperlink>
      <w:r w:rsidRPr="00E7586D">
        <w:rPr>
          <w:rFonts w:ascii="Calibri" w:eastAsiaTheme="majorEastAsia" w:hAnsi="Calibri" w:cs="Calibri"/>
          <w:spacing w:val="-10"/>
          <w:kern w:val="28"/>
          <w:sz w:val="22"/>
          <w:szCs w:val="22"/>
          <w:lang w:val="en-GB"/>
        </w:rPr>
        <w:t>). According to dementiauk.org, heavy drinking can shrink memory-related brain regions and is associated with earlier cognitive decline. Alcohol causes about 10% of dementia cases in people under 65 (dementiauk.org). Recent evidence suggests that even moderate alcohol consumption may elevate the risk of dementia, contradicting the previously established belief in its protective effect. Unacknowledged chronic alcohol consumption can result in overlooked diagnoses of alcohol-related dementia (</w:t>
      </w:r>
      <w:hyperlink r:id="rId10" w:tgtFrame="_blank" w:history="1">
        <w:r w:rsidRPr="00E7586D">
          <w:rPr>
            <w:rStyle w:val="Hyperlink"/>
            <w:rFonts w:ascii="Calibri" w:eastAsiaTheme="majorEastAsia" w:hAnsi="Calibri" w:cs="Calibri"/>
            <w:spacing w:val="-10"/>
            <w:kern w:val="28"/>
            <w:sz w:val="22"/>
            <w:szCs w:val="22"/>
            <w:lang w:val="en-GB"/>
          </w:rPr>
          <w:t>alzheimers.org.uk</w:t>
        </w:r>
      </w:hyperlink>
      <w:r w:rsidRPr="00E7586D">
        <w:rPr>
          <w:rFonts w:ascii="Calibri" w:eastAsiaTheme="majorEastAsia" w:hAnsi="Calibri" w:cs="Calibri"/>
          <w:spacing w:val="-10"/>
          <w:kern w:val="28"/>
          <w:sz w:val="22"/>
          <w:szCs w:val="22"/>
          <w:lang w:val="en-GB"/>
        </w:rPr>
        <w:t>), whereas ongoing drinking in dementia patients exacerbates confusion, disorientation, and the risk of falls (</w:t>
      </w:r>
      <w:hyperlink r:id="rId11" w:tgtFrame="_blank" w:history="1">
        <w:r w:rsidRPr="00E7586D">
          <w:rPr>
            <w:rStyle w:val="Hyperlink"/>
            <w:rFonts w:ascii="Calibri" w:eastAsiaTheme="majorEastAsia" w:hAnsi="Calibri" w:cs="Calibri"/>
            <w:spacing w:val="-10"/>
            <w:kern w:val="28"/>
            <w:sz w:val="22"/>
            <w:szCs w:val="22"/>
            <w:lang w:val="en-GB"/>
          </w:rPr>
          <w:t>dementiauk.org</w:t>
        </w:r>
      </w:hyperlink>
      <w:r w:rsidRPr="00E7586D">
        <w:rPr>
          <w:rFonts w:ascii="Calibri" w:eastAsiaTheme="majorEastAsia" w:hAnsi="Calibri" w:cs="Calibri"/>
          <w:spacing w:val="-10"/>
          <w:kern w:val="28"/>
          <w:sz w:val="22"/>
          <w:szCs w:val="22"/>
          <w:lang w:val="en-GB"/>
        </w:rPr>
        <w:t>). These problems show how important it is to know how drinking affects dementia diagnosis, care, and services.</w:t>
      </w:r>
      <w:r w:rsidRPr="00E7586D">
        <w:rPr>
          <w:rFonts w:ascii="Calibri" w:eastAsiaTheme="majorEastAsia" w:hAnsi="Calibri" w:cs="Calibri"/>
          <w:spacing w:val="-10"/>
          <w:kern w:val="28"/>
          <w:sz w:val="22"/>
          <w:szCs w:val="22"/>
          <w:lang w:val="en-GB"/>
        </w:rPr>
        <w:br/>
      </w:r>
      <w:r w:rsidRPr="00E7586D">
        <w:rPr>
          <w:rFonts w:ascii="Calibri" w:eastAsiaTheme="majorEastAsia" w:hAnsi="Calibri" w:cs="Calibri"/>
          <w:spacing w:val="-10"/>
          <w:kern w:val="28"/>
          <w:sz w:val="22"/>
          <w:szCs w:val="22"/>
          <w:lang w:val="en-GB"/>
        </w:rPr>
        <w:br/>
        <w:t>Goals and Objectives</w:t>
      </w:r>
      <w:r w:rsidRPr="00E7586D">
        <w:rPr>
          <w:rFonts w:ascii="Calibri" w:eastAsiaTheme="majorEastAsia" w:hAnsi="Calibri" w:cs="Calibri"/>
          <w:spacing w:val="-10"/>
          <w:kern w:val="28"/>
          <w:sz w:val="22"/>
          <w:szCs w:val="22"/>
          <w:lang w:val="en-GB"/>
        </w:rPr>
        <w:br/>
      </w:r>
      <w:r w:rsidRPr="00E7586D">
        <w:rPr>
          <w:rFonts w:ascii="Calibri" w:eastAsiaTheme="majorEastAsia" w:hAnsi="Calibri" w:cs="Calibri"/>
          <w:spacing w:val="-10"/>
          <w:kern w:val="28"/>
          <w:sz w:val="22"/>
          <w:szCs w:val="22"/>
          <w:lang w:val="en-GB"/>
        </w:rPr>
        <w:br/>
        <w:t>Aim: Perform a scoping review to delineate research concerning alcohol consumption and dementia within UK healthcare. Objectives: Identify key themes in the literature (e.g., alcohol as a risk factor, diagnostic challenges, care impacts), and elucidate knowledge gaps regarding the influence of alcohol consumption on dementia treatment and service delivery.</w:t>
      </w:r>
      <w:r w:rsidRPr="00E7586D">
        <w:rPr>
          <w:rFonts w:ascii="Calibri" w:eastAsiaTheme="majorEastAsia" w:hAnsi="Calibri" w:cs="Calibri"/>
          <w:spacing w:val="-10"/>
          <w:kern w:val="28"/>
          <w:sz w:val="22"/>
          <w:szCs w:val="22"/>
          <w:lang w:val="en-GB"/>
        </w:rPr>
        <w:br/>
      </w:r>
      <w:r w:rsidRPr="00E7586D">
        <w:rPr>
          <w:rFonts w:ascii="Calibri" w:eastAsiaTheme="majorEastAsia" w:hAnsi="Calibri" w:cs="Calibri"/>
          <w:spacing w:val="-10"/>
          <w:kern w:val="28"/>
          <w:sz w:val="22"/>
          <w:szCs w:val="22"/>
          <w:lang w:val="en-GB"/>
        </w:rPr>
        <w:br/>
      </w:r>
      <w:r w:rsidR="002D5021" w:rsidRPr="002D5021">
        <w:rPr>
          <w:rFonts w:ascii="Calibri" w:eastAsiaTheme="majorEastAsia" w:hAnsi="Calibri" w:cs="Calibri"/>
          <w:spacing w:val="-10"/>
          <w:kern w:val="28"/>
          <w:sz w:val="22"/>
          <w:szCs w:val="22"/>
          <w:lang w:val="en-GB"/>
        </w:rPr>
        <w:lastRenderedPageBreak/>
        <w:t>Methodology</w:t>
      </w:r>
      <w:r w:rsidRPr="00E7586D">
        <w:rPr>
          <w:rFonts w:ascii="Calibri" w:eastAsiaTheme="majorEastAsia" w:hAnsi="Calibri" w:cs="Calibri"/>
          <w:spacing w:val="-10"/>
          <w:kern w:val="28"/>
          <w:sz w:val="22"/>
          <w:szCs w:val="22"/>
          <w:lang w:val="en-GB"/>
        </w:rPr>
        <w:br/>
      </w:r>
      <w:r w:rsidRPr="00E7586D">
        <w:rPr>
          <w:rFonts w:ascii="Calibri" w:eastAsiaTheme="majorEastAsia" w:hAnsi="Calibri" w:cs="Calibri"/>
          <w:spacing w:val="-10"/>
          <w:kern w:val="28"/>
          <w:sz w:val="22"/>
          <w:szCs w:val="22"/>
          <w:lang w:val="en-GB"/>
        </w:rPr>
        <w:br/>
        <w:t xml:space="preserve">The review will use Arksey and O'Malley's scoping review framework, which goes from coming up with questions to putting together the results. We will search through </w:t>
      </w:r>
      <w:proofErr w:type="gramStart"/>
      <w:r w:rsidRPr="00E7586D">
        <w:rPr>
          <w:rFonts w:ascii="Calibri" w:eastAsiaTheme="majorEastAsia" w:hAnsi="Calibri" w:cs="Calibri"/>
          <w:spacing w:val="-10"/>
          <w:kern w:val="28"/>
          <w:sz w:val="22"/>
          <w:szCs w:val="22"/>
          <w:lang w:val="en-GB"/>
        </w:rPr>
        <w:t>many</w:t>
      </w:r>
      <w:proofErr w:type="gramEnd"/>
      <w:r w:rsidRPr="00E7586D">
        <w:rPr>
          <w:rFonts w:ascii="Calibri" w:eastAsiaTheme="majorEastAsia" w:hAnsi="Calibri" w:cs="Calibri"/>
          <w:spacing w:val="-10"/>
          <w:kern w:val="28"/>
          <w:sz w:val="22"/>
          <w:szCs w:val="22"/>
          <w:lang w:val="en-GB"/>
        </w:rPr>
        <w:t xml:space="preserve"> databases and grey literature in a planned way. The inclusion criteria encompass English-language peer-reviewed studies (2015–2025) and pertinent UK policy documents concerning dementia and alcohol in the UK. Studies must meet these criteria (e.g., investigate both dementia and alcohol and be conducted in a UK context) to be included.</w:t>
      </w:r>
      <w:r w:rsidRPr="00E7586D">
        <w:rPr>
          <w:rFonts w:ascii="Calibri" w:eastAsiaTheme="majorEastAsia" w:hAnsi="Calibri" w:cs="Calibri"/>
          <w:spacing w:val="-10"/>
          <w:kern w:val="28"/>
          <w:sz w:val="22"/>
          <w:szCs w:val="22"/>
          <w:lang w:val="en-GB"/>
        </w:rPr>
        <w:br/>
      </w:r>
      <w:r w:rsidRPr="00E7586D">
        <w:rPr>
          <w:rFonts w:ascii="Calibri" w:eastAsiaTheme="majorEastAsia" w:hAnsi="Calibri" w:cs="Calibri"/>
          <w:spacing w:val="-10"/>
          <w:kern w:val="28"/>
          <w:sz w:val="22"/>
          <w:szCs w:val="22"/>
          <w:lang w:val="en-GB"/>
        </w:rPr>
        <w:br/>
        <w:t xml:space="preserve">Data from the included studies will be organised into charts and thematically analysed using Aveyard's method to find common themes. </w:t>
      </w:r>
      <w:proofErr w:type="gramStart"/>
      <w:r w:rsidRPr="00E7586D">
        <w:rPr>
          <w:rFonts w:ascii="Calibri" w:eastAsiaTheme="majorEastAsia" w:hAnsi="Calibri" w:cs="Calibri"/>
          <w:spacing w:val="-10"/>
          <w:kern w:val="28"/>
          <w:sz w:val="22"/>
          <w:szCs w:val="22"/>
          <w:lang w:val="en-GB"/>
        </w:rPr>
        <w:t>Some of</w:t>
      </w:r>
      <w:proofErr w:type="gramEnd"/>
      <w:r w:rsidRPr="00E7586D">
        <w:rPr>
          <w:rFonts w:ascii="Calibri" w:eastAsiaTheme="majorEastAsia" w:hAnsi="Calibri" w:cs="Calibri"/>
          <w:spacing w:val="-10"/>
          <w:kern w:val="28"/>
          <w:sz w:val="22"/>
          <w:szCs w:val="22"/>
          <w:lang w:val="en-GB"/>
        </w:rPr>
        <w:t xml:space="preserve"> the topics that are likely to come up are how alcohol affects the risk of dementia, how challenging it is to diagnose alcohol-related dementia, how it affects care, and how services respond. The findings will be compiled into a narrative report featuring a thematic map to facilitate the comparison of results and identify areas of consensus or gaps.</w:t>
      </w:r>
      <w:r w:rsidRPr="00E7586D">
        <w:rPr>
          <w:rFonts w:ascii="Calibri" w:eastAsiaTheme="majorEastAsia" w:hAnsi="Calibri" w:cs="Calibri"/>
          <w:spacing w:val="-10"/>
          <w:kern w:val="28"/>
          <w:sz w:val="22"/>
          <w:szCs w:val="22"/>
          <w:lang w:val="en-GB"/>
        </w:rPr>
        <w:br/>
      </w:r>
      <w:r w:rsidRPr="00E7586D">
        <w:rPr>
          <w:rFonts w:ascii="Calibri" w:eastAsiaTheme="majorEastAsia" w:hAnsi="Calibri" w:cs="Calibri"/>
          <w:spacing w:val="-10"/>
          <w:kern w:val="28"/>
          <w:sz w:val="22"/>
          <w:szCs w:val="22"/>
          <w:lang w:val="en-GB"/>
        </w:rPr>
        <w:br/>
        <w:t>Expected Results and Importance</w:t>
      </w:r>
      <w:r w:rsidRPr="00E7586D">
        <w:rPr>
          <w:rFonts w:ascii="Calibri" w:eastAsiaTheme="majorEastAsia" w:hAnsi="Calibri" w:cs="Calibri"/>
          <w:spacing w:val="-10"/>
          <w:kern w:val="28"/>
          <w:sz w:val="22"/>
          <w:szCs w:val="22"/>
          <w:lang w:val="en-GB"/>
        </w:rPr>
        <w:br/>
      </w:r>
      <w:r w:rsidRPr="00E7586D">
        <w:rPr>
          <w:rFonts w:ascii="Calibri" w:eastAsiaTheme="majorEastAsia" w:hAnsi="Calibri" w:cs="Calibri"/>
          <w:spacing w:val="-10"/>
          <w:kern w:val="28"/>
          <w:sz w:val="22"/>
          <w:szCs w:val="22"/>
          <w:lang w:val="en-GB"/>
        </w:rPr>
        <w:br/>
        <w:t>This scoping review will delineate the impact of alcohol consumption on dementia risk and care within the UK healthcare system, highlighting principal themes—including alcohol's role in dementia onset, challenges in diagnosing alcohol-related dementia, and its effects on care and service delivery—while also uncovering existing gaps. The results may lead to better practices, like regular alcohol screenings at memory clinics or specialised services for people with alcohol-related dementia. They may also support public health messages about drinking less to lower the risk of dementia. Knowing what is known and what is not known will help future research and actions.</w:t>
      </w:r>
      <w:r w:rsidRPr="00E7586D">
        <w:rPr>
          <w:rFonts w:ascii="Calibri" w:eastAsiaTheme="majorEastAsia" w:hAnsi="Calibri" w:cs="Calibri"/>
          <w:spacing w:val="-10"/>
          <w:kern w:val="28"/>
          <w:sz w:val="22"/>
          <w:szCs w:val="22"/>
          <w:lang w:val="en-GB"/>
        </w:rPr>
        <w:br/>
      </w:r>
      <w:r w:rsidRPr="00E7586D">
        <w:rPr>
          <w:rFonts w:ascii="Calibri" w:eastAsiaTheme="majorEastAsia" w:hAnsi="Calibri" w:cs="Calibri"/>
          <w:spacing w:val="-10"/>
          <w:kern w:val="28"/>
          <w:sz w:val="22"/>
          <w:szCs w:val="22"/>
          <w:lang w:val="en-GB"/>
        </w:rPr>
        <w:br/>
        <w:t>Ethics</w:t>
      </w:r>
      <w:r w:rsidRPr="00E7586D">
        <w:rPr>
          <w:rFonts w:ascii="Calibri" w:eastAsiaTheme="majorEastAsia" w:hAnsi="Calibri" w:cs="Calibri"/>
          <w:spacing w:val="-10"/>
          <w:kern w:val="28"/>
          <w:sz w:val="22"/>
          <w:szCs w:val="22"/>
          <w:lang w:val="en-GB"/>
        </w:rPr>
        <w:br/>
      </w:r>
      <w:r w:rsidRPr="00E7586D">
        <w:rPr>
          <w:rFonts w:ascii="Calibri" w:eastAsiaTheme="majorEastAsia" w:hAnsi="Calibri" w:cs="Calibri"/>
          <w:spacing w:val="-10"/>
          <w:kern w:val="28"/>
          <w:sz w:val="22"/>
          <w:szCs w:val="22"/>
          <w:lang w:val="en-GB"/>
        </w:rPr>
        <w:br/>
      </w:r>
      <w:r w:rsidRPr="00E7586D">
        <w:rPr>
          <w:rFonts w:ascii="Calibri" w:eastAsiaTheme="majorEastAsia" w:hAnsi="Calibri" w:cs="Calibri"/>
          <w:spacing w:val="-10"/>
          <w:kern w:val="28"/>
          <w:sz w:val="22"/>
          <w:szCs w:val="22"/>
          <w:lang w:val="en-GB"/>
        </w:rPr>
        <w:lastRenderedPageBreak/>
        <w:t xml:space="preserve">Ethical approval is not necessary for this project since it only </w:t>
      </w:r>
      <w:proofErr w:type="gramStart"/>
      <w:r w:rsidRPr="00E7586D">
        <w:rPr>
          <w:rFonts w:ascii="Calibri" w:eastAsiaTheme="majorEastAsia" w:hAnsi="Calibri" w:cs="Calibri"/>
          <w:spacing w:val="-10"/>
          <w:kern w:val="28"/>
          <w:sz w:val="22"/>
          <w:szCs w:val="22"/>
          <w:lang w:val="en-GB"/>
        </w:rPr>
        <w:t>utilises</w:t>
      </w:r>
      <w:proofErr w:type="gramEnd"/>
      <w:r w:rsidRPr="00E7586D">
        <w:rPr>
          <w:rFonts w:ascii="Calibri" w:eastAsiaTheme="majorEastAsia" w:hAnsi="Calibri" w:cs="Calibri"/>
          <w:spacing w:val="-10"/>
          <w:kern w:val="28"/>
          <w:sz w:val="22"/>
          <w:szCs w:val="22"/>
          <w:lang w:val="en-GB"/>
        </w:rPr>
        <w:t xml:space="preserve"> published literature and does not incorporate new patient data. The review will be honest because it will use clear methods and fair analysis.</w:t>
      </w:r>
    </w:p>
    <w:p w14:paraId="617C2DDF" w14:textId="465E8074" w:rsidR="00855FDA" w:rsidRPr="002D5021" w:rsidRDefault="00855FDA" w:rsidP="00855FDA">
      <w:pPr>
        <w:jc w:val="center"/>
        <w:rPr>
          <w:rFonts w:ascii="Calibri" w:hAnsi="Calibri" w:cs="Calibri"/>
          <w:b/>
          <w:bCs/>
          <w:sz w:val="22"/>
          <w:szCs w:val="22"/>
          <w:lang w:val="en-GB"/>
        </w:rPr>
      </w:pPr>
      <w:r w:rsidRPr="002D5021">
        <w:rPr>
          <w:rFonts w:ascii="Calibri" w:hAnsi="Calibri" w:cs="Calibri"/>
          <w:sz w:val="22"/>
          <w:szCs w:val="22"/>
        </w:rPr>
        <w:br/>
      </w:r>
      <w:r w:rsidRPr="002D5021">
        <w:rPr>
          <w:rFonts w:ascii="Calibri" w:hAnsi="Calibri" w:cs="Calibri"/>
          <w:sz w:val="22"/>
          <w:szCs w:val="22"/>
        </w:rPr>
        <w:br/>
      </w:r>
      <w:r w:rsidRPr="002D5021">
        <w:rPr>
          <w:rFonts w:ascii="Calibri" w:hAnsi="Calibri" w:cs="Calibri"/>
          <w:b/>
          <w:bCs/>
          <w:sz w:val="22"/>
          <w:szCs w:val="22"/>
          <w:lang w:val="en-GB"/>
        </w:rPr>
        <w:t>References (UWTSD Harvard Style)</w:t>
      </w:r>
    </w:p>
    <w:p w14:paraId="07534093" w14:textId="77777777" w:rsidR="00855FDA" w:rsidRPr="002D5021" w:rsidRDefault="00855FDA" w:rsidP="00855FDA">
      <w:pPr>
        <w:jc w:val="center"/>
        <w:rPr>
          <w:rFonts w:ascii="Calibri" w:hAnsi="Calibri" w:cs="Calibri"/>
          <w:b/>
          <w:bCs/>
          <w:sz w:val="22"/>
          <w:szCs w:val="22"/>
          <w:lang w:val="en-GB"/>
        </w:rPr>
      </w:pPr>
    </w:p>
    <w:p w14:paraId="73F8A843" w14:textId="77777777" w:rsidR="00855FDA" w:rsidRPr="002D5021" w:rsidRDefault="00855FDA" w:rsidP="00855FDA">
      <w:pPr>
        <w:jc w:val="center"/>
        <w:rPr>
          <w:rFonts w:ascii="Calibri" w:hAnsi="Calibri" w:cs="Calibri"/>
          <w:sz w:val="22"/>
          <w:szCs w:val="22"/>
          <w:lang w:val="en-GB"/>
        </w:rPr>
      </w:pPr>
      <w:r w:rsidRPr="00855FDA">
        <w:rPr>
          <w:rFonts w:ascii="Calibri" w:hAnsi="Calibri" w:cs="Calibri"/>
          <w:sz w:val="22"/>
          <w:szCs w:val="22"/>
          <w:lang w:val="en-GB"/>
        </w:rPr>
        <w:t>Aveyard, H. (2014). </w:t>
      </w:r>
      <w:r w:rsidRPr="00855FDA">
        <w:rPr>
          <w:rFonts w:ascii="Calibri" w:hAnsi="Calibri" w:cs="Calibri"/>
          <w:i/>
          <w:iCs/>
          <w:sz w:val="22"/>
          <w:szCs w:val="22"/>
          <w:lang w:val="en-GB"/>
        </w:rPr>
        <w:t>Doing a Literature Review in Health and Social Care: A Practical Guide</w:t>
      </w:r>
      <w:r w:rsidRPr="00855FDA">
        <w:rPr>
          <w:rFonts w:ascii="Calibri" w:hAnsi="Calibri" w:cs="Calibri"/>
          <w:sz w:val="22"/>
          <w:szCs w:val="22"/>
          <w:lang w:val="en-GB"/>
        </w:rPr>
        <w:t>. 3rd ed. Maidenhead: Open University Press.</w:t>
      </w:r>
    </w:p>
    <w:p w14:paraId="75A8DC86" w14:textId="77777777" w:rsidR="00855FDA" w:rsidRPr="00855FDA" w:rsidRDefault="00855FDA" w:rsidP="00855FDA">
      <w:pPr>
        <w:jc w:val="center"/>
        <w:rPr>
          <w:rFonts w:ascii="Calibri" w:hAnsi="Calibri" w:cs="Calibri"/>
          <w:sz w:val="22"/>
          <w:szCs w:val="22"/>
          <w:lang w:val="en-GB"/>
        </w:rPr>
      </w:pPr>
    </w:p>
    <w:p w14:paraId="255C13E5" w14:textId="77777777" w:rsidR="00855FDA" w:rsidRPr="002D5021" w:rsidRDefault="00855FDA" w:rsidP="00855FDA">
      <w:pPr>
        <w:jc w:val="center"/>
        <w:rPr>
          <w:rFonts w:ascii="Calibri" w:hAnsi="Calibri" w:cs="Calibri"/>
          <w:sz w:val="22"/>
          <w:szCs w:val="22"/>
          <w:lang w:val="en-GB"/>
        </w:rPr>
      </w:pPr>
      <w:r w:rsidRPr="00855FDA">
        <w:rPr>
          <w:rFonts w:ascii="Calibri" w:hAnsi="Calibri" w:cs="Calibri"/>
          <w:sz w:val="22"/>
          <w:szCs w:val="22"/>
          <w:lang w:val="en-GB"/>
        </w:rPr>
        <w:t>Arksey, H. and O’Malley, L. (2005). “Scoping studies: towards a methodological framework.” </w:t>
      </w:r>
      <w:r w:rsidRPr="00855FDA">
        <w:rPr>
          <w:rFonts w:ascii="Calibri" w:hAnsi="Calibri" w:cs="Calibri"/>
          <w:i/>
          <w:iCs/>
          <w:sz w:val="22"/>
          <w:szCs w:val="22"/>
          <w:lang w:val="en-GB"/>
        </w:rPr>
        <w:t>International Journal of Social Research Methodology</w:t>
      </w:r>
      <w:r w:rsidRPr="00855FDA">
        <w:rPr>
          <w:rFonts w:ascii="Calibri" w:hAnsi="Calibri" w:cs="Calibri"/>
          <w:sz w:val="22"/>
          <w:szCs w:val="22"/>
          <w:lang w:val="en-GB"/>
        </w:rPr>
        <w:t>, 8(1), pp. 19–32.</w:t>
      </w:r>
    </w:p>
    <w:p w14:paraId="0E7977DF" w14:textId="77777777" w:rsidR="00855FDA" w:rsidRPr="00855FDA" w:rsidRDefault="00855FDA" w:rsidP="00855FDA">
      <w:pPr>
        <w:jc w:val="center"/>
        <w:rPr>
          <w:rFonts w:ascii="Calibri" w:hAnsi="Calibri" w:cs="Calibri"/>
          <w:sz w:val="22"/>
          <w:szCs w:val="22"/>
          <w:lang w:val="en-GB"/>
        </w:rPr>
      </w:pPr>
    </w:p>
    <w:p w14:paraId="5873EDEA" w14:textId="77777777" w:rsidR="00855FDA" w:rsidRPr="002D5021" w:rsidRDefault="00855FDA" w:rsidP="00855FDA">
      <w:pPr>
        <w:jc w:val="center"/>
        <w:rPr>
          <w:rFonts w:ascii="Calibri" w:hAnsi="Calibri" w:cs="Calibri"/>
          <w:sz w:val="22"/>
          <w:szCs w:val="22"/>
          <w:lang w:val="en-GB"/>
        </w:rPr>
      </w:pPr>
      <w:r w:rsidRPr="00855FDA">
        <w:rPr>
          <w:rFonts w:ascii="Calibri" w:hAnsi="Calibri" w:cs="Calibri"/>
          <w:sz w:val="22"/>
          <w:szCs w:val="22"/>
          <w:lang w:val="en-GB"/>
        </w:rPr>
        <w:t>Dementia UK (2023). </w:t>
      </w:r>
      <w:r w:rsidRPr="00855FDA">
        <w:rPr>
          <w:rFonts w:ascii="Calibri" w:hAnsi="Calibri" w:cs="Calibri"/>
          <w:i/>
          <w:iCs/>
          <w:sz w:val="22"/>
          <w:szCs w:val="22"/>
          <w:lang w:val="en-GB"/>
        </w:rPr>
        <w:t>Alcohol and dementia</w:t>
      </w:r>
      <w:r w:rsidRPr="00855FDA">
        <w:rPr>
          <w:rFonts w:ascii="Calibri" w:hAnsi="Calibri" w:cs="Calibri"/>
          <w:sz w:val="22"/>
          <w:szCs w:val="22"/>
          <w:lang w:val="en-GB"/>
        </w:rPr>
        <w:t>. [Online]. Available at: https://www.dementiauk.org/information-and-support/living-with-dementia/alcohol-and-dementia/ (Accessed 4 October 2025).</w:t>
      </w:r>
    </w:p>
    <w:p w14:paraId="2593CD56" w14:textId="77777777" w:rsidR="00855FDA" w:rsidRPr="00855FDA" w:rsidRDefault="00855FDA" w:rsidP="00855FDA">
      <w:pPr>
        <w:jc w:val="center"/>
        <w:rPr>
          <w:rFonts w:ascii="Calibri" w:hAnsi="Calibri" w:cs="Calibri"/>
          <w:sz w:val="22"/>
          <w:szCs w:val="22"/>
          <w:lang w:val="en-GB"/>
        </w:rPr>
      </w:pPr>
    </w:p>
    <w:p w14:paraId="727B0CE9" w14:textId="77777777" w:rsidR="00855FDA" w:rsidRPr="002D5021" w:rsidRDefault="00855FDA" w:rsidP="00855FDA">
      <w:pPr>
        <w:jc w:val="center"/>
        <w:rPr>
          <w:rFonts w:ascii="Calibri" w:hAnsi="Calibri" w:cs="Calibri"/>
          <w:sz w:val="22"/>
          <w:szCs w:val="22"/>
          <w:lang w:val="en-GB"/>
        </w:rPr>
      </w:pPr>
      <w:r w:rsidRPr="00855FDA">
        <w:rPr>
          <w:rFonts w:ascii="Calibri" w:hAnsi="Calibri" w:cs="Calibri"/>
          <w:sz w:val="22"/>
          <w:szCs w:val="22"/>
          <w:lang w:val="en-GB"/>
        </w:rPr>
        <w:t>Livingston, G. </w:t>
      </w:r>
      <w:r w:rsidRPr="00855FDA">
        <w:rPr>
          <w:rFonts w:ascii="Calibri" w:hAnsi="Calibri" w:cs="Calibri"/>
          <w:b/>
          <w:bCs/>
          <w:sz w:val="22"/>
          <w:szCs w:val="22"/>
          <w:lang w:val="en-GB"/>
        </w:rPr>
        <w:t>et al.</w:t>
      </w:r>
      <w:r w:rsidRPr="00855FDA">
        <w:rPr>
          <w:rFonts w:ascii="Calibri" w:hAnsi="Calibri" w:cs="Calibri"/>
          <w:sz w:val="22"/>
          <w:szCs w:val="22"/>
          <w:lang w:val="en-GB"/>
        </w:rPr>
        <w:t> (2020). “Dementia prevention, intervention, and care: 2020 report of the Lancet Commission.” </w:t>
      </w:r>
      <w:r w:rsidRPr="00855FDA">
        <w:rPr>
          <w:rFonts w:ascii="Calibri" w:hAnsi="Calibri" w:cs="Calibri"/>
          <w:i/>
          <w:iCs/>
          <w:sz w:val="22"/>
          <w:szCs w:val="22"/>
          <w:lang w:val="en-GB"/>
        </w:rPr>
        <w:t>The Lancet</w:t>
      </w:r>
      <w:r w:rsidRPr="00855FDA">
        <w:rPr>
          <w:rFonts w:ascii="Calibri" w:hAnsi="Calibri" w:cs="Calibri"/>
          <w:sz w:val="22"/>
          <w:szCs w:val="22"/>
          <w:lang w:val="en-GB"/>
        </w:rPr>
        <w:t>, 396(10248), pp. 413–446.</w:t>
      </w:r>
    </w:p>
    <w:p w14:paraId="54086166" w14:textId="77777777" w:rsidR="00855FDA" w:rsidRPr="00855FDA" w:rsidRDefault="00855FDA" w:rsidP="00855FDA">
      <w:pPr>
        <w:jc w:val="center"/>
        <w:rPr>
          <w:rFonts w:ascii="Calibri" w:hAnsi="Calibri" w:cs="Calibri"/>
          <w:sz w:val="22"/>
          <w:szCs w:val="22"/>
          <w:lang w:val="en-GB"/>
        </w:rPr>
      </w:pPr>
    </w:p>
    <w:p w14:paraId="75AB3DDA" w14:textId="77777777" w:rsidR="00855FDA" w:rsidRPr="002D5021" w:rsidRDefault="00855FDA" w:rsidP="00855FDA">
      <w:pPr>
        <w:jc w:val="center"/>
        <w:rPr>
          <w:rFonts w:ascii="Calibri" w:hAnsi="Calibri" w:cs="Calibri"/>
          <w:sz w:val="22"/>
          <w:szCs w:val="22"/>
          <w:lang w:val="en-GB"/>
        </w:rPr>
      </w:pPr>
      <w:r w:rsidRPr="00855FDA">
        <w:rPr>
          <w:rFonts w:ascii="Calibri" w:hAnsi="Calibri" w:cs="Calibri"/>
          <w:sz w:val="22"/>
          <w:szCs w:val="22"/>
          <w:lang w:val="en-GB"/>
        </w:rPr>
        <w:t>Topiwala, A. </w:t>
      </w:r>
      <w:r w:rsidRPr="00855FDA">
        <w:rPr>
          <w:rFonts w:ascii="Calibri" w:hAnsi="Calibri" w:cs="Calibri"/>
          <w:b/>
          <w:bCs/>
          <w:sz w:val="22"/>
          <w:szCs w:val="22"/>
          <w:lang w:val="en-GB"/>
        </w:rPr>
        <w:t>et al.</w:t>
      </w:r>
      <w:r w:rsidRPr="00855FDA">
        <w:rPr>
          <w:rFonts w:ascii="Calibri" w:hAnsi="Calibri" w:cs="Calibri"/>
          <w:sz w:val="22"/>
          <w:szCs w:val="22"/>
          <w:lang w:val="en-GB"/>
        </w:rPr>
        <w:t> (2025). “Alcohol use and risk of dementia in diverse populations: evidence from cohort, case–control and Mendelian randomisation approaches.” </w:t>
      </w:r>
      <w:r w:rsidRPr="00855FDA">
        <w:rPr>
          <w:rFonts w:ascii="Calibri" w:hAnsi="Calibri" w:cs="Calibri"/>
          <w:i/>
          <w:iCs/>
          <w:sz w:val="22"/>
          <w:szCs w:val="22"/>
          <w:lang w:val="en-GB"/>
        </w:rPr>
        <w:t>BMJ Evidence-Based Medicine</w:t>
      </w:r>
      <w:r w:rsidRPr="00855FDA">
        <w:rPr>
          <w:rFonts w:ascii="Calibri" w:hAnsi="Calibri" w:cs="Calibri"/>
          <w:sz w:val="22"/>
          <w:szCs w:val="22"/>
          <w:lang w:val="en-GB"/>
        </w:rPr>
        <w:t>. [Online ahead of print] </w:t>
      </w:r>
      <w:hyperlink r:id="rId12" w:anchor=":~:text=Conclusions%3A%20%20These%20findings%20provide,dementia%20by%20up%20to%2016" w:tgtFrame="_blank" w:history="1">
        <w:r w:rsidRPr="00855FDA">
          <w:rPr>
            <w:rStyle w:val="Hyperlink"/>
            <w:rFonts w:ascii="Calibri" w:hAnsi="Calibri" w:cs="Calibri"/>
            <w:sz w:val="22"/>
            <w:szCs w:val="22"/>
            <w:lang w:val="en-GB"/>
          </w:rPr>
          <w:t>pubmed.ncbi.nlm.nih.gov</w:t>
        </w:r>
      </w:hyperlink>
      <w:r w:rsidRPr="00855FDA">
        <w:rPr>
          <w:rFonts w:ascii="Calibri" w:hAnsi="Calibri" w:cs="Calibri"/>
          <w:sz w:val="22"/>
          <w:szCs w:val="22"/>
          <w:lang w:val="en-GB"/>
        </w:rPr>
        <w:t>.</w:t>
      </w:r>
    </w:p>
    <w:p w14:paraId="2E33DCDE" w14:textId="77777777" w:rsidR="00855FDA" w:rsidRPr="00855FDA" w:rsidRDefault="00855FDA" w:rsidP="00855FDA">
      <w:pPr>
        <w:jc w:val="center"/>
        <w:rPr>
          <w:rFonts w:ascii="Calibri" w:hAnsi="Calibri" w:cs="Calibri"/>
          <w:sz w:val="22"/>
          <w:szCs w:val="22"/>
          <w:lang w:val="en-GB"/>
        </w:rPr>
      </w:pPr>
    </w:p>
    <w:p w14:paraId="0942AE9D" w14:textId="35C30510" w:rsidR="00855FDA" w:rsidRPr="002D5021" w:rsidRDefault="00855FDA" w:rsidP="002D5021">
      <w:pPr>
        <w:jc w:val="center"/>
        <w:rPr>
          <w:rFonts w:ascii="Calibri" w:hAnsi="Calibri" w:cs="Calibri"/>
          <w:sz w:val="22"/>
          <w:szCs w:val="22"/>
          <w:lang w:val="en-GB"/>
        </w:rPr>
      </w:pPr>
      <w:r w:rsidRPr="00855FDA">
        <w:rPr>
          <w:rFonts w:ascii="Calibri" w:hAnsi="Calibri" w:cs="Calibri"/>
          <w:sz w:val="22"/>
          <w:szCs w:val="22"/>
          <w:lang w:val="en-GB"/>
        </w:rPr>
        <w:t>Alzheimer’s Society (2023). </w:t>
      </w:r>
      <w:r w:rsidRPr="00855FDA">
        <w:rPr>
          <w:rFonts w:ascii="Calibri" w:hAnsi="Calibri" w:cs="Calibri"/>
          <w:i/>
          <w:iCs/>
          <w:sz w:val="22"/>
          <w:szCs w:val="22"/>
          <w:lang w:val="en-GB"/>
        </w:rPr>
        <w:t>Alcohol and the risk of dementia</w:t>
      </w:r>
      <w:r w:rsidRPr="00855FDA">
        <w:rPr>
          <w:rFonts w:ascii="Calibri" w:hAnsi="Calibri" w:cs="Calibri"/>
          <w:sz w:val="22"/>
          <w:szCs w:val="22"/>
          <w:lang w:val="en-GB"/>
        </w:rPr>
        <w:t>. [Online]. Available at: https://www.alzheimers.org.uk/about-dementia/managing-the-risk-of-dementia/reduce-your-risk-of-dementia/alcohol(Accessed 4 October 2025).</w:t>
      </w:r>
    </w:p>
    <w:sectPr w:rsidR="00855FDA" w:rsidRPr="002D5021" w:rsidSect="000A1560">
      <w:headerReference w:type="default" r:id="rId13"/>
      <w:headerReference w:type="first" r:id="rId14"/>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1C4A1D" w14:textId="77777777" w:rsidR="004516E2" w:rsidRDefault="004516E2">
      <w:pPr>
        <w:spacing w:line="240" w:lineRule="auto"/>
      </w:pPr>
      <w:r>
        <w:separator/>
      </w:r>
    </w:p>
  </w:endnote>
  <w:endnote w:type="continuationSeparator" w:id="0">
    <w:p w14:paraId="7D9D738F" w14:textId="77777777" w:rsidR="004516E2" w:rsidRDefault="004516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EE"/>
    <w:family w:val="swiss"/>
    <w:pitch w:val="variable"/>
    <w:sig w:usb0="E0002A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A4458" w14:textId="77777777" w:rsidR="004516E2" w:rsidRDefault="004516E2">
      <w:pPr>
        <w:spacing w:line="240" w:lineRule="auto"/>
      </w:pPr>
      <w:r>
        <w:separator/>
      </w:r>
    </w:p>
  </w:footnote>
  <w:footnote w:type="continuationSeparator" w:id="0">
    <w:p w14:paraId="407E690E" w14:textId="77777777" w:rsidR="004516E2" w:rsidRDefault="004516E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F01E6D" w14:textId="4A06BA21" w:rsidR="00184CD1" w:rsidRDefault="00000000">
    <w:pPr>
      <w:pStyle w:val="Header"/>
    </w:pPr>
    <w:sdt>
      <w:sdtPr>
        <w:id w:val="1568531701"/>
        <w:placeholder>
          <w:docPart w:val="19EFFCC1909E17448AABDE9F14849F3F"/>
        </w:placeholder>
        <w:dataBinding w:prefixMappings="xmlns:ns0='http://schemas.microsoft.com/office/2006/coverPageProps' " w:xpath="/ns0:CoverPageProperties[1]/ns0:Abstract[1]" w:storeItemID="{55AF091B-3C7A-41E3-B477-F2FDAA23CFDA}"/>
        <w15:appearance w15:val="hidden"/>
        <w:text/>
      </w:sdtPr>
      <w:sdtContent>
        <w:r w:rsidR="00364E7A">
          <w:t>SHAREEN BI</w:t>
        </w:r>
      </w:sdtContent>
    </w:sdt>
    <w:r w:rsidR="00DC24A1">
      <w:rPr>
        <w:lang w:val="en-GB" w:bidi="en-GB"/>
      </w:rPr>
      <w:t xml:space="preserve"> </w:t>
    </w:r>
    <w:r w:rsidR="00DC24A1">
      <w:rPr>
        <w:lang w:val="en-GB" w:bidi="en-GB"/>
      </w:rPr>
      <w:fldChar w:fldCharType="begin"/>
    </w:r>
    <w:r w:rsidR="00DC24A1">
      <w:rPr>
        <w:lang w:val="en-GB" w:bidi="en-GB"/>
      </w:rPr>
      <w:instrText xml:space="preserve"> PAGE   \* MERGEFORMAT </w:instrText>
    </w:r>
    <w:r w:rsidR="00DC24A1">
      <w:rPr>
        <w:lang w:val="en-GB" w:bidi="en-GB"/>
      </w:rPr>
      <w:fldChar w:fldCharType="separate"/>
    </w:r>
    <w:r w:rsidR="000A1560">
      <w:rPr>
        <w:noProof/>
        <w:lang w:val="en-GB" w:bidi="en-GB"/>
      </w:rPr>
      <w:t>4</w:t>
    </w:r>
    <w:r w:rsidR="00DC24A1">
      <w:rPr>
        <w:noProof/>
        <w:lang w:val="en-GB" w:bidi="en-GB"/>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85319" w14:textId="7226C69F" w:rsidR="00184CD1" w:rsidRDefault="00000000">
    <w:pPr>
      <w:pStyle w:val="Header"/>
    </w:pPr>
    <w:sdt>
      <w:sdtPr>
        <w:id w:val="-348181431"/>
        <w:placeholder>
          <w:docPart w:val="037167F6E349AA429E035EFEEB7A5E73"/>
        </w:placeholder>
        <w:dataBinding w:prefixMappings="xmlns:ns0='http://schemas.microsoft.com/office/2006/coverPageProps' " w:xpath="/ns0:CoverPageProperties[1]/ns0:Abstract[1]" w:storeItemID="{55AF091B-3C7A-41E3-B477-F2FDAA23CFDA}"/>
        <w15:appearance w15:val="hidden"/>
        <w:text/>
      </w:sdtPr>
      <w:sdtContent>
        <w:r w:rsidR="00364E7A">
          <w:t>SHAREEN BI</w:t>
        </w:r>
      </w:sdtContent>
    </w:sdt>
    <w:r w:rsidR="00364E7A">
      <w:rPr>
        <w:lang w:val="en-GB" w:bidi="en-GB"/>
      </w:rPr>
      <w:t xml:space="preserve"> </w:t>
    </w:r>
    <w:r w:rsidR="00DC24A1">
      <w:rPr>
        <w:lang w:val="en-GB" w:bidi="en-GB"/>
      </w:rPr>
      <w:fldChar w:fldCharType="begin"/>
    </w:r>
    <w:r w:rsidR="00DC24A1">
      <w:rPr>
        <w:lang w:val="en-GB" w:bidi="en-GB"/>
      </w:rPr>
      <w:instrText xml:space="preserve"> PAGE   \* MERGEFORMAT </w:instrText>
    </w:r>
    <w:r w:rsidR="00DC24A1">
      <w:rPr>
        <w:lang w:val="en-GB" w:bidi="en-GB"/>
      </w:rPr>
      <w:fldChar w:fldCharType="separate"/>
    </w:r>
    <w:r w:rsidR="000A1560">
      <w:rPr>
        <w:noProof/>
        <w:lang w:val="en-GB" w:bidi="en-GB"/>
      </w:rPr>
      <w:t>1</w:t>
    </w:r>
    <w:r w:rsidR="00DC24A1">
      <w:rPr>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8A8F44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6663BC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90012B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9141AF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EAE076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C6D0A094"/>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411571A9"/>
    <w:multiLevelType w:val="multilevel"/>
    <w:tmpl w:val="670EF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5B1B5787"/>
    <w:multiLevelType w:val="multilevel"/>
    <w:tmpl w:val="4572ABF8"/>
    <w:numStyleLink w:val="MLAOutline"/>
  </w:abstractNum>
  <w:num w:numId="1" w16cid:durableId="771780996">
    <w:abstractNumId w:val="9"/>
  </w:num>
  <w:num w:numId="2" w16cid:durableId="1713653132">
    <w:abstractNumId w:val="7"/>
  </w:num>
  <w:num w:numId="3" w16cid:durableId="1927765618">
    <w:abstractNumId w:val="6"/>
  </w:num>
  <w:num w:numId="4" w16cid:durableId="520438525">
    <w:abstractNumId w:val="5"/>
  </w:num>
  <w:num w:numId="5" w16cid:durableId="1669937884">
    <w:abstractNumId w:val="4"/>
  </w:num>
  <w:num w:numId="6" w16cid:durableId="824707386">
    <w:abstractNumId w:val="8"/>
  </w:num>
  <w:num w:numId="7" w16cid:durableId="1624849184">
    <w:abstractNumId w:val="3"/>
  </w:num>
  <w:num w:numId="8" w16cid:durableId="90008280">
    <w:abstractNumId w:val="2"/>
  </w:num>
  <w:num w:numId="9" w16cid:durableId="1218131588">
    <w:abstractNumId w:val="1"/>
  </w:num>
  <w:num w:numId="10" w16cid:durableId="553976380">
    <w:abstractNumId w:val="0"/>
  </w:num>
  <w:num w:numId="11" w16cid:durableId="418986950">
    <w:abstractNumId w:val="10"/>
  </w:num>
  <w:num w:numId="12" w16cid:durableId="334889230">
    <w:abstractNumId w:val="12"/>
  </w:num>
  <w:num w:numId="13" w16cid:durableId="958729026">
    <w:abstractNumId w:val="13"/>
  </w:num>
  <w:num w:numId="14" w16cid:durableId="65025474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E7A"/>
    <w:rsid w:val="000A1560"/>
    <w:rsid w:val="00184CD1"/>
    <w:rsid w:val="002D5021"/>
    <w:rsid w:val="00364E7A"/>
    <w:rsid w:val="004516E2"/>
    <w:rsid w:val="007A138D"/>
    <w:rsid w:val="00855FDA"/>
    <w:rsid w:val="008F5BC7"/>
    <w:rsid w:val="00992371"/>
    <w:rsid w:val="00DC24A1"/>
    <w:rsid w:val="00E043FE"/>
    <w:rsid w:val="00E75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33ADF0"/>
  <w15:chartTrackingRefBased/>
  <w15:docId w15:val="{B65C1CFF-09D7-4141-A4F3-21926D72E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FDA"/>
    <w:pPr>
      <w:suppressAutoHyphens/>
    </w:pPr>
  </w:style>
  <w:style w:type="paragraph" w:styleId="Heading1">
    <w:name w:val="heading 1"/>
    <w:basedOn w:val="Normal"/>
    <w:next w:val="Normal"/>
    <w:link w:val="Heading1Char"/>
    <w:uiPriority w:val="9"/>
    <w:qFormat/>
    <w:pPr>
      <w:keepNext/>
      <w:keepLines/>
      <w:ind w:firstLine="0"/>
      <w:outlineLvl w:val="0"/>
    </w:pPr>
    <w:rPr>
      <w:rFonts w:asciiTheme="majorHAnsi" w:eastAsiaTheme="majorEastAsia" w:hAnsiTheme="majorHAnsi" w:cstheme="majorBidi"/>
    </w:rPr>
  </w:style>
  <w:style w:type="paragraph" w:styleId="Heading2">
    <w:name w:val="heading 2"/>
    <w:basedOn w:val="Normal"/>
    <w:next w:val="Normal"/>
    <w:link w:val="Heading2Char"/>
    <w:uiPriority w:val="9"/>
    <w:unhideWhenUsed/>
    <w:qFormat/>
    <w:pPr>
      <w:keepNext/>
      <w:keepLines/>
      <w:ind w:firstLine="0"/>
      <w:outlineLvl w:val="1"/>
    </w:pPr>
    <w:rPr>
      <w:rFonts w:asciiTheme="majorHAnsi" w:eastAsiaTheme="majorEastAsia" w:hAnsiTheme="majorHAnsi" w:cstheme="majorBidi"/>
    </w:rPr>
  </w:style>
  <w:style w:type="paragraph" w:styleId="Heading3">
    <w:name w:val="heading 3"/>
    <w:basedOn w:val="Normal"/>
    <w:next w:val="Normal"/>
    <w:link w:val="Heading3Char"/>
    <w:uiPriority w:val="9"/>
    <w:semiHidden/>
    <w:unhideWhenUsed/>
    <w:qFormat/>
    <w:pPr>
      <w:keepNext/>
      <w:keepLines/>
      <w:ind w:firstLine="0"/>
      <w:outlineLvl w:val="2"/>
    </w:pPr>
    <w:rPr>
      <w:rFonts w:asciiTheme="majorHAnsi" w:eastAsiaTheme="majorEastAsia" w:hAnsiTheme="majorHAnsi" w:cstheme="majorBidi"/>
    </w:rPr>
  </w:style>
  <w:style w:type="paragraph" w:styleId="Heading4">
    <w:name w:val="heading 4"/>
    <w:basedOn w:val="Normal"/>
    <w:next w:val="Normal"/>
    <w:link w:val="Heading4Char"/>
    <w:uiPriority w:val="9"/>
    <w:semiHidden/>
    <w:unhideWhenUsed/>
    <w:qFormat/>
    <w:pPr>
      <w:keepNext/>
      <w:keepLines/>
      <w:ind w:firstLine="0"/>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pPr>
      <w:keepNext/>
      <w:keepLines/>
      <w:ind w:firstLine="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pPr>
      <w:keepNext/>
      <w:keepLines/>
      <w:ind w:firstLine="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pPr>
      <w:keepNext/>
      <w:keepLines/>
      <w:ind w:firstLine="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pPr>
      <w:keepNext/>
      <w:keepLines/>
      <w:ind w:firstLine="0"/>
      <w:outlineLvl w:val="7"/>
    </w:pPr>
    <w:rPr>
      <w:rFonts w:asciiTheme="majorHAnsi" w:eastAsiaTheme="majorEastAsia" w:hAnsiTheme="majorHAnsi" w:cstheme="majorBidi"/>
    </w:rPr>
  </w:style>
  <w:style w:type="paragraph" w:styleId="Heading9">
    <w:name w:val="heading 9"/>
    <w:basedOn w:val="Normal"/>
    <w:next w:val="Normal"/>
    <w:link w:val="Heading9Char"/>
    <w:uiPriority w:val="9"/>
    <w:semiHidden/>
    <w:unhideWhenUsed/>
    <w:qFormat/>
    <w:pPr>
      <w:keepNext/>
      <w:keepLines/>
      <w:ind w:firstLine="0"/>
      <w:outlineLvl w:val="8"/>
    </w:pPr>
    <w:rPr>
      <w:rFonts w:asciiTheme="majorHAnsi" w:eastAsiaTheme="majorEastAsia" w:hAnsiTheme="majorHAnsi" w:cstheme="majorBid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qFormat/>
    <w:pPr>
      <w:spacing w:line="240" w:lineRule="auto"/>
      <w:ind w:firstLine="0"/>
      <w:jc w:val="right"/>
    </w:pPr>
  </w:style>
  <w:style w:type="character" w:customStyle="1" w:styleId="HeaderChar">
    <w:name w:val="Header Char"/>
    <w:basedOn w:val="DefaultParagraphFont"/>
    <w:link w:val="Header"/>
    <w:uiPriority w:val="99"/>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Bibliography">
    <w:name w:val="Bibliography"/>
    <w:basedOn w:val="Normal"/>
    <w:next w:val="Normal"/>
    <w:uiPriority w:val="37"/>
    <w:unhideWhenUsed/>
    <w:qFormat/>
    <w:pPr>
      <w:ind w:firstLine="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customStyle="1" w:styleId="TableTitle">
    <w:name w:val="Table Title"/>
    <w:basedOn w:val="Normal"/>
    <w:next w:val="Normal"/>
    <w:uiPriority w:val="3"/>
    <w:qFormat/>
    <w:pPr>
      <w:ind w:left="360" w:hanging="360"/>
    </w:p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style>
  <w:style w:type="character" w:customStyle="1" w:styleId="Heading1Char">
    <w:name w:val="Heading 1 Char"/>
    <w:basedOn w:val="DefaultParagraphFont"/>
    <w:link w:val="Heading1"/>
    <w:uiPriority w:val="9"/>
    <w:rPr>
      <w:rFonts w:asciiTheme="majorHAnsi" w:eastAsiaTheme="majorEastAsia" w:hAnsiTheme="majorHAnsi" w:cstheme="majorBidi"/>
    </w:rPr>
  </w:style>
  <w:style w:type="character" w:customStyle="1" w:styleId="Heading2Char">
    <w:name w:val="Heading 2 Char"/>
    <w:basedOn w:val="DefaultParagraphFont"/>
    <w:link w:val="Heading2"/>
    <w:uiPriority w:val="9"/>
    <w:rPr>
      <w:rFonts w:asciiTheme="majorHAnsi" w:eastAsiaTheme="majorEastAsia" w:hAnsiTheme="majorHAnsi" w:cstheme="majorBidi"/>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9"/>
    <w:semiHidden/>
    <w:unhideWhenUsed/>
    <w:pPr>
      <w:numPr>
        <w:numId w:val="1"/>
      </w:numPr>
      <w:ind w:firstLine="0"/>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9"/>
    <w:semiHidden/>
    <w:unhideWhenUsed/>
    <w:pPr>
      <w:numPr>
        <w:numId w:val="6"/>
      </w:numPr>
      <w:ind w:firstLine="0"/>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0"/>
      <w:szCs w:val="20"/>
    </w:rPr>
  </w:style>
  <w:style w:type="character" w:customStyle="1" w:styleId="MacroTextChar">
    <w:name w:val="Macro Text Char"/>
    <w:basedOn w:val="DefaultParagraphFont"/>
    <w:link w:val="MacroText"/>
    <w:uiPriority w:val="99"/>
    <w:semiHidden/>
    <w:rPr>
      <w:rFonts w:ascii="Consolas" w:hAnsi="Consolas" w:cs="Consolas"/>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shd w:val="pct20" w:color="auto" w:fill="auto"/>
    </w:rPr>
  </w:style>
  <w:style w:type="paragraph" w:styleId="NoSpacing">
    <w:name w:val="No Spacing"/>
    <w:aliases w:val="No Indent"/>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sz w:val="21"/>
      <w:szCs w:val="21"/>
    </w:rPr>
  </w:style>
  <w:style w:type="paragraph" w:styleId="Quote">
    <w:name w:val="Quote"/>
    <w:basedOn w:val="Normal"/>
    <w:next w:val="Normal"/>
    <w:link w:val="QuoteChar"/>
    <w:uiPriority w:val="5"/>
    <w:qFormat/>
    <w:pPr>
      <w:ind w:left="1440" w:firstLine="0"/>
    </w:pPr>
  </w:style>
  <w:style w:type="character" w:customStyle="1" w:styleId="QuoteChar">
    <w:name w:val="Quote Char"/>
    <w:basedOn w:val="DefaultParagraphFont"/>
    <w:link w:val="Quote"/>
    <w:uiPriority w:val="5"/>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itle">
    <w:name w:val="Title"/>
    <w:basedOn w:val="Normal"/>
    <w:next w:val="Normal"/>
    <w:link w:val="TitleChar"/>
    <w:uiPriority w:val="2"/>
    <w:qFormat/>
    <w:pPr>
      <w:ind w:firstLine="0"/>
      <w:jc w:val="center"/>
    </w:pPr>
    <w:rPr>
      <w:rFonts w:asciiTheme="majorHAnsi" w:eastAsiaTheme="majorEastAsia" w:hAnsiTheme="majorHAnsi" w:cstheme="majorBidi"/>
      <w:spacing w:val="-10"/>
      <w:kern w:val="28"/>
    </w:rPr>
  </w:style>
  <w:style w:type="character" w:customStyle="1" w:styleId="TitleChar">
    <w:name w:val="Title Char"/>
    <w:basedOn w:val="DefaultParagraphFont"/>
    <w:link w:val="Title"/>
    <w:uiPriority w:val="2"/>
    <w:rPr>
      <w:rFonts w:asciiTheme="majorHAnsi" w:eastAsiaTheme="majorEastAsia" w:hAnsiTheme="majorHAnsi" w:cstheme="majorBidi"/>
      <w:spacing w:val="-10"/>
      <w:kern w:val="28"/>
    </w:r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1">
    <w:name w:val="toc 1"/>
    <w:basedOn w:val="Normal"/>
    <w:next w:val="Normal"/>
    <w:autoRedefine/>
    <w:uiPriority w:val="39"/>
    <w:semiHidden/>
    <w:unhideWhenUsed/>
    <w:pPr>
      <w:spacing w:after="100"/>
      <w:ind w:firstLine="0"/>
    </w:pPr>
  </w:style>
  <w:style w:type="paragraph" w:styleId="TOC2">
    <w:name w:val="toc 2"/>
    <w:basedOn w:val="Normal"/>
    <w:next w:val="Normal"/>
    <w:autoRedefine/>
    <w:uiPriority w:val="39"/>
    <w:semiHidden/>
    <w:unhideWhenUsed/>
    <w:pPr>
      <w:spacing w:after="100"/>
      <w:ind w:left="240" w:firstLine="0"/>
    </w:pPr>
  </w:style>
  <w:style w:type="paragraph" w:styleId="TOC3">
    <w:name w:val="toc 3"/>
    <w:basedOn w:val="Normal"/>
    <w:next w:val="Normal"/>
    <w:autoRedefine/>
    <w:uiPriority w:val="39"/>
    <w:semiHidden/>
    <w:unhideWhenUsed/>
    <w:pPr>
      <w:spacing w:after="100"/>
      <w:ind w:left="480" w:firstLine="0"/>
    </w:p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Emphasis">
    <w:name w:val="Emphasis"/>
    <w:basedOn w:val="DefaultParagraphFont"/>
    <w:uiPriority w:val="2"/>
    <w:qFormat/>
    <w:rPr>
      <w:i/>
      <w:iCs/>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MLAresearchpapertable">
    <w:name w:val="MLA research paper table"/>
    <w:basedOn w:val="TableNormal"/>
    <w:uiPriority w:val="99"/>
    <w:pPr>
      <w:spacing w:before="240"/>
      <w:ind w:left="72" w:right="72" w:firstLine="0"/>
    </w:pPr>
    <w:tblPr>
      <w:tblBorders>
        <w:top w:val="single" w:sz="4" w:space="0" w:color="auto"/>
        <w:bottom w:val="single" w:sz="4" w:space="0" w:color="auto"/>
      </w:tblBorders>
      <w:tblCellMar>
        <w:left w:w="0" w:type="dxa"/>
        <w:right w:w="0" w:type="dxa"/>
      </w:tblCellMar>
    </w:tblPr>
    <w:tblStylePr w:type="firstRow">
      <w:pPr>
        <w:wordWrap/>
        <w:spacing w:beforeLines="0" w:before="240" w:beforeAutospacing="0" w:afterLines="0" w:after="0" w:afterAutospacing="0"/>
      </w:pPr>
      <w:tblPr/>
      <w:tcPr>
        <w:tcBorders>
          <w:top w:val="single" w:sz="4" w:space="0" w:color="auto"/>
          <w:left w:val="nil"/>
          <w:bottom w:val="single" w:sz="4" w:space="0" w:color="auto"/>
          <w:right w:val="nil"/>
          <w:insideH w:val="nil"/>
          <w:insideV w:val="nil"/>
          <w:tl2br w:val="nil"/>
          <w:tr2bl w:val="nil"/>
        </w:tcBorders>
        <w:vAlign w:val="center"/>
      </w:tcPr>
    </w:tblStylePr>
  </w:style>
  <w:style w:type="paragraph" w:customStyle="1" w:styleId="TableSource">
    <w:name w:val="Table Source"/>
    <w:basedOn w:val="TableTitle"/>
    <w:next w:val="Normal"/>
    <w:uiPriority w:val="4"/>
    <w:qFormat/>
    <w:pPr>
      <w:spacing w:before="240"/>
    </w:pPr>
  </w:style>
  <w:style w:type="paragraph" w:customStyle="1" w:styleId="TableNote">
    <w:name w:val="Table Note"/>
    <w:basedOn w:val="Normal"/>
    <w:uiPriority w:val="4"/>
    <w:qFormat/>
    <w:pPr>
      <w:numPr>
        <w:numId w:val="11"/>
      </w:numPr>
    </w:pPr>
  </w:style>
  <w:style w:type="paragraph" w:customStyle="1" w:styleId="SectionTitle">
    <w:name w:val="Section Title"/>
    <w:basedOn w:val="Normal"/>
    <w:next w:val="Normal"/>
    <w:uiPriority w:val="3"/>
    <w:qFormat/>
    <w:pPr>
      <w:pageBreakBefore/>
      <w:ind w:firstLine="0"/>
      <w:jc w:val="center"/>
      <w:outlineLvl w:val="0"/>
    </w:pPr>
  </w:style>
  <w:style w:type="numbering" w:customStyle="1" w:styleId="MLAOutline">
    <w:name w:val="MLA Outline"/>
    <w:uiPriority w:val="99"/>
    <w:pPr>
      <w:numPr>
        <w:numId w:val="12"/>
      </w:numPr>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character" w:customStyle="1" w:styleId="agcmg">
    <w:name w:val="a_gcmg"/>
    <w:basedOn w:val="DefaultParagraphFont"/>
    <w:rsid w:val="00364E7A"/>
  </w:style>
  <w:style w:type="character" w:styleId="Hyperlink">
    <w:name w:val="Hyperlink"/>
    <w:basedOn w:val="DefaultParagraphFont"/>
    <w:uiPriority w:val="99"/>
    <w:unhideWhenUsed/>
    <w:rsid w:val="00855FDA"/>
    <w:rPr>
      <w:color w:val="5F5F5F" w:themeColor="hyperlink"/>
      <w:u w:val="single"/>
    </w:rPr>
  </w:style>
  <w:style w:type="character" w:styleId="UnresolvedMention">
    <w:name w:val="Unresolved Mention"/>
    <w:basedOn w:val="DefaultParagraphFont"/>
    <w:uiPriority w:val="99"/>
    <w:semiHidden/>
    <w:unhideWhenUsed/>
    <w:rsid w:val="00855FDA"/>
    <w:rPr>
      <w:color w:val="605E5C"/>
      <w:shd w:val="clear" w:color="auto" w:fill="E1DFDD"/>
    </w:rPr>
  </w:style>
  <w:style w:type="character" w:styleId="FollowedHyperlink">
    <w:name w:val="FollowedHyperlink"/>
    <w:basedOn w:val="DefaultParagraphFont"/>
    <w:uiPriority w:val="99"/>
    <w:semiHidden/>
    <w:unhideWhenUsed/>
    <w:rsid w:val="002D5021"/>
    <w:rPr>
      <w:color w:val="91919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pubmed.ncbi.nlm.nih.gov/40987604/"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dementiauk.org/"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alzheimers.org.uk/" TargetMode="External"/><Relationship Id="rId4" Type="http://schemas.openxmlformats.org/officeDocument/2006/relationships/styles" Target="styles.xml"/><Relationship Id="rId9" Type="http://schemas.openxmlformats.org/officeDocument/2006/relationships/hyperlink" Target="http://alzheimers.org.uk/" TargetMode="Externa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wisdommarufu/Library/Containers/com.microsoft.Word/Data/Library/Application%20Support/Microsoft/Office/16.0/DTS/Search/%7b1616CE99-B68E-6041-AD9B-E86C3F90C0B8%7dtf1000209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9EFFCC1909E17448AABDE9F14849F3F"/>
        <w:category>
          <w:name w:val="General"/>
          <w:gallery w:val="placeholder"/>
        </w:category>
        <w:types>
          <w:type w:val="bbPlcHdr"/>
        </w:types>
        <w:behaviors>
          <w:behavior w:val="content"/>
        </w:behaviors>
        <w:guid w:val="{B3AA3787-833F-E544-9B75-C274A8030C86}"/>
      </w:docPartPr>
      <w:docPartBody>
        <w:p w:rsidR="00000000" w:rsidRDefault="00000000">
          <w:pPr>
            <w:pStyle w:val="19EFFCC1909E17448AABDE9F14849F3F"/>
          </w:pPr>
          <w:r>
            <w:rPr>
              <w:lang w:bidi="en-GB"/>
            </w:rPr>
            <w:t>Row Heading</w:t>
          </w:r>
        </w:p>
      </w:docPartBody>
    </w:docPart>
    <w:docPart>
      <w:docPartPr>
        <w:name w:val="037167F6E349AA429E035EFEEB7A5E73"/>
        <w:category>
          <w:name w:val="General"/>
          <w:gallery w:val="placeholder"/>
        </w:category>
        <w:types>
          <w:type w:val="bbPlcHdr"/>
        </w:types>
        <w:behaviors>
          <w:behavior w:val="content"/>
        </w:behaviors>
        <w:guid w:val="{75A013EA-4F54-4C44-8A27-82F82702A196}"/>
      </w:docPartPr>
      <w:docPartBody>
        <w:p w:rsidR="00000000" w:rsidRDefault="00000000">
          <w:pPr>
            <w:pStyle w:val="037167F6E349AA429E035EFEEB7A5E73"/>
          </w:pPr>
          <w:r>
            <w:rPr>
              <w:lang w:bidi="en-GB"/>
            </w:rPr>
            <w:t>Row Heading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EE"/>
    <w:family w:val="swiss"/>
    <w:pitch w:val="variable"/>
    <w:sig w:usb0="E0002AFF" w:usb1="C000ACFF"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725"/>
    <w:rsid w:val="00582725"/>
    <w:rsid w:val="007A1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A2A00E0A46674EAF7136874A1197B9">
    <w:name w:val="33A2A00E0A46674EAF7136874A1197B9"/>
  </w:style>
  <w:style w:type="paragraph" w:customStyle="1" w:styleId="63EDFA3C6B8C8F42A0A98395970FFFDC">
    <w:name w:val="63EDFA3C6B8C8F42A0A98395970FFFDC"/>
  </w:style>
  <w:style w:type="paragraph" w:customStyle="1" w:styleId="B7BE31E21E56824899586B5338E99766">
    <w:name w:val="B7BE31E21E56824899586B5338E99766"/>
  </w:style>
  <w:style w:type="paragraph" w:customStyle="1" w:styleId="BE784E6C024F094C9C315347E14A5DD2">
    <w:name w:val="BE784E6C024F094C9C315347E14A5DD2"/>
  </w:style>
  <w:style w:type="paragraph" w:customStyle="1" w:styleId="B1CF99AF777C6441A3CC77EC8E34E28A">
    <w:name w:val="B1CF99AF777C6441A3CC77EC8E34E28A"/>
  </w:style>
  <w:style w:type="paragraph" w:customStyle="1" w:styleId="73375599F2B1A549AAE2662F78F55E2A">
    <w:name w:val="73375599F2B1A549AAE2662F78F55E2A"/>
  </w:style>
  <w:style w:type="character" w:styleId="Emphasis">
    <w:name w:val="Emphasis"/>
    <w:basedOn w:val="DefaultParagraphFont"/>
    <w:uiPriority w:val="2"/>
    <w:qFormat/>
    <w:rPr>
      <w:i/>
      <w:iCs/>
    </w:rPr>
  </w:style>
  <w:style w:type="paragraph" w:customStyle="1" w:styleId="E0A392DCEA8A3843BF52446F92E254F4">
    <w:name w:val="E0A392DCEA8A3843BF52446F92E254F4"/>
  </w:style>
  <w:style w:type="paragraph" w:customStyle="1" w:styleId="BF4EEB41540CC045B63436F5E5C1B9F4">
    <w:name w:val="BF4EEB41540CC045B63436F5E5C1B9F4"/>
  </w:style>
  <w:style w:type="paragraph" w:customStyle="1" w:styleId="A912C95D5EA5E04DBFA87285AB8B3337">
    <w:name w:val="A912C95D5EA5E04DBFA87285AB8B3337"/>
  </w:style>
  <w:style w:type="paragraph" w:customStyle="1" w:styleId="4F23D823405D274E8092A76EE6D5474E">
    <w:name w:val="4F23D823405D274E8092A76EE6D5474E"/>
  </w:style>
  <w:style w:type="paragraph" w:customStyle="1" w:styleId="5EDBA9C5174EE34FBC0CFC46D3CAB9C2">
    <w:name w:val="5EDBA9C5174EE34FBC0CFC46D3CAB9C2"/>
  </w:style>
  <w:style w:type="paragraph" w:customStyle="1" w:styleId="EA3A11585C5B3F4196FFCAD43116DEF8">
    <w:name w:val="EA3A11585C5B3F4196FFCAD43116DEF8"/>
  </w:style>
  <w:style w:type="paragraph" w:customStyle="1" w:styleId="19EFFCC1909E17448AABDE9F14849F3F">
    <w:name w:val="19EFFCC1909E17448AABDE9F14849F3F"/>
  </w:style>
  <w:style w:type="paragraph" w:customStyle="1" w:styleId="037167F6E349AA429E035EFEEB7A5E73">
    <w:name w:val="037167F6E349AA429E035EFEEB7A5E73"/>
  </w:style>
  <w:style w:type="paragraph" w:customStyle="1" w:styleId="D3F54EDC293EF044B0EF177DF2F312E5">
    <w:name w:val="D3F54EDC293EF044B0EF177DF2F312E5"/>
  </w:style>
  <w:style w:type="paragraph" w:customStyle="1" w:styleId="876D2EB64AACB84D8CA1B4A5D5B5ADE3">
    <w:name w:val="876D2EB64AACB84D8CA1B4A5D5B5ADE3"/>
  </w:style>
  <w:style w:type="paragraph" w:customStyle="1" w:styleId="C3AC57D2D756AD4A9795309CB9060CBB">
    <w:name w:val="C3AC57D2D756AD4A9795309CB9060CBB"/>
  </w:style>
  <w:style w:type="paragraph" w:customStyle="1" w:styleId="8AE62E5BCEEBC249804568BBFE3E0F54">
    <w:name w:val="8AE62E5BCEEBC249804568BBFE3E0F54"/>
  </w:style>
  <w:style w:type="paragraph" w:customStyle="1" w:styleId="9BCE0DFA3FC5C443983C404C8D142268">
    <w:name w:val="9BCE0DFA3FC5C443983C404C8D142268"/>
  </w:style>
  <w:style w:type="paragraph" w:customStyle="1" w:styleId="25BBCEE8404C624F8A715CD529FF8E47">
    <w:name w:val="25BBCEE8404C624F8A715CD529FF8E47"/>
  </w:style>
  <w:style w:type="paragraph" w:customStyle="1" w:styleId="00F3853B3AE50B40BE4CBDFD64539D6E">
    <w:name w:val="00F3853B3AE50B40BE4CBDFD64539D6E"/>
  </w:style>
  <w:style w:type="paragraph" w:styleId="Bibliography">
    <w:name w:val="Bibliography"/>
    <w:basedOn w:val="Normal"/>
    <w:next w:val="Normal"/>
    <w:uiPriority w:val="37"/>
    <w:semiHidden/>
    <w:unhideWhenUsed/>
  </w:style>
  <w:style w:type="paragraph" w:customStyle="1" w:styleId="4A50310A1755154BBEADEC3508BAC0BD">
    <w:name w:val="4A50310A1755154BBEADEC3508BAC0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SHAREEN BI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961EBB-2359-435E-9C77-89ACF1C0E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MLA Style Paper.dotx</Template>
  <TotalTime>2</TotalTime>
  <Pages>3</Pages>
  <Words>724</Words>
  <Characters>4128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Wisdom Marufu</dc:creator>
  <cp:keywords/>
  <dc:description/>
  <cp:lastModifiedBy>Marufu, Wisdom</cp:lastModifiedBy>
  <cp:revision>3</cp:revision>
  <dcterms:created xsi:type="dcterms:W3CDTF">2025-10-05T19:49:00Z</dcterms:created>
  <dcterms:modified xsi:type="dcterms:W3CDTF">2025-10-05T19:53:00Z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TC039848419991</vt:lpwstr>
  </property>
  <property fmtid="{D5CDD505-2E9C-101B-9397-08002B2CF9AE}" pid="3" name="AssetID">
    <vt:lpwstr>TF10002068</vt:lpwstr>
  </property>
</Properties>
</file>