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96080" w14:textId="77777777" w:rsidR="00FB4B2D" w:rsidRPr="009269BA" w:rsidRDefault="00FB4B2D" w:rsidP="00FB4B2D">
      <w:pPr>
        <w:spacing w:after="160" w:line="360" w:lineRule="auto"/>
        <w:rPr>
          <w:rFonts w:ascii="Arial" w:hAnsi="Arial" w:cs="Arial"/>
          <w:sz w:val="22"/>
          <w:szCs w:val="22"/>
        </w:rPr>
      </w:pPr>
      <w:r w:rsidRPr="009269BA">
        <w:rPr>
          <w:rFonts w:ascii="Arial" w:hAnsi="Arial" w:cs="Arial"/>
          <w:sz w:val="22"/>
          <w:szCs w:val="22"/>
        </w:rPr>
        <w:t>Student Name: Haider Ghazanfar</w:t>
      </w:r>
    </w:p>
    <w:p w14:paraId="0987D95B" w14:textId="77777777" w:rsidR="00FB4B2D" w:rsidRPr="009269BA" w:rsidRDefault="00FB4B2D" w:rsidP="00FB4B2D">
      <w:pPr>
        <w:spacing w:after="160" w:line="360" w:lineRule="auto"/>
        <w:rPr>
          <w:rFonts w:ascii="Arial" w:hAnsi="Arial" w:cs="Arial"/>
          <w:sz w:val="22"/>
          <w:szCs w:val="22"/>
        </w:rPr>
      </w:pPr>
      <w:r w:rsidRPr="009269BA">
        <w:rPr>
          <w:rFonts w:ascii="Arial" w:hAnsi="Arial" w:cs="Arial"/>
          <w:sz w:val="22"/>
          <w:szCs w:val="22"/>
        </w:rPr>
        <w:t>Student ID: 2424119</w:t>
      </w:r>
    </w:p>
    <w:p w14:paraId="3BAA3D25" w14:textId="77777777" w:rsidR="00FB4B2D" w:rsidRPr="009269BA" w:rsidRDefault="00FB4B2D" w:rsidP="00FB4B2D">
      <w:pPr>
        <w:spacing w:after="160" w:line="360" w:lineRule="auto"/>
        <w:rPr>
          <w:rFonts w:ascii="Arial" w:hAnsi="Arial" w:cs="Arial"/>
          <w:sz w:val="22"/>
          <w:szCs w:val="22"/>
        </w:rPr>
      </w:pPr>
      <w:r w:rsidRPr="009269BA">
        <w:rPr>
          <w:rFonts w:ascii="Arial" w:hAnsi="Arial" w:cs="Arial"/>
          <w:sz w:val="22"/>
          <w:szCs w:val="22"/>
        </w:rPr>
        <w:t>Module: Psychology in Health and Social Care</w:t>
      </w:r>
    </w:p>
    <w:p w14:paraId="0CF87A0E" w14:textId="77777777" w:rsidR="00FB4B2D" w:rsidRPr="009269BA" w:rsidRDefault="00FB4B2D" w:rsidP="00FB4B2D">
      <w:pPr>
        <w:spacing w:after="160" w:line="360" w:lineRule="auto"/>
        <w:rPr>
          <w:rFonts w:ascii="Arial" w:hAnsi="Arial" w:cs="Arial"/>
          <w:sz w:val="22"/>
          <w:szCs w:val="22"/>
        </w:rPr>
      </w:pPr>
      <w:r w:rsidRPr="009269BA">
        <w:rPr>
          <w:rFonts w:ascii="Arial" w:hAnsi="Arial" w:cs="Arial"/>
          <w:sz w:val="22"/>
          <w:szCs w:val="22"/>
        </w:rPr>
        <w:t>Module code: LCHS4010</w:t>
      </w:r>
    </w:p>
    <w:p w14:paraId="336F14BF" w14:textId="77777777" w:rsidR="00FB4B2D" w:rsidRPr="009269BA" w:rsidRDefault="00FB4B2D" w:rsidP="00FB4B2D">
      <w:pPr>
        <w:spacing w:after="160" w:line="360" w:lineRule="auto"/>
        <w:rPr>
          <w:rFonts w:ascii="Arial" w:hAnsi="Arial" w:cs="Arial"/>
          <w:sz w:val="22"/>
          <w:szCs w:val="22"/>
        </w:rPr>
      </w:pPr>
      <w:r w:rsidRPr="009269BA">
        <w:rPr>
          <w:rFonts w:ascii="Arial" w:hAnsi="Arial" w:cs="Arial"/>
          <w:sz w:val="22"/>
          <w:szCs w:val="22"/>
        </w:rPr>
        <w:t>Lecturer: Kal Alnababtah</w:t>
      </w:r>
    </w:p>
    <w:p w14:paraId="477BBCED" w14:textId="77777777" w:rsidR="00FB4B2D" w:rsidRPr="00FB4B2D" w:rsidRDefault="00FB4B2D" w:rsidP="00FB4B2D">
      <w:pPr>
        <w:spacing w:line="360" w:lineRule="auto"/>
        <w:rPr>
          <w:rFonts w:ascii="Arial" w:hAnsi="Arial" w:cs="Arial"/>
          <w:sz w:val="22"/>
          <w:szCs w:val="22"/>
        </w:rPr>
      </w:pPr>
      <w:r w:rsidRPr="00FB4B2D">
        <w:rPr>
          <w:rFonts w:ascii="Arial" w:hAnsi="Arial" w:cs="Arial"/>
          <w:sz w:val="22"/>
          <w:szCs w:val="22"/>
        </w:rPr>
        <w:t>Assignment Title: The Use of Psychological Theories to Support Adults Aged 65 and Over Experiencing Dementia in a Care Home Setting</w:t>
      </w:r>
    </w:p>
    <w:p w14:paraId="2B2528DD" w14:textId="2849A323" w:rsidR="00FB4B2D" w:rsidRPr="00FB4B2D" w:rsidRDefault="00FB4B2D" w:rsidP="00FB4B2D">
      <w:pPr>
        <w:spacing w:line="360" w:lineRule="auto"/>
        <w:rPr>
          <w:rFonts w:ascii="Arial" w:hAnsi="Arial" w:cs="Arial"/>
          <w:sz w:val="22"/>
          <w:szCs w:val="22"/>
          <w:lang w:val="en-GB"/>
        </w:rPr>
      </w:pPr>
    </w:p>
    <w:p w14:paraId="05E72258" w14:textId="77777777" w:rsidR="000B296D" w:rsidRDefault="000B296D" w:rsidP="00FB4B2D">
      <w:pPr>
        <w:spacing w:line="360" w:lineRule="auto"/>
        <w:rPr>
          <w:rFonts w:ascii="Arial" w:hAnsi="Arial" w:cs="Arial"/>
          <w:sz w:val="22"/>
          <w:szCs w:val="22"/>
          <w:lang w:val="en-GB"/>
        </w:rPr>
      </w:pPr>
    </w:p>
    <w:p w14:paraId="6E5B20A3" w14:textId="77777777" w:rsidR="000B296D" w:rsidRDefault="000B296D">
      <w:pPr>
        <w:rPr>
          <w:rFonts w:ascii="Arial" w:hAnsi="Arial" w:cs="Arial"/>
          <w:sz w:val="22"/>
          <w:szCs w:val="22"/>
          <w:lang w:val="en-GB"/>
        </w:rPr>
      </w:pPr>
      <w:r>
        <w:rPr>
          <w:rFonts w:ascii="Arial" w:hAnsi="Arial" w:cs="Arial"/>
          <w:sz w:val="22"/>
          <w:szCs w:val="22"/>
          <w:lang w:val="en-GB"/>
        </w:rPr>
        <w:br w:type="page"/>
      </w:r>
    </w:p>
    <w:p w14:paraId="32D03D30" w14:textId="77777777" w:rsidR="000B296D" w:rsidRPr="007001FE" w:rsidRDefault="000B296D" w:rsidP="007001FE">
      <w:pPr>
        <w:spacing w:line="360" w:lineRule="auto"/>
        <w:rPr>
          <w:rFonts w:ascii="Arial" w:hAnsi="Arial" w:cs="Arial"/>
          <w:b/>
          <w:bCs/>
          <w:sz w:val="22"/>
          <w:szCs w:val="22"/>
          <w:lang w:val="en-GB"/>
        </w:rPr>
      </w:pPr>
      <w:r w:rsidRPr="007001FE">
        <w:rPr>
          <w:rFonts w:ascii="Arial" w:hAnsi="Arial" w:cs="Arial"/>
          <w:b/>
          <w:bCs/>
          <w:sz w:val="22"/>
          <w:szCs w:val="22"/>
          <w:lang w:val="en-GB"/>
        </w:rPr>
        <w:lastRenderedPageBreak/>
        <w:t>Content:</w:t>
      </w:r>
    </w:p>
    <w:p w14:paraId="3D0A4FDA" w14:textId="77777777" w:rsidR="000B296D" w:rsidRPr="007001FE" w:rsidRDefault="000B296D" w:rsidP="007001FE">
      <w:pPr>
        <w:spacing w:line="360" w:lineRule="auto"/>
        <w:rPr>
          <w:rFonts w:ascii="Arial" w:hAnsi="Arial" w:cs="Arial"/>
          <w:b/>
          <w:bCs/>
          <w:sz w:val="22"/>
          <w:szCs w:val="22"/>
          <w:lang w:val="en-GB"/>
        </w:rPr>
      </w:pPr>
      <w:r w:rsidRPr="007001FE">
        <w:rPr>
          <w:rFonts w:ascii="Arial" w:hAnsi="Arial" w:cs="Arial"/>
          <w:b/>
          <w:bCs/>
          <w:sz w:val="22"/>
          <w:szCs w:val="22"/>
          <w:lang w:val="en-GB"/>
        </w:rPr>
        <w:t>Introduction ………………………………………………page 3</w:t>
      </w:r>
    </w:p>
    <w:p w14:paraId="0492631A" w14:textId="307C02C2" w:rsidR="000B296D" w:rsidRPr="007001FE" w:rsidRDefault="000B296D" w:rsidP="007001FE">
      <w:pPr>
        <w:spacing w:line="360" w:lineRule="auto"/>
        <w:rPr>
          <w:rFonts w:ascii="Arial" w:hAnsi="Arial" w:cs="Arial"/>
          <w:b/>
          <w:bCs/>
          <w:sz w:val="22"/>
          <w:szCs w:val="22"/>
          <w:lang w:val="en-GB"/>
        </w:rPr>
      </w:pPr>
      <w:r w:rsidRPr="007001FE">
        <w:rPr>
          <w:rFonts w:ascii="Arial" w:hAnsi="Arial" w:cs="Arial"/>
          <w:b/>
          <w:bCs/>
          <w:sz w:val="22"/>
          <w:szCs w:val="22"/>
          <w:lang w:val="en-GB"/>
        </w:rPr>
        <w:t>Overview of Selected Theories</w:t>
      </w:r>
      <w:r w:rsidRPr="007001FE">
        <w:rPr>
          <w:rFonts w:ascii="Arial" w:hAnsi="Arial" w:cs="Arial"/>
          <w:b/>
          <w:bCs/>
          <w:sz w:val="22"/>
          <w:szCs w:val="22"/>
          <w:lang w:val="en-GB"/>
        </w:rPr>
        <w:t>…………………………page 4</w:t>
      </w:r>
    </w:p>
    <w:p w14:paraId="7553D65F" w14:textId="2C53E2D0" w:rsidR="000B296D" w:rsidRPr="007001FE" w:rsidRDefault="000B296D" w:rsidP="007001FE">
      <w:pPr>
        <w:spacing w:line="360" w:lineRule="auto"/>
        <w:rPr>
          <w:rFonts w:ascii="Arial" w:hAnsi="Arial" w:cs="Arial"/>
          <w:b/>
          <w:bCs/>
          <w:sz w:val="22"/>
          <w:szCs w:val="22"/>
          <w:lang w:val="en-GB"/>
        </w:rPr>
      </w:pPr>
      <w:r w:rsidRPr="007001FE">
        <w:rPr>
          <w:rFonts w:ascii="Arial" w:hAnsi="Arial" w:cs="Arial"/>
          <w:b/>
          <w:bCs/>
          <w:sz w:val="22"/>
          <w:szCs w:val="22"/>
          <w:lang w:val="en-GB"/>
        </w:rPr>
        <w:t>Conclusion…………………………………………………page 9</w:t>
      </w:r>
    </w:p>
    <w:p w14:paraId="5BA88E6F" w14:textId="6683F9D7" w:rsidR="000B296D" w:rsidRPr="007001FE" w:rsidRDefault="000B296D" w:rsidP="007001FE">
      <w:pPr>
        <w:spacing w:line="360" w:lineRule="auto"/>
        <w:rPr>
          <w:rFonts w:ascii="Arial" w:hAnsi="Arial" w:cs="Arial"/>
          <w:b/>
          <w:bCs/>
          <w:sz w:val="22"/>
          <w:szCs w:val="22"/>
          <w:lang w:val="en-GB"/>
        </w:rPr>
      </w:pPr>
      <w:r w:rsidRPr="007001FE">
        <w:rPr>
          <w:rFonts w:ascii="Arial" w:hAnsi="Arial" w:cs="Arial"/>
          <w:b/>
          <w:bCs/>
          <w:sz w:val="22"/>
          <w:szCs w:val="22"/>
          <w:lang w:val="en-GB"/>
        </w:rPr>
        <w:t>References………………………………………………</w:t>
      </w:r>
      <w:r w:rsidR="00DF2C87" w:rsidRPr="007001FE">
        <w:rPr>
          <w:rFonts w:ascii="Arial" w:hAnsi="Arial" w:cs="Arial"/>
          <w:b/>
          <w:bCs/>
          <w:sz w:val="22"/>
          <w:szCs w:val="22"/>
          <w:lang w:val="en-GB"/>
        </w:rPr>
        <w:t>…. page</w:t>
      </w:r>
      <w:r w:rsidRPr="007001FE">
        <w:rPr>
          <w:rFonts w:ascii="Arial" w:hAnsi="Arial" w:cs="Arial"/>
          <w:b/>
          <w:bCs/>
          <w:sz w:val="22"/>
          <w:szCs w:val="22"/>
          <w:lang w:val="en-GB"/>
        </w:rPr>
        <w:t xml:space="preserve"> 1</w:t>
      </w:r>
      <w:r w:rsidR="00DF2C87" w:rsidRPr="007001FE">
        <w:rPr>
          <w:rFonts w:ascii="Arial" w:hAnsi="Arial" w:cs="Arial"/>
          <w:b/>
          <w:bCs/>
          <w:sz w:val="22"/>
          <w:szCs w:val="22"/>
          <w:lang w:val="en-GB"/>
        </w:rPr>
        <w:t>1</w:t>
      </w:r>
    </w:p>
    <w:p w14:paraId="2C043987" w14:textId="3519E245" w:rsidR="00FB4B2D" w:rsidRPr="007001FE" w:rsidRDefault="00FB4B2D" w:rsidP="007001FE">
      <w:pPr>
        <w:spacing w:line="360" w:lineRule="auto"/>
        <w:rPr>
          <w:rFonts w:ascii="Arial" w:hAnsi="Arial" w:cs="Arial"/>
          <w:b/>
          <w:bCs/>
          <w:sz w:val="22"/>
          <w:szCs w:val="22"/>
          <w:lang w:val="en-GB"/>
        </w:rPr>
      </w:pPr>
      <w:r w:rsidRPr="007001FE">
        <w:rPr>
          <w:rFonts w:ascii="Arial" w:hAnsi="Arial" w:cs="Arial"/>
          <w:b/>
          <w:bCs/>
          <w:sz w:val="22"/>
          <w:szCs w:val="22"/>
          <w:lang w:val="en-GB"/>
        </w:rPr>
        <w:br w:type="page"/>
      </w:r>
    </w:p>
    <w:p w14:paraId="59D2F615" w14:textId="77777777" w:rsidR="00B32CD1" w:rsidRPr="00B32CD1" w:rsidRDefault="00B32CD1" w:rsidP="007001FE">
      <w:pPr>
        <w:spacing w:line="360" w:lineRule="auto"/>
        <w:rPr>
          <w:rFonts w:ascii="Arial" w:hAnsi="Arial" w:cs="Arial"/>
          <w:sz w:val="22"/>
          <w:szCs w:val="22"/>
          <w:lang w:val="en-GB"/>
        </w:rPr>
      </w:pPr>
      <w:r w:rsidRPr="00B32CD1">
        <w:rPr>
          <w:rFonts w:ascii="Arial" w:hAnsi="Arial" w:cs="Arial"/>
          <w:sz w:val="22"/>
          <w:szCs w:val="22"/>
          <w:lang w:val="en-GB"/>
        </w:rPr>
        <w:lastRenderedPageBreak/>
        <w:t>Introduction</w:t>
      </w:r>
    </w:p>
    <w:p w14:paraId="635DBD74" w14:textId="77777777" w:rsidR="001327F2" w:rsidRPr="007001FE" w:rsidRDefault="001327F2" w:rsidP="007001FE">
      <w:pPr>
        <w:spacing w:line="360" w:lineRule="auto"/>
        <w:rPr>
          <w:rFonts w:ascii="Arial" w:hAnsi="Arial" w:cs="Arial"/>
          <w:sz w:val="22"/>
          <w:szCs w:val="22"/>
          <w:lang w:val="en-GB"/>
        </w:rPr>
      </w:pPr>
      <w:r w:rsidRPr="007001FE">
        <w:rPr>
          <w:rFonts w:ascii="Arial" w:hAnsi="Arial" w:cs="Arial"/>
          <w:sz w:val="22"/>
          <w:szCs w:val="22"/>
          <w:lang w:val="en-GB"/>
        </w:rPr>
        <w:t>Older adults living in dementia care homes often face a range of psychological and emotional challenges that can significantly affect their quality of life. Dementia is a progressive neurological condition that impairs memory, cognition, and behaviour, often leading to confusion, frustration, and emotional distress. As residents struggle to communicate or make decisions independently, they may experience social isolation, loneliness, and feelings of helplessness. If unaddressed, these emotional challenges can escalate into anxiety or depression, further impacting their well-being (National Health Service, 2023).</w:t>
      </w:r>
    </w:p>
    <w:p w14:paraId="1E39EC66" w14:textId="77777777" w:rsidR="001327F2" w:rsidRPr="007001FE" w:rsidRDefault="001327F2" w:rsidP="007001FE">
      <w:pPr>
        <w:spacing w:line="360" w:lineRule="auto"/>
        <w:rPr>
          <w:rFonts w:ascii="Arial" w:hAnsi="Arial" w:cs="Arial"/>
          <w:sz w:val="22"/>
          <w:szCs w:val="22"/>
          <w:lang w:val="en-GB"/>
        </w:rPr>
      </w:pPr>
    </w:p>
    <w:p w14:paraId="2F2ED60E" w14:textId="77777777" w:rsidR="001327F2" w:rsidRPr="007001FE" w:rsidRDefault="001327F2" w:rsidP="007001FE">
      <w:pPr>
        <w:spacing w:line="360" w:lineRule="auto"/>
        <w:rPr>
          <w:rFonts w:ascii="Arial" w:hAnsi="Arial" w:cs="Arial"/>
          <w:sz w:val="22"/>
          <w:szCs w:val="22"/>
          <w:lang w:val="en-GB"/>
        </w:rPr>
      </w:pPr>
      <w:r w:rsidRPr="007001FE">
        <w:rPr>
          <w:rFonts w:ascii="Arial" w:hAnsi="Arial" w:cs="Arial"/>
          <w:sz w:val="22"/>
          <w:szCs w:val="22"/>
          <w:lang w:val="en-GB"/>
        </w:rPr>
        <w:t>To provide effective and compassionate care, health and social care professionals must understand psychological theories that explain human behaviour and emotional development. Applying these frameworks allows staff to address not only physical needs but also the emotional and psychological aspects of residents’ lives. A person-centred approach is crucial in dementia care, as it recognises each resident’s individuality, including personal history, cultural background, beliefs, preferences, and relationships, all of which shape their responses to care.</w:t>
      </w:r>
    </w:p>
    <w:p w14:paraId="32D69820" w14:textId="77777777" w:rsidR="001327F2" w:rsidRPr="007001FE" w:rsidRDefault="001327F2" w:rsidP="007001FE">
      <w:pPr>
        <w:spacing w:line="360" w:lineRule="auto"/>
        <w:rPr>
          <w:rFonts w:ascii="Arial" w:hAnsi="Arial" w:cs="Arial"/>
          <w:sz w:val="22"/>
          <w:szCs w:val="22"/>
          <w:lang w:val="en-GB"/>
        </w:rPr>
      </w:pPr>
    </w:p>
    <w:p w14:paraId="6D96D093" w14:textId="77777777" w:rsidR="001327F2" w:rsidRPr="007001FE" w:rsidRDefault="001327F2" w:rsidP="007001FE">
      <w:pPr>
        <w:spacing w:line="360" w:lineRule="auto"/>
        <w:rPr>
          <w:rFonts w:ascii="Arial" w:hAnsi="Arial" w:cs="Arial"/>
          <w:sz w:val="22"/>
          <w:szCs w:val="22"/>
          <w:lang w:val="en-GB"/>
        </w:rPr>
      </w:pPr>
      <w:r w:rsidRPr="007001FE">
        <w:rPr>
          <w:rFonts w:ascii="Arial" w:hAnsi="Arial" w:cs="Arial"/>
          <w:sz w:val="22"/>
          <w:szCs w:val="22"/>
          <w:lang w:val="en-GB"/>
        </w:rPr>
        <w:t>This report critically analyses two key psychological frameworks: Erikson’s Psychosocial Theory and Maslow’s Hierarchy of Needs. Erikson’s theory emphasises the emotional tasks associated with life stages, particularly the importance of achieving a sense of integrity in later years. Maslow’s hierarchy presents a progression of human needs, from basic physiological requirements to emotional fulfilment and self-actualisation. Both theories offer insights into supporting older adults with dementia, guiding care practices that promote well-being, autonomy, and dignity.</w:t>
      </w:r>
    </w:p>
    <w:p w14:paraId="4DCC8625" w14:textId="77777777" w:rsidR="001327F2" w:rsidRPr="007001FE" w:rsidRDefault="001327F2" w:rsidP="007001FE">
      <w:pPr>
        <w:spacing w:line="360" w:lineRule="auto"/>
        <w:rPr>
          <w:rFonts w:ascii="Arial" w:hAnsi="Arial" w:cs="Arial"/>
          <w:sz w:val="22"/>
          <w:szCs w:val="22"/>
          <w:lang w:val="en-GB"/>
        </w:rPr>
      </w:pPr>
    </w:p>
    <w:p w14:paraId="221E7F04" w14:textId="3A432544" w:rsidR="00B32CD1" w:rsidRPr="007001FE" w:rsidRDefault="001327F2" w:rsidP="007001FE">
      <w:pPr>
        <w:spacing w:line="360" w:lineRule="auto"/>
        <w:rPr>
          <w:rFonts w:ascii="Arial" w:hAnsi="Arial" w:cs="Arial"/>
          <w:sz w:val="22"/>
          <w:szCs w:val="22"/>
          <w:lang w:val="en-GB"/>
        </w:rPr>
      </w:pPr>
      <w:r w:rsidRPr="007001FE">
        <w:rPr>
          <w:rFonts w:ascii="Arial" w:hAnsi="Arial" w:cs="Arial"/>
          <w:sz w:val="22"/>
          <w:szCs w:val="22"/>
          <w:lang w:val="en-GB"/>
        </w:rPr>
        <w:t>The report examines how these theories can be applied in dementia care for residents aged 65 and over, discussing practical strategies, potential challenges, and the effectiveness of theory-informed approaches in enhancing emotional health and overall quality of life.</w:t>
      </w:r>
    </w:p>
    <w:p w14:paraId="510A4218" w14:textId="77777777" w:rsidR="00B32CD1" w:rsidRPr="007001FE" w:rsidRDefault="00B32CD1" w:rsidP="007001FE">
      <w:pPr>
        <w:spacing w:line="360" w:lineRule="auto"/>
        <w:rPr>
          <w:rFonts w:ascii="Arial" w:hAnsi="Arial" w:cs="Arial"/>
          <w:sz w:val="22"/>
          <w:szCs w:val="22"/>
          <w:lang w:val="en-GB"/>
        </w:rPr>
      </w:pPr>
    </w:p>
    <w:p w14:paraId="52737FC2" w14:textId="77777777" w:rsidR="00B32CD1" w:rsidRPr="007001FE" w:rsidRDefault="00B32CD1" w:rsidP="007001FE">
      <w:pPr>
        <w:spacing w:line="360" w:lineRule="auto"/>
        <w:rPr>
          <w:rFonts w:ascii="Arial" w:hAnsi="Arial" w:cs="Arial"/>
          <w:sz w:val="22"/>
          <w:szCs w:val="22"/>
          <w:lang w:val="en-GB"/>
        </w:rPr>
      </w:pPr>
    </w:p>
    <w:p w14:paraId="77400BE7" w14:textId="77777777" w:rsidR="00B32CD1" w:rsidRPr="007001FE" w:rsidRDefault="00B32CD1" w:rsidP="007001FE">
      <w:pPr>
        <w:spacing w:line="360" w:lineRule="auto"/>
        <w:rPr>
          <w:rFonts w:ascii="Arial" w:hAnsi="Arial" w:cs="Arial"/>
          <w:sz w:val="22"/>
          <w:szCs w:val="22"/>
          <w:lang w:val="en-GB"/>
        </w:rPr>
      </w:pPr>
    </w:p>
    <w:p w14:paraId="3CAFBD13" w14:textId="77777777" w:rsidR="005268A1" w:rsidRPr="007001FE" w:rsidRDefault="005268A1" w:rsidP="007001FE">
      <w:pPr>
        <w:spacing w:line="360" w:lineRule="auto"/>
        <w:rPr>
          <w:rFonts w:ascii="Arial" w:hAnsi="Arial" w:cs="Arial"/>
          <w:b/>
          <w:bCs/>
          <w:sz w:val="22"/>
          <w:szCs w:val="22"/>
          <w:lang w:val="en-GB"/>
        </w:rPr>
      </w:pPr>
      <w:r w:rsidRPr="007001FE">
        <w:rPr>
          <w:rFonts w:ascii="Arial" w:hAnsi="Arial" w:cs="Arial"/>
          <w:b/>
          <w:bCs/>
          <w:sz w:val="22"/>
          <w:szCs w:val="22"/>
          <w:lang w:val="en-GB"/>
        </w:rPr>
        <w:t>Overview of Selected Theories</w:t>
      </w:r>
    </w:p>
    <w:p w14:paraId="3CF54EA1" w14:textId="77777777" w:rsidR="005268A1" w:rsidRPr="007001FE" w:rsidRDefault="005268A1" w:rsidP="007001FE">
      <w:pPr>
        <w:spacing w:line="360" w:lineRule="auto"/>
        <w:rPr>
          <w:rFonts w:ascii="Arial" w:hAnsi="Arial" w:cs="Arial"/>
          <w:sz w:val="22"/>
          <w:szCs w:val="22"/>
          <w:lang w:val="en-GB"/>
        </w:rPr>
      </w:pPr>
    </w:p>
    <w:p w14:paraId="29D65054"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 xml:space="preserve">1. </w:t>
      </w:r>
      <w:r w:rsidRPr="007001FE">
        <w:rPr>
          <w:rFonts w:ascii="Arial" w:hAnsi="Arial" w:cs="Arial"/>
          <w:b/>
          <w:bCs/>
          <w:sz w:val="22"/>
          <w:szCs w:val="22"/>
          <w:lang w:val="en-GB"/>
        </w:rPr>
        <w:t>Erikson’s Psychosocial Theory</w:t>
      </w:r>
    </w:p>
    <w:p w14:paraId="1DD47831"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Erik Erikson’s psychosocial theory outlines eight stages of development that span the entire human lifespan. Each stage involves a key psychosocial conflict that influences social, emotional, and psychological growth. For older adults, the final stage, Integrity vs. Despair, typically occurs from age 65 onwards (Orenstein &amp; Lewis, 2022).</w:t>
      </w:r>
    </w:p>
    <w:p w14:paraId="7B13A2D3" w14:textId="77777777" w:rsidR="005268A1" w:rsidRPr="007001FE" w:rsidRDefault="005268A1" w:rsidP="007001FE">
      <w:pPr>
        <w:spacing w:line="360" w:lineRule="auto"/>
        <w:rPr>
          <w:rFonts w:ascii="Arial" w:hAnsi="Arial" w:cs="Arial"/>
          <w:sz w:val="22"/>
          <w:szCs w:val="22"/>
          <w:lang w:val="en-GB"/>
        </w:rPr>
      </w:pPr>
    </w:p>
    <w:p w14:paraId="3B5A6D3E"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Integrity:</w:t>
      </w:r>
      <w:r w:rsidRPr="007001FE">
        <w:rPr>
          <w:rFonts w:ascii="Arial" w:hAnsi="Arial" w:cs="Arial"/>
          <w:sz w:val="22"/>
          <w:szCs w:val="22"/>
          <w:lang w:val="en-GB"/>
        </w:rPr>
        <w:t xml:space="preserve"> When older adults achieve integrity, they accept their life experiences, accomplishments, and even mistakes. This leads to feelings of satisfaction, peace, and wisdom. Individuals who develop integrity are generally better equipped to cope with challenges, maintain positive social relationships, and retain a sense of purpose in later life.</w:t>
      </w:r>
    </w:p>
    <w:p w14:paraId="171DAF47" w14:textId="77777777" w:rsidR="005268A1" w:rsidRPr="007001FE" w:rsidRDefault="005268A1" w:rsidP="007001FE">
      <w:pPr>
        <w:spacing w:line="360" w:lineRule="auto"/>
        <w:rPr>
          <w:rFonts w:ascii="Arial" w:hAnsi="Arial" w:cs="Arial"/>
          <w:sz w:val="22"/>
          <w:szCs w:val="22"/>
          <w:lang w:val="en-GB"/>
        </w:rPr>
      </w:pPr>
    </w:p>
    <w:p w14:paraId="68DA02C5"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Despair:</w:t>
      </w:r>
      <w:r w:rsidRPr="007001FE">
        <w:rPr>
          <w:rFonts w:ascii="Arial" w:hAnsi="Arial" w:cs="Arial"/>
          <w:sz w:val="22"/>
          <w:szCs w:val="22"/>
          <w:lang w:val="en-GB"/>
        </w:rPr>
        <w:t xml:space="preserve"> In contrast, despair arises when older adults feel regret over missed opportunities or unresolved life conflicts. This can result in emotional distress, unhappiness, fear of death, and withdrawal from social interactions. Individuals experiencing despair may become depressed, anxious, or disengaged from their environment.</w:t>
      </w:r>
    </w:p>
    <w:p w14:paraId="0EA92074" w14:textId="77777777" w:rsidR="005268A1" w:rsidRPr="007001FE" w:rsidRDefault="005268A1" w:rsidP="007001FE">
      <w:pPr>
        <w:spacing w:line="360" w:lineRule="auto"/>
        <w:rPr>
          <w:rFonts w:ascii="Arial" w:hAnsi="Arial" w:cs="Arial"/>
          <w:sz w:val="22"/>
          <w:szCs w:val="22"/>
          <w:lang w:val="en-GB"/>
        </w:rPr>
      </w:pPr>
    </w:p>
    <w:p w14:paraId="094EB04D"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Research highlights that interventions such as reminiscence therapy, life review sessions, and engagement in social activities can help older adults cultivate a sense of integrity, reduce depression, and improve overall wellbeing (Tam et al., 2021). These strategies are particularly effective in dementia care, where cognitive decline may make maintaining identity and emotional stability challenging. For instance, reminiscence therapy allows residents to recall memories, share personal stories, and express feelings, thereby reinforcing self-identity. Social engagement and supportive relationships further strengthen integrity, serving as protective factors against emotional distress and fostering resilience in older adults.</w:t>
      </w:r>
    </w:p>
    <w:p w14:paraId="2ACE2941" w14:textId="77777777" w:rsidR="005268A1" w:rsidRPr="007001FE" w:rsidRDefault="005268A1" w:rsidP="007001FE">
      <w:pPr>
        <w:spacing w:line="360" w:lineRule="auto"/>
        <w:rPr>
          <w:rFonts w:ascii="Arial" w:hAnsi="Arial" w:cs="Arial"/>
          <w:sz w:val="22"/>
          <w:szCs w:val="22"/>
          <w:lang w:val="en-GB"/>
        </w:rPr>
      </w:pPr>
    </w:p>
    <w:p w14:paraId="42116DB1"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lastRenderedPageBreak/>
        <w:t xml:space="preserve">2. </w:t>
      </w:r>
      <w:r w:rsidRPr="007001FE">
        <w:rPr>
          <w:rFonts w:ascii="Arial" w:hAnsi="Arial" w:cs="Arial"/>
          <w:b/>
          <w:bCs/>
          <w:sz w:val="22"/>
          <w:szCs w:val="22"/>
          <w:lang w:val="en-GB"/>
        </w:rPr>
        <w:t>Maslow’s Hierarchy of Needs</w:t>
      </w:r>
    </w:p>
    <w:p w14:paraId="31A9F94A"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Abraham Maslow’s theory explains human motivation as a hierarchy of needs, ranging from basic physiological requirements to higher-level self-actualization (McLeod, 2025). According to this model, lower-level needs must generally be satisfied before individuals can focus on higher-level aspirations. In the context of older adults in care homes:</w:t>
      </w:r>
    </w:p>
    <w:p w14:paraId="60CD6B7D" w14:textId="77777777" w:rsidR="005268A1" w:rsidRPr="007001FE" w:rsidRDefault="005268A1" w:rsidP="007001FE">
      <w:pPr>
        <w:spacing w:line="360" w:lineRule="auto"/>
        <w:rPr>
          <w:rFonts w:ascii="Arial" w:hAnsi="Arial" w:cs="Arial"/>
          <w:sz w:val="22"/>
          <w:szCs w:val="22"/>
          <w:lang w:val="en-GB"/>
        </w:rPr>
      </w:pPr>
    </w:p>
    <w:p w14:paraId="43A191EC"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Physiological needs:</w:t>
      </w:r>
      <w:r w:rsidRPr="007001FE">
        <w:rPr>
          <w:rFonts w:ascii="Arial" w:hAnsi="Arial" w:cs="Arial"/>
          <w:sz w:val="22"/>
          <w:szCs w:val="22"/>
          <w:lang w:val="en-GB"/>
        </w:rPr>
        <w:t xml:space="preserve"> Fundamental needs such as nutrition, hydration, sleep, and comfort are essential to health and wellbeing. Meeting these needs ensures residents maintain physical energy and prevents illness or fatigue.</w:t>
      </w:r>
    </w:p>
    <w:p w14:paraId="2867D9B6" w14:textId="77777777" w:rsidR="005268A1" w:rsidRPr="007001FE" w:rsidRDefault="005268A1" w:rsidP="007001FE">
      <w:pPr>
        <w:spacing w:line="360" w:lineRule="auto"/>
        <w:rPr>
          <w:rFonts w:ascii="Arial" w:hAnsi="Arial" w:cs="Arial"/>
          <w:sz w:val="22"/>
          <w:szCs w:val="22"/>
          <w:lang w:val="en-GB"/>
        </w:rPr>
      </w:pPr>
    </w:p>
    <w:p w14:paraId="3317DFD4"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Safety needs:</w:t>
      </w:r>
      <w:r w:rsidRPr="007001FE">
        <w:rPr>
          <w:rFonts w:ascii="Arial" w:hAnsi="Arial" w:cs="Arial"/>
          <w:sz w:val="22"/>
          <w:szCs w:val="22"/>
          <w:lang w:val="en-GB"/>
        </w:rPr>
        <w:t xml:space="preserve"> Ensuring residents are protected from harm, providing a secure environment, and maintaining stable routines fosters a sense of security and reduces anxiety.</w:t>
      </w:r>
    </w:p>
    <w:p w14:paraId="35F29126" w14:textId="77777777" w:rsidR="005268A1" w:rsidRPr="007001FE" w:rsidRDefault="005268A1" w:rsidP="007001FE">
      <w:pPr>
        <w:spacing w:line="360" w:lineRule="auto"/>
        <w:rPr>
          <w:rFonts w:ascii="Arial" w:hAnsi="Arial" w:cs="Arial"/>
          <w:sz w:val="22"/>
          <w:szCs w:val="22"/>
          <w:lang w:val="en-GB"/>
        </w:rPr>
      </w:pPr>
    </w:p>
    <w:p w14:paraId="35B71D12"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Love and belonging:</w:t>
      </w:r>
      <w:r w:rsidRPr="007001FE">
        <w:rPr>
          <w:rFonts w:ascii="Arial" w:hAnsi="Arial" w:cs="Arial"/>
          <w:sz w:val="22"/>
          <w:szCs w:val="22"/>
          <w:lang w:val="en-GB"/>
        </w:rPr>
        <w:t xml:space="preserve"> Social connections, friendships, family contact, and group activities help prevent loneliness, support emotional wellbeing, and create a sense of inclusion and community.</w:t>
      </w:r>
    </w:p>
    <w:p w14:paraId="4CE31334" w14:textId="77777777" w:rsidR="005268A1" w:rsidRPr="007001FE" w:rsidRDefault="005268A1" w:rsidP="007001FE">
      <w:pPr>
        <w:spacing w:line="360" w:lineRule="auto"/>
        <w:rPr>
          <w:rFonts w:ascii="Arial" w:hAnsi="Arial" w:cs="Arial"/>
          <w:sz w:val="22"/>
          <w:szCs w:val="22"/>
          <w:lang w:val="en-GB"/>
        </w:rPr>
      </w:pPr>
    </w:p>
    <w:p w14:paraId="3E649FA9"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Esteem needs:</w:t>
      </w:r>
      <w:r w:rsidRPr="007001FE">
        <w:rPr>
          <w:rFonts w:ascii="Arial" w:hAnsi="Arial" w:cs="Arial"/>
          <w:sz w:val="22"/>
          <w:szCs w:val="22"/>
          <w:lang w:val="en-GB"/>
        </w:rPr>
        <w:t xml:space="preserve"> Respect, recognition, and opportunities to make choices encourage residents to feel valued and confident, promoting dignity and self-respect.</w:t>
      </w:r>
    </w:p>
    <w:p w14:paraId="354DF435" w14:textId="77777777" w:rsidR="005268A1" w:rsidRPr="007001FE" w:rsidRDefault="005268A1" w:rsidP="007001FE">
      <w:pPr>
        <w:spacing w:line="360" w:lineRule="auto"/>
        <w:rPr>
          <w:rFonts w:ascii="Arial" w:hAnsi="Arial" w:cs="Arial"/>
          <w:sz w:val="22"/>
          <w:szCs w:val="22"/>
          <w:lang w:val="en-GB"/>
        </w:rPr>
      </w:pPr>
    </w:p>
    <w:p w14:paraId="0A9E589E" w14:textId="65243CEF"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Self-actuali</w:t>
      </w:r>
      <w:r w:rsidR="000B296D" w:rsidRPr="007001FE">
        <w:rPr>
          <w:rFonts w:ascii="Arial" w:hAnsi="Arial" w:cs="Arial"/>
          <w:b/>
          <w:bCs/>
          <w:sz w:val="22"/>
          <w:szCs w:val="22"/>
          <w:lang w:val="en-GB"/>
        </w:rPr>
        <w:t>s</w:t>
      </w:r>
      <w:r w:rsidRPr="007001FE">
        <w:rPr>
          <w:rFonts w:ascii="Arial" w:hAnsi="Arial" w:cs="Arial"/>
          <w:b/>
          <w:bCs/>
          <w:sz w:val="22"/>
          <w:szCs w:val="22"/>
          <w:lang w:val="en-GB"/>
        </w:rPr>
        <w:t>ation:</w:t>
      </w:r>
      <w:r w:rsidRPr="007001FE">
        <w:rPr>
          <w:rFonts w:ascii="Arial" w:hAnsi="Arial" w:cs="Arial"/>
          <w:sz w:val="22"/>
          <w:szCs w:val="22"/>
          <w:lang w:val="en-GB"/>
        </w:rPr>
        <w:t xml:space="preserve"> Opportunities for personal growth through hobbies, creative activities, learning, or spiritual practice allow residents to maintain a sense of purpose and </w:t>
      </w:r>
      <w:r w:rsidRPr="007001FE">
        <w:rPr>
          <w:rFonts w:ascii="Arial" w:hAnsi="Arial" w:cs="Arial"/>
          <w:sz w:val="22"/>
          <w:szCs w:val="22"/>
          <w:lang w:val="en-GB"/>
        </w:rPr>
        <w:t>fulfilment</w:t>
      </w:r>
      <w:r w:rsidRPr="007001FE">
        <w:rPr>
          <w:rFonts w:ascii="Arial" w:hAnsi="Arial" w:cs="Arial"/>
          <w:sz w:val="22"/>
          <w:szCs w:val="22"/>
          <w:lang w:val="en-GB"/>
        </w:rPr>
        <w:t>, even as cognitive abilities decline.</w:t>
      </w:r>
    </w:p>
    <w:p w14:paraId="77BA642F" w14:textId="77777777" w:rsidR="005268A1" w:rsidRPr="007001FE" w:rsidRDefault="005268A1" w:rsidP="007001FE">
      <w:pPr>
        <w:spacing w:line="360" w:lineRule="auto"/>
        <w:rPr>
          <w:rFonts w:ascii="Arial" w:hAnsi="Arial" w:cs="Arial"/>
          <w:sz w:val="22"/>
          <w:szCs w:val="22"/>
          <w:lang w:val="en-GB"/>
        </w:rPr>
      </w:pPr>
    </w:p>
    <w:p w14:paraId="44A26785"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 xml:space="preserve">Meeting these needs comprehensively can improve mood, reduce agitation, and encourage participation in daily activities (Reynolds et al., 2022). In dementia care, staff must carefully balance physical, emotional, and social needs to provide holistic support. Ensuring residents </w:t>
      </w:r>
      <w:r w:rsidRPr="007001FE">
        <w:rPr>
          <w:rFonts w:ascii="Arial" w:hAnsi="Arial" w:cs="Arial"/>
          <w:sz w:val="22"/>
          <w:szCs w:val="22"/>
          <w:lang w:val="en-GB"/>
        </w:rPr>
        <w:lastRenderedPageBreak/>
        <w:t>feel safe, respected, and included is essential to enhancing quality of life and engagement in care home communities.</w:t>
      </w:r>
    </w:p>
    <w:p w14:paraId="256A2A51" w14:textId="77777777" w:rsidR="005268A1" w:rsidRPr="007001FE" w:rsidRDefault="005268A1" w:rsidP="007001FE">
      <w:pPr>
        <w:spacing w:line="360" w:lineRule="auto"/>
        <w:rPr>
          <w:rFonts w:ascii="Arial" w:hAnsi="Arial" w:cs="Arial"/>
          <w:sz w:val="22"/>
          <w:szCs w:val="22"/>
          <w:lang w:val="en-GB"/>
        </w:rPr>
      </w:pPr>
    </w:p>
    <w:p w14:paraId="74E62676" w14:textId="77777777" w:rsidR="005268A1" w:rsidRPr="007001FE" w:rsidRDefault="005268A1" w:rsidP="007001FE">
      <w:pPr>
        <w:spacing w:line="360" w:lineRule="auto"/>
        <w:rPr>
          <w:rFonts w:ascii="Arial" w:hAnsi="Arial" w:cs="Arial"/>
          <w:b/>
          <w:bCs/>
          <w:sz w:val="22"/>
          <w:szCs w:val="22"/>
          <w:lang w:val="en-GB"/>
        </w:rPr>
      </w:pPr>
      <w:r w:rsidRPr="007001FE">
        <w:rPr>
          <w:rFonts w:ascii="Arial" w:hAnsi="Arial" w:cs="Arial"/>
          <w:b/>
          <w:bCs/>
          <w:sz w:val="22"/>
          <w:szCs w:val="22"/>
          <w:lang w:val="en-GB"/>
        </w:rPr>
        <w:t>Application in Health and Social Care</w:t>
      </w:r>
    </w:p>
    <w:p w14:paraId="3C5E702F" w14:textId="77777777" w:rsidR="005268A1" w:rsidRPr="007001FE" w:rsidRDefault="005268A1" w:rsidP="007001FE">
      <w:pPr>
        <w:spacing w:line="360" w:lineRule="auto"/>
        <w:rPr>
          <w:rFonts w:ascii="Arial" w:hAnsi="Arial" w:cs="Arial"/>
          <w:sz w:val="22"/>
          <w:szCs w:val="22"/>
          <w:lang w:val="en-GB"/>
        </w:rPr>
      </w:pPr>
    </w:p>
    <w:p w14:paraId="0E028389" w14:textId="77777777" w:rsidR="005268A1" w:rsidRPr="007001FE" w:rsidRDefault="005268A1" w:rsidP="007001FE">
      <w:pPr>
        <w:spacing w:line="360" w:lineRule="auto"/>
        <w:rPr>
          <w:rFonts w:ascii="Arial" w:hAnsi="Arial" w:cs="Arial"/>
          <w:b/>
          <w:bCs/>
          <w:sz w:val="22"/>
          <w:szCs w:val="22"/>
          <w:lang w:val="en-GB"/>
        </w:rPr>
      </w:pPr>
      <w:r w:rsidRPr="007001FE">
        <w:rPr>
          <w:rFonts w:ascii="Arial" w:hAnsi="Arial" w:cs="Arial"/>
          <w:sz w:val="22"/>
          <w:szCs w:val="22"/>
          <w:lang w:val="en-GB"/>
        </w:rPr>
        <w:t>1</w:t>
      </w:r>
      <w:r w:rsidRPr="007001FE">
        <w:rPr>
          <w:rFonts w:ascii="Arial" w:hAnsi="Arial" w:cs="Arial"/>
          <w:b/>
          <w:bCs/>
          <w:sz w:val="22"/>
          <w:szCs w:val="22"/>
          <w:lang w:val="en-GB"/>
        </w:rPr>
        <w:t>. Applying Erikson’s Psychosocial Theory</w:t>
      </w:r>
    </w:p>
    <w:p w14:paraId="117CC4B0"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Erikson’s theory is particularly useful for guiding care staff in supporting residents’ emotional wellbeing and maintaining their sense of identity. Practical applications include:</w:t>
      </w:r>
    </w:p>
    <w:p w14:paraId="7A9243F7" w14:textId="77777777" w:rsidR="005268A1" w:rsidRPr="007001FE" w:rsidRDefault="005268A1" w:rsidP="007001FE">
      <w:pPr>
        <w:spacing w:line="360" w:lineRule="auto"/>
        <w:rPr>
          <w:rFonts w:ascii="Arial" w:hAnsi="Arial" w:cs="Arial"/>
          <w:sz w:val="22"/>
          <w:szCs w:val="22"/>
          <w:lang w:val="en-GB"/>
        </w:rPr>
      </w:pPr>
    </w:p>
    <w:p w14:paraId="58464521"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Life review sessions:</w:t>
      </w:r>
      <w:r w:rsidRPr="007001FE">
        <w:rPr>
          <w:rFonts w:ascii="Arial" w:hAnsi="Arial" w:cs="Arial"/>
          <w:sz w:val="22"/>
          <w:szCs w:val="22"/>
          <w:lang w:val="en-GB"/>
        </w:rPr>
        <w:t xml:space="preserve"> Residents share their life stories with staff or peers, reflecting on achievements, coping with regrets, and reinforcing self-esteem (Parry et al., 2022).</w:t>
      </w:r>
    </w:p>
    <w:p w14:paraId="1AD6DA22" w14:textId="77777777" w:rsidR="005268A1" w:rsidRPr="007001FE" w:rsidRDefault="005268A1" w:rsidP="007001FE">
      <w:pPr>
        <w:spacing w:line="360" w:lineRule="auto"/>
        <w:rPr>
          <w:rFonts w:ascii="Arial" w:hAnsi="Arial" w:cs="Arial"/>
          <w:sz w:val="22"/>
          <w:szCs w:val="22"/>
          <w:lang w:val="en-GB"/>
        </w:rPr>
      </w:pPr>
    </w:p>
    <w:p w14:paraId="3F7B0758"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Reminiscence therapy:</w:t>
      </w:r>
      <w:r w:rsidRPr="007001FE">
        <w:rPr>
          <w:rFonts w:ascii="Arial" w:hAnsi="Arial" w:cs="Arial"/>
          <w:sz w:val="22"/>
          <w:szCs w:val="22"/>
          <w:lang w:val="en-GB"/>
        </w:rPr>
        <w:t xml:space="preserve"> Familiar music, photographs, and objects are used to stimulate memory, encourage conversation, and reduce feelings of despair (Kelly &amp; Ahessy, 2021).</w:t>
      </w:r>
    </w:p>
    <w:p w14:paraId="6DD58F43" w14:textId="77777777" w:rsidR="005268A1" w:rsidRPr="007001FE" w:rsidRDefault="005268A1" w:rsidP="007001FE">
      <w:pPr>
        <w:spacing w:line="360" w:lineRule="auto"/>
        <w:rPr>
          <w:rFonts w:ascii="Arial" w:hAnsi="Arial" w:cs="Arial"/>
          <w:sz w:val="22"/>
          <w:szCs w:val="22"/>
          <w:lang w:val="en-GB"/>
        </w:rPr>
      </w:pPr>
    </w:p>
    <w:p w14:paraId="34E5E471"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Personalized care plans:</w:t>
      </w:r>
      <w:r w:rsidRPr="007001FE">
        <w:rPr>
          <w:rFonts w:ascii="Arial" w:hAnsi="Arial" w:cs="Arial"/>
          <w:sz w:val="22"/>
          <w:szCs w:val="22"/>
          <w:lang w:val="en-GB"/>
        </w:rPr>
        <w:t xml:space="preserve"> Tailoring routines, meals, and activities to residents’ preferences and life experiences helps them feel recognized and valued as individuals (Ahmed et al., 2020).</w:t>
      </w:r>
    </w:p>
    <w:p w14:paraId="72799A7D" w14:textId="77777777" w:rsidR="005268A1" w:rsidRPr="007001FE" w:rsidRDefault="005268A1" w:rsidP="007001FE">
      <w:pPr>
        <w:spacing w:line="360" w:lineRule="auto"/>
        <w:rPr>
          <w:rFonts w:ascii="Arial" w:hAnsi="Arial" w:cs="Arial"/>
          <w:sz w:val="22"/>
          <w:szCs w:val="22"/>
          <w:lang w:val="en-GB"/>
        </w:rPr>
      </w:pPr>
    </w:p>
    <w:p w14:paraId="3E28ACA4" w14:textId="77777777" w:rsidR="005268A1" w:rsidRPr="007001FE" w:rsidRDefault="005268A1" w:rsidP="007001FE">
      <w:pPr>
        <w:spacing w:line="360" w:lineRule="auto"/>
        <w:rPr>
          <w:rFonts w:ascii="Arial" w:hAnsi="Arial" w:cs="Arial"/>
          <w:b/>
          <w:bCs/>
          <w:sz w:val="22"/>
          <w:szCs w:val="22"/>
          <w:lang w:val="en-GB"/>
        </w:rPr>
      </w:pPr>
      <w:r w:rsidRPr="007001FE">
        <w:rPr>
          <w:rFonts w:ascii="Arial" w:hAnsi="Arial" w:cs="Arial"/>
          <w:b/>
          <w:bCs/>
          <w:sz w:val="22"/>
          <w:szCs w:val="22"/>
          <w:lang w:val="en-GB"/>
        </w:rPr>
        <w:t>Challenges:</w:t>
      </w:r>
    </w:p>
    <w:p w14:paraId="3973D38A" w14:textId="77777777" w:rsidR="005268A1" w:rsidRPr="007001FE" w:rsidRDefault="005268A1" w:rsidP="007001FE">
      <w:pPr>
        <w:spacing w:line="360" w:lineRule="auto"/>
        <w:rPr>
          <w:rFonts w:ascii="Arial" w:hAnsi="Arial" w:cs="Arial"/>
          <w:sz w:val="22"/>
          <w:szCs w:val="22"/>
          <w:lang w:val="en-GB"/>
        </w:rPr>
      </w:pPr>
    </w:p>
    <w:p w14:paraId="2B87254F"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Cognitive decline may limit participation, especially in residents with moderate to severe dementia.</w:t>
      </w:r>
    </w:p>
    <w:p w14:paraId="7AAF08CF" w14:textId="77777777" w:rsidR="005268A1" w:rsidRPr="007001FE" w:rsidRDefault="005268A1" w:rsidP="007001FE">
      <w:pPr>
        <w:spacing w:line="360" w:lineRule="auto"/>
        <w:rPr>
          <w:rFonts w:ascii="Arial" w:hAnsi="Arial" w:cs="Arial"/>
          <w:sz w:val="22"/>
          <w:szCs w:val="22"/>
          <w:lang w:val="en-GB"/>
        </w:rPr>
      </w:pPr>
    </w:p>
    <w:p w14:paraId="27F1E77C"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Discussions of past regrets or traumatic memories can evoke distress if not carefully facilitated.</w:t>
      </w:r>
    </w:p>
    <w:p w14:paraId="064A444F" w14:textId="77777777" w:rsidR="005268A1" w:rsidRPr="007001FE" w:rsidRDefault="005268A1" w:rsidP="007001FE">
      <w:pPr>
        <w:spacing w:line="360" w:lineRule="auto"/>
        <w:rPr>
          <w:rFonts w:ascii="Arial" w:hAnsi="Arial" w:cs="Arial"/>
          <w:b/>
          <w:bCs/>
          <w:sz w:val="22"/>
          <w:szCs w:val="22"/>
          <w:lang w:val="en-GB"/>
        </w:rPr>
      </w:pPr>
    </w:p>
    <w:p w14:paraId="6A2B5061" w14:textId="77777777" w:rsidR="005268A1" w:rsidRPr="007001FE" w:rsidRDefault="005268A1" w:rsidP="007001FE">
      <w:pPr>
        <w:spacing w:line="360" w:lineRule="auto"/>
        <w:rPr>
          <w:rFonts w:ascii="Arial" w:hAnsi="Arial" w:cs="Arial"/>
          <w:b/>
          <w:bCs/>
          <w:sz w:val="22"/>
          <w:szCs w:val="22"/>
          <w:lang w:val="en-GB"/>
        </w:rPr>
      </w:pPr>
      <w:r w:rsidRPr="007001FE">
        <w:rPr>
          <w:rFonts w:ascii="Arial" w:hAnsi="Arial" w:cs="Arial"/>
          <w:b/>
          <w:bCs/>
          <w:sz w:val="22"/>
          <w:szCs w:val="22"/>
          <w:lang w:val="en-GB"/>
        </w:rPr>
        <w:t>Strategies:</w:t>
      </w:r>
    </w:p>
    <w:p w14:paraId="1AB79699" w14:textId="77777777" w:rsidR="005268A1" w:rsidRPr="007001FE" w:rsidRDefault="005268A1" w:rsidP="007001FE">
      <w:pPr>
        <w:spacing w:line="360" w:lineRule="auto"/>
        <w:rPr>
          <w:rFonts w:ascii="Arial" w:hAnsi="Arial" w:cs="Arial"/>
          <w:sz w:val="22"/>
          <w:szCs w:val="22"/>
          <w:lang w:val="en-GB"/>
        </w:rPr>
      </w:pPr>
    </w:p>
    <w:p w14:paraId="10191AA4"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Adapt interventions using sensory prompts, music, pictures, or simplified communication to engage residents effectively.</w:t>
      </w:r>
    </w:p>
    <w:p w14:paraId="2E1FBBC1" w14:textId="77777777" w:rsidR="005268A1" w:rsidRPr="007001FE" w:rsidRDefault="005268A1" w:rsidP="007001FE">
      <w:pPr>
        <w:spacing w:line="360" w:lineRule="auto"/>
        <w:rPr>
          <w:rFonts w:ascii="Arial" w:hAnsi="Arial" w:cs="Arial"/>
          <w:sz w:val="22"/>
          <w:szCs w:val="22"/>
          <w:lang w:val="en-GB"/>
        </w:rPr>
      </w:pPr>
    </w:p>
    <w:p w14:paraId="12729B1B" w14:textId="03B55C76"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 xml:space="preserve">Provide emotional support through trained staff or </w:t>
      </w:r>
      <w:r w:rsidRPr="007001FE">
        <w:rPr>
          <w:rFonts w:ascii="Arial" w:hAnsi="Arial" w:cs="Arial"/>
          <w:sz w:val="22"/>
          <w:szCs w:val="22"/>
          <w:lang w:val="en-GB"/>
        </w:rPr>
        <w:t>counsellors</w:t>
      </w:r>
      <w:r w:rsidRPr="007001FE">
        <w:rPr>
          <w:rFonts w:ascii="Arial" w:hAnsi="Arial" w:cs="Arial"/>
          <w:sz w:val="22"/>
          <w:szCs w:val="22"/>
          <w:lang w:val="en-GB"/>
        </w:rPr>
        <w:t xml:space="preserve"> who can manage distress, monitor reactions, and adjust interventions accordingly.</w:t>
      </w:r>
    </w:p>
    <w:p w14:paraId="51B512EE" w14:textId="77777777" w:rsidR="005268A1" w:rsidRPr="007001FE" w:rsidRDefault="005268A1" w:rsidP="007001FE">
      <w:pPr>
        <w:spacing w:line="360" w:lineRule="auto"/>
        <w:rPr>
          <w:rFonts w:ascii="Arial" w:hAnsi="Arial" w:cs="Arial"/>
          <w:sz w:val="22"/>
          <w:szCs w:val="22"/>
          <w:lang w:val="en-GB"/>
        </w:rPr>
      </w:pPr>
    </w:p>
    <w:p w14:paraId="2AA4102D" w14:textId="77777777" w:rsidR="005268A1" w:rsidRPr="007001FE" w:rsidRDefault="005268A1" w:rsidP="007001FE">
      <w:pPr>
        <w:spacing w:line="360" w:lineRule="auto"/>
        <w:rPr>
          <w:rFonts w:ascii="Arial" w:hAnsi="Arial" w:cs="Arial"/>
          <w:b/>
          <w:bCs/>
          <w:sz w:val="22"/>
          <w:szCs w:val="22"/>
          <w:lang w:val="en-GB"/>
        </w:rPr>
      </w:pPr>
      <w:r w:rsidRPr="007001FE">
        <w:rPr>
          <w:rFonts w:ascii="Arial" w:hAnsi="Arial" w:cs="Arial"/>
          <w:sz w:val="22"/>
          <w:szCs w:val="22"/>
          <w:lang w:val="en-GB"/>
        </w:rPr>
        <w:t xml:space="preserve">2. </w:t>
      </w:r>
      <w:r w:rsidRPr="007001FE">
        <w:rPr>
          <w:rFonts w:ascii="Arial" w:hAnsi="Arial" w:cs="Arial"/>
          <w:b/>
          <w:bCs/>
          <w:sz w:val="22"/>
          <w:szCs w:val="22"/>
          <w:lang w:val="en-GB"/>
        </w:rPr>
        <w:t>Applying Maslow’s Hierarchy of Needs</w:t>
      </w:r>
    </w:p>
    <w:p w14:paraId="730D4E69"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Maslow’s model provides a framework for prioritizing care and ensuring residents’ needs are systematically addressed:</w:t>
      </w:r>
    </w:p>
    <w:p w14:paraId="6085F799" w14:textId="77777777" w:rsidR="005268A1" w:rsidRPr="007001FE" w:rsidRDefault="005268A1" w:rsidP="007001FE">
      <w:pPr>
        <w:spacing w:line="360" w:lineRule="auto"/>
        <w:rPr>
          <w:rFonts w:ascii="Arial" w:hAnsi="Arial" w:cs="Arial"/>
          <w:b/>
          <w:bCs/>
          <w:sz w:val="22"/>
          <w:szCs w:val="22"/>
          <w:lang w:val="en-GB"/>
        </w:rPr>
      </w:pPr>
    </w:p>
    <w:p w14:paraId="0E788054"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 xml:space="preserve">Physiological and safety needs: </w:t>
      </w:r>
      <w:r w:rsidRPr="007001FE">
        <w:rPr>
          <w:rFonts w:ascii="Arial" w:hAnsi="Arial" w:cs="Arial"/>
          <w:sz w:val="22"/>
          <w:szCs w:val="22"/>
          <w:lang w:val="en-GB"/>
        </w:rPr>
        <w:t>Adequate nutrition, hygiene, mobility support, and a secure environment prevent physical deterioration and reduce anxiety (Gilbert, 2024).</w:t>
      </w:r>
    </w:p>
    <w:p w14:paraId="3FDFBE87" w14:textId="77777777" w:rsidR="005268A1" w:rsidRPr="007001FE" w:rsidRDefault="005268A1" w:rsidP="007001FE">
      <w:pPr>
        <w:spacing w:line="360" w:lineRule="auto"/>
        <w:rPr>
          <w:rFonts w:ascii="Arial" w:hAnsi="Arial" w:cs="Arial"/>
          <w:sz w:val="22"/>
          <w:szCs w:val="22"/>
          <w:lang w:val="en-GB"/>
        </w:rPr>
      </w:pPr>
    </w:p>
    <w:p w14:paraId="059D1ABC"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Love and belonging:</w:t>
      </w:r>
      <w:r w:rsidRPr="007001FE">
        <w:rPr>
          <w:rFonts w:ascii="Arial" w:hAnsi="Arial" w:cs="Arial"/>
          <w:sz w:val="22"/>
          <w:szCs w:val="22"/>
          <w:lang w:val="en-GB"/>
        </w:rPr>
        <w:t xml:space="preserve"> Social activities, family visits, and group programs prevent isolation and enhance emotional wellbeing.</w:t>
      </w:r>
    </w:p>
    <w:p w14:paraId="77176207" w14:textId="77777777" w:rsidR="005268A1" w:rsidRPr="007001FE" w:rsidRDefault="005268A1" w:rsidP="007001FE">
      <w:pPr>
        <w:spacing w:line="360" w:lineRule="auto"/>
        <w:rPr>
          <w:rFonts w:ascii="Arial" w:hAnsi="Arial" w:cs="Arial"/>
          <w:sz w:val="22"/>
          <w:szCs w:val="22"/>
          <w:lang w:val="en-GB"/>
        </w:rPr>
      </w:pPr>
    </w:p>
    <w:p w14:paraId="5718AE89"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Esteem needs:</w:t>
      </w:r>
      <w:r w:rsidRPr="007001FE">
        <w:rPr>
          <w:rFonts w:ascii="Arial" w:hAnsi="Arial" w:cs="Arial"/>
          <w:sz w:val="22"/>
          <w:szCs w:val="22"/>
          <w:lang w:val="en-GB"/>
        </w:rPr>
        <w:t xml:space="preserve"> Recognizing achievements, encouraging decision-making, and providing meaningful tasks or hobbies helps residents maintain confidence and dignity (Selvam, 2022).</w:t>
      </w:r>
    </w:p>
    <w:p w14:paraId="68ECB1AE" w14:textId="77777777" w:rsidR="005268A1" w:rsidRPr="007001FE" w:rsidRDefault="005268A1" w:rsidP="007001FE">
      <w:pPr>
        <w:spacing w:line="360" w:lineRule="auto"/>
        <w:rPr>
          <w:rFonts w:ascii="Arial" w:hAnsi="Arial" w:cs="Arial"/>
          <w:sz w:val="22"/>
          <w:szCs w:val="22"/>
          <w:lang w:val="en-GB"/>
        </w:rPr>
      </w:pPr>
    </w:p>
    <w:p w14:paraId="5B696056"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b/>
          <w:bCs/>
          <w:sz w:val="22"/>
          <w:szCs w:val="22"/>
          <w:lang w:val="en-GB"/>
        </w:rPr>
        <w:t xml:space="preserve">Self-actualization: </w:t>
      </w:r>
      <w:r w:rsidRPr="007001FE">
        <w:rPr>
          <w:rFonts w:ascii="Arial" w:hAnsi="Arial" w:cs="Arial"/>
          <w:sz w:val="22"/>
          <w:szCs w:val="22"/>
          <w:lang w:val="en-GB"/>
        </w:rPr>
        <w:t>Creative, spiritual, and educational activities adapted to residents’ capabilities promote personal growth, purpose, and identity maintenance.</w:t>
      </w:r>
    </w:p>
    <w:p w14:paraId="74A1B44E" w14:textId="77777777" w:rsidR="005268A1" w:rsidRPr="007001FE" w:rsidRDefault="005268A1" w:rsidP="007001FE">
      <w:pPr>
        <w:spacing w:line="360" w:lineRule="auto"/>
        <w:rPr>
          <w:rFonts w:ascii="Arial" w:hAnsi="Arial" w:cs="Arial"/>
          <w:b/>
          <w:bCs/>
          <w:sz w:val="22"/>
          <w:szCs w:val="22"/>
          <w:lang w:val="en-GB"/>
        </w:rPr>
      </w:pPr>
    </w:p>
    <w:p w14:paraId="7A8F1835" w14:textId="77777777" w:rsidR="005268A1" w:rsidRPr="007001FE" w:rsidRDefault="005268A1" w:rsidP="007001FE">
      <w:pPr>
        <w:spacing w:line="360" w:lineRule="auto"/>
        <w:rPr>
          <w:rFonts w:ascii="Arial" w:hAnsi="Arial" w:cs="Arial"/>
          <w:b/>
          <w:bCs/>
          <w:sz w:val="22"/>
          <w:szCs w:val="22"/>
          <w:lang w:val="en-GB"/>
        </w:rPr>
      </w:pPr>
      <w:r w:rsidRPr="007001FE">
        <w:rPr>
          <w:rFonts w:ascii="Arial" w:hAnsi="Arial" w:cs="Arial"/>
          <w:b/>
          <w:bCs/>
          <w:sz w:val="22"/>
          <w:szCs w:val="22"/>
          <w:lang w:val="en-GB"/>
        </w:rPr>
        <w:lastRenderedPageBreak/>
        <w:t>Challenges:</w:t>
      </w:r>
    </w:p>
    <w:p w14:paraId="5EA09D77" w14:textId="77777777" w:rsidR="005268A1" w:rsidRPr="007001FE" w:rsidRDefault="005268A1" w:rsidP="007001FE">
      <w:pPr>
        <w:spacing w:line="360" w:lineRule="auto"/>
        <w:rPr>
          <w:rFonts w:ascii="Arial" w:hAnsi="Arial" w:cs="Arial"/>
          <w:sz w:val="22"/>
          <w:szCs w:val="22"/>
          <w:lang w:val="en-GB"/>
        </w:rPr>
      </w:pPr>
    </w:p>
    <w:p w14:paraId="52C5D3F1"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Limited staffing may hinder consistent attention to higher-level needs like esteem and self-actualization.</w:t>
      </w:r>
    </w:p>
    <w:p w14:paraId="0A60AC1B" w14:textId="77777777" w:rsidR="005268A1" w:rsidRPr="007001FE" w:rsidRDefault="005268A1" w:rsidP="007001FE">
      <w:pPr>
        <w:spacing w:line="360" w:lineRule="auto"/>
        <w:rPr>
          <w:rFonts w:ascii="Arial" w:hAnsi="Arial" w:cs="Arial"/>
          <w:sz w:val="22"/>
          <w:szCs w:val="22"/>
          <w:lang w:val="en-GB"/>
        </w:rPr>
      </w:pPr>
    </w:p>
    <w:p w14:paraId="39B73C56"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Residents with advanced dementia may struggle to communicate preferences, making it harder to tailor interventions.</w:t>
      </w:r>
    </w:p>
    <w:p w14:paraId="45926F61" w14:textId="77777777" w:rsidR="005268A1" w:rsidRPr="007001FE" w:rsidRDefault="005268A1" w:rsidP="007001FE">
      <w:pPr>
        <w:spacing w:line="360" w:lineRule="auto"/>
        <w:rPr>
          <w:rFonts w:ascii="Arial" w:hAnsi="Arial" w:cs="Arial"/>
          <w:sz w:val="22"/>
          <w:szCs w:val="22"/>
          <w:lang w:val="en-GB"/>
        </w:rPr>
      </w:pPr>
    </w:p>
    <w:p w14:paraId="1DC7C8A9" w14:textId="77777777" w:rsidR="005268A1" w:rsidRPr="007001FE" w:rsidRDefault="005268A1" w:rsidP="007001FE">
      <w:pPr>
        <w:spacing w:line="360" w:lineRule="auto"/>
        <w:rPr>
          <w:rFonts w:ascii="Arial" w:hAnsi="Arial" w:cs="Arial"/>
          <w:b/>
          <w:bCs/>
          <w:sz w:val="22"/>
          <w:szCs w:val="22"/>
          <w:lang w:val="en-GB"/>
        </w:rPr>
      </w:pPr>
      <w:r w:rsidRPr="007001FE">
        <w:rPr>
          <w:rFonts w:ascii="Arial" w:hAnsi="Arial" w:cs="Arial"/>
          <w:b/>
          <w:bCs/>
          <w:sz w:val="22"/>
          <w:szCs w:val="22"/>
          <w:lang w:val="en-GB"/>
        </w:rPr>
        <w:t>Strategies:</w:t>
      </w:r>
    </w:p>
    <w:p w14:paraId="1469CEDE" w14:textId="77777777" w:rsidR="005268A1" w:rsidRPr="007001FE" w:rsidRDefault="005268A1" w:rsidP="007001FE">
      <w:pPr>
        <w:spacing w:line="360" w:lineRule="auto"/>
        <w:rPr>
          <w:rFonts w:ascii="Arial" w:hAnsi="Arial" w:cs="Arial"/>
          <w:sz w:val="22"/>
          <w:szCs w:val="22"/>
          <w:lang w:val="en-GB"/>
        </w:rPr>
      </w:pPr>
    </w:p>
    <w:p w14:paraId="3A31DB76"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Implement structured daily routines and activity programs to ensure regular engagement.</w:t>
      </w:r>
    </w:p>
    <w:p w14:paraId="25BD1C47" w14:textId="77777777" w:rsidR="005268A1" w:rsidRPr="007001FE" w:rsidRDefault="005268A1" w:rsidP="007001FE">
      <w:pPr>
        <w:spacing w:line="360" w:lineRule="auto"/>
        <w:rPr>
          <w:rFonts w:ascii="Arial" w:hAnsi="Arial" w:cs="Arial"/>
          <w:sz w:val="22"/>
          <w:szCs w:val="22"/>
          <w:lang w:val="en-GB"/>
        </w:rPr>
      </w:pPr>
    </w:p>
    <w:p w14:paraId="62F2A489"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Train staff in communication techniques, including observing non-verbal cues, validation therapy, and attentive listening, to better understand and respond to residents’ needs (Pereira, 2020).</w:t>
      </w:r>
    </w:p>
    <w:p w14:paraId="119F0652" w14:textId="77777777" w:rsidR="005268A1" w:rsidRPr="007001FE" w:rsidRDefault="005268A1" w:rsidP="007001FE">
      <w:pPr>
        <w:spacing w:line="360" w:lineRule="auto"/>
        <w:rPr>
          <w:rFonts w:ascii="Arial" w:hAnsi="Arial" w:cs="Arial"/>
          <w:sz w:val="22"/>
          <w:szCs w:val="22"/>
          <w:lang w:val="en-GB"/>
        </w:rPr>
      </w:pPr>
    </w:p>
    <w:p w14:paraId="1CC23682" w14:textId="77777777" w:rsidR="005268A1" w:rsidRPr="007001FE" w:rsidRDefault="005268A1" w:rsidP="007001FE">
      <w:pPr>
        <w:spacing w:line="360" w:lineRule="auto"/>
        <w:rPr>
          <w:rFonts w:ascii="Arial" w:hAnsi="Arial" w:cs="Arial"/>
          <w:b/>
          <w:bCs/>
          <w:sz w:val="22"/>
          <w:szCs w:val="22"/>
          <w:lang w:val="en-GB"/>
        </w:rPr>
      </w:pPr>
      <w:r w:rsidRPr="007001FE">
        <w:rPr>
          <w:rFonts w:ascii="Arial" w:hAnsi="Arial" w:cs="Arial"/>
          <w:b/>
          <w:bCs/>
          <w:sz w:val="22"/>
          <w:szCs w:val="22"/>
          <w:lang w:val="en-GB"/>
        </w:rPr>
        <w:t>Critical Evaluation</w:t>
      </w:r>
    </w:p>
    <w:p w14:paraId="61B1CDF9"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Combining Erikson’s psychosocial theory and Maslow’s hierarchy of needs provides a holistic approach to dementia care. Erikson emphasizes emotional wellbeing, identity, and coping with aging, while Maslow ensures that residents’ physical, social, and psychological needs are systematically met. Together, these frameworks can reduce agitation, improve mental health, and enhance social engagement.</w:t>
      </w:r>
    </w:p>
    <w:p w14:paraId="7D37C4DC" w14:textId="77777777" w:rsidR="005268A1" w:rsidRPr="007001FE" w:rsidRDefault="005268A1" w:rsidP="007001FE">
      <w:pPr>
        <w:spacing w:line="360" w:lineRule="auto"/>
        <w:rPr>
          <w:rFonts w:ascii="Arial" w:hAnsi="Arial" w:cs="Arial"/>
          <w:sz w:val="22"/>
          <w:szCs w:val="22"/>
          <w:lang w:val="en-GB"/>
        </w:rPr>
      </w:pPr>
    </w:p>
    <w:p w14:paraId="5F883257" w14:textId="77777777" w:rsidR="005268A1" w:rsidRPr="007001FE" w:rsidRDefault="005268A1" w:rsidP="007001FE">
      <w:pPr>
        <w:spacing w:line="360" w:lineRule="auto"/>
        <w:rPr>
          <w:rFonts w:ascii="Arial" w:hAnsi="Arial" w:cs="Arial"/>
          <w:b/>
          <w:bCs/>
          <w:sz w:val="22"/>
          <w:szCs w:val="22"/>
          <w:lang w:val="en-GB"/>
        </w:rPr>
      </w:pPr>
      <w:r w:rsidRPr="007001FE">
        <w:rPr>
          <w:rFonts w:ascii="Arial" w:hAnsi="Arial" w:cs="Arial"/>
          <w:b/>
          <w:bCs/>
          <w:sz w:val="22"/>
          <w:szCs w:val="22"/>
          <w:lang w:val="en-GB"/>
        </w:rPr>
        <w:t>Limitations:</w:t>
      </w:r>
    </w:p>
    <w:p w14:paraId="07002EB7" w14:textId="77777777" w:rsidR="005268A1" w:rsidRPr="007001FE" w:rsidRDefault="005268A1" w:rsidP="007001FE">
      <w:pPr>
        <w:spacing w:line="360" w:lineRule="auto"/>
        <w:rPr>
          <w:rFonts w:ascii="Arial" w:hAnsi="Arial" w:cs="Arial"/>
          <w:sz w:val="22"/>
          <w:szCs w:val="22"/>
          <w:lang w:val="en-GB"/>
        </w:rPr>
      </w:pPr>
    </w:p>
    <w:p w14:paraId="2D0CE6AB" w14:textId="77777777"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lastRenderedPageBreak/>
        <w:t>Erikson’s theory assumes reflective capacity, which may not be feasible for residents with severe cognitive impairment, limiting the effectiveness of life review sessions.</w:t>
      </w:r>
    </w:p>
    <w:p w14:paraId="62F9ECD6" w14:textId="77777777" w:rsidR="005268A1" w:rsidRPr="007001FE" w:rsidRDefault="005268A1" w:rsidP="007001FE">
      <w:pPr>
        <w:spacing w:line="360" w:lineRule="auto"/>
        <w:rPr>
          <w:rFonts w:ascii="Arial" w:hAnsi="Arial" w:cs="Arial"/>
          <w:sz w:val="22"/>
          <w:szCs w:val="22"/>
          <w:lang w:val="en-GB"/>
        </w:rPr>
      </w:pPr>
    </w:p>
    <w:p w14:paraId="28FFA8DB" w14:textId="449A5A5A" w:rsidR="005268A1"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 xml:space="preserve">Maslow’s hierarchy can be </w:t>
      </w:r>
      <w:r w:rsidRPr="007001FE">
        <w:rPr>
          <w:rFonts w:ascii="Arial" w:hAnsi="Arial" w:cs="Arial"/>
          <w:sz w:val="22"/>
          <w:szCs w:val="22"/>
          <w:lang w:val="en-GB"/>
        </w:rPr>
        <w:t xml:space="preserve">inflexible, </w:t>
      </w:r>
      <w:r w:rsidRPr="007001FE">
        <w:rPr>
          <w:rFonts w:ascii="Arial" w:hAnsi="Arial" w:cs="Arial"/>
          <w:sz w:val="22"/>
          <w:szCs w:val="22"/>
          <w:lang w:val="en-GB"/>
        </w:rPr>
        <w:t>needs do not always follow a strict sequence, and residents may pursue higher</w:t>
      </w:r>
      <w:r w:rsidRPr="007001FE">
        <w:rPr>
          <w:rFonts w:ascii="Arial" w:hAnsi="Arial" w:cs="Arial"/>
          <w:sz w:val="22"/>
          <w:szCs w:val="22"/>
          <w:lang w:val="en-GB"/>
        </w:rPr>
        <w:t xml:space="preserve"> </w:t>
      </w:r>
      <w:r w:rsidRPr="007001FE">
        <w:rPr>
          <w:rFonts w:ascii="Arial" w:hAnsi="Arial" w:cs="Arial"/>
          <w:sz w:val="22"/>
          <w:szCs w:val="22"/>
          <w:lang w:val="en-GB"/>
        </w:rPr>
        <w:t>level needs even if some basic needs are partially unmet.</w:t>
      </w:r>
    </w:p>
    <w:p w14:paraId="72FDAE99" w14:textId="77777777" w:rsidR="005268A1" w:rsidRPr="007001FE" w:rsidRDefault="005268A1" w:rsidP="007001FE">
      <w:pPr>
        <w:spacing w:line="360" w:lineRule="auto"/>
        <w:rPr>
          <w:rFonts w:ascii="Arial" w:hAnsi="Arial" w:cs="Arial"/>
          <w:sz w:val="22"/>
          <w:szCs w:val="22"/>
          <w:lang w:val="en-GB"/>
        </w:rPr>
      </w:pPr>
    </w:p>
    <w:p w14:paraId="09202A02" w14:textId="77777777" w:rsidR="005268A1" w:rsidRPr="007001FE" w:rsidRDefault="005268A1" w:rsidP="007001FE">
      <w:pPr>
        <w:spacing w:line="360" w:lineRule="auto"/>
        <w:rPr>
          <w:rFonts w:ascii="Arial" w:hAnsi="Arial" w:cs="Arial"/>
          <w:b/>
          <w:bCs/>
          <w:sz w:val="22"/>
          <w:szCs w:val="22"/>
          <w:lang w:val="en-GB"/>
        </w:rPr>
      </w:pPr>
      <w:r w:rsidRPr="007001FE">
        <w:rPr>
          <w:rFonts w:ascii="Arial" w:hAnsi="Arial" w:cs="Arial"/>
          <w:b/>
          <w:bCs/>
          <w:sz w:val="22"/>
          <w:szCs w:val="22"/>
          <w:lang w:val="en-GB"/>
        </w:rPr>
        <w:t>Integration Strategy:</w:t>
      </w:r>
    </w:p>
    <w:p w14:paraId="19C66E3B" w14:textId="4DB7F3BD" w:rsidR="00FB4B2D" w:rsidRPr="007001FE" w:rsidRDefault="005268A1" w:rsidP="007001FE">
      <w:pPr>
        <w:spacing w:line="360" w:lineRule="auto"/>
        <w:rPr>
          <w:rFonts w:ascii="Arial" w:hAnsi="Arial" w:cs="Arial"/>
          <w:sz w:val="22"/>
          <w:szCs w:val="22"/>
          <w:lang w:val="en-GB"/>
        </w:rPr>
      </w:pPr>
      <w:r w:rsidRPr="007001FE">
        <w:rPr>
          <w:rFonts w:ascii="Arial" w:hAnsi="Arial" w:cs="Arial"/>
          <w:sz w:val="22"/>
          <w:szCs w:val="22"/>
          <w:lang w:val="en-GB"/>
        </w:rPr>
        <w:t>Care staff can first meet residents’ physiological and safety needs using Maslow’s model, then implement Erikson-based interventions like reminiscence therapy and life review sessions to promote identity and emotional wellbeing. Structured care plans, personalized approaches, and ongoing staff training are crucial for delivering effective, person</w:t>
      </w:r>
      <w:r w:rsidRPr="007001FE">
        <w:rPr>
          <w:rFonts w:ascii="Arial" w:hAnsi="Arial" w:cs="Arial"/>
          <w:sz w:val="22"/>
          <w:szCs w:val="22"/>
          <w:lang w:val="en-GB"/>
        </w:rPr>
        <w:t xml:space="preserve"> centred</w:t>
      </w:r>
      <w:r w:rsidRPr="007001FE">
        <w:rPr>
          <w:rFonts w:ascii="Arial" w:hAnsi="Arial" w:cs="Arial"/>
          <w:sz w:val="22"/>
          <w:szCs w:val="22"/>
          <w:lang w:val="en-GB"/>
        </w:rPr>
        <w:t xml:space="preserve"> care that respects both practical and emotional needs, enhancing quality of life for older adults in care settings.</w:t>
      </w:r>
    </w:p>
    <w:p w14:paraId="6C7F92BD" w14:textId="518F2C66" w:rsidR="00FB4B2D" w:rsidRPr="007001FE" w:rsidRDefault="00FB4B2D" w:rsidP="007001FE">
      <w:pPr>
        <w:spacing w:line="360" w:lineRule="auto"/>
        <w:rPr>
          <w:rFonts w:ascii="Arial" w:hAnsi="Arial" w:cs="Arial"/>
          <w:sz w:val="22"/>
          <w:szCs w:val="22"/>
          <w:lang w:val="en-GB"/>
        </w:rPr>
      </w:pPr>
    </w:p>
    <w:p w14:paraId="6BE1A0DE" w14:textId="77777777" w:rsidR="006A4945" w:rsidRPr="006A4945" w:rsidRDefault="006A4945" w:rsidP="007001FE">
      <w:pPr>
        <w:spacing w:line="360" w:lineRule="auto"/>
        <w:rPr>
          <w:rFonts w:ascii="Arial" w:hAnsi="Arial" w:cs="Arial"/>
          <w:b/>
          <w:bCs/>
          <w:sz w:val="22"/>
          <w:szCs w:val="22"/>
          <w:lang w:val="en-GB"/>
        </w:rPr>
      </w:pPr>
      <w:r w:rsidRPr="006A4945">
        <w:rPr>
          <w:rFonts w:ascii="Arial" w:hAnsi="Arial" w:cs="Arial"/>
          <w:b/>
          <w:bCs/>
          <w:sz w:val="22"/>
          <w:szCs w:val="22"/>
          <w:lang w:val="en-GB"/>
        </w:rPr>
        <w:t>Conclusion</w:t>
      </w:r>
    </w:p>
    <w:p w14:paraId="49E56634" w14:textId="77777777" w:rsidR="006A4945" w:rsidRPr="006A4945" w:rsidRDefault="006A4945" w:rsidP="007001FE">
      <w:pPr>
        <w:spacing w:line="360" w:lineRule="auto"/>
        <w:rPr>
          <w:rFonts w:ascii="Arial" w:hAnsi="Arial" w:cs="Arial"/>
          <w:sz w:val="22"/>
          <w:szCs w:val="22"/>
          <w:lang w:val="en-GB"/>
        </w:rPr>
      </w:pPr>
      <w:r w:rsidRPr="006A4945">
        <w:rPr>
          <w:rFonts w:ascii="Arial" w:hAnsi="Arial" w:cs="Arial"/>
          <w:sz w:val="22"/>
          <w:szCs w:val="22"/>
          <w:lang w:val="en-GB"/>
        </w:rPr>
        <w:t>Psychological theories provide valuable frameworks for enhancing dementia care among older adults. Erikson’s Psychosocial Theory is particularly effective in guiding caregivers to support residents during life’s final stage, focused on achieving integrity rather than despair. By encouraging activities such as life review, storytelling, and reminiscence, care workers can help residents hold onto their sense of self, purpose, and emotional balance. This approach not only bolsters self-esteem but also promotes adaptive coping skills, which are crucial for managing the challenges brought by cognitive decline.</w:t>
      </w:r>
    </w:p>
    <w:p w14:paraId="008EA58C" w14:textId="77777777" w:rsidR="006A4945" w:rsidRPr="006A4945" w:rsidRDefault="006A4945" w:rsidP="007001FE">
      <w:pPr>
        <w:spacing w:line="360" w:lineRule="auto"/>
        <w:rPr>
          <w:rFonts w:ascii="Arial" w:hAnsi="Arial" w:cs="Arial"/>
          <w:sz w:val="22"/>
          <w:szCs w:val="22"/>
          <w:lang w:val="en-GB"/>
        </w:rPr>
      </w:pPr>
      <w:r w:rsidRPr="006A4945">
        <w:rPr>
          <w:rFonts w:ascii="Arial" w:hAnsi="Arial" w:cs="Arial"/>
          <w:sz w:val="22"/>
          <w:szCs w:val="22"/>
          <w:lang w:val="en-GB"/>
        </w:rPr>
        <w:t>Maslow’s Hierarchy of Needs further strengthens the care process by addressing the full range of human needs. Beginning with essential physical needs like food, hygiene, and health ensures residents are comfortable and stable. Attention to safety, belonging, and respect creates a supportive environment where individuals feel valued. Offering chances for social involvement, personal expression, and small achievements can significantly boost self-worth and engagement. Such efforts enhance residents’ contentment and foster a sense of community and trust within the care setting.</w:t>
      </w:r>
    </w:p>
    <w:p w14:paraId="7B71985D" w14:textId="77777777" w:rsidR="006A4945" w:rsidRPr="006A4945" w:rsidRDefault="006A4945" w:rsidP="007001FE">
      <w:pPr>
        <w:spacing w:line="360" w:lineRule="auto"/>
        <w:rPr>
          <w:rFonts w:ascii="Arial" w:hAnsi="Arial" w:cs="Arial"/>
          <w:sz w:val="22"/>
          <w:szCs w:val="22"/>
          <w:lang w:val="en-GB"/>
        </w:rPr>
      </w:pPr>
      <w:r w:rsidRPr="006A4945">
        <w:rPr>
          <w:rFonts w:ascii="Arial" w:hAnsi="Arial" w:cs="Arial"/>
          <w:sz w:val="22"/>
          <w:szCs w:val="22"/>
          <w:lang w:val="en-GB"/>
        </w:rPr>
        <w:lastRenderedPageBreak/>
        <w:t>When Erikson’s and Maslow’s models are combined, they promote a thoughtful, person-centred approach to care. This strategy not only supports physical health but also reduces emotional stress and behavioural symptoms often seen in dementia. It allows care plans to be personalized, honouring each person’s life story, personality, and needs, while preserving dignity and individuality.</w:t>
      </w:r>
    </w:p>
    <w:p w14:paraId="4FEF23F1" w14:textId="77777777" w:rsidR="006A4945" w:rsidRPr="006A4945" w:rsidRDefault="006A4945" w:rsidP="007001FE">
      <w:pPr>
        <w:spacing w:line="360" w:lineRule="auto"/>
        <w:rPr>
          <w:rFonts w:ascii="Arial" w:hAnsi="Arial" w:cs="Arial"/>
          <w:sz w:val="22"/>
          <w:szCs w:val="22"/>
          <w:lang w:val="en-GB"/>
        </w:rPr>
      </w:pPr>
      <w:r w:rsidRPr="006A4945">
        <w:rPr>
          <w:rFonts w:ascii="Arial" w:hAnsi="Arial" w:cs="Arial"/>
          <w:sz w:val="22"/>
          <w:szCs w:val="22"/>
          <w:lang w:val="en-GB"/>
        </w:rPr>
        <w:t>Acknowledging challenges such as communication difficulties, progression of dementia, and staff constraints is crucial. By being aware of these factors, care providers can plan more effective and ethical interventions. In summary, applying these psychological theories in routine care helps health and social care professionals improve the quality of life for older adults with dementia. The integration of emotional, social, and physical support builds a compassionate care environment that respects each resident’s unique journey.</w:t>
      </w:r>
    </w:p>
    <w:p w14:paraId="14223DD3" w14:textId="77777777" w:rsidR="00FB4B2D" w:rsidRPr="007001FE" w:rsidRDefault="00FB4B2D" w:rsidP="007001FE">
      <w:pPr>
        <w:spacing w:line="360" w:lineRule="auto"/>
        <w:rPr>
          <w:rFonts w:ascii="Arial" w:hAnsi="Arial" w:cs="Arial"/>
          <w:sz w:val="22"/>
          <w:szCs w:val="22"/>
          <w:lang w:val="en-GB"/>
        </w:rPr>
      </w:pPr>
    </w:p>
    <w:p w14:paraId="0D6F0A20" w14:textId="77777777" w:rsidR="00FB4B2D" w:rsidRPr="007001FE" w:rsidRDefault="00FB4B2D" w:rsidP="007001FE">
      <w:pPr>
        <w:spacing w:line="360" w:lineRule="auto"/>
        <w:rPr>
          <w:rFonts w:ascii="Arial" w:hAnsi="Arial" w:cs="Arial"/>
          <w:b/>
          <w:bCs/>
          <w:sz w:val="22"/>
          <w:szCs w:val="22"/>
          <w:lang w:val="en-GB"/>
        </w:rPr>
      </w:pPr>
    </w:p>
    <w:p w14:paraId="075502EC" w14:textId="77777777" w:rsidR="00FB4B2D" w:rsidRPr="007001FE" w:rsidRDefault="00FB4B2D" w:rsidP="007001FE">
      <w:pPr>
        <w:spacing w:line="360" w:lineRule="auto"/>
        <w:rPr>
          <w:rFonts w:ascii="Arial" w:hAnsi="Arial" w:cs="Arial"/>
          <w:b/>
          <w:bCs/>
          <w:sz w:val="22"/>
          <w:szCs w:val="22"/>
          <w:lang w:val="en-GB"/>
        </w:rPr>
      </w:pPr>
    </w:p>
    <w:p w14:paraId="1E94BBF3" w14:textId="77777777" w:rsidR="00FB4B2D" w:rsidRPr="007001FE" w:rsidRDefault="00FB4B2D" w:rsidP="007001FE">
      <w:pPr>
        <w:spacing w:line="360" w:lineRule="auto"/>
        <w:rPr>
          <w:rFonts w:ascii="Arial" w:hAnsi="Arial" w:cs="Arial"/>
          <w:b/>
          <w:bCs/>
          <w:sz w:val="22"/>
          <w:szCs w:val="22"/>
          <w:lang w:val="en-GB"/>
        </w:rPr>
      </w:pPr>
    </w:p>
    <w:p w14:paraId="1DF6C4D6" w14:textId="77777777" w:rsidR="00FB4B2D" w:rsidRPr="007001FE" w:rsidRDefault="00FB4B2D" w:rsidP="007001FE">
      <w:pPr>
        <w:spacing w:line="360" w:lineRule="auto"/>
        <w:rPr>
          <w:rFonts w:ascii="Arial" w:hAnsi="Arial" w:cs="Arial"/>
          <w:b/>
          <w:bCs/>
          <w:sz w:val="22"/>
          <w:szCs w:val="22"/>
          <w:lang w:val="en-GB"/>
        </w:rPr>
      </w:pPr>
    </w:p>
    <w:p w14:paraId="14690439" w14:textId="77777777" w:rsidR="00FB4B2D" w:rsidRPr="007001FE" w:rsidRDefault="00FB4B2D" w:rsidP="007001FE">
      <w:pPr>
        <w:spacing w:line="360" w:lineRule="auto"/>
        <w:rPr>
          <w:rFonts w:ascii="Arial" w:hAnsi="Arial" w:cs="Arial"/>
          <w:b/>
          <w:bCs/>
          <w:sz w:val="22"/>
          <w:szCs w:val="22"/>
          <w:lang w:val="en-GB"/>
        </w:rPr>
      </w:pPr>
    </w:p>
    <w:p w14:paraId="7982D24A" w14:textId="77777777" w:rsidR="00B32CD1" w:rsidRPr="007001FE" w:rsidRDefault="00B32CD1" w:rsidP="007001FE">
      <w:pPr>
        <w:spacing w:line="360" w:lineRule="auto"/>
        <w:rPr>
          <w:rFonts w:ascii="Arial" w:hAnsi="Arial" w:cs="Arial"/>
          <w:b/>
          <w:bCs/>
          <w:sz w:val="22"/>
          <w:szCs w:val="22"/>
          <w:lang w:val="en-GB"/>
        </w:rPr>
      </w:pPr>
    </w:p>
    <w:p w14:paraId="312C3877" w14:textId="77777777" w:rsidR="00B32CD1" w:rsidRPr="007001FE" w:rsidRDefault="00B32CD1" w:rsidP="007001FE">
      <w:pPr>
        <w:spacing w:line="360" w:lineRule="auto"/>
        <w:rPr>
          <w:rFonts w:ascii="Arial" w:hAnsi="Arial" w:cs="Arial"/>
          <w:b/>
          <w:bCs/>
          <w:sz w:val="22"/>
          <w:szCs w:val="22"/>
          <w:lang w:val="en-GB"/>
        </w:rPr>
      </w:pPr>
    </w:p>
    <w:p w14:paraId="0D2DA47B" w14:textId="77777777" w:rsidR="00B32CD1" w:rsidRPr="007001FE" w:rsidRDefault="00B32CD1" w:rsidP="007001FE">
      <w:pPr>
        <w:spacing w:line="360" w:lineRule="auto"/>
        <w:rPr>
          <w:rFonts w:ascii="Arial" w:hAnsi="Arial" w:cs="Arial"/>
          <w:b/>
          <w:bCs/>
          <w:sz w:val="22"/>
          <w:szCs w:val="22"/>
          <w:lang w:val="en-GB"/>
        </w:rPr>
      </w:pPr>
    </w:p>
    <w:p w14:paraId="7BC26FC7" w14:textId="77777777" w:rsidR="00B32CD1" w:rsidRPr="007001FE" w:rsidRDefault="00B32CD1" w:rsidP="007001FE">
      <w:pPr>
        <w:spacing w:line="360" w:lineRule="auto"/>
        <w:rPr>
          <w:rFonts w:ascii="Arial" w:hAnsi="Arial" w:cs="Arial"/>
          <w:b/>
          <w:bCs/>
          <w:sz w:val="22"/>
          <w:szCs w:val="22"/>
          <w:lang w:val="en-GB"/>
        </w:rPr>
      </w:pPr>
    </w:p>
    <w:p w14:paraId="5D8A6A0D" w14:textId="77777777" w:rsidR="00B32CD1" w:rsidRPr="007001FE" w:rsidRDefault="00B32CD1" w:rsidP="007001FE">
      <w:pPr>
        <w:spacing w:line="360" w:lineRule="auto"/>
        <w:rPr>
          <w:rFonts w:ascii="Arial" w:hAnsi="Arial" w:cs="Arial"/>
          <w:b/>
          <w:bCs/>
          <w:sz w:val="22"/>
          <w:szCs w:val="22"/>
          <w:lang w:val="en-GB"/>
        </w:rPr>
      </w:pPr>
    </w:p>
    <w:p w14:paraId="5D2F1427" w14:textId="77777777" w:rsidR="00B32CD1" w:rsidRPr="007001FE" w:rsidRDefault="00B32CD1" w:rsidP="007001FE">
      <w:pPr>
        <w:spacing w:line="360" w:lineRule="auto"/>
        <w:rPr>
          <w:rFonts w:ascii="Arial" w:hAnsi="Arial" w:cs="Arial"/>
          <w:b/>
          <w:bCs/>
          <w:sz w:val="22"/>
          <w:szCs w:val="22"/>
          <w:lang w:val="en-GB"/>
        </w:rPr>
      </w:pPr>
    </w:p>
    <w:p w14:paraId="0E6EC2DE" w14:textId="77777777" w:rsidR="00B32CD1" w:rsidRPr="007001FE" w:rsidRDefault="00B32CD1" w:rsidP="007001FE">
      <w:pPr>
        <w:spacing w:line="360" w:lineRule="auto"/>
        <w:rPr>
          <w:rFonts w:ascii="Arial" w:hAnsi="Arial" w:cs="Arial"/>
          <w:b/>
          <w:bCs/>
          <w:sz w:val="22"/>
          <w:szCs w:val="22"/>
          <w:lang w:val="en-GB"/>
        </w:rPr>
      </w:pPr>
    </w:p>
    <w:p w14:paraId="27D5EF81" w14:textId="77777777" w:rsidR="00B32CD1" w:rsidRPr="007001FE" w:rsidRDefault="00B32CD1" w:rsidP="007001FE">
      <w:pPr>
        <w:spacing w:line="360" w:lineRule="auto"/>
        <w:rPr>
          <w:rFonts w:ascii="Arial" w:hAnsi="Arial" w:cs="Arial"/>
          <w:b/>
          <w:bCs/>
          <w:sz w:val="22"/>
          <w:szCs w:val="22"/>
          <w:lang w:val="en-GB"/>
        </w:rPr>
      </w:pPr>
    </w:p>
    <w:p w14:paraId="41A01B89" w14:textId="77777777" w:rsidR="00B32CD1" w:rsidRPr="007001FE" w:rsidRDefault="00B32CD1" w:rsidP="007001FE">
      <w:pPr>
        <w:spacing w:line="360" w:lineRule="auto"/>
        <w:rPr>
          <w:rFonts w:ascii="Arial" w:hAnsi="Arial" w:cs="Arial"/>
          <w:b/>
          <w:bCs/>
          <w:sz w:val="22"/>
          <w:szCs w:val="22"/>
          <w:lang w:val="en-GB"/>
        </w:rPr>
      </w:pPr>
    </w:p>
    <w:p w14:paraId="1475659D" w14:textId="7089054F" w:rsidR="00FB4B2D" w:rsidRPr="005B20DF" w:rsidRDefault="00FB4B2D" w:rsidP="005B20DF">
      <w:pPr>
        <w:spacing w:line="360" w:lineRule="auto"/>
        <w:rPr>
          <w:rFonts w:ascii="Arial" w:hAnsi="Arial" w:cs="Arial"/>
          <w:b/>
          <w:bCs/>
          <w:sz w:val="22"/>
          <w:szCs w:val="22"/>
          <w:lang w:val="en-GB"/>
        </w:rPr>
      </w:pPr>
      <w:r w:rsidRPr="005B20DF">
        <w:rPr>
          <w:rFonts w:ascii="Arial" w:hAnsi="Arial" w:cs="Arial"/>
          <w:b/>
          <w:bCs/>
          <w:sz w:val="22"/>
          <w:szCs w:val="22"/>
          <w:lang w:val="en-GB"/>
        </w:rPr>
        <w:lastRenderedPageBreak/>
        <w:t>References</w:t>
      </w:r>
    </w:p>
    <w:p w14:paraId="4A1BC021" w14:textId="0EDD78A1" w:rsidR="007001FE" w:rsidRPr="005B20DF" w:rsidRDefault="007001FE" w:rsidP="005B20DF">
      <w:pPr>
        <w:spacing w:line="360" w:lineRule="auto"/>
        <w:rPr>
          <w:rFonts w:ascii="Arial" w:hAnsi="Arial" w:cs="Arial"/>
          <w:sz w:val="22"/>
          <w:szCs w:val="22"/>
          <w:lang w:val="en-GB"/>
        </w:rPr>
      </w:pPr>
      <w:r w:rsidRPr="005B20DF">
        <w:rPr>
          <w:rFonts w:ascii="Arial" w:hAnsi="Arial" w:cs="Arial"/>
          <w:sz w:val="22"/>
          <w:szCs w:val="22"/>
          <w:lang w:val="en-GB"/>
        </w:rPr>
        <w:t xml:space="preserve">Ahmed, S., Heaven, A., Lawton, R., Rawlings, G., Sloan, C. and Clegg, A. (2020). Behaviour </w:t>
      </w:r>
      <w:proofErr w:type="gramStart"/>
      <w:r w:rsidRPr="005B20DF">
        <w:rPr>
          <w:rFonts w:ascii="Arial" w:hAnsi="Arial" w:cs="Arial"/>
          <w:sz w:val="22"/>
          <w:szCs w:val="22"/>
          <w:lang w:val="en-GB"/>
        </w:rPr>
        <w:t>change</w:t>
      </w:r>
      <w:proofErr w:type="gramEnd"/>
      <w:r w:rsidRPr="005B20DF">
        <w:rPr>
          <w:rFonts w:ascii="Arial" w:hAnsi="Arial" w:cs="Arial"/>
          <w:sz w:val="22"/>
          <w:szCs w:val="22"/>
          <w:lang w:val="en-GB"/>
        </w:rPr>
        <w:t xml:space="preserve"> techniques in personalised care planning for older people: a systematic review. British Journal of General Practice, 71(703), </w:t>
      </w:r>
      <w:proofErr w:type="gramStart"/>
      <w:r w:rsidRPr="005B20DF">
        <w:rPr>
          <w:rFonts w:ascii="Arial" w:hAnsi="Arial" w:cs="Arial"/>
          <w:sz w:val="22"/>
          <w:szCs w:val="22"/>
          <w:lang w:val="en-GB"/>
        </w:rPr>
        <w:t>pp.e</w:t>
      </w:r>
      <w:proofErr w:type="gramEnd"/>
      <w:r w:rsidRPr="005B20DF">
        <w:rPr>
          <w:rFonts w:ascii="Arial" w:hAnsi="Arial" w:cs="Arial"/>
          <w:sz w:val="22"/>
          <w:szCs w:val="22"/>
          <w:lang w:val="en-GB"/>
        </w:rPr>
        <w:t xml:space="preserve">121–e127. </w:t>
      </w:r>
      <w:proofErr w:type="spellStart"/>
      <w:proofErr w:type="gramStart"/>
      <w:r w:rsidRPr="005B20DF">
        <w:rPr>
          <w:rFonts w:ascii="Arial" w:hAnsi="Arial" w:cs="Arial"/>
          <w:sz w:val="22"/>
          <w:szCs w:val="22"/>
          <w:lang w:val="en-GB"/>
        </w:rPr>
        <w:t>doi:https</w:t>
      </w:r>
      <w:proofErr w:type="spellEnd"/>
      <w:r w:rsidRPr="005B20DF">
        <w:rPr>
          <w:rFonts w:ascii="Arial" w:hAnsi="Arial" w:cs="Arial"/>
          <w:sz w:val="22"/>
          <w:szCs w:val="22"/>
          <w:lang w:val="en-GB"/>
        </w:rPr>
        <w:t>://doi.org/10.3399/bjgp20x714017</w:t>
      </w:r>
      <w:proofErr w:type="gramEnd"/>
      <w:r w:rsidRPr="005B20DF">
        <w:rPr>
          <w:rFonts w:ascii="Arial" w:hAnsi="Arial" w:cs="Arial"/>
          <w:sz w:val="22"/>
          <w:szCs w:val="22"/>
          <w:lang w:val="en-GB"/>
        </w:rPr>
        <w:t>.</w:t>
      </w:r>
      <w:r w:rsidR="005B20DF" w:rsidRPr="005B20DF">
        <w:rPr>
          <w:rFonts w:ascii="Arial" w:hAnsi="Arial" w:cs="Arial"/>
          <w:sz w:val="22"/>
          <w:szCs w:val="22"/>
          <w:lang w:val="en-GB"/>
        </w:rPr>
        <w:t xml:space="preserve"> (Accessed 15</w:t>
      </w:r>
      <w:r w:rsidR="005B20DF" w:rsidRPr="005B20DF">
        <w:rPr>
          <w:rFonts w:ascii="Arial" w:hAnsi="Arial" w:cs="Arial"/>
          <w:sz w:val="22"/>
          <w:szCs w:val="22"/>
          <w:vertAlign w:val="superscript"/>
          <w:lang w:val="en-GB"/>
        </w:rPr>
        <w:t>th</w:t>
      </w:r>
      <w:r w:rsidR="005B20DF" w:rsidRPr="005B20DF">
        <w:rPr>
          <w:rFonts w:ascii="Arial" w:hAnsi="Arial" w:cs="Arial"/>
          <w:sz w:val="22"/>
          <w:szCs w:val="22"/>
          <w:lang w:val="en-GB"/>
        </w:rPr>
        <w:t xml:space="preserve"> November 2025).</w:t>
      </w:r>
    </w:p>
    <w:p w14:paraId="21F92644" w14:textId="27866577" w:rsidR="007001FE" w:rsidRPr="005B20DF" w:rsidRDefault="007001FE" w:rsidP="005B20DF">
      <w:pPr>
        <w:spacing w:line="360" w:lineRule="auto"/>
        <w:rPr>
          <w:rFonts w:ascii="Arial" w:hAnsi="Arial" w:cs="Arial"/>
          <w:sz w:val="22"/>
          <w:szCs w:val="22"/>
          <w:lang w:val="en-GB"/>
        </w:rPr>
      </w:pPr>
      <w:r w:rsidRPr="005B20DF">
        <w:rPr>
          <w:rFonts w:ascii="Arial" w:hAnsi="Arial" w:cs="Arial"/>
          <w:sz w:val="22"/>
          <w:szCs w:val="22"/>
        </w:rPr>
        <w:t>Gilbert, P. (2024). Threat, safety, safeness and social safeness 30 years on: Fundamental dimensions and distinctions for mental health and well</w:t>
      </w:r>
      <w:r w:rsidRPr="005B20DF">
        <w:rPr>
          <w:rFonts w:ascii="Cambria Math" w:hAnsi="Cambria Math" w:cs="Cambria Math"/>
          <w:sz w:val="22"/>
          <w:szCs w:val="22"/>
        </w:rPr>
        <w:t>‐</w:t>
      </w:r>
      <w:r w:rsidRPr="005B20DF">
        <w:rPr>
          <w:rFonts w:ascii="Arial" w:hAnsi="Arial" w:cs="Arial"/>
          <w:sz w:val="22"/>
          <w:szCs w:val="22"/>
        </w:rPr>
        <w:t>being. </w:t>
      </w:r>
      <w:r w:rsidRPr="005B20DF">
        <w:rPr>
          <w:rFonts w:ascii="Arial" w:hAnsi="Arial" w:cs="Arial"/>
          <w:i/>
          <w:iCs/>
          <w:sz w:val="22"/>
          <w:szCs w:val="22"/>
        </w:rPr>
        <w:t>British journal of clinical psychology</w:t>
      </w:r>
      <w:r w:rsidRPr="005B20DF">
        <w:rPr>
          <w:rFonts w:ascii="Arial" w:hAnsi="Arial" w:cs="Arial"/>
          <w:sz w:val="22"/>
          <w:szCs w:val="22"/>
        </w:rPr>
        <w:t xml:space="preserve">, 63(3). </w:t>
      </w:r>
      <w:proofErr w:type="spellStart"/>
      <w:proofErr w:type="gramStart"/>
      <w:r w:rsidRPr="005B20DF">
        <w:rPr>
          <w:rFonts w:ascii="Arial" w:hAnsi="Arial" w:cs="Arial"/>
          <w:sz w:val="22"/>
          <w:szCs w:val="22"/>
        </w:rPr>
        <w:t>doi:https</w:t>
      </w:r>
      <w:proofErr w:type="spellEnd"/>
      <w:r w:rsidRPr="005B20DF">
        <w:rPr>
          <w:rFonts w:ascii="Arial" w:hAnsi="Arial" w:cs="Arial"/>
          <w:sz w:val="22"/>
          <w:szCs w:val="22"/>
        </w:rPr>
        <w:t>://doi.org/10.1111/bjc.12466</w:t>
      </w:r>
      <w:proofErr w:type="gramEnd"/>
      <w:r w:rsidRPr="005B20DF">
        <w:rPr>
          <w:rFonts w:ascii="Arial" w:hAnsi="Arial" w:cs="Arial"/>
          <w:sz w:val="22"/>
          <w:szCs w:val="22"/>
        </w:rPr>
        <w:t>.</w:t>
      </w:r>
      <w:r w:rsidR="005B20DF" w:rsidRPr="005B20DF">
        <w:rPr>
          <w:rFonts w:ascii="Arial" w:hAnsi="Arial" w:cs="Arial"/>
          <w:sz w:val="22"/>
          <w:szCs w:val="22"/>
        </w:rPr>
        <w:t xml:space="preserve"> </w:t>
      </w:r>
      <w:r w:rsidR="005B20DF" w:rsidRPr="005B20DF">
        <w:rPr>
          <w:rFonts w:ascii="Arial" w:hAnsi="Arial" w:cs="Arial"/>
          <w:sz w:val="22"/>
          <w:szCs w:val="22"/>
          <w:lang w:val="en-GB"/>
        </w:rPr>
        <w:t>(Accessed 15</w:t>
      </w:r>
      <w:r w:rsidR="005B20DF" w:rsidRPr="005B20DF">
        <w:rPr>
          <w:rFonts w:ascii="Arial" w:hAnsi="Arial" w:cs="Arial"/>
          <w:sz w:val="22"/>
          <w:szCs w:val="22"/>
          <w:vertAlign w:val="superscript"/>
          <w:lang w:val="en-GB"/>
        </w:rPr>
        <w:t>th</w:t>
      </w:r>
      <w:r w:rsidR="005B20DF" w:rsidRPr="005B20DF">
        <w:rPr>
          <w:rFonts w:ascii="Arial" w:hAnsi="Arial" w:cs="Arial"/>
          <w:sz w:val="22"/>
          <w:szCs w:val="22"/>
          <w:lang w:val="en-GB"/>
        </w:rPr>
        <w:t xml:space="preserve"> November 2025).</w:t>
      </w:r>
    </w:p>
    <w:p w14:paraId="3284D1AC" w14:textId="731FB1B3" w:rsidR="007001FE" w:rsidRPr="005B20DF" w:rsidRDefault="007001FE" w:rsidP="005B20DF">
      <w:pPr>
        <w:spacing w:line="360" w:lineRule="auto"/>
        <w:rPr>
          <w:rFonts w:ascii="Arial" w:hAnsi="Arial" w:cs="Arial"/>
          <w:sz w:val="22"/>
          <w:szCs w:val="22"/>
          <w:lang w:val="en-GB"/>
        </w:rPr>
      </w:pPr>
      <w:r w:rsidRPr="005B20DF">
        <w:rPr>
          <w:rFonts w:ascii="Arial" w:hAnsi="Arial" w:cs="Arial"/>
          <w:sz w:val="22"/>
          <w:szCs w:val="22"/>
        </w:rPr>
        <w:t xml:space="preserve">Kelly, L. and </w:t>
      </w:r>
      <w:proofErr w:type="spellStart"/>
      <w:r w:rsidRPr="005B20DF">
        <w:rPr>
          <w:rFonts w:ascii="Arial" w:hAnsi="Arial" w:cs="Arial"/>
          <w:sz w:val="22"/>
          <w:szCs w:val="22"/>
        </w:rPr>
        <w:t>Ahessy</w:t>
      </w:r>
      <w:proofErr w:type="spellEnd"/>
      <w:r w:rsidRPr="005B20DF">
        <w:rPr>
          <w:rFonts w:ascii="Arial" w:hAnsi="Arial" w:cs="Arial"/>
          <w:sz w:val="22"/>
          <w:szCs w:val="22"/>
        </w:rPr>
        <w:t xml:space="preserve">, B. (2021). Reminiscence-Focused Music Therapy to Promote Positive Mood and Engagement and Shared Interaction for People Living </w:t>
      </w:r>
      <w:proofErr w:type="gramStart"/>
      <w:r w:rsidRPr="005B20DF">
        <w:rPr>
          <w:rFonts w:ascii="Arial" w:hAnsi="Arial" w:cs="Arial"/>
          <w:sz w:val="22"/>
          <w:szCs w:val="22"/>
        </w:rPr>
        <w:t>With</w:t>
      </w:r>
      <w:proofErr w:type="gramEnd"/>
      <w:r w:rsidRPr="005B20DF">
        <w:rPr>
          <w:rFonts w:ascii="Arial" w:hAnsi="Arial" w:cs="Arial"/>
          <w:sz w:val="22"/>
          <w:szCs w:val="22"/>
        </w:rPr>
        <w:t xml:space="preserve"> Dementia. </w:t>
      </w:r>
      <w:r w:rsidRPr="005B20DF">
        <w:rPr>
          <w:rFonts w:ascii="Arial" w:hAnsi="Arial" w:cs="Arial"/>
          <w:i/>
          <w:iCs/>
          <w:sz w:val="22"/>
          <w:szCs w:val="22"/>
        </w:rPr>
        <w:t>Voices: A World Forum for Music Therapy</w:t>
      </w:r>
      <w:r w:rsidRPr="005B20DF">
        <w:rPr>
          <w:rFonts w:ascii="Arial" w:hAnsi="Arial" w:cs="Arial"/>
          <w:sz w:val="22"/>
          <w:szCs w:val="22"/>
        </w:rPr>
        <w:t xml:space="preserve">, 21(2). </w:t>
      </w:r>
      <w:proofErr w:type="spellStart"/>
      <w:proofErr w:type="gramStart"/>
      <w:r w:rsidRPr="005B20DF">
        <w:rPr>
          <w:rFonts w:ascii="Arial" w:hAnsi="Arial" w:cs="Arial"/>
          <w:sz w:val="22"/>
          <w:szCs w:val="22"/>
        </w:rPr>
        <w:t>doi:https</w:t>
      </w:r>
      <w:proofErr w:type="spellEnd"/>
      <w:r w:rsidRPr="005B20DF">
        <w:rPr>
          <w:rFonts w:ascii="Arial" w:hAnsi="Arial" w:cs="Arial"/>
          <w:sz w:val="22"/>
          <w:szCs w:val="22"/>
        </w:rPr>
        <w:t>://doi.org/10.15845/voices.v21i2.3139</w:t>
      </w:r>
      <w:proofErr w:type="gramEnd"/>
      <w:r w:rsidRPr="005B20DF">
        <w:rPr>
          <w:rFonts w:ascii="Arial" w:hAnsi="Arial" w:cs="Arial"/>
          <w:sz w:val="22"/>
          <w:szCs w:val="22"/>
        </w:rPr>
        <w:t>.</w:t>
      </w:r>
      <w:r w:rsidR="005B20DF" w:rsidRPr="005B20DF">
        <w:rPr>
          <w:rFonts w:ascii="Arial" w:hAnsi="Arial" w:cs="Arial"/>
          <w:sz w:val="22"/>
          <w:szCs w:val="22"/>
          <w:lang w:val="en-GB"/>
        </w:rPr>
        <w:t xml:space="preserve"> </w:t>
      </w:r>
      <w:r w:rsidR="005B20DF" w:rsidRPr="005B20DF">
        <w:rPr>
          <w:rFonts w:ascii="Arial" w:hAnsi="Arial" w:cs="Arial"/>
          <w:sz w:val="22"/>
          <w:szCs w:val="22"/>
          <w:lang w:val="en-GB"/>
        </w:rPr>
        <w:t>(Accessed 15</w:t>
      </w:r>
      <w:r w:rsidR="005B20DF" w:rsidRPr="005B20DF">
        <w:rPr>
          <w:rFonts w:ascii="Arial" w:hAnsi="Arial" w:cs="Arial"/>
          <w:sz w:val="22"/>
          <w:szCs w:val="22"/>
          <w:vertAlign w:val="superscript"/>
          <w:lang w:val="en-GB"/>
        </w:rPr>
        <w:t>th</w:t>
      </w:r>
      <w:r w:rsidR="005B20DF" w:rsidRPr="005B20DF">
        <w:rPr>
          <w:rFonts w:ascii="Arial" w:hAnsi="Arial" w:cs="Arial"/>
          <w:sz w:val="22"/>
          <w:szCs w:val="22"/>
          <w:lang w:val="en-GB"/>
        </w:rPr>
        <w:t xml:space="preserve"> November 2025).</w:t>
      </w:r>
    </w:p>
    <w:p w14:paraId="6D944AB0" w14:textId="35DD74A9" w:rsidR="007001FE" w:rsidRPr="005B20DF" w:rsidRDefault="007001FE" w:rsidP="005B20DF">
      <w:pPr>
        <w:spacing w:line="360" w:lineRule="auto"/>
        <w:rPr>
          <w:rFonts w:ascii="Arial" w:hAnsi="Arial" w:cs="Arial"/>
          <w:sz w:val="22"/>
          <w:szCs w:val="22"/>
          <w:lang w:val="en-GB"/>
        </w:rPr>
      </w:pPr>
      <w:r w:rsidRPr="005B20DF">
        <w:rPr>
          <w:rFonts w:ascii="Arial" w:hAnsi="Arial" w:cs="Arial"/>
          <w:sz w:val="22"/>
          <w:szCs w:val="22"/>
        </w:rPr>
        <w:t>McLeod, S. (2025). </w:t>
      </w:r>
      <w:r w:rsidRPr="005B20DF">
        <w:rPr>
          <w:rFonts w:ascii="Arial" w:hAnsi="Arial" w:cs="Arial"/>
          <w:i/>
          <w:iCs/>
          <w:sz w:val="22"/>
          <w:szCs w:val="22"/>
        </w:rPr>
        <w:t>Maslow’s hierarchy of needs</w:t>
      </w:r>
      <w:r w:rsidRPr="005B20DF">
        <w:rPr>
          <w:rFonts w:ascii="Arial" w:hAnsi="Arial" w:cs="Arial"/>
          <w:sz w:val="22"/>
          <w:szCs w:val="22"/>
        </w:rPr>
        <w:t xml:space="preserve">. [online] Simply Psychology. Available at: </w:t>
      </w:r>
      <w:hyperlink r:id="rId7" w:history="1">
        <w:r w:rsidRPr="005B20DF">
          <w:rPr>
            <w:rStyle w:val="Hyperlink"/>
            <w:rFonts w:ascii="Arial" w:hAnsi="Arial" w:cs="Arial"/>
            <w:sz w:val="22"/>
            <w:szCs w:val="22"/>
          </w:rPr>
          <w:t>https://www.simplypsychology.org/maslow.html</w:t>
        </w:r>
      </w:hyperlink>
      <w:r w:rsidRPr="005B20DF">
        <w:rPr>
          <w:rFonts w:ascii="Arial" w:hAnsi="Arial" w:cs="Arial"/>
          <w:sz w:val="22"/>
          <w:szCs w:val="22"/>
        </w:rPr>
        <w:t>.</w:t>
      </w:r>
      <w:r w:rsidR="005B20DF" w:rsidRPr="005B20DF">
        <w:rPr>
          <w:rFonts w:ascii="Arial" w:hAnsi="Arial" w:cs="Arial"/>
          <w:sz w:val="22"/>
          <w:szCs w:val="22"/>
          <w:lang w:val="en-GB"/>
        </w:rPr>
        <w:t xml:space="preserve"> </w:t>
      </w:r>
      <w:r w:rsidR="005B20DF" w:rsidRPr="005B20DF">
        <w:rPr>
          <w:rFonts w:ascii="Arial" w:hAnsi="Arial" w:cs="Arial"/>
          <w:sz w:val="22"/>
          <w:szCs w:val="22"/>
          <w:lang w:val="en-GB"/>
        </w:rPr>
        <w:t>(Accessed 15</w:t>
      </w:r>
      <w:r w:rsidR="005B20DF" w:rsidRPr="005B20DF">
        <w:rPr>
          <w:rFonts w:ascii="Arial" w:hAnsi="Arial" w:cs="Arial"/>
          <w:sz w:val="22"/>
          <w:szCs w:val="22"/>
          <w:vertAlign w:val="superscript"/>
          <w:lang w:val="en-GB"/>
        </w:rPr>
        <w:t>th</w:t>
      </w:r>
      <w:r w:rsidR="005B20DF" w:rsidRPr="005B20DF">
        <w:rPr>
          <w:rFonts w:ascii="Arial" w:hAnsi="Arial" w:cs="Arial"/>
          <w:sz w:val="22"/>
          <w:szCs w:val="22"/>
          <w:lang w:val="en-GB"/>
        </w:rPr>
        <w:t xml:space="preserve"> November 2025).</w:t>
      </w:r>
    </w:p>
    <w:p w14:paraId="18705435" w14:textId="77777777" w:rsidR="005B20DF" w:rsidRPr="005B20DF" w:rsidRDefault="007001FE" w:rsidP="005B20DF">
      <w:pPr>
        <w:spacing w:line="360" w:lineRule="auto"/>
        <w:rPr>
          <w:rFonts w:ascii="Arial" w:hAnsi="Arial" w:cs="Arial"/>
          <w:sz w:val="22"/>
          <w:szCs w:val="22"/>
          <w:lang w:val="en-GB"/>
        </w:rPr>
      </w:pPr>
      <w:r w:rsidRPr="005B20DF">
        <w:rPr>
          <w:rFonts w:ascii="Arial" w:hAnsi="Arial" w:cs="Arial"/>
          <w:sz w:val="22"/>
          <w:szCs w:val="22"/>
        </w:rPr>
        <w:t>National Health Service (2023). </w:t>
      </w:r>
      <w:r w:rsidRPr="005B20DF">
        <w:rPr>
          <w:rFonts w:ascii="Arial" w:hAnsi="Arial" w:cs="Arial"/>
          <w:i/>
          <w:iCs/>
          <w:sz w:val="22"/>
          <w:szCs w:val="22"/>
        </w:rPr>
        <w:t>What is dementia</w:t>
      </w:r>
      <w:r w:rsidRPr="005B20DF">
        <w:rPr>
          <w:rFonts w:ascii="Arial" w:hAnsi="Arial" w:cs="Arial"/>
          <w:sz w:val="22"/>
          <w:szCs w:val="22"/>
        </w:rPr>
        <w:t xml:space="preserve">. [online] nhs.uk. Available at: </w:t>
      </w:r>
      <w:hyperlink r:id="rId8" w:history="1">
        <w:r w:rsidRPr="005B20DF">
          <w:rPr>
            <w:rStyle w:val="Hyperlink"/>
            <w:rFonts w:ascii="Arial" w:hAnsi="Arial" w:cs="Arial"/>
            <w:sz w:val="22"/>
            <w:szCs w:val="22"/>
          </w:rPr>
          <w:t>https://www.nhs.uk/conditions/dementia/about-dementia/what-is-dementia/</w:t>
        </w:r>
      </w:hyperlink>
      <w:r w:rsidRPr="005B20DF">
        <w:rPr>
          <w:rFonts w:ascii="Arial" w:hAnsi="Arial" w:cs="Arial"/>
          <w:sz w:val="22"/>
          <w:szCs w:val="22"/>
        </w:rPr>
        <w:t>.</w:t>
      </w:r>
      <w:r w:rsidR="005B20DF" w:rsidRPr="005B20DF">
        <w:rPr>
          <w:rFonts w:ascii="Arial" w:hAnsi="Arial" w:cs="Arial"/>
          <w:sz w:val="22"/>
          <w:szCs w:val="22"/>
        </w:rPr>
        <w:t xml:space="preserve"> </w:t>
      </w:r>
      <w:r w:rsidR="005B20DF" w:rsidRPr="005B20DF">
        <w:rPr>
          <w:rFonts w:ascii="Arial" w:hAnsi="Arial" w:cs="Arial"/>
          <w:sz w:val="22"/>
          <w:szCs w:val="22"/>
          <w:lang w:val="en-GB"/>
        </w:rPr>
        <w:t>(Accessed 15</w:t>
      </w:r>
      <w:r w:rsidR="005B20DF" w:rsidRPr="005B20DF">
        <w:rPr>
          <w:rFonts w:ascii="Arial" w:hAnsi="Arial" w:cs="Arial"/>
          <w:sz w:val="22"/>
          <w:szCs w:val="22"/>
          <w:vertAlign w:val="superscript"/>
          <w:lang w:val="en-GB"/>
        </w:rPr>
        <w:t>th</w:t>
      </w:r>
      <w:r w:rsidR="005B20DF" w:rsidRPr="005B20DF">
        <w:rPr>
          <w:rFonts w:ascii="Arial" w:hAnsi="Arial" w:cs="Arial"/>
          <w:sz w:val="22"/>
          <w:szCs w:val="22"/>
          <w:lang w:val="en-GB"/>
        </w:rPr>
        <w:t xml:space="preserve"> November 2025).</w:t>
      </w:r>
    </w:p>
    <w:p w14:paraId="74B1BD63" w14:textId="77777777" w:rsidR="005B20DF" w:rsidRPr="005B20DF" w:rsidRDefault="007001FE" w:rsidP="005B20DF">
      <w:pPr>
        <w:spacing w:line="360" w:lineRule="auto"/>
        <w:rPr>
          <w:rFonts w:ascii="Arial" w:hAnsi="Arial" w:cs="Arial"/>
          <w:sz w:val="22"/>
          <w:szCs w:val="22"/>
          <w:lang w:val="en-GB"/>
        </w:rPr>
      </w:pPr>
      <w:r w:rsidRPr="005B20DF">
        <w:rPr>
          <w:rFonts w:ascii="Arial" w:hAnsi="Arial" w:cs="Arial"/>
          <w:sz w:val="22"/>
          <w:szCs w:val="22"/>
        </w:rPr>
        <w:t>Orenstein, G. and Lewis, L. (2022). </w:t>
      </w:r>
      <w:r w:rsidRPr="005B20DF">
        <w:rPr>
          <w:rFonts w:ascii="Arial" w:hAnsi="Arial" w:cs="Arial"/>
          <w:i/>
          <w:iCs/>
          <w:sz w:val="22"/>
          <w:szCs w:val="22"/>
        </w:rPr>
        <w:t>Erikson’s stages of psychosocial development</w:t>
      </w:r>
      <w:r w:rsidRPr="005B20DF">
        <w:rPr>
          <w:rFonts w:ascii="Arial" w:hAnsi="Arial" w:cs="Arial"/>
          <w:sz w:val="22"/>
          <w:szCs w:val="22"/>
        </w:rPr>
        <w:t xml:space="preserve">. [online] National Library of Medicine. Available at: </w:t>
      </w:r>
      <w:hyperlink r:id="rId9" w:history="1">
        <w:r w:rsidRPr="005B20DF">
          <w:rPr>
            <w:rStyle w:val="Hyperlink"/>
            <w:rFonts w:ascii="Arial" w:hAnsi="Arial" w:cs="Arial"/>
            <w:sz w:val="22"/>
            <w:szCs w:val="22"/>
          </w:rPr>
          <w:t>https://www.ncbi.nlm.nih.gov/books/NBK556096/</w:t>
        </w:r>
      </w:hyperlink>
      <w:r w:rsidRPr="005B20DF">
        <w:rPr>
          <w:rFonts w:ascii="Arial" w:hAnsi="Arial" w:cs="Arial"/>
          <w:sz w:val="22"/>
          <w:szCs w:val="22"/>
        </w:rPr>
        <w:t>.</w:t>
      </w:r>
      <w:r w:rsidR="005B20DF" w:rsidRPr="005B20DF">
        <w:rPr>
          <w:rFonts w:ascii="Arial" w:hAnsi="Arial" w:cs="Arial"/>
          <w:sz w:val="22"/>
          <w:szCs w:val="22"/>
        </w:rPr>
        <w:t xml:space="preserve"> </w:t>
      </w:r>
      <w:r w:rsidR="005B20DF" w:rsidRPr="005B20DF">
        <w:rPr>
          <w:rFonts w:ascii="Arial" w:hAnsi="Arial" w:cs="Arial"/>
          <w:sz w:val="22"/>
          <w:szCs w:val="22"/>
          <w:lang w:val="en-GB"/>
        </w:rPr>
        <w:t>(Accessed 15</w:t>
      </w:r>
      <w:r w:rsidR="005B20DF" w:rsidRPr="005B20DF">
        <w:rPr>
          <w:rFonts w:ascii="Arial" w:hAnsi="Arial" w:cs="Arial"/>
          <w:sz w:val="22"/>
          <w:szCs w:val="22"/>
          <w:vertAlign w:val="superscript"/>
          <w:lang w:val="en-GB"/>
        </w:rPr>
        <w:t>th</w:t>
      </w:r>
      <w:r w:rsidR="005B20DF" w:rsidRPr="005B20DF">
        <w:rPr>
          <w:rFonts w:ascii="Arial" w:hAnsi="Arial" w:cs="Arial"/>
          <w:sz w:val="22"/>
          <w:szCs w:val="22"/>
          <w:lang w:val="en-GB"/>
        </w:rPr>
        <w:t xml:space="preserve"> November 2025).</w:t>
      </w:r>
    </w:p>
    <w:p w14:paraId="489539CA" w14:textId="062FD958" w:rsidR="007001FE" w:rsidRPr="005B20DF" w:rsidRDefault="007001FE" w:rsidP="005B20DF">
      <w:pPr>
        <w:spacing w:line="360" w:lineRule="auto"/>
        <w:rPr>
          <w:rFonts w:ascii="Arial" w:hAnsi="Arial" w:cs="Arial"/>
          <w:sz w:val="22"/>
          <w:szCs w:val="22"/>
          <w:lang w:val="en-GB"/>
        </w:rPr>
      </w:pPr>
      <w:r w:rsidRPr="005B20DF">
        <w:rPr>
          <w:rFonts w:ascii="Arial" w:hAnsi="Arial" w:cs="Arial"/>
          <w:sz w:val="22"/>
          <w:szCs w:val="22"/>
        </w:rPr>
        <w:t xml:space="preserve">Parry, S., Cox, N., </w:t>
      </w:r>
      <w:proofErr w:type="spellStart"/>
      <w:r w:rsidRPr="005B20DF">
        <w:rPr>
          <w:rFonts w:ascii="Arial" w:hAnsi="Arial" w:cs="Arial"/>
          <w:sz w:val="22"/>
          <w:szCs w:val="22"/>
        </w:rPr>
        <w:t>Andriopoulou</w:t>
      </w:r>
      <w:proofErr w:type="spellEnd"/>
      <w:r w:rsidRPr="005B20DF">
        <w:rPr>
          <w:rFonts w:ascii="Arial" w:hAnsi="Arial" w:cs="Arial"/>
          <w:sz w:val="22"/>
          <w:szCs w:val="22"/>
        </w:rPr>
        <w:t>, P., Oldfield, J., Roscoe, S., Palumbo-Haswell, J. and Collins, S. (2022). Mechanisms to Enhance Resilience and Post-traumatic Growth in Residential Care: a Narrative Review. </w:t>
      </w:r>
      <w:r w:rsidRPr="005B20DF">
        <w:rPr>
          <w:rFonts w:ascii="Arial" w:hAnsi="Arial" w:cs="Arial"/>
          <w:i/>
          <w:iCs/>
          <w:sz w:val="22"/>
          <w:szCs w:val="22"/>
        </w:rPr>
        <w:t>Adversity and Resilience Science</w:t>
      </w:r>
      <w:r w:rsidRPr="005B20DF">
        <w:rPr>
          <w:rFonts w:ascii="Arial" w:hAnsi="Arial" w:cs="Arial"/>
          <w:sz w:val="22"/>
          <w:szCs w:val="22"/>
        </w:rPr>
        <w:t xml:space="preserve">, 4. </w:t>
      </w:r>
      <w:proofErr w:type="spellStart"/>
      <w:proofErr w:type="gramStart"/>
      <w:r w:rsidRPr="005B20DF">
        <w:rPr>
          <w:rFonts w:ascii="Arial" w:hAnsi="Arial" w:cs="Arial"/>
          <w:sz w:val="22"/>
          <w:szCs w:val="22"/>
        </w:rPr>
        <w:t>doi:https</w:t>
      </w:r>
      <w:proofErr w:type="spellEnd"/>
      <w:r w:rsidRPr="005B20DF">
        <w:rPr>
          <w:rFonts w:ascii="Arial" w:hAnsi="Arial" w:cs="Arial"/>
          <w:sz w:val="22"/>
          <w:szCs w:val="22"/>
        </w:rPr>
        <w:t>://doi.org/10.1007/s42844-022-00074-w</w:t>
      </w:r>
      <w:proofErr w:type="gramEnd"/>
      <w:r w:rsidRPr="005B20DF">
        <w:rPr>
          <w:rFonts w:ascii="Arial" w:hAnsi="Arial" w:cs="Arial"/>
          <w:sz w:val="22"/>
          <w:szCs w:val="22"/>
        </w:rPr>
        <w:t>.</w:t>
      </w:r>
      <w:r w:rsidR="005B20DF" w:rsidRPr="005B20DF">
        <w:rPr>
          <w:rFonts w:ascii="Arial" w:hAnsi="Arial" w:cs="Arial"/>
          <w:sz w:val="22"/>
          <w:szCs w:val="22"/>
          <w:lang w:val="en-GB"/>
        </w:rPr>
        <w:t xml:space="preserve"> </w:t>
      </w:r>
      <w:r w:rsidR="005B20DF" w:rsidRPr="005B20DF">
        <w:rPr>
          <w:rFonts w:ascii="Arial" w:hAnsi="Arial" w:cs="Arial"/>
          <w:sz w:val="22"/>
          <w:szCs w:val="22"/>
          <w:lang w:val="en-GB"/>
        </w:rPr>
        <w:t>(Accessed 15</w:t>
      </w:r>
      <w:r w:rsidR="005B20DF" w:rsidRPr="005B20DF">
        <w:rPr>
          <w:rFonts w:ascii="Arial" w:hAnsi="Arial" w:cs="Arial"/>
          <w:sz w:val="22"/>
          <w:szCs w:val="22"/>
          <w:vertAlign w:val="superscript"/>
          <w:lang w:val="en-GB"/>
        </w:rPr>
        <w:t>th</w:t>
      </w:r>
      <w:r w:rsidR="005B20DF" w:rsidRPr="005B20DF">
        <w:rPr>
          <w:rFonts w:ascii="Arial" w:hAnsi="Arial" w:cs="Arial"/>
          <w:sz w:val="22"/>
          <w:szCs w:val="22"/>
          <w:lang w:val="en-GB"/>
        </w:rPr>
        <w:t xml:space="preserve"> November 2025).</w:t>
      </w:r>
    </w:p>
    <w:p w14:paraId="2D619336" w14:textId="77777777" w:rsidR="005B20DF" w:rsidRPr="005B20DF" w:rsidRDefault="007001FE" w:rsidP="005B20DF">
      <w:pPr>
        <w:spacing w:line="360" w:lineRule="auto"/>
        <w:rPr>
          <w:rFonts w:ascii="Arial" w:hAnsi="Arial" w:cs="Arial"/>
          <w:sz w:val="22"/>
          <w:szCs w:val="22"/>
          <w:lang w:val="en-GB"/>
        </w:rPr>
      </w:pPr>
      <w:r w:rsidRPr="005B20DF">
        <w:rPr>
          <w:rFonts w:ascii="Arial" w:hAnsi="Arial" w:cs="Arial"/>
          <w:sz w:val="22"/>
          <w:szCs w:val="22"/>
        </w:rPr>
        <w:t>Pereira, M. (2020). </w:t>
      </w:r>
      <w:r w:rsidRPr="005B20DF">
        <w:rPr>
          <w:rFonts w:ascii="Arial" w:hAnsi="Arial" w:cs="Arial"/>
          <w:i/>
          <w:iCs/>
          <w:sz w:val="22"/>
          <w:szCs w:val="22"/>
        </w:rPr>
        <w:t xml:space="preserve">Communication skills training intervention based on automated recognition of human emotion and non-verbal </w:t>
      </w:r>
      <w:proofErr w:type="spellStart"/>
      <w:r w:rsidRPr="005B20DF">
        <w:rPr>
          <w:rFonts w:ascii="Arial" w:hAnsi="Arial" w:cs="Arial"/>
          <w:i/>
          <w:iCs/>
          <w:sz w:val="22"/>
          <w:szCs w:val="22"/>
        </w:rPr>
        <w:t>behaviour</w:t>
      </w:r>
      <w:proofErr w:type="spellEnd"/>
      <w:r w:rsidRPr="005B20DF">
        <w:rPr>
          <w:rFonts w:ascii="Arial" w:hAnsi="Arial" w:cs="Arial"/>
          <w:sz w:val="22"/>
          <w:szCs w:val="22"/>
        </w:rPr>
        <w:t xml:space="preserve">. [online] bura.brunel.ac.uk. Available at: </w:t>
      </w:r>
      <w:hyperlink r:id="rId10" w:history="1">
        <w:r w:rsidRPr="005B20DF">
          <w:rPr>
            <w:rStyle w:val="Hyperlink"/>
            <w:rFonts w:ascii="Arial" w:hAnsi="Arial" w:cs="Arial"/>
            <w:sz w:val="22"/>
            <w:szCs w:val="22"/>
          </w:rPr>
          <w:t>https://bura.brunel.ac.uk/handle/2438/20927</w:t>
        </w:r>
      </w:hyperlink>
      <w:r w:rsidRPr="005B20DF">
        <w:rPr>
          <w:rFonts w:ascii="Arial" w:hAnsi="Arial" w:cs="Arial"/>
          <w:sz w:val="22"/>
          <w:szCs w:val="22"/>
        </w:rPr>
        <w:t>.</w:t>
      </w:r>
      <w:r w:rsidR="005B20DF" w:rsidRPr="005B20DF">
        <w:rPr>
          <w:rFonts w:ascii="Arial" w:hAnsi="Arial" w:cs="Arial"/>
          <w:sz w:val="22"/>
          <w:szCs w:val="22"/>
          <w:lang w:val="en-GB"/>
        </w:rPr>
        <w:t xml:space="preserve"> </w:t>
      </w:r>
      <w:r w:rsidR="005B20DF" w:rsidRPr="005B20DF">
        <w:rPr>
          <w:rFonts w:ascii="Arial" w:hAnsi="Arial" w:cs="Arial"/>
          <w:sz w:val="22"/>
          <w:szCs w:val="22"/>
          <w:lang w:val="en-GB"/>
        </w:rPr>
        <w:t>(Accessed 15</w:t>
      </w:r>
      <w:r w:rsidR="005B20DF" w:rsidRPr="005B20DF">
        <w:rPr>
          <w:rFonts w:ascii="Arial" w:hAnsi="Arial" w:cs="Arial"/>
          <w:sz w:val="22"/>
          <w:szCs w:val="22"/>
          <w:vertAlign w:val="superscript"/>
          <w:lang w:val="en-GB"/>
        </w:rPr>
        <w:t>th</w:t>
      </w:r>
      <w:r w:rsidR="005B20DF" w:rsidRPr="005B20DF">
        <w:rPr>
          <w:rFonts w:ascii="Arial" w:hAnsi="Arial" w:cs="Arial"/>
          <w:sz w:val="22"/>
          <w:szCs w:val="22"/>
          <w:lang w:val="en-GB"/>
        </w:rPr>
        <w:t xml:space="preserve"> November 2025).</w:t>
      </w:r>
    </w:p>
    <w:p w14:paraId="2BC354C5" w14:textId="6FBFD52A" w:rsidR="007001FE" w:rsidRPr="005B20DF" w:rsidRDefault="007001FE" w:rsidP="005B20DF">
      <w:pPr>
        <w:spacing w:line="360" w:lineRule="auto"/>
        <w:rPr>
          <w:rFonts w:ascii="Arial" w:hAnsi="Arial" w:cs="Arial"/>
          <w:sz w:val="22"/>
          <w:szCs w:val="22"/>
          <w:lang w:val="en-GB"/>
        </w:rPr>
      </w:pPr>
      <w:r w:rsidRPr="005B20DF">
        <w:rPr>
          <w:rFonts w:ascii="Arial" w:hAnsi="Arial" w:cs="Arial"/>
          <w:sz w:val="22"/>
          <w:szCs w:val="22"/>
        </w:rPr>
        <w:lastRenderedPageBreak/>
        <w:t>Reynolds, C.F., Jeste, D.V., Sachdev, P.S. and Blazer, D.G. (2022). Mental health care for older adults: Recent advances and new directions in clinical practice and research. </w:t>
      </w:r>
      <w:r w:rsidRPr="005B20DF">
        <w:rPr>
          <w:rFonts w:ascii="Arial" w:hAnsi="Arial" w:cs="Arial"/>
          <w:i/>
          <w:iCs/>
          <w:sz w:val="22"/>
          <w:szCs w:val="22"/>
        </w:rPr>
        <w:t>World Psychiatry</w:t>
      </w:r>
      <w:r w:rsidRPr="005B20DF">
        <w:rPr>
          <w:rFonts w:ascii="Arial" w:hAnsi="Arial" w:cs="Arial"/>
          <w:sz w:val="22"/>
          <w:szCs w:val="22"/>
        </w:rPr>
        <w:t xml:space="preserve">, 21(3), pp.336–363. </w:t>
      </w:r>
      <w:proofErr w:type="spellStart"/>
      <w:proofErr w:type="gramStart"/>
      <w:r w:rsidRPr="005B20DF">
        <w:rPr>
          <w:rFonts w:ascii="Arial" w:hAnsi="Arial" w:cs="Arial"/>
          <w:sz w:val="22"/>
          <w:szCs w:val="22"/>
        </w:rPr>
        <w:t>doi:https</w:t>
      </w:r>
      <w:proofErr w:type="spellEnd"/>
      <w:r w:rsidRPr="005B20DF">
        <w:rPr>
          <w:rFonts w:ascii="Arial" w:hAnsi="Arial" w:cs="Arial"/>
          <w:sz w:val="22"/>
          <w:szCs w:val="22"/>
        </w:rPr>
        <w:t>://doi.org/10.1002/wps.20996</w:t>
      </w:r>
      <w:proofErr w:type="gramEnd"/>
      <w:r w:rsidRPr="005B20DF">
        <w:rPr>
          <w:rFonts w:ascii="Arial" w:hAnsi="Arial" w:cs="Arial"/>
          <w:sz w:val="22"/>
          <w:szCs w:val="22"/>
        </w:rPr>
        <w:t>.</w:t>
      </w:r>
      <w:r w:rsidR="005B20DF" w:rsidRPr="005B20DF">
        <w:rPr>
          <w:rFonts w:ascii="Arial" w:hAnsi="Arial" w:cs="Arial"/>
          <w:sz w:val="22"/>
          <w:szCs w:val="22"/>
          <w:lang w:val="en-GB"/>
        </w:rPr>
        <w:t xml:space="preserve"> </w:t>
      </w:r>
      <w:r w:rsidR="005B20DF" w:rsidRPr="005B20DF">
        <w:rPr>
          <w:rFonts w:ascii="Arial" w:hAnsi="Arial" w:cs="Arial"/>
          <w:sz w:val="22"/>
          <w:szCs w:val="22"/>
          <w:lang w:val="en-GB"/>
        </w:rPr>
        <w:t>(Accessed 15</w:t>
      </w:r>
      <w:r w:rsidR="005B20DF" w:rsidRPr="005B20DF">
        <w:rPr>
          <w:rFonts w:ascii="Arial" w:hAnsi="Arial" w:cs="Arial"/>
          <w:sz w:val="22"/>
          <w:szCs w:val="22"/>
          <w:vertAlign w:val="superscript"/>
          <w:lang w:val="en-GB"/>
        </w:rPr>
        <w:t>th</w:t>
      </w:r>
      <w:r w:rsidR="005B20DF" w:rsidRPr="005B20DF">
        <w:rPr>
          <w:rFonts w:ascii="Arial" w:hAnsi="Arial" w:cs="Arial"/>
          <w:sz w:val="22"/>
          <w:szCs w:val="22"/>
          <w:lang w:val="en-GB"/>
        </w:rPr>
        <w:t xml:space="preserve"> November 2025).</w:t>
      </w:r>
    </w:p>
    <w:p w14:paraId="2912A9A8" w14:textId="459D0C87" w:rsidR="007001FE" w:rsidRPr="005B20DF" w:rsidRDefault="007001FE" w:rsidP="005B20DF">
      <w:pPr>
        <w:spacing w:line="360" w:lineRule="auto"/>
        <w:rPr>
          <w:rFonts w:ascii="Arial" w:hAnsi="Arial" w:cs="Arial"/>
          <w:sz w:val="22"/>
          <w:szCs w:val="22"/>
          <w:lang w:val="en-GB"/>
        </w:rPr>
      </w:pPr>
      <w:r w:rsidRPr="005B20DF">
        <w:rPr>
          <w:rFonts w:ascii="Arial" w:hAnsi="Arial" w:cs="Arial"/>
          <w:sz w:val="22"/>
          <w:szCs w:val="22"/>
        </w:rPr>
        <w:t xml:space="preserve">Selvam, P. (2022). Research Explorer Volume X, Issue 36 Available </w:t>
      </w:r>
      <w:proofErr w:type="gramStart"/>
      <w:r w:rsidRPr="005B20DF">
        <w:rPr>
          <w:rFonts w:ascii="Arial" w:hAnsi="Arial" w:cs="Arial"/>
          <w:sz w:val="22"/>
          <w:szCs w:val="22"/>
        </w:rPr>
        <w:t>online @</w:t>
      </w:r>
      <w:proofErr w:type="gramEnd"/>
      <w:r w:rsidRPr="005B20DF">
        <w:rPr>
          <w:rFonts w:ascii="Arial" w:hAnsi="Arial" w:cs="Arial"/>
          <w:sz w:val="22"/>
          <w:szCs w:val="22"/>
        </w:rPr>
        <w:t xml:space="preserve"> www. </w:t>
      </w:r>
      <w:r w:rsidRPr="005B20DF">
        <w:rPr>
          <w:rFonts w:ascii="Arial" w:hAnsi="Arial" w:cs="Arial"/>
          <w:i/>
          <w:iCs/>
          <w:sz w:val="22"/>
          <w:szCs w:val="22"/>
        </w:rPr>
        <w:t>iaraindia.com RESEARCH EXPLORER-A Blind Review &amp; Refereed Quarterly International Journal</w:t>
      </w:r>
      <w:r w:rsidRPr="005B20DF">
        <w:rPr>
          <w:rFonts w:ascii="Arial" w:hAnsi="Arial" w:cs="Arial"/>
          <w:sz w:val="22"/>
          <w:szCs w:val="22"/>
        </w:rPr>
        <w:t xml:space="preserve">, [online] </w:t>
      </w:r>
      <w:proofErr w:type="gramStart"/>
      <w:r w:rsidRPr="005B20DF">
        <w:rPr>
          <w:rFonts w:ascii="Arial" w:hAnsi="Arial" w:cs="Arial"/>
          <w:sz w:val="22"/>
          <w:szCs w:val="22"/>
        </w:rPr>
        <w:t>X(</w:t>
      </w:r>
      <w:proofErr w:type="gramEnd"/>
      <w:r w:rsidRPr="005B20DF">
        <w:rPr>
          <w:rFonts w:ascii="Arial" w:hAnsi="Arial" w:cs="Arial"/>
          <w:sz w:val="22"/>
          <w:szCs w:val="22"/>
        </w:rPr>
        <w:t xml:space="preserve">63185), pp.2349–1647. Available at: </w:t>
      </w:r>
      <w:hyperlink r:id="rId11" w:history="1">
        <w:r w:rsidRPr="005B20DF">
          <w:rPr>
            <w:rStyle w:val="Hyperlink"/>
            <w:rFonts w:ascii="Arial" w:hAnsi="Arial" w:cs="Arial"/>
            <w:sz w:val="22"/>
            <w:szCs w:val="22"/>
          </w:rPr>
          <w:t>https://iaraindia.com/wp-content/uploads/2023/06/RE-36-merged.pdf</w:t>
        </w:r>
      </w:hyperlink>
      <w:r w:rsidRPr="005B20DF">
        <w:rPr>
          <w:rFonts w:ascii="Arial" w:hAnsi="Arial" w:cs="Arial"/>
          <w:sz w:val="22"/>
          <w:szCs w:val="22"/>
        </w:rPr>
        <w:t>.</w:t>
      </w:r>
      <w:r w:rsidR="005B20DF" w:rsidRPr="005B20DF">
        <w:rPr>
          <w:rFonts w:ascii="Arial" w:hAnsi="Arial" w:cs="Arial"/>
          <w:sz w:val="22"/>
          <w:szCs w:val="22"/>
          <w:lang w:val="en-GB"/>
        </w:rPr>
        <w:t xml:space="preserve"> </w:t>
      </w:r>
      <w:r w:rsidR="005B20DF" w:rsidRPr="005B20DF">
        <w:rPr>
          <w:rFonts w:ascii="Arial" w:hAnsi="Arial" w:cs="Arial"/>
          <w:sz w:val="22"/>
          <w:szCs w:val="22"/>
          <w:lang w:val="en-GB"/>
        </w:rPr>
        <w:t>(Accessed 15</w:t>
      </w:r>
      <w:r w:rsidR="005B20DF" w:rsidRPr="005B20DF">
        <w:rPr>
          <w:rFonts w:ascii="Arial" w:hAnsi="Arial" w:cs="Arial"/>
          <w:sz w:val="22"/>
          <w:szCs w:val="22"/>
          <w:vertAlign w:val="superscript"/>
          <w:lang w:val="en-GB"/>
        </w:rPr>
        <w:t>th</w:t>
      </w:r>
      <w:r w:rsidR="005B20DF" w:rsidRPr="005B20DF">
        <w:rPr>
          <w:rFonts w:ascii="Arial" w:hAnsi="Arial" w:cs="Arial"/>
          <w:sz w:val="22"/>
          <w:szCs w:val="22"/>
          <w:lang w:val="en-GB"/>
        </w:rPr>
        <w:t xml:space="preserve"> November 2025).</w:t>
      </w:r>
    </w:p>
    <w:p w14:paraId="38E85E76" w14:textId="111245F8" w:rsidR="007001FE" w:rsidRPr="005B20DF" w:rsidRDefault="007001FE" w:rsidP="005B20DF">
      <w:pPr>
        <w:spacing w:line="360" w:lineRule="auto"/>
        <w:rPr>
          <w:rFonts w:ascii="Arial" w:hAnsi="Arial" w:cs="Arial"/>
          <w:sz w:val="22"/>
          <w:szCs w:val="22"/>
          <w:lang w:val="en-GB"/>
        </w:rPr>
      </w:pPr>
      <w:r w:rsidRPr="005B20DF">
        <w:rPr>
          <w:rFonts w:ascii="Arial" w:hAnsi="Arial" w:cs="Arial"/>
          <w:sz w:val="22"/>
          <w:szCs w:val="22"/>
        </w:rPr>
        <w:t>Tam, W., Poon, S.N., Mahendran, R., Kua, E.H. and Wu, X.V. (2021). The effectiveness of reminiscence-based intervention on improving psychological well-being in cognitively intact older adults: A systematic review and meta-analysis. </w:t>
      </w:r>
      <w:r w:rsidRPr="005B20DF">
        <w:rPr>
          <w:rFonts w:ascii="Arial" w:hAnsi="Arial" w:cs="Arial"/>
          <w:i/>
          <w:iCs/>
          <w:sz w:val="22"/>
          <w:szCs w:val="22"/>
        </w:rPr>
        <w:t>International Journal of Nursing Studies</w:t>
      </w:r>
      <w:r w:rsidRPr="005B20DF">
        <w:rPr>
          <w:rFonts w:ascii="Arial" w:hAnsi="Arial" w:cs="Arial"/>
          <w:sz w:val="22"/>
          <w:szCs w:val="22"/>
        </w:rPr>
        <w:t xml:space="preserve">, 114, p.103847. </w:t>
      </w:r>
      <w:proofErr w:type="spellStart"/>
      <w:proofErr w:type="gramStart"/>
      <w:r w:rsidRPr="005B20DF">
        <w:rPr>
          <w:rFonts w:ascii="Arial" w:hAnsi="Arial" w:cs="Arial"/>
          <w:sz w:val="22"/>
          <w:szCs w:val="22"/>
        </w:rPr>
        <w:t>doi:https</w:t>
      </w:r>
      <w:proofErr w:type="spellEnd"/>
      <w:r w:rsidRPr="005B20DF">
        <w:rPr>
          <w:rFonts w:ascii="Arial" w:hAnsi="Arial" w:cs="Arial"/>
          <w:sz w:val="22"/>
          <w:szCs w:val="22"/>
        </w:rPr>
        <w:t>://doi.org/10.1016/j.ijnurstu.2020.103847</w:t>
      </w:r>
      <w:proofErr w:type="gramEnd"/>
      <w:r w:rsidRPr="005B20DF">
        <w:rPr>
          <w:rFonts w:ascii="Arial" w:hAnsi="Arial" w:cs="Arial"/>
          <w:sz w:val="22"/>
          <w:szCs w:val="22"/>
        </w:rPr>
        <w:t>.</w:t>
      </w:r>
      <w:r w:rsidR="005B20DF" w:rsidRPr="005B20DF">
        <w:rPr>
          <w:rFonts w:ascii="Arial" w:hAnsi="Arial" w:cs="Arial"/>
          <w:sz w:val="22"/>
          <w:szCs w:val="22"/>
        </w:rPr>
        <w:t xml:space="preserve"> </w:t>
      </w:r>
      <w:r w:rsidR="005B20DF" w:rsidRPr="005B20DF">
        <w:rPr>
          <w:rFonts w:ascii="Arial" w:hAnsi="Arial" w:cs="Arial"/>
          <w:sz w:val="22"/>
          <w:szCs w:val="22"/>
          <w:lang w:val="en-GB"/>
        </w:rPr>
        <w:t>(Accessed 15</w:t>
      </w:r>
      <w:r w:rsidR="005B20DF" w:rsidRPr="005B20DF">
        <w:rPr>
          <w:rFonts w:ascii="Arial" w:hAnsi="Arial" w:cs="Arial"/>
          <w:sz w:val="22"/>
          <w:szCs w:val="22"/>
          <w:vertAlign w:val="superscript"/>
          <w:lang w:val="en-GB"/>
        </w:rPr>
        <w:t>th</w:t>
      </w:r>
      <w:r w:rsidR="005B20DF" w:rsidRPr="005B20DF">
        <w:rPr>
          <w:rFonts w:ascii="Arial" w:hAnsi="Arial" w:cs="Arial"/>
          <w:sz w:val="22"/>
          <w:szCs w:val="22"/>
          <w:lang w:val="en-GB"/>
        </w:rPr>
        <w:t xml:space="preserve"> November 2025).</w:t>
      </w:r>
    </w:p>
    <w:p w14:paraId="4B702509" w14:textId="42E811B9" w:rsidR="00B70C1E" w:rsidRPr="005B20DF" w:rsidRDefault="00B70C1E" w:rsidP="005B20DF">
      <w:pPr>
        <w:spacing w:line="360" w:lineRule="auto"/>
        <w:rPr>
          <w:rFonts w:ascii="Arial" w:hAnsi="Arial" w:cs="Arial"/>
          <w:sz w:val="22"/>
          <w:szCs w:val="22"/>
          <w:lang w:val="en-GB"/>
        </w:rPr>
      </w:pPr>
    </w:p>
    <w:sectPr w:rsidR="00B70C1E" w:rsidRPr="005B20DF">
      <w:footerReference w:type="default" r:id="rId12"/>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39E26A" w14:textId="77777777" w:rsidR="008C2F2B" w:rsidRDefault="008C2F2B" w:rsidP="000B296D">
      <w:pPr>
        <w:spacing w:after="0"/>
      </w:pPr>
      <w:r>
        <w:separator/>
      </w:r>
    </w:p>
  </w:endnote>
  <w:endnote w:type="continuationSeparator" w:id="0">
    <w:p w14:paraId="001FC810" w14:textId="77777777" w:rsidR="008C2F2B" w:rsidRDefault="008C2F2B" w:rsidP="000B296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4381610"/>
      <w:docPartObj>
        <w:docPartGallery w:val="Page Numbers (Bottom of Page)"/>
        <w:docPartUnique/>
      </w:docPartObj>
    </w:sdtPr>
    <w:sdtEndPr>
      <w:rPr>
        <w:noProof/>
      </w:rPr>
    </w:sdtEndPr>
    <w:sdtContent>
      <w:p w14:paraId="48198DC8" w14:textId="70752A77" w:rsidR="000B296D" w:rsidRDefault="000B29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107C97" w14:textId="77777777" w:rsidR="000B296D" w:rsidRDefault="000B29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37A52" w14:textId="77777777" w:rsidR="008C2F2B" w:rsidRDefault="008C2F2B" w:rsidP="000B296D">
      <w:pPr>
        <w:spacing w:after="0"/>
      </w:pPr>
      <w:r>
        <w:separator/>
      </w:r>
    </w:p>
  </w:footnote>
  <w:footnote w:type="continuationSeparator" w:id="0">
    <w:p w14:paraId="1C50FD0C" w14:textId="77777777" w:rsidR="008C2F2B" w:rsidRDefault="008C2F2B" w:rsidP="000B296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AD44857E"/>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E8B02872"/>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00A99411"/>
    <w:multiLevelType w:val="multilevel"/>
    <w:tmpl w:val="E4D4406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00A99412"/>
    <w:multiLevelType w:val="multilevel"/>
    <w:tmpl w:val="83280CAA"/>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4" w15:restartNumberingAfterBreak="0">
    <w:nsid w:val="0ECE2A84"/>
    <w:multiLevelType w:val="multilevel"/>
    <w:tmpl w:val="89DEA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6B4332"/>
    <w:multiLevelType w:val="multilevel"/>
    <w:tmpl w:val="2ACE8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0E23E7"/>
    <w:multiLevelType w:val="multilevel"/>
    <w:tmpl w:val="F960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4F422C"/>
    <w:multiLevelType w:val="multilevel"/>
    <w:tmpl w:val="84C86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05605E"/>
    <w:multiLevelType w:val="multilevel"/>
    <w:tmpl w:val="64E66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904053"/>
    <w:multiLevelType w:val="multilevel"/>
    <w:tmpl w:val="E7ECD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4F0C33"/>
    <w:multiLevelType w:val="multilevel"/>
    <w:tmpl w:val="5D388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8544C2"/>
    <w:multiLevelType w:val="hybridMultilevel"/>
    <w:tmpl w:val="938626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8BD0D3C"/>
    <w:multiLevelType w:val="multilevel"/>
    <w:tmpl w:val="F6107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434B05"/>
    <w:multiLevelType w:val="multilevel"/>
    <w:tmpl w:val="61D21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9426785">
    <w:abstractNumId w:val="0"/>
  </w:num>
  <w:num w:numId="2" w16cid:durableId="62006595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78038919">
    <w:abstractNumId w:val="1"/>
  </w:num>
  <w:num w:numId="4" w16cid:durableId="1495338699">
    <w:abstractNumId w:val="3"/>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5" w16cid:durableId="1647852302">
    <w:abstractNumId w:val="1"/>
  </w:num>
  <w:num w:numId="6" w16cid:durableId="204651537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59596573">
    <w:abstractNumId w:val="1"/>
  </w:num>
  <w:num w:numId="8" w16cid:durableId="1065572032">
    <w:abstractNumId w:val="3"/>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9" w16cid:durableId="1862626290">
    <w:abstractNumId w:val="1"/>
  </w:num>
  <w:num w:numId="10" w16cid:durableId="69735009">
    <w:abstractNumId w:val="1"/>
  </w:num>
  <w:num w:numId="11" w16cid:durableId="231476746">
    <w:abstractNumId w:val="6"/>
  </w:num>
  <w:num w:numId="12" w16cid:durableId="1578007561">
    <w:abstractNumId w:val="8"/>
  </w:num>
  <w:num w:numId="13" w16cid:durableId="1262954801">
    <w:abstractNumId w:val="10"/>
  </w:num>
  <w:num w:numId="14" w16cid:durableId="1050571978">
    <w:abstractNumId w:val="13"/>
  </w:num>
  <w:num w:numId="15" w16cid:durableId="806361807">
    <w:abstractNumId w:val="7"/>
  </w:num>
  <w:num w:numId="16" w16cid:durableId="1354501747">
    <w:abstractNumId w:val="5"/>
  </w:num>
  <w:num w:numId="17" w16cid:durableId="1378626744">
    <w:abstractNumId w:val="4"/>
  </w:num>
  <w:num w:numId="18" w16cid:durableId="942615976">
    <w:abstractNumId w:val="12"/>
  </w:num>
  <w:num w:numId="19" w16cid:durableId="2000231999">
    <w:abstractNumId w:val="9"/>
  </w:num>
  <w:num w:numId="20" w16cid:durableId="9759131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70C1E"/>
    <w:rsid w:val="00054614"/>
    <w:rsid w:val="000B296D"/>
    <w:rsid w:val="001327F2"/>
    <w:rsid w:val="0017353D"/>
    <w:rsid w:val="002C545A"/>
    <w:rsid w:val="00513D81"/>
    <w:rsid w:val="005268A1"/>
    <w:rsid w:val="005B20DF"/>
    <w:rsid w:val="006A4945"/>
    <w:rsid w:val="007001FE"/>
    <w:rsid w:val="008C2F2B"/>
    <w:rsid w:val="00B32CD1"/>
    <w:rsid w:val="00B70C1E"/>
    <w:rsid w:val="00CD3C92"/>
    <w:rsid w:val="00DF2C87"/>
    <w:rsid w:val="00E365AA"/>
    <w:rsid w:val="00E554C2"/>
    <w:rsid w:val="00F87DB9"/>
    <w:rsid w:val="00FB4B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E1BD2"/>
  <w15:docId w15:val="{B89B8295-DD7A-4541-B48B-8CB70434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footer"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Header">
    <w:name w:val="header"/>
    <w:basedOn w:val="Normal"/>
    <w:link w:val="HeaderChar"/>
    <w:rsid w:val="000B296D"/>
    <w:pPr>
      <w:tabs>
        <w:tab w:val="center" w:pos="4513"/>
        <w:tab w:val="right" w:pos="9026"/>
      </w:tabs>
      <w:spacing w:after="0"/>
    </w:pPr>
  </w:style>
  <w:style w:type="character" w:customStyle="1" w:styleId="HeaderChar">
    <w:name w:val="Header Char"/>
    <w:basedOn w:val="DefaultParagraphFont"/>
    <w:link w:val="Header"/>
    <w:rsid w:val="000B296D"/>
  </w:style>
  <w:style w:type="paragraph" w:styleId="Footer">
    <w:name w:val="footer"/>
    <w:basedOn w:val="Normal"/>
    <w:link w:val="FooterChar"/>
    <w:uiPriority w:val="99"/>
    <w:rsid w:val="000B296D"/>
    <w:pPr>
      <w:tabs>
        <w:tab w:val="center" w:pos="4513"/>
        <w:tab w:val="right" w:pos="9026"/>
      </w:tabs>
      <w:spacing w:after="0"/>
    </w:pPr>
  </w:style>
  <w:style w:type="character" w:customStyle="1" w:styleId="FooterChar">
    <w:name w:val="Footer Char"/>
    <w:basedOn w:val="DefaultParagraphFont"/>
    <w:link w:val="Footer"/>
    <w:uiPriority w:val="99"/>
    <w:rsid w:val="000B296D"/>
  </w:style>
  <w:style w:type="character" w:styleId="UnresolvedMention">
    <w:name w:val="Unresolved Mention"/>
    <w:basedOn w:val="DefaultParagraphFont"/>
    <w:uiPriority w:val="99"/>
    <w:semiHidden/>
    <w:unhideWhenUsed/>
    <w:rsid w:val="007001FE"/>
    <w:rPr>
      <w:color w:val="605E5C"/>
      <w:shd w:val="clear" w:color="auto" w:fill="E1DFDD"/>
    </w:rPr>
  </w:style>
  <w:style w:type="paragraph" w:styleId="ListParagraph">
    <w:name w:val="List Paragraph"/>
    <w:basedOn w:val="Normal"/>
    <w:rsid w:val="007001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dementia/about-dementia/what-is-dementia/"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mplypsychology.org/maslow.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araindia.com/wp-content/uploads/2023/06/RE-36-merged.pdf" TargetMode="External"/><Relationship Id="rId5" Type="http://schemas.openxmlformats.org/officeDocument/2006/relationships/footnotes" Target="footnotes.xml"/><Relationship Id="rId10" Type="http://schemas.openxmlformats.org/officeDocument/2006/relationships/hyperlink" Target="https://bura.brunel.ac.uk/handle/2438/20927" TargetMode="External"/><Relationship Id="rId4" Type="http://schemas.openxmlformats.org/officeDocument/2006/relationships/webSettings" Target="webSettings.xml"/><Relationship Id="rId9" Type="http://schemas.openxmlformats.org/officeDocument/2006/relationships/hyperlink" Target="https://www.ncbi.nlm.nih.gov/books/NBK55609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2305</Words>
  <Characters>13142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haider ghazanfar</dc:creator>
  <cp:keywords/>
  <cp:lastModifiedBy>haider ghazanfar</cp:lastModifiedBy>
  <cp:revision>2</cp:revision>
  <dcterms:created xsi:type="dcterms:W3CDTF">2025-11-17T19:22:00Z</dcterms:created>
  <dcterms:modified xsi:type="dcterms:W3CDTF">2025-11-17T19:22:00Z</dcterms:modified>
</cp:coreProperties>
</file>