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670C5" w14:textId="77777777" w:rsidR="00106707" w:rsidRPr="006372A5" w:rsidRDefault="00106707">
      <w:pPr>
        <w:spacing w:after="0"/>
        <w:rPr>
          <w:rFonts w:ascii="Arial" w:eastAsia="Arial" w:hAnsi="Arial" w:cs="Arial"/>
          <w:color w:val="000000" w:themeColor="text1"/>
        </w:rPr>
      </w:pPr>
    </w:p>
    <w:p w14:paraId="4741219D" w14:textId="77777777" w:rsidR="00106707" w:rsidRPr="006372A5" w:rsidRDefault="00106707">
      <w:pPr>
        <w:spacing w:after="0"/>
        <w:rPr>
          <w:rFonts w:ascii="Arial" w:eastAsia="Arial" w:hAnsi="Arial" w:cs="Arial"/>
          <w:color w:val="000000" w:themeColor="text1"/>
        </w:rPr>
      </w:pPr>
    </w:p>
    <w:p w14:paraId="28B35B2E" w14:textId="77777777" w:rsidR="00106707" w:rsidRPr="006372A5" w:rsidRDefault="00106707">
      <w:pPr>
        <w:spacing w:after="0"/>
        <w:rPr>
          <w:rFonts w:ascii="Arial" w:eastAsia="Arial" w:hAnsi="Arial" w:cs="Arial"/>
          <w:color w:val="000000" w:themeColor="text1"/>
        </w:rPr>
      </w:pPr>
    </w:p>
    <w:p w14:paraId="03BDB0B5" w14:textId="77777777" w:rsidR="00106707" w:rsidRPr="006372A5" w:rsidRDefault="00106707">
      <w:pPr>
        <w:spacing w:after="0"/>
        <w:rPr>
          <w:rFonts w:ascii="Arial" w:eastAsia="Arial" w:hAnsi="Arial" w:cs="Arial"/>
          <w:color w:val="000000" w:themeColor="text1"/>
        </w:rPr>
      </w:pPr>
    </w:p>
    <w:p w14:paraId="1F30BDB0" w14:textId="77777777" w:rsidR="00106707" w:rsidRPr="006372A5" w:rsidRDefault="00106707">
      <w:pPr>
        <w:spacing w:after="0"/>
        <w:rPr>
          <w:rFonts w:ascii="Arial" w:eastAsia="Arial" w:hAnsi="Arial" w:cs="Arial"/>
          <w:color w:val="000000" w:themeColor="text1"/>
        </w:rPr>
      </w:pPr>
    </w:p>
    <w:p w14:paraId="2BE9C9AD" w14:textId="77777777" w:rsidR="00106707" w:rsidRPr="006372A5" w:rsidRDefault="00106707">
      <w:pPr>
        <w:tabs>
          <w:tab w:val="left" w:pos="6540"/>
        </w:tabs>
        <w:spacing w:after="0"/>
        <w:rPr>
          <w:rFonts w:ascii="Arial" w:eastAsia="Arial" w:hAnsi="Arial" w:cs="Arial"/>
          <w:color w:val="000000" w:themeColor="text1"/>
          <w:sz w:val="28"/>
          <w:szCs w:val="28"/>
        </w:rPr>
      </w:pPr>
    </w:p>
    <w:p w14:paraId="42EAC94A" w14:textId="77777777" w:rsidR="00106707" w:rsidRPr="000E24EB" w:rsidRDefault="00000000">
      <w:pPr>
        <w:tabs>
          <w:tab w:val="left" w:pos="6540"/>
        </w:tabs>
        <w:spacing w:after="0"/>
        <w:rPr>
          <w:rFonts w:ascii="Arial" w:eastAsia="Arial" w:hAnsi="Arial" w:cs="Arial"/>
          <w:color w:val="000000" w:themeColor="text1"/>
          <w:sz w:val="28"/>
          <w:szCs w:val="28"/>
          <w:lang w:val="nl-NL"/>
        </w:rPr>
      </w:pPr>
      <w:r w:rsidRPr="000E24EB">
        <w:rPr>
          <w:rFonts w:ascii="Arial" w:eastAsia="Arial" w:hAnsi="Arial" w:cs="Arial"/>
          <w:b/>
          <w:bCs/>
          <w:color w:val="000000" w:themeColor="text1"/>
          <w:sz w:val="28"/>
          <w:szCs w:val="28"/>
          <w:lang w:val="nl-NL"/>
        </w:rPr>
        <w:t>Student name</w:t>
      </w:r>
      <w:r w:rsidRPr="000E24EB">
        <w:rPr>
          <w:rFonts w:ascii="Arial" w:eastAsia="Arial" w:hAnsi="Arial" w:cs="Arial"/>
          <w:color w:val="000000" w:themeColor="text1"/>
          <w:sz w:val="28"/>
          <w:szCs w:val="28"/>
          <w:lang w:val="nl-NL"/>
        </w:rPr>
        <w:t>: Abdulai Kamara</w:t>
      </w:r>
    </w:p>
    <w:p w14:paraId="374B4C4B" w14:textId="77777777" w:rsidR="000E24EB" w:rsidRPr="000E24EB" w:rsidRDefault="000E24EB">
      <w:pPr>
        <w:tabs>
          <w:tab w:val="left" w:pos="6540"/>
        </w:tabs>
        <w:spacing w:after="0"/>
        <w:rPr>
          <w:rFonts w:ascii="Arial" w:eastAsia="Arial" w:hAnsi="Arial" w:cs="Arial"/>
          <w:color w:val="000000" w:themeColor="text1"/>
          <w:sz w:val="28"/>
          <w:szCs w:val="28"/>
          <w:lang w:val="nl-NL"/>
        </w:rPr>
      </w:pPr>
    </w:p>
    <w:p w14:paraId="4438F4BF" w14:textId="77777777" w:rsidR="00106707" w:rsidRPr="000E24EB" w:rsidRDefault="00000000">
      <w:pPr>
        <w:tabs>
          <w:tab w:val="left" w:pos="6540"/>
        </w:tabs>
        <w:spacing w:after="0"/>
        <w:rPr>
          <w:rFonts w:ascii="Arial" w:eastAsia="Arial" w:hAnsi="Arial" w:cs="Arial"/>
          <w:color w:val="000000" w:themeColor="text1"/>
          <w:sz w:val="28"/>
          <w:szCs w:val="28"/>
          <w:lang w:val="nl-NL"/>
        </w:rPr>
      </w:pPr>
      <w:r w:rsidRPr="000E24EB">
        <w:rPr>
          <w:rFonts w:ascii="Arial" w:eastAsia="Arial" w:hAnsi="Arial" w:cs="Arial"/>
          <w:b/>
          <w:bCs/>
          <w:color w:val="000000" w:themeColor="text1"/>
          <w:sz w:val="28"/>
          <w:szCs w:val="28"/>
          <w:lang w:val="nl-NL"/>
        </w:rPr>
        <w:t>Student ID</w:t>
      </w:r>
      <w:r w:rsidRPr="000E24EB">
        <w:rPr>
          <w:rFonts w:ascii="Arial" w:eastAsia="Arial" w:hAnsi="Arial" w:cs="Arial"/>
          <w:color w:val="000000" w:themeColor="text1"/>
          <w:sz w:val="28"/>
          <w:szCs w:val="28"/>
          <w:lang w:val="nl-NL"/>
        </w:rPr>
        <w:t>: 2328050</w:t>
      </w:r>
    </w:p>
    <w:p w14:paraId="58122D8F" w14:textId="77777777" w:rsidR="00106707" w:rsidRPr="000E24EB" w:rsidRDefault="00106707">
      <w:pPr>
        <w:tabs>
          <w:tab w:val="left" w:pos="6540"/>
        </w:tabs>
        <w:spacing w:after="0"/>
        <w:rPr>
          <w:rFonts w:ascii="Arial" w:eastAsia="Arial" w:hAnsi="Arial" w:cs="Arial"/>
          <w:color w:val="000000" w:themeColor="text1"/>
          <w:sz w:val="28"/>
          <w:szCs w:val="28"/>
          <w:lang w:val="nl-NL"/>
        </w:rPr>
      </w:pPr>
    </w:p>
    <w:p w14:paraId="4C6AAF8C" w14:textId="77777777" w:rsidR="00106707" w:rsidRDefault="00000000">
      <w:pPr>
        <w:tabs>
          <w:tab w:val="left" w:pos="6540"/>
        </w:tabs>
        <w:spacing w:after="0"/>
        <w:rPr>
          <w:rFonts w:ascii="Arial" w:eastAsia="Arial" w:hAnsi="Arial" w:cs="Arial"/>
          <w:color w:val="000000" w:themeColor="text1"/>
          <w:sz w:val="28"/>
          <w:szCs w:val="28"/>
        </w:rPr>
      </w:pPr>
      <w:r w:rsidRPr="006372A5">
        <w:rPr>
          <w:rFonts w:ascii="Arial" w:eastAsia="Arial" w:hAnsi="Arial" w:cs="Arial"/>
          <w:b/>
          <w:bCs/>
          <w:color w:val="000000" w:themeColor="text1"/>
          <w:sz w:val="28"/>
          <w:szCs w:val="28"/>
        </w:rPr>
        <w:t>Module name</w:t>
      </w:r>
      <w:r w:rsidRPr="006372A5">
        <w:rPr>
          <w:rFonts w:ascii="Arial" w:eastAsia="Arial" w:hAnsi="Arial" w:cs="Arial"/>
          <w:color w:val="000000" w:themeColor="text1"/>
          <w:sz w:val="28"/>
          <w:szCs w:val="28"/>
        </w:rPr>
        <w:t>: Empowering the older people</w:t>
      </w:r>
    </w:p>
    <w:p w14:paraId="3C2D1C63" w14:textId="77777777" w:rsidR="000E24EB" w:rsidRPr="006372A5" w:rsidRDefault="000E24EB">
      <w:pPr>
        <w:tabs>
          <w:tab w:val="left" w:pos="6540"/>
        </w:tabs>
        <w:spacing w:after="0"/>
        <w:rPr>
          <w:rFonts w:ascii="Arial" w:eastAsia="Arial" w:hAnsi="Arial" w:cs="Arial"/>
          <w:color w:val="000000" w:themeColor="text1"/>
          <w:sz w:val="28"/>
          <w:szCs w:val="28"/>
        </w:rPr>
      </w:pPr>
    </w:p>
    <w:p w14:paraId="33DD7D94" w14:textId="77777777" w:rsidR="00106707" w:rsidRDefault="00000000">
      <w:pPr>
        <w:tabs>
          <w:tab w:val="left" w:pos="6540"/>
        </w:tabs>
        <w:spacing w:after="0"/>
        <w:rPr>
          <w:rFonts w:ascii="Arial" w:eastAsia="Arial" w:hAnsi="Arial" w:cs="Arial"/>
          <w:color w:val="000000" w:themeColor="text1"/>
          <w:sz w:val="28"/>
          <w:szCs w:val="28"/>
        </w:rPr>
      </w:pPr>
      <w:r w:rsidRPr="006372A5">
        <w:rPr>
          <w:rFonts w:ascii="Arial" w:eastAsia="Arial" w:hAnsi="Arial" w:cs="Arial"/>
          <w:b/>
          <w:bCs/>
          <w:color w:val="000000" w:themeColor="text1"/>
          <w:sz w:val="28"/>
          <w:szCs w:val="28"/>
        </w:rPr>
        <w:t>Module code</w:t>
      </w:r>
      <w:r w:rsidRPr="006372A5">
        <w:rPr>
          <w:rFonts w:ascii="Arial" w:eastAsia="Arial" w:hAnsi="Arial" w:cs="Arial"/>
          <w:color w:val="000000" w:themeColor="text1"/>
          <w:sz w:val="28"/>
          <w:szCs w:val="28"/>
        </w:rPr>
        <w:t>: BHP6027</w:t>
      </w:r>
    </w:p>
    <w:p w14:paraId="01F1F803" w14:textId="77777777" w:rsidR="000E24EB" w:rsidRPr="006372A5" w:rsidRDefault="000E24EB">
      <w:pPr>
        <w:tabs>
          <w:tab w:val="left" w:pos="6540"/>
        </w:tabs>
        <w:spacing w:after="0"/>
        <w:rPr>
          <w:rFonts w:ascii="Arial" w:eastAsia="Arial" w:hAnsi="Arial" w:cs="Arial"/>
          <w:color w:val="000000" w:themeColor="text1"/>
          <w:sz w:val="28"/>
          <w:szCs w:val="28"/>
        </w:rPr>
      </w:pPr>
    </w:p>
    <w:p w14:paraId="532769EF" w14:textId="77777777" w:rsidR="00106707" w:rsidRPr="006372A5" w:rsidRDefault="00000000">
      <w:pPr>
        <w:tabs>
          <w:tab w:val="left" w:pos="6540"/>
        </w:tabs>
        <w:spacing w:after="0"/>
        <w:rPr>
          <w:rFonts w:ascii="Arial" w:eastAsia="Arial" w:hAnsi="Arial" w:cs="Arial"/>
          <w:color w:val="000000" w:themeColor="text1"/>
          <w:sz w:val="28"/>
          <w:szCs w:val="28"/>
        </w:rPr>
      </w:pPr>
      <w:r w:rsidRPr="006372A5">
        <w:rPr>
          <w:rFonts w:ascii="Arial" w:eastAsia="Arial" w:hAnsi="Arial" w:cs="Arial"/>
          <w:b/>
          <w:bCs/>
          <w:color w:val="000000" w:themeColor="text1"/>
          <w:sz w:val="28"/>
          <w:szCs w:val="28"/>
        </w:rPr>
        <w:t>Lecturer’s name</w:t>
      </w:r>
      <w:r w:rsidRPr="006372A5">
        <w:rPr>
          <w:rFonts w:ascii="Arial" w:eastAsia="Arial" w:hAnsi="Arial" w:cs="Arial"/>
          <w:color w:val="000000" w:themeColor="text1"/>
          <w:sz w:val="28"/>
          <w:szCs w:val="28"/>
        </w:rPr>
        <w:t xml:space="preserve">: Dr Laila Sarani </w:t>
      </w:r>
    </w:p>
    <w:p w14:paraId="2A17E77E" w14:textId="77777777" w:rsidR="00106707" w:rsidRPr="006372A5" w:rsidRDefault="00106707">
      <w:pPr>
        <w:spacing w:after="0"/>
        <w:rPr>
          <w:rFonts w:ascii="Arial" w:eastAsia="Arial" w:hAnsi="Arial" w:cs="Arial"/>
          <w:color w:val="000000" w:themeColor="text1"/>
        </w:rPr>
      </w:pPr>
    </w:p>
    <w:p w14:paraId="7218954D" w14:textId="77777777" w:rsidR="00106707" w:rsidRPr="006372A5" w:rsidRDefault="00000000">
      <w:pPr>
        <w:spacing w:after="0"/>
        <w:rPr>
          <w:color w:val="000000" w:themeColor="text1"/>
        </w:rPr>
      </w:pPr>
      <w:r w:rsidRPr="006372A5">
        <w:rPr>
          <w:color w:val="000000" w:themeColor="text1"/>
        </w:rPr>
        <w:br w:type="page"/>
      </w:r>
    </w:p>
    <w:tbl>
      <w:tblPr>
        <w:tblStyle w:val="a"/>
        <w:tblW w:w="2259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15"/>
        <w:gridCol w:w="653"/>
        <w:gridCol w:w="7062"/>
        <w:gridCol w:w="565"/>
        <w:gridCol w:w="7203"/>
      </w:tblGrid>
      <w:tr w:rsidR="00106707" w:rsidRPr="006372A5" w14:paraId="2D024AE4" w14:textId="77777777" w:rsidTr="0043320C">
        <w:trPr>
          <w:cantSplit/>
          <w:trHeight w:val="2393"/>
          <w:jc w:val="center"/>
        </w:trPr>
        <w:tc>
          <w:tcPr>
            <w:tcW w:w="7115" w:type="dxa"/>
            <w:shd w:val="clear" w:color="auto" w:fill="FFC000"/>
          </w:tcPr>
          <w:p w14:paraId="3424A495" w14:textId="77777777" w:rsidR="00106707" w:rsidRPr="006372A5" w:rsidRDefault="00000000">
            <w:pPr>
              <w:spacing w:after="0"/>
              <w:jc w:val="center"/>
              <w:rPr>
                <w:rFonts w:ascii="Arial" w:eastAsia="Arial" w:hAnsi="Arial" w:cs="Arial"/>
                <w:color w:val="000000" w:themeColor="text1"/>
                <w:sz w:val="16"/>
                <w:szCs w:val="16"/>
              </w:rPr>
            </w:pPr>
            <w:r w:rsidRPr="006372A5">
              <w:rPr>
                <w:noProof/>
                <w:color w:val="000000" w:themeColor="text1"/>
                <w:sz w:val="16"/>
                <w:szCs w:val="16"/>
              </w:rPr>
              <w:lastRenderedPageBreak/>
              <w:drawing>
                <wp:inline distT="0" distB="0" distL="114300" distR="114300" wp14:anchorId="7AD45C72" wp14:editId="3FEB8357">
                  <wp:extent cx="2772410" cy="188214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772410" cy="1882140"/>
                          </a:xfrm>
                          <a:prstGeom prst="rect">
                            <a:avLst/>
                          </a:prstGeom>
                          <a:ln/>
                        </pic:spPr>
                      </pic:pic>
                    </a:graphicData>
                  </a:graphic>
                </wp:inline>
              </w:drawing>
            </w:r>
          </w:p>
        </w:tc>
        <w:tc>
          <w:tcPr>
            <w:tcW w:w="653" w:type="dxa"/>
            <w:vMerge w:val="restart"/>
          </w:tcPr>
          <w:p w14:paraId="7CCABA79" w14:textId="77777777" w:rsidR="00106707" w:rsidRPr="006372A5" w:rsidRDefault="00106707">
            <w:pPr>
              <w:spacing w:after="0"/>
              <w:rPr>
                <w:rFonts w:ascii="Arial" w:eastAsia="Arial" w:hAnsi="Arial" w:cs="Arial"/>
                <w:color w:val="000000" w:themeColor="text1"/>
                <w:sz w:val="16"/>
                <w:szCs w:val="16"/>
              </w:rPr>
            </w:pPr>
          </w:p>
        </w:tc>
        <w:tc>
          <w:tcPr>
            <w:tcW w:w="7062" w:type="dxa"/>
            <w:vMerge w:val="restart"/>
            <w:shd w:val="clear" w:color="auto" w:fill="D99594" w:themeFill="accent2" w:themeFillTint="99"/>
          </w:tcPr>
          <w:p w14:paraId="0860A5B4" w14:textId="77777777" w:rsidR="00106707" w:rsidRPr="006372A5" w:rsidRDefault="00000000" w:rsidP="006372A5">
            <w:pPr>
              <w:spacing w:after="0"/>
              <w:rPr>
                <w:color w:val="000000" w:themeColor="text1"/>
                <w:sz w:val="28"/>
                <w:szCs w:val="28"/>
              </w:rPr>
            </w:pPr>
            <w:r w:rsidRPr="006372A5">
              <w:rPr>
                <w:b/>
                <w:bCs/>
                <w:color w:val="000000" w:themeColor="text1"/>
                <w:sz w:val="28"/>
                <w:szCs w:val="28"/>
              </w:rPr>
              <w:t>Critically Evaluating the care, empowerment and support needs of older people</w:t>
            </w:r>
          </w:p>
          <w:p w14:paraId="7EC193AC" w14:textId="77777777" w:rsidR="00106707" w:rsidRPr="006372A5" w:rsidRDefault="00000000" w:rsidP="006372A5">
            <w:pPr>
              <w:numPr>
                <w:ilvl w:val="0"/>
                <w:numId w:val="6"/>
              </w:numPr>
              <w:spacing w:after="0"/>
              <w:rPr>
                <w:color w:val="000000" w:themeColor="text1"/>
              </w:rPr>
            </w:pPr>
            <w:r w:rsidRPr="006372A5">
              <w:rPr>
                <w:color w:val="000000" w:themeColor="text1"/>
              </w:rPr>
              <w:t>Elderly people have distinct empowerment, care and support needs which go beyond the medicinal treatment to involve emotional, mental, physiological and social wellbeing.</w:t>
            </w:r>
          </w:p>
          <w:p w14:paraId="634B30E8" w14:textId="1DD0B2B5" w:rsidR="00106707" w:rsidRPr="006372A5" w:rsidRDefault="00000000" w:rsidP="006372A5">
            <w:pPr>
              <w:numPr>
                <w:ilvl w:val="0"/>
                <w:numId w:val="6"/>
              </w:numPr>
              <w:spacing w:after="0"/>
              <w:rPr>
                <w:color w:val="000000" w:themeColor="text1"/>
              </w:rPr>
            </w:pPr>
            <w:r w:rsidRPr="006372A5">
              <w:rPr>
                <w:color w:val="000000" w:themeColor="text1"/>
              </w:rPr>
              <w:t>WHO suggests functional ability is shaped by both the supportive environments, and intrinsic capacity, outlining that successful ageing is based on transport, housing, health services, and social participation, instead of just healthcare (Who.int, 2020).</w:t>
            </w:r>
          </w:p>
          <w:p w14:paraId="56A02532" w14:textId="77777777" w:rsidR="00106707" w:rsidRPr="006372A5" w:rsidRDefault="00000000" w:rsidP="006372A5">
            <w:pPr>
              <w:numPr>
                <w:ilvl w:val="0"/>
                <w:numId w:val="6"/>
              </w:numPr>
              <w:spacing w:after="0"/>
              <w:rPr>
                <w:color w:val="000000" w:themeColor="text1"/>
              </w:rPr>
            </w:pPr>
            <w:r w:rsidRPr="006372A5">
              <w:rPr>
                <w:color w:val="000000" w:themeColor="text1"/>
              </w:rPr>
              <w:t>As per sources, 66 percent of adults over 65 did not require help with IADLs or ADL while 24 percent had some unmet need for help with ADLs (NHS England, 2026).</w:t>
            </w:r>
          </w:p>
          <w:p w14:paraId="58BFE51A" w14:textId="77777777" w:rsidR="00106707" w:rsidRPr="006372A5" w:rsidRDefault="00000000" w:rsidP="006372A5">
            <w:pPr>
              <w:numPr>
                <w:ilvl w:val="0"/>
                <w:numId w:val="6"/>
              </w:numPr>
              <w:spacing w:after="0"/>
              <w:rPr>
                <w:color w:val="000000" w:themeColor="text1"/>
              </w:rPr>
            </w:pPr>
            <w:r w:rsidRPr="006372A5">
              <w:rPr>
                <w:color w:val="000000" w:themeColor="text1"/>
              </w:rPr>
              <w:t>The person-centred care approach underpins collaborative decision-making by understanding the values, experiences, and preferences of individuals (Jobe, 2022).</w:t>
            </w:r>
          </w:p>
          <w:p w14:paraId="54C4EC89" w14:textId="77777777" w:rsidR="00106707" w:rsidRPr="006372A5" w:rsidRDefault="00000000" w:rsidP="006372A5">
            <w:pPr>
              <w:numPr>
                <w:ilvl w:val="0"/>
                <w:numId w:val="6"/>
              </w:numPr>
              <w:spacing w:after="0"/>
              <w:rPr>
                <w:color w:val="000000" w:themeColor="text1"/>
                <w:sz w:val="16"/>
                <w:szCs w:val="16"/>
              </w:rPr>
            </w:pPr>
            <w:r w:rsidRPr="006372A5">
              <w:rPr>
                <w:color w:val="000000" w:themeColor="text1"/>
              </w:rPr>
              <w:t xml:space="preserve">As per Hayes </w:t>
            </w:r>
            <w:r w:rsidRPr="006372A5">
              <w:rPr>
                <w:i/>
                <w:iCs/>
                <w:color w:val="000000" w:themeColor="text1"/>
              </w:rPr>
              <w:t>et al</w:t>
            </w:r>
            <w:r w:rsidRPr="006372A5">
              <w:rPr>
                <w:color w:val="000000" w:themeColor="text1"/>
              </w:rPr>
              <w:t>. (2024) integrated services of health and social care enhance outcomes by encouraging community living, minimising hospital admission, and multidisciplinary support.</w:t>
            </w:r>
          </w:p>
        </w:tc>
        <w:tc>
          <w:tcPr>
            <w:tcW w:w="565" w:type="dxa"/>
            <w:vMerge w:val="restart"/>
          </w:tcPr>
          <w:p w14:paraId="21B338A9" w14:textId="77777777" w:rsidR="00106707" w:rsidRPr="006372A5" w:rsidRDefault="00106707">
            <w:pPr>
              <w:spacing w:after="0"/>
              <w:rPr>
                <w:rFonts w:ascii="Arial" w:eastAsia="Arial" w:hAnsi="Arial" w:cs="Arial"/>
                <w:color w:val="000000" w:themeColor="text1"/>
                <w:sz w:val="16"/>
                <w:szCs w:val="16"/>
              </w:rPr>
            </w:pPr>
          </w:p>
        </w:tc>
        <w:tc>
          <w:tcPr>
            <w:tcW w:w="7203" w:type="dxa"/>
            <w:shd w:val="clear" w:color="auto" w:fill="F79646" w:themeFill="accent6"/>
            <w:vAlign w:val="center"/>
          </w:tcPr>
          <w:p w14:paraId="73916CA7" w14:textId="77777777" w:rsidR="00106707" w:rsidRPr="006372A5" w:rsidRDefault="00000000">
            <w:pPr>
              <w:spacing w:after="0"/>
              <w:jc w:val="center"/>
              <w:rPr>
                <w:rFonts w:ascii="Arial" w:eastAsia="Arial" w:hAnsi="Arial" w:cs="Arial"/>
                <w:color w:val="000000" w:themeColor="text1"/>
                <w:sz w:val="16"/>
                <w:szCs w:val="16"/>
              </w:rPr>
            </w:pPr>
            <w:r w:rsidRPr="006372A5">
              <w:rPr>
                <w:noProof/>
                <w:color w:val="000000" w:themeColor="text1"/>
                <w:sz w:val="16"/>
                <w:szCs w:val="16"/>
              </w:rPr>
              <w:drawing>
                <wp:inline distT="0" distB="0" distL="114300" distR="114300" wp14:anchorId="491A793F" wp14:editId="17AA3B28">
                  <wp:extent cx="2809875" cy="18542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809875" cy="1854200"/>
                          </a:xfrm>
                          <a:prstGeom prst="rect">
                            <a:avLst/>
                          </a:prstGeom>
                          <a:ln/>
                        </pic:spPr>
                      </pic:pic>
                    </a:graphicData>
                  </a:graphic>
                </wp:inline>
              </w:drawing>
            </w:r>
          </w:p>
        </w:tc>
      </w:tr>
      <w:tr w:rsidR="00106707" w:rsidRPr="006372A5" w14:paraId="5BB4965D" w14:textId="77777777" w:rsidTr="0043320C">
        <w:trPr>
          <w:cantSplit/>
          <w:trHeight w:val="272"/>
          <w:jc w:val="center"/>
        </w:trPr>
        <w:tc>
          <w:tcPr>
            <w:tcW w:w="7115" w:type="dxa"/>
            <w:shd w:val="clear" w:color="auto" w:fill="FFC000"/>
          </w:tcPr>
          <w:p w14:paraId="4BFFC8FF" w14:textId="77777777" w:rsidR="00106707" w:rsidRPr="006372A5" w:rsidRDefault="00106707">
            <w:pPr>
              <w:spacing w:after="0"/>
              <w:rPr>
                <w:rFonts w:ascii="Arial" w:eastAsia="Arial" w:hAnsi="Arial" w:cs="Arial"/>
                <w:color w:val="000000" w:themeColor="text1"/>
                <w:sz w:val="16"/>
                <w:szCs w:val="16"/>
              </w:rPr>
            </w:pPr>
          </w:p>
        </w:tc>
        <w:tc>
          <w:tcPr>
            <w:tcW w:w="653" w:type="dxa"/>
            <w:vMerge/>
          </w:tcPr>
          <w:p w14:paraId="2ECEB302" w14:textId="77777777" w:rsidR="00106707" w:rsidRPr="006372A5" w:rsidRDefault="00106707">
            <w:pPr>
              <w:widowControl w:val="0"/>
              <w:pBdr>
                <w:top w:val="nil"/>
                <w:left w:val="nil"/>
                <w:bottom w:val="nil"/>
                <w:right w:val="nil"/>
                <w:between w:val="nil"/>
              </w:pBdr>
              <w:spacing w:after="0" w:line="276" w:lineRule="auto"/>
              <w:jc w:val="left"/>
              <w:rPr>
                <w:rFonts w:ascii="Arial" w:eastAsia="Arial" w:hAnsi="Arial" w:cs="Arial"/>
                <w:color w:val="000000" w:themeColor="text1"/>
                <w:sz w:val="16"/>
                <w:szCs w:val="16"/>
              </w:rPr>
            </w:pPr>
          </w:p>
        </w:tc>
        <w:tc>
          <w:tcPr>
            <w:tcW w:w="7062" w:type="dxa"/>
            <w:vMerge/>
            <w:shd w:val="clear" w:color="auto" w:fill="D99594" w:themeFill="accent2" w:themeFillTint="99"/>
          </w:tcPr>
          <w:p w14:paraId="4AB61B6F" w14:textId="77777777" w:rsidR="00106707" w:rsidRPr="006372A5" w:rsidRDefault="00106707" w:rsidP="006372A5">
            <w:pPr>
              <w:widowControl w:val="0"/>
              <w:pBdr>
                <w:top w:val="nil"/>
                <w:left w:val="nil"/>
                <w:bottom w:val="nil"/>
                <w:right w:val="nil"/>
                <w:between w:val="nil"/>
              </w:pBdr>
              <w:spacing w:after="0" w:line="276" w:lineRule="auto"/>
              <w:rPr>
                <w:rFonts w:ascii="Arial" w:eastAsia="Arial" w:hAnsi="Arial" w:cs="Arial"/>
                <w:color w:val="000000" w:themeColor="text1"/>
                <w:sz w:val="16"/>
                <w:szCs w:val="16"/>
              </w:rPr>
            </w:pPr>
          </w:p>
        </w:tc>
        <w:tc>
          <w:tcPr>
            <w:tcW w:w="565" w:type="dxa"/>
            <w:vMerge/>
          </w:tcPr>
          <w:p w14:paraId="474744A5" w14:textId="77777777" w:rsidR="00106707" w:rsidRPr="006372A5" w:rsidRDefault="00106707">
            <w:pPr>
              <w:widowControl w:val="0"/>
              <w:pBdr>
                <w:top w:val="nil"/>
                <w:left w:val="nil"/>
                <w:bottom w:val="nil"/>
                <w:right w:val="nil"/>
                <w:between w:val="nil"/>
              </w:pBdr>
              <w:spacing w:after="0" w:line="276" w:lineRule="auto"/>
              <w:jc w:val="left"/>
              <w:rPr>
                <w:rFonts w:ascii="Arial" w:eastAsia="Arial" w:hAnsi="Arial" w:cs="Arial"/>
                <w:color w:val="000000" w:themeColor="text1"/>
                <w:sz w:val="16"/>
                <w:szCs w:val="16"/>
              </w:rPr>
            </w:pPr>
          </w:p>
        </w:tc>
        <w:tc>
          <w:tcPr>
            <w:tcW w:w="7203" w:type="dxa"/>
            <w:shd w:val="clear" w:color="auto" w:fill="F79646" w:themeFill="accent6"/>
          </w:tcPr>
          <w:p w14:paraId="1421472F" w14:textId="77777777" w:rsidR="00106707" w:rsidRPr="006372A5" w:rsidRDefault="00106707">
            <w:pPr>
              <w:pBdr>
                <w:top w:val="nil"/>
                <w:left w:val="nil"/>
                <w:bottom w:val="nil"/>
                <w:right w:val="nil"/>
                <w:between w:val="nil"/>
              </w:pBdr>
              <w:spacing w:after="0"/>
              <w:jc w:val="left"/>
              <w:rPr>
                <w:rFonts w:ascii="Arial" w:eastAsia="Arial" w:hAnsi="Arial" w:cs="Arial"/>
                <w:color w:val="000000" w:themeColor="text1"/>
                <w:sz w:val="16"/>
                <w:szCs w:val="16"/>
              </w:rPr>
            </w:pPr>
          </w:p>
        </w:tc>
      </w:tr>
      <w:tr w:rsidR="00106707" w:rsidRPr="006372A5" w14:paraId="3CE3B511" w14:textId="77777777" w:rsidTr="0043320C">
        <w:trPr>
          <w:cantSplit/>
          <w:trHeight w:val="192"/>
          <w:jc w:val="center"/>
        </w:trPr>
        <w:tc>
          <w:tcPr>
            <w:tcW w:w="7115" w:type="dxa"/>
            <w:vMerge w:val="restart"/>
            <w:shd w:val="clear" w:color="auto" w:fill="C2D69B" w:themeFill="accent3" w:themeFillTint="99"/>
          </w:tcPr>
          <w:p w14:paraId="39F941C8" w14:textId="77777777" w:rsidR="00106707" w:rsidRPr="006372A5" w:rsidRDefault="00000000">
            <w:pPr>
              <w:rPr>
                <w:color w:val="000000" w:themeColor="text1"/>
                <w:sz w:val="40"/>
                <w:szCs w:val="40"/>
              </w:rPr>
            </w:pPr>
            <w:r w:rsidRPr="006372A5">
              <w:rPr>
                <w:b/>
                <w:bCs/>
                <w:color w:val="000000" w:themeColor="text1"/>
                <w:sz w:val="40"/>
                <w:szCs w:val="40"/>
              </w:rPr>
              <w:t>Introduction</w:t>
            </w:r>
          </w:p>
          <w:p w14:paraId="2A5D60E3" w14:textId="77777777" w:rsidR="00106707" w:rsidRPr="000E24EB" w:rsidRDefault="00000000">
            <w:pPr>
              <w:numPr>
                <w:ilvl w:val="0"/>
                <w:numId w:val="3"/>
              </w:numPr>
              <w:spacing w:after="0"/>
              <w:rPr>
                <w:color w:val="000000" w:themeColor="text1"/>
              </w:rPr>
            </w:pPr>
            <w:r w:rsidRPr="000E24EB">
              <w:rPr>
                <w:color w:val="000000" w:themeColor="text1"/>
              </w:rPr>
              <w:t>The focus will be on presenting a critical evaluation of care, support, and empowerment needs of older adults.</w:t>
            </w:r>
          </w:p>
          <w:p w14:paraId="5B5AA607" w14:textId="77777777" w:rsidR="00106707" w:rsidRPr="000E24EB" w:rsidRDefault="00000000">
            <w:pPr>
              <w:numPr>
                <w:ilvl w:val="0"/>
                <w:numId w:val="3"/>
              </w:numPr>
              <w:spacing w:after="0"/>
              <w:rPr>
                <w:color w:val="000000" w:themeColor="text1"/>
              </w:rPr>
            </w:pPr>
            <w:r w:rsidRPr="000E24EB">
              <w:rPr>
                <w:color w:val="000000" w:themeColor="text1"/>
              </w:rPr>
              <w:t>million individuals are aged more than 65 in England which enhances pressure on the services of health and social care (Fleck, 2022).</w:t>
            </w:r>
          </w:p>
          <w:p w14:paraId="3FA031E9" w14:textId="77777777" w:rsidR="00106707" w:rsidRPr="000E24EB" w:rsidRDefault="00000000">
            <w:pPr>
              <w:numPr>
                <w:ilvl w:val="0"/>
                <w:numId w:val="3"/>
              </w:numPr>
              <w:spacing w:after="0"/>
              <w:rPr>
                <w:color w:val="000000" w:themeColor="text1"/>
              </w:rPr>
            </w:pPr>
            <w:r w:rsidRPr="000E24EB">
              <w:rPr>
                <w:color w:val="000000" w:themeColor="text1"/>
              </w:rPr>
              <w:t>Intervention's effectiveness and benefits, challenges faced, and recommendations will be further outlined.</w:t>
            </w:r>
          </w:p>
          <w:p w14:paraId="790641CB" w14:textId="77777777" w:rsidR="006372A5" w:rsidRPr="000E24EB" w:rsidRDefault="006372A5" w:rsidP="006372A5">
            <w:pPr>
              <w:spacing w:after="0"/>
              <w:rPr>
                <w:color w:val="000000" w:themeColor="text1"/>
              </w:rPr>
            </w:pPr>
          </w:p>
          <w:p w14:paraId="0E0FCBFE" w14:textId="77777777" w:rsidR="006372A5" w:rsidRPr="000E24EB" w:rsidRDefault="006372A5" w:rsidP="006372A5">
            <w:pPr>
              <w:spacing w:after="0"/>
              <w:rPr>
                <w:color w:val="000000" w:themeColor="text1"/>
              </w:rPr>
            </w:pPr>
          </w:p>
          <w:p w14:paraId="2D45056A" w14:textId="77777777" w:rsidR="006372A5" w:rsidRDefault="006372A5" w:rsidP="006372A5">
            <w:pPr>
              <w:spacing w:after="0"/>
              <w:rPr>
                <w:color w:val="000000" w:themeColor="text1"/>
                <w:sz w:val="16"/>
                <w:szCs w:val="16"/>
              </w:rPr>
            </w:pPr>
          </w:p>
          <w:p w14:paraId="73F051F7" w14:textId="77777777" w:rsidR="006372A5" w:rsidRDefault="006372A5" w:rsidP="006372A5">
            <w:pPr>
              <w:spacing w:after="0"/>
              <w:rPr>
                <w:color w:val="000000" w:themeColor="text1"/>
                <w:sz w:val="16"/>
                <w:szCs w:val="16"/>
              </w:rPr>
            </w:pPr>
          </w:p>
          <w:p w14:paraId="4BF3EB04" w14:textId="77777777" w:rsidR="006372A5" w:rsidRDefault="006372A5" w:rsidP="006372A5">
            <w:pPr>
              <w:spacing w:after="0"/>
              <w:rPr>
                <w:color w:val="000000" w:themeColor="text1"/>
                <w:sz w:val="16"/>
                <w:szCs w:val="16"/>
              </w:rPr>
            </w:pPr>
          </w:p>
          <w:p w14:paraId="7A237802" w14:textId="77777777" w:rsidR="006372A5" w:rsidRDefault="006372A5" w:rsidP="006372A5">
            <w:pPr>
              <w:spacing w:after="0"/>
              <w:rPr>
                <w:color w:val="000000" w:themeColor="text1"/>
                <w:sz w:val="16"/>
                <w:szCs w:val="16"/>
              </w:rPr>
            </w:pPr>
          </w:p>
          <w:p w14:paraId="071A207D" w14:textId="77777777" w:rsidR="006372A5" w:rsidRPr="006372A5" w:rsidRDefault="006372A5" w:rsidP="006372A5">
            <w:pPr>
              <w:spacing w:after="0"/>
              <w:rPr>
                <w:color w:val="000000" w:themeColor="text1"/>
                <w:sz w:val="16"/>
                <w:szCs w:val="16"/>
              </w:rPr>
            </w:pPr>
          </w:p>
          <w:p w14:paraId="7FA7898A" w14:textId="77777777" w:rsidR="00106707" w:rsidRPr="006372A5" w:rsidRDefault="00000000">
            <w:pPr>
              <w:spacing w:after="0"/>
              <w:rPr>
                <w:color w:val="000000" w:themeColor="text1"/>
                <w:sz w:val="16"/>
                <w:szCs w:val="16"/>
              </w:rPr>
            </w:pPr>
            <w:r w:rsidRPr="006372A5">
              <w:rPr>
                <w:noProof/>
                <w:color w:val="000000" w:themeColor="text1"/>
                <w:sz w:val="16"/>
                <w:szCs w:val="16"/>
              </w:rPr>
              <w:drawing>
                <wp:inline distT="114300" distB="114300" distL="114300" distR="114300" wp14:anchorId="78AC3C21" wp14:editId="27212FAF">
                  <wp:extent cx="4206240" cy="3855720"/>
                  <wp:effectExtent l="0" t="0" r="381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206240" cy="3855720"/>
                          </a:xfrm>
                          <a:prstGeom prst="rect">
                            <a:avLst/>
                          </a:prstGeom>
                          <a:ln/>
                        </pic:spPr>
                      </pic:pic>
                    </a:graphicData>
                  </a:graphic>
                </wp:inline>
              </w:drawing>
            </w:r>
          </w:p>
        </w:tc>
        <w:tc>
          <w:tcPr>
            <w:tcW w:w="653" w:type="dxa"/>
            <w:vMerge/>
          </w:tcPr>
          <w:p w14:paraId="5954616D" w14:textId="77777777" w:rsidR="00106707" w:rsidRPr="006372A5" w:rsidRDefault="00106707">
            <w:pPr>
              <w:widowControl w:val="0"/>
              <w:pBdr>
                <w:top w:val="nil"/>
                <w:left w:val="nil"/>
                <w:bottom w:val="nil"/>
                <w:right w:val="nil"/>
                <w:between w:val="nil"/>
              </w:pBdr>
              <w:spacing w:after="0" w:line="276" w:lineRule="auto"/>
              <w:jc w:val="left"/>
              <w:rPr>
                <w:color w:val="000000" w:themeColor="text1"/>
                <w:sz w:val="16"/>
                <w:szCs w:val="16"/>
              </w:rPr>
            </w:pPr>
          </w:p>
        </w:tc>
        <w:tc>
          <w:tcPr>
            <w:tcW w:w="7062" w:type="dxa"/>
            <w:vMerge/>
            <w:shd w:val="clear" w:color="auto" w:fill="D99594" w:themeFill="accent2" w:themeFillTint="99"/>
          </w:tcPr>
          <w:p w14:paraId="152A7AD3" w14:textId="77777777" w:rsidR="00106707" w:rsidRPr="006372A5" w:rsidRDefault="00106707" w:rsidP="006372A5">
            <w:pPr>
              <w:widowControl w:val="0"/>
              <w:pBdr>
                <w:top w:val="nil"/>
                <w:left w:val="nil"/>
                <w:bottom w:val="nil"/>
                <w:right w:val="nil"/>
                <w:between w:val="nil"/>
              </w:pBdr>
              <w:spacing w:after="0" w:line="276" w:lineRule="auto"/>
              <w:rPr>
                <w:color w:val="000000" w:themeColor="text1"/>
                <w:sz w:val="16"/>
                <w:szCs w:val="16"/>
              </w:rPr>
            </w:pPr>
          </w:p>
        </w:tc>
        <w:tc>
          <w:tcPr>
            <w:tcW w:w="565" w:type="dxa"/>
            <w:vMerge/>
          </w:tcPr>
          <w:p w14:paraId="19B6BD88" w14:textId="77777777" w:rsidR="00106707" w:rsidRPr="006372A5" w:rsidRDefault="00106707">
            <w:pPr>
              <w:widowControl w:val="0"/>
              <w:pBdr>
                <w:top w:val="nil"/>
                <w:left w:val="nil"/>
                <w:bottom w:val="nil"/>
                <w:right w:val="nil"/>
                <w:between w:val="nil"/>
              </w:pBdr>
              <w:spacing w:after="0" w:line="276" w:lineRule="auto"/>
              <w:jc w:val="left"/>
              <w:rPr>
                <w:color w:val="000000" w:themeColor="text1"/>
                <w:sz w:val="16"/>
                <w:szCs w:val="16"/>
              </w:rPr>
            </w:pPr>
          </w:p>
        </w:tc>
        <w:tc>
          <w:tcPr>
            <w:tcW w:w="7203" w:type="dxa"/>
            <w:vMerge w:val="restart"/>
            <w:shd w:val="clear" w:color="auto" w:fill="00B0F0"/>
          </w:tcPr>
          <w:p w14:paraId="1291CBD2" w14:textId="77777777" w:rsidR="00106707" w:rsidRPr="006372A5" w:rsidRDefault="00000000">
            <w:pPr>
              <w:spacing w:after="0"/>
              <w:rPr>
                <w:rFonts w:ascii="Arial" w:eastAsia="Arial" w:hAnsi="Arial" w:cs="Arial"/>
                <w:color w:val="000000" w:themeColor="text1"/>
              </w:rPr>
            </w:pPr>
            <w:bookmarkStart w:id="0" w:name="_heading=h.dryoazl6tp5s" w:colFirst="0" w:colLast="0"/>
            <w:bookmarkEnd w:id="0"/>
            <w:r w:rsidRPr="006372A5">
              <w:rPr>
                <w:b/>
                <w:bCs/>
                <w:color w:val="000000" w:themeColor="text1"/>
              </w:rPr>
              <w:t>Challenges faced by older people to maintain their functional ability and independence</w:t>
            </w:r>
            <w:r w:rsidRPr="006372A5">
              <w:rPr>
                <w:rFonts w:ascii="Arial" w:eastAsia="Arial" w:hAnsi="Arial" w:cs="Arial"/>
                <w:b/>
                <w:bCs/>
                <w:color w:val="000000" w:themeColor="text1"/>
              </w:rPr>
              <w:br/>
            </w:r>
          </w:p>
          <w:p w14:paraId="7E4500B7" w14:textId="77777777" w:rsidR="00106707" w:rsidRPr="006372A5" w:rsidRDefault="00000000">
            <w:pPr>
              <w:numPr>
                <w:ilvl w:val="0"/>
                <w:numId w:val="1"/>
              </w:numPr>
              <w:spacing w:after="0"/>
              <w:rPr>
                <w:color w:val="000000" w:themeColor="text1"/>
              </w:rPr>
            </w:pPr>
            <w:r w:rsidRPr="006372A5">
              <w:rPr>
                <w:color w:val="000000" w:themeColor="text1"/>
              </w:rPr>
              <w:t>The physical changes that may enhance the need for health challenges to participation are not only the health issues themselves, but rather the societal barriers that emerge as per the Social Model of Disability (Zaks, 2024).</w:t>
            </w:r>
          </w:p>
          <w:p w14:paraId="38396CFC" w14:textId="77777777" w:rsidR="00106707" w:rsidRPr="006372A5" w:rsidRDefault="00000000">
            <w:pPr>
              <w:numPr>
                <w:ilvl w:val="0"/>
                <w:numId w:val="1"/>
              </w:numPr>
              <w:spacing w:after="0"/>
              <w:rPr>
                <w:color w:val="000000" w:themeColor="text1"/>
              </w:rPr>
            </w:pPr>
            <w:r w:rsidRPr="006372A5">
              <w:rPr>
                <w:color w:val="000000" w:themeColor="text1"/>
              </w:rPr>
              <w:t>The demands for coordinated support services, accessible environments, inclusive policies and community engagement assists elderly individuals maintain their dignity, exercise their choice and proactively (Siegler et al., 2026).</w:t>
            </w:r>
          </w:p>
          <w:p w14:paraId="0E16C6CF" w14:textId="77777777" w:rsidR="00106707" w:rsidRPr="006372A5" w:rsidRDefault="00000000">
            <w:pPr>
              <w:numPr>
                <w:ilvl w:val="0"/>
                <w:numId w:val="1"/>
              </w:numPr>
              <w:spacing w:after="0"/>
              <w:rPr>
                <w:color w:val="000000" w:themeColor="text1"/>
              </w:rPr>
            </w:pPr>
            <w:r w:rsidRPr="006372A5">
              <w:rPr>
                <w:color w:val="000000" w:themeColor="text1"/>
              </w:rPr>
              <w:t>The physical changes may enhance need for health services, dependence on carer, declining confidence and personal autonomy (Meredith et al., 2023).</w:t>
            </w:r>
          </w:p>
          <w:p w14:paraId="1AD59CB6" w14:textId="77777777" w:rsidR="00106707" w:rsidRPr="006372A5" w:rsidRDefault="00000000">
            <w:pPr>
              <w:numPr>
                <w:ilvl w:val="0"/>
                <w:numId w:val="1"/>
              </w:numPr>
              <w:spacing w:after="0"/>
              <w:rPr>
                <w:color w:val="000000" w:themeColor="text1"/>
              </w:rPr>
            </w:pPr>
            <w:r w:rsidRPr="006372A5">
              <w:rPr>
                <w:color w:val="000000" w:themeColor="text1"/>
              </w:rPr>
              <w:t>Private care services, home adaptations and healthy food may be restricted by economic challenges such as rising cost of living (£2,888.2 for a family of 4 per month) (Numbeo.com, 2026).</w:t>
            </w:r>
          </w:p>
          <w:p w14:paraId="0FE9BDB9" w14:textId="77777777" w:rsidR="00106707" w:rsidRPr="006372A5" w:rsidRDefault="00000000">
            <w:pPr>
              <w:spacing w:after="0"/>
              <w:rPr>
                <w:color w:val="000000" w:themeColor="text1"/>
                <w:sz w:val="24"/>
                <w:szCs w:val="24"/>
              </w:rPr>
            </w:pPr>
            <w:r w:rsidRPr="006372A5">
              <w:rPr>
                <w:b/>
                <w:bCs/>
                <w:color w:val="000000" w:themeColor="text1"/>
                <w:sz w:val="24"/>
                <w:szCs w:val="24"/>
              </w:rPr>
              <w:t>Recommendations and Conclusion</w:t>
            </w:r>
          </w:p>
          <w:p w14:paraId="15202040" w14:textId="77777777" w:rsidR="00106707" w:rsidRPr="006372A5" w:rsidRDefault="00000000">
            <w:pPr>
              <w:spacing w:after="0"/>
              <w:rPr>
                <w:color w:val="000000" w:themeColor="text1"/>
                <w:sz w:val="24"/>
                <w:szCs w:val="24"/>
              </w:rPr>
            </w:pPr>
            <w:r w:rsidRPr="006372A5">
              <w:rPr>
                <w:b/>
                <w:bCs/>
                <w:color w:val="000000" w:themeColor="text1"/>
                <w:sz w:val="24"/>
                <w:szCs w:val="24"/>
              </w:rPr>
              <w:t>Recommendations</w:t>
            </w:r>
          </w:p>
          <w:p w14:paraId="0C81FA04" w14:textId="77777777" w:rsidR="00106707" w:rsidRPr="006372A5" w:rsidRDefault="00000000">
            <w:pPr>
              <w:numPr>
                <w:ilvl w:val="0"/>
                <w:numId w:val="2"/>
              </w:numPr>
              <w:spacing w:after="0"/>
              <w:rPr>
                <w:color w:val="000000" w:themeColor="text1"/>
              </w:rPr>
            </w:pPr>
            <w:r w:rsidRPr="006372A5">
              <w:rPr>
                <w:color w:val="000000" w:themeColor="text1"/>
              </w:rPr>
              <w:t>Providing a person-centred and seamless support that is tailored to elderly adults' needs is required to be the focus on developing integrated health and social care (Murphy et al., 2025).</w:t>
            </w:r>
          </w:p>
          <w:p w14:paraId="716118DB" w14:textId="77777777" w:rsidR="00106707" w:rsidRPr="006372A5" w:rsidRDefault="00000000">
            <w:pPr>
              <w:numPr>
                <w:ilvl w:val="0"/>
                <w:numId w:val="2"/>
              </w:numPr>
              <w:spacing w:after="0"/>
              <w:rPr>
                <w:color w:val="000000" w:themeColor="text1"/>
              </w:rPr>
            </w:pPr>
            <w:r w:rsidRPr="006372A5">
              <w:rPr>
                <w:color w:val="000000" w:themeColor="text1"/>
              </w:rPr>
              <w:t>Support for elderly people in guaranteeing their independence for a longer period can also involve increased funding of community-based rehabilitation services, preventive care services, and home adaptation initiatives.</w:t>
            </w:r>
          </w:p>
          <w:p w14:paraId="35038C9C" w14:textId="77777777" w:rsidR="00106707" w:rsidRPr="006372A5" w:rsidRDefault="00000000">
            <w:pPr>
              <w:numPr>
                <w:ilvl w:val="0"/>
                <w:numId w:val="2"/>
              </w:numPr>
              <w:spacing w:after="0"/>
              <w:rPr>
                <w:color w:val="000000" w:themeColor="text1"/>
              </w:rPr>
            </w:pPr>
            <w:r w:rsidRPr="006372A5">
              <w:rPr>
                <w:color w:val="000000" w:themeColor="text1"/>
              </w:rPr>
              <w:t>The digital tools and resources like internet access, technology training, and others must also be embedded for expanding the telehealth services (Alhussein et al., 2023).</w:t>
            </w:r>
          </w:p>
          <w:p w14:paraId="64360AAC" w14:textId="77777777" w:rsidR="00106707" w:rsidRPr="006372A5" w:rsidRDefault="00000000">
            <w:pPr>
              <w:numPr>
                <w:ilvl w:val="0"/>
                <w:numId w:val="2"/>
              </w:numPr>
              <w:spacing w:after="0"/>
              <w:rPr>
                <w:color w:val="000000" w:themeColor="text1"/>
              </w:rPr>
            </w:pPr>
            <w:r w:rsidRPr="006372A5">
              <w:rPr>
                <w:color w:val="000000" w:themeColor="text1"/>
              </w:rPr>
              <w:t>Workforce development via continuous training along with improved collaboration with voluntary organisations and carers can further support wellbeing and decrease social isolation.</w:t>
            </w:r>
          </w:p>
          <w:p w14:paraId="084445B3" w14:textId="77777777" w:rsidR="00106707" w:rsidRPr="006372A5" w:rsidRDefault="00000000">
            <w:pPr>
              <w:spacing w:after="0"/>
              <w:rPr>
                <w:color w:val="000000" w:themeColor="text1"/>
                <w:sz w:val="24"/>
                <w:szCs w:val="24"/>
              </w:rPr>
            </w:pPr>
            <w:r w:rsidRPr="006372A5">
              <w:rPr>
                <w:b/>
                <w:bCs/>
                <w:color w:val="000000" w:themeColor="text1"/>
                <w:sz w:val="24"/>
                <w:szCs w:val="24"/>
              </w:rPr>
              <w:t>Conclusion</w:t>
            </w:r>
          </w:p>
          <w:p w14:paraId="3E329601" w14:textId="77777777" w:rsidR="00106707" w:rsidRPr="006372A5" w:rsidRDefault="00000000">
            <w:pPr>
              <w:numPr>
                <w:ilvl w:val="0"/>
                <w:numId w:val="5"/>
              </w:numPr>
              <w:spacing w:after="0"/>
              <w:rPr>
                <w:color w:val="000000" w:themeColor="text1"/>
              </w:rPr>
            </w:pPr>
            <w:r w:rsidRPr="006372A5">
              <w:rPr>
                <w:color w:val="000000" w:themeColor="text1"/>
              </w:rPr>
              <w:t>It reveals elderly people need person-centred and holistic care which promotes independence, dignity and functional abilities.</w:t>
            </w:r>
          </w:p>
          <w:p w14:paraId="35B1841F" w14:textId="77777777" w:rsidR="00106707" w:rsidRPr="006372A5" w:rsidRDefault="00000000">
            <w:pPr>
              <w:numPr>
                <w:ilvl w:val="0"/>
                <w:numId w:val="5"/>
              </w:numPr>
              <w:spacing w:after="0"/>
              <w:rPr>
                <w:color w:val="000000" w:themeColor="text1"/>
              </w:rPr>
            </w:pPr>
            <w:r w:rsidRPr="006372A5">
              <w:rPr>
                <w:color w:val="000000" w:themeColor="text1"/>
              </w:rPr>
              <w:t>Even with the robust policy framework in place in the UK, there are distinct challenges faced by elderly people when it comes to accessibility and delivery.</w:t>
            </w:r>
          </w:p>
          <w:p w14:paraId="76267858" w14:textId="77777777" w:rsidR="00106707" w:rsidRPr="006372A5" w:rsidRDefault="00000000">
            <w:pPr>
              <w:numPr>
                <w:ilvl w:val="0"/>
                <w:numId w:val="5"/>
              </w:numPr>
              <w:spacing w:after="0"/>
              <w:rPr>
                <w:color w:val="000000" w:themeColor="text1"/>
                <w:sz w:val="16"/>
                <w:szCs w:val="16"/>
              </w:rPr>
            </w:pPr>
            <w:r w:rsidRPr="006372A5">
              <w:rPr>
                <w:color w:val="000000" w:themeColor="text1"/>
              </w:rPr>
              <w:t>Better capacity of staff, service integration and community support will improve outcomes and help elderly people experience better quality of life, wellbeing, and choice.</w:t>
            </w:r>
          </w:p>
        </w:tc>
      </w:tr>
      <w:tr w:rsidR="00106707" w:rsidRPr="006372A5" w14:paraId="25E5ED28" w14:textId="77777777" w:rsidTr="0043320C">
        <w:trPr>
          <w:cantSplit/>
          <w:trHeight w:val="60"/>
          <w:jc w:val="center"/>
        </w:trPr>
        <w:tc>
          <w:tcPr>
            <w:tcW w:w="7115" w:type="dxa"/>
            <w:vMerge/>
            <w:shd w:val="clear" w:color="auto" w:fill="C2D69B" w:themeFill="accent3" w:themeFillTint="99"/>
          </w:tcPr>
          <w:p w14:paraId="06A612A3" w14:textId="77777777" w:rsidR="00106707" w:rsidRPr="006372A5" w:rsidRDefault="00106707">
            <w:pPr>
              <w:widowControl w:val="0"/>
              <w:pBdr>
                <w:top w:val="nil"/>
                <w:left w:val="nil"/>
                <w:bottom w:val="nil"/>
                <w:right w:val="nil"/>
                <w:between w:val="nil"/>
              </w:pBdr>
              <w:spacing w:after="0" w:line="276" w:lineRule="auto"/>
              <w:jc w:val="left"/>
              <w:rPr>
                <w:color w:val="000000" w:themeColor="text1"/>
                <w:sz w:val="16"/>
                <w:szCs w:val="16"/>
              </w:rPr>
            </w:pPr>
          </w:p>
        </w:tc>
        <w:tc>
          <w:tcPr>
            <w:tcW w:w="653" w:type="dxa"/>
            <w:vMerge/>
          </w:tcPr>
          <w:p w14:paraId="2C25B94E" w14:textId="77777777" w:rsidR="00106707" w:rsidRPr="006372A5" w:rsidRDefault="00106707">
            <w:pPr>
              <w:widowControl w:val="0"/>
              <w:pBdr>
                <w:top w:val="nil"/>
                <w:left w:val="nil"/>
                <w:bottom w:val="nil"/>
                <w:right w:val="nil"/>
                <w:between w:val="nil"/>
              </w:pBdr>
              <w:spacing w:after="0" w:line="276" w:lineRule="auto"/>
              <w:jc w:val="left"/>
              <w:rPr>
                <w:color w:val="000000" w:themeColor="text1"/>
                <w:sz w:val="16"/>
                <w:szCs w:val="16"/>
              </w:rPr>
            </w:pPr>
          </w:p>
        </w:tc>
        <w:tc>
          <w:tcPr>
            <w:tcW w:w="7062" w:type="dxa"/>
          </w:tcPr>
          <w:p w14:paraId="3E42A0C1" w14:textId="77777777" w:rsidR="00106707" w:rsidRPr="006372A5" w:rsidRDefault="00106707" w:rsidP="006372A5">
            <w:pPr>
              <w:spacing w:after="0"/>
              <w:rPr>
                <w:rFonts w:ascii="Arial" w:eastAsia="Arial" w:hAnsi="Arial" w:cs="Arial"/>
                <w:color w:val="000000" w:themeColor="text1"/>
                <w:sz w:val="16"/>
                <w:szCs w:val="16"/>
              </w:rPr>
            </w:pPr>
          </w:p>
        </w:tc>
        <w:tc>
          <w:tcPr>
            <w:tcW w:w="565" w:type="dxa"/>
            <w:vMerge/>
          </w:tcPr>
          <w:p w14:paraId="1D1DE787" w14:textId="77777777" w:rsidR="00106707" w:rsidRPr="006372A5" w:rsidRDefault="00106707">
            <w:pPr>
              <w:widowControl w:val="0"/>
              <w:pBdr>
                <w:top w:val="nil"/>
                <w:left w:val="nil"/>
                <w:bottom w:val="nil"/>
                <w:right w:val="nil"/>
                <w:between w:val="nil"/>
              </w:pBdr>
              <w:spacing w:after="0" w:line="276" w:lineRule="auto"/>
              <w:jc w:val="left"/>
              <w:rPr>
                <w:rFonts w:ascii="Arial" w:eastAsia="Arial" w:hAnsi="Arial" w:cs="Arial"/>
                <w:color w:val="000000" w:themeColor="text1"/>
                <w:sz w:val="16"/>
                <w:szCs w:val="16"/>
              </w:rPr>
            </w:pPr>
          </w:p>
        </w:tc>
        <w:tc>
          <w:tcPr>
            <w:tcW w:w="7203" w:type="dxa"/>
            <w:vMerge/>
            <w:shd w:val="clear" w:color="auto" w:fill="00B0F0"/>
          </w:tcPr>
          <w:p w14:paraId="1F47F099" w14:textId="77777777" w:rsidR="00106707" w:rsidRPr="006372A5" w:rsidRDefault="00106707">
            <w:pPr>
              <w:widowControl w:val="0"/>
              <w:pBdr>
                <w:top w:val="nil"/>
                <w:left w:val="nil"/>
                <w:bottom w:val="nil"/>
                <w:right w:val="nil"/>
                <w:between w:val="nil"/>
              </w:pBdr>
              <w:spacing w:after="0" w:line="276" w:lineRule="auto"/>
              <w:jc w:val="left"/>
              <w:rPr>
                <w:rFonts w:ascii="Arial" w:eastAsia="Arial" w:hAnsi="Arial" w:cs="Arial"/>
                <w:color w:val="000000" w:themeColor="text1"/>
                <w:sz w:val="16"/>
                <w:szCs w:val="16"/>
              </w:rPr>
            </w:pPr>
          </w:p>
        </w:tc>
      </w:tr>
      <w:tr w:rsidR="00106707" w:rsidRPr="006372A5" w14:paraId="003811A6" w14:textId="77777777" w:rsidTr="0043320C">
        <w:trPr>
          <w:cantSplit/>
          <w:trHeight w:val="5682"/>
          <w:jc w:val="center"/>
        </w:trPr>
        <w:tc>
          <w:tcPr>
            <w:tcW w:w="7115" w:type="dxa"/>
            <w:vMerge/>
            <w:shd w:val="clear" w:color="auto" w:fill="C2D69B" w:themeFill="accent3" w:themeFillTint="99"/>
          </w:tcPr>
          <w:p w14:paraId="00C7EDA1" w14:textId="77777777" w:rsidR="00106707" w:rsidRPr="006372A5" w:rsidRDefault="00106707">
            <w:pPr>
              <w:widowControl w:val="0"/>
              <w:pBdr>
                <w:top w:val="nil"/>
                <w:left w:val="nil"/>
                <w:bottom w:val="nil"/>
                <w:right w:val="nil"/>
                <w:between w:val="nil"/>
              </w:pBdr>
              <w:spacing w:after="0" w:line="276" w:lineRule="auto"/>
              <w:jc w:val="left"/>
              <w:rPr>
                <w:rFonts w:ascii="Arial" w:eastAsia="Arial" w:hAnsi="Arial" w:cs="Arial"/>
                <w:color w:val="000000" w:themeColor="text1"/>
                <w:sz w:val="16"/>
                <w:szCs w:val="16"/>
              </w:rPr>
            </w:pPr>
          </w:p>
        </w:tc>
        <w:tc>
          <w:tcPr>
            <w:tcW w:w="653" w:type="dxa"/>
            <w:vMerge/>
          </w:tcPr>
          <w:p w14:paraId="10F3E1A7" w14:textId="77777777" w:rsidR="00106707" w:rsidRPr="006372A5" w:rsidRDefault="00106707">
            <w:pPr>
              <w:widowControl w:val="0"/>
              <w:pBdr>
                <w:top w:val="nil"/>
                <w:left w:val="nil"/>
                <w:bottom w:val="nil"/>
                <w:right w:val="nil"/>
                <w:between w:val="nil"/>
              </w:pBdr>
              <w:spacing w:after="0" w:line="276" w:lineRule="auto"/>
              <w:jc w:val="left"/>
              <w:rPr>
                <w:rFonts w:ascii="Arial" w:eastAsia="Arial" w:hAnsi="Arial" w:cs="Arial"/>
                <w:color w:val="000000" w:themeColor="text1"/>
                <w:sz w:val="16"/>
                <w:szCs w:val="16"/>
              </w:rPr>
            </w:pPr>
          </w:p>
        </w:tc>
        <w:tc>
          <w:tcPr>
            <w:tcW w:w="7062" w:type="dxa"/>
            <w:shd w:val="clear" w:color="auto" w:fill="FBD4B4" w:themeFill="accent6" w:themeFillTint="66"/>
          </w:tcPr>
          <w:p w14:paraId="772484EE" w14:textId="77777777" w:rsidR="00106707" w:rsidRPr="006372A5" w:rsidRDefault="00000000" w:rsidP="006372A5">
            <w:pPr>
              <w:spacing w:after="0"/>
              <w:rPr>
                <w:rFonts w:ascii="Arial" w:eastAsia="Arial" w:hAnsi="Arial" w:cs="Arial"/>
                <w:color w:val="000000" w:themeColor="text1"/>
                <w:sz w:val="24"/>
                <w:szCs w:val="24"/>
              </w:rPr>
            </w:pPr>
            <w:r w:rsidRPr="006372A5">
              <w:rPr>
                <w:b/>
                <w:bCs/>
                <w:color w:val="000000" w:themeColor="text1"/>
                <w:sz w:val="24"/>
                <w:szCs w:val="24"/>
              </w:rPr>
              <w:t>A critical evaluation of the effectiveness and benefit of approaches and interventions, including current provisions in the UK</w:t>
            </w:r>
          </w:p>
          <w:p w14:paraId="4F0C8BD1" w14:textId="6A649834" w:rsidR="00106707" w:rsidRPr="000E24EB" w:rsidRDefault="00000000" w:rsidP="006372A5">
            <w:pPr>
              <w:numPr>
                <w:ilvl w:val="0"/>
                <w:numId w:val="4"/>
              </w:numPr>
              <w:spacing w:after="0"/>
              <w:rPr>
                <w:color w:val="000000" w:themeColor="text1"/>
                <w:sz w:val="20"/>
                <w:szCs w:val="20"/>
              </w:rPr>
            </w:pPr>
            <w:r w:rsidRPr="000E24EB">
              <w:rPr>
                <w:color w:val="000000" w:themeColor="text1"/>
                <w:sz w:val="20"/>
                <w:szCs w:val="20"/>
              </w:rPr>
              <w:t xml:space="preserve">Initially, independence, wellbeing, and personalised support are promoted by Care Act </w:t>
            </w:r>
            <w:proofErr w:type="gramStart"/>
            <w:r w:rsidRPr="000E24EB">
              <w:rPr>
                <w:color w:val="000000" w:themeColor="text1"/>
                <w:sz w:val="20"/>
                <w:szCs w:val="20"/>
              </w:rPr>
              <w:t>2014</w:t>
            </w:r>
            <w:proofErr w:type="gramEnd"/>
            <w:r w:rsidRPr="000E24EB">
              <w:rPr>
                <w:color w:val="000000" w:themeColor="text1"/>
                <w:sz w:val="20"/>
                <w:szCs w:val="20"/>
              </w:rPr>
              <w:t xml:space="preserve"> and the integrated community-based services are encouraged through “The NHS Long Term Plan” (Briggs </w:t>
            </w:r>
            <w:r w:rsidRPr="000E24EB">
              <w:rPr>
                <w:i/>
                <w:iCs/>
                <w:color w:val="000000" w:themeColor="text1"/>
                <w:sz w:val="20"/>
                <w:szCs w:val="20"/>
              </w:rPr>
              <w:t>et al</w:t>
            </w:r>
            <w:r w:rsidRPr="000E24EB">
              <w:rPr>
                <w:color w:val="000000" w:themeColor="text1"/>
                <w:sz w:val="20"/>
                <w:szCs w:val="20"/>
              </w:rPr>
              <w:t>., 2020).</w:t>
            </w:r>
          </w:p>
          <w:p w14:paraId="2F5CC1FE" w14:textId="77777777" w:rsidR="00106707" w:rsidRPr="000E24EB" w:rsidRDefault="00000000" w:rsidP="006372A5">
            <w:pPr>
              <w:numPr>
                <w:ilvl w:val="0"/>
                <w:numId w:val="4"/>
              </w:numPr>
              <w:spacing w:after="0"/>
              <w:rPr>
                <w:color w:val="000000" w:themeColor="text1"/>
                <w:sz w:val="20"/>
                <w:szCs w:val="20"/>
              </w:rPr>
            </w:pPr>
            <w:r w:rsidRPr="000E24EB">
              <w:rPr>
                <w:color w:val="000000" w:themeColor="text1"/>
                <w:sz w:val="20"/>
                <w:szCs w:val="20"/>
              </w:rPr>
              <w:t>The reablement programmes give positive outcomes by assisting elderly individuals re-obtain day-to-day living skills and confidence through hospital discharge or illness, minimising prolonged reliance on formal care services (Clotworthy et al., 2021).</w:t>
            </w:r>
          </w:p>
          <w:p w14:paraId="148B0AC9" w14:textId="77777777" w:rsidR="00106707" w:rsidRPr="000E24EB" w:rsidRDefault="00000000" w:rsidP="006372A5">
            <w:pPr>
              <w:numPr>
                <w:ilvl w:val="0"/>
                <w:numId w:val="4"/>
              </w:numPr>
              <w:spacing w:after="0"/>
              <w:rPr>
                <w:color w:val="000000" w:themeColor="text1"/>
                <w:sz w:val="20"/>
                <w:szCs w:val="20"/>
              </w:rPr>
            </w:pPr>
            <w:r w:rsidRPr="000E24EB">
              <w:rPr>
                <w:color w:val="000000" w:themeColor="text1"/>
                <w:sz w:val="20"/>
                <w:szCs w:val="20"/>
              </w:rPr>
              <w:t>The empowerment theory, in elderly adult care, underpins self-management, shared decision-making, and active engagement in care planning (</w:t>
            </w:r>
            <w:proofErr w:type="spellStart"/>
            <w:r w:rsidRPr="000E24EB">
              <w:rPr>
                <w:color w:val="000000" w:themeColor="text1"/>
                <w:sz w:val="20"/>
                <w:szCs w:val="20"/>
              </w:rPr>
              <w:t>Kminiak</w:t>
            </w:r>
            <w:proofErr w:type="spellEnd"/>
            <w:r w:rsidRPr="000E24EB">
              <w:rPr>
                <w:color w:val="000000" w:themeColor="text1"/>
                <w:sz w:val="20"/>
                <w:szCs w:val="20"/>
              </w:rPr>
              <w:t xml:space="preserve"> </w:t>
            </w:r>
            <w:r w:rsidRPr="000E24EB">
              <w:rPr>
                <w:i/>
                <w:iCs/>
                <w:color w:val="000000" w:themeColor="text1"/>
                <w:sz w:val="20"/>
                <w:szCs w:val="20"/>
              </w:rPr>
              <w:t>et al</w:t>
            </w:r>
            <w:r w:rsidRPr="000E24EB">
              <w:rPr>
                <w:color w:val="000000" w:themeColor="text1"/>
                <w:sz w:val="20"/>
                <w:szCs w:val="20"/>
              </w:rPr>
              <w:t>., 2024).</w:t>
            </w:r>
          </w:p>
          <w:p w14:paraId="35298EDF" w14:textId="77777777" w:rsidR="00106707" w:rsidRPr="000E24EB" w:rsidRDefault="00000000" w:rsidP="006372A5">
            <w:pPr>
              <w:numPr>
                <w:ilvl w:val="0"/>
                <w:numId w:val="4"/>
              </w:numPr>
              <w:spacing w:after="0"/>
              <w:rPr>
                <w:color w:val="000000" w:themeColor="text1"/>
                <w:sz w:val="20"/>
                <w:szCs w:val="20"/>
              </w:rPr>
            </w:pPr>
            <w:r w:rsidRPr="000E24EB">
              <w:rPr>
                <w:color w:val="000000" w:themeColor="text1"/>
                <w:sz w:val="20"/>
                <w:szCs w:val="20"/>
              </w:rPr>
              <w:t xml:space="preserve">Despite the systems of integrated care enhancing collaboration between health and social care personnel, the consistent implementation is challenged by financial constraints, delayed assessments, and persistent workforce shortages </w:t>
            </w:r>
            <w:r w:rsidRPr="000E24EB">
              <w:rPr>
                <w:color w:val="000000" w:themeColor="text1"/>
                <w:sz w:val="20"/>
                <w:szCs w:val="20"/>
                <w:highlight w:val="white"/>
              </w:rPr>
              <w:t>(Thomson and Chatterjee, 2024)</w:t>
            </w:r>
            <w:r w:rsidRPr="000E24EB">
              <w:rPr>
                <w:color w:val="000000" w:themeColor="text1"/>
                <w:sz w:val="20"/>
                <w:szCs w:val="20"/>
              </w:rPr>
              <w:t>.</w:t>
            </w:r>
          </w:p>
          <w:p w14:paraId="165AD04A" w14:textId="77777777" w:rsidR="00106707" w:rsidRPr="000E24EB" w:rsidRDefault="00000000" w:rsidP="006372A5">
            <w:pPr>
              <w:numPr>
                <w:ilvl w:val="0"/>
                <w:numId w:val="4"/>
              </w:numPr>
              <w:spacing w:after="0"/>
              <w:rPr>
                <w:color w:val="000000" w:themeColor="text1"/>
                <w:sz w:val="20"/>
                <w:szCs w:val="20"/>
              </w:rPr>
            </w:pPr>
            <w:r w:rsidRPr="000E24EB">
              <w:rPr>
                <w:color w:val="000000" w:themeColor="text1"/>
                <w:sz w:val="20"/>
                <w:szCs w:val="20"/>
              </w:rPr>
              <w:t xml:space="preserve">Mobility services, remote monitoring, and telecare as assistive technologies support independent living and safety, still the unequal access and digital literacy barriers minimize their effectiveness (‌Zager Kocjan </w:t>
            </w:r>
            <w:r w:rsidRPr="000E24EB">
              <w:rPr>
                <w:i/>
                <w:iCs/>
                <w:color w:val="000000" w:themeColor="text1"/>
                <w:sz w:val="20"/>
                <w:szCs w:val="20"/>
              </w:rPr>
              <w:t>et al</w:t>
            </w:r>
            <w:r w:rsidRPr="000E24EB">
              <w:rPr>
                <w:color w:val="000000" w:themeColor="text1"/>
                <w:sz w:val="20"/>
                <w:szCs w:val="20"/>
              </w:rPr>
              <w:t>., 2023).</w:t>
            </w:r>
          </w:p>
          <w:p w14:paraId="78392C51" w14:textId="77777777" w:rsidR="006372A5" w:rsidRPr="000E24EB" w:rsidRDefault="006372A5" w:rsidP="006372A5">
            <w:pPr>
              <w:spacing w:after="0"/>
              <w:rPr>
                <w:color w:val="000000" w:themeColor="text1"/>
                <w:sz w:val="20"/>
                <w:szCs w:val="20"/>
              </w:rPr>
            </w:pPr>
          </w:p>
          <w:p w14:paraId="1D9BAC71" w14:textId="77777777" w:rsidR="006372A5" w:rsidRPr="000E24EB" w:rsidRDefault="006372A5" w:rsidP="006372A5">
            <w:pPr>
              <w:spacing w:after="0"/>
              <w:rPr>
                <w:color w:val="000000" w:themeColor="text1"/>
                <w:sz w:val="20"/>
                <w:szCs w:val="20"/>
              </w:rPr>
            </w:pPr>
          </w:p>
          <w:p w14:paraId="6120596C" w14:textId="77777777" w:rsidR="006372A5" w:rsidRDefault="006372A5" w:rsidP="006372A5">
            <w:pPr>
              <w:spacing w:after="0"/>
              <w:rPr>
                <w:color w:val="000000" w:themeColor="text1"/>
                <w:sz w:val="16"/>
                <w:szCs w:val="16"/>
              </w:rPr>
            </w:pPr>
          </w:p>
          <w:p w14:paraId="515CF5EF" w14:textId="77777777" w:rsidR="006372A5" w:rsidRPr="006372A5" w:rsidRDefault="006372A5" w:rsidP="006372A5">
            <w:pPr>
              <w:spacing w:after="0"/>
              <w:rPr>
                <w:color w:val="000000" w:themeColor="text1"/>
                <w:sz w:val="16"/>
                <w:szCs w:val="16"/>
              </w:rPr>
            </w:pPr>
          </w:p>
          <w:p w14:paraId="34F5611A" w14:textId="77777777" w:rsidR="00106707" w:rsidRPr="006372A5" w:rsidRDefault="00000000" w:rsidP="006372A5">
            <w:pPr>
              <w:spacing w:after="0"/>
              <w:rPr>
                <w:color w:val="000000" w:themeColor="text1"/>
                <w:sz w:val="16"/>
                <w:szCs w:val="16"/>
              </w:rPr>
            </w:pPr>
            <w:r w:rsidRPr="006372A5">
              <w:rPr>
                <w:noProof/>
                <w:color w:val="000000" w:themeColor="text1"/>
                <w:sz w:val="16"/>
                <w:szCs w:val="16"/>
              </w:rPr>
              <w:drawing>
                <wp:inline distT="114300" distB="114300" distL="114300" distR="114300" wp14:anchorId="4368ADDD" wp14:editId="11324D58">
                  <wp:extent cx="4168140" cy="1836420"/>
                  <wp:effectExtent l="0" t="0" r="381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168140" cy="1836420"/>
                          </a:xfrm>
                          <a:prstGeom prst="rect">
                            <a:avLst/>
                          </a:prstGeom>
                          <a:ln/>
                        </pic:spPr>
                      </pic:pic>
                    </a:graphicData>
                  </a:graphic>
                </wp:inline>
              </w:drawing>
            </w:r>
          </w:p>
        </w:tc>
        <w:tc>
          <w:tcPr>
            <w:tcW w:w="565" w:type="dxa"/>
            <w:vMerge/>
          </w:tcPr>
          <w:p w14:paraId="449B0174" w14:textId="77777777" w:rsidR="00106707" w:rsidRPr="006372A5" w:rsidRDefault="00106707">
            <w:pPr>
              <w:widowControl w:val="0"/>
              <w:pBdr>
                <w:top w:val="nil"/>
                <w:left w:val="nil"/>
                <w:bottom w:val="nil"/>
                <w:right w:val="nil"/>
                <w:between w:val="nil"/>
              </w:pBdr>
              <w:spacing w:after="0" w:line="276" w:lineRule="auto"/>
              <w:jc w:val="left"/>
              <w:rPr>
                <w:rFonts w:ascii="Arial" w:eastAsia="Arial" w:hAnsi="Arial" w:cs="Arial"/>
                <w:color w:val="000000" w:themeColor="text1"/>
                <w:sz w:val="16"/>
                <w:szCs w:val="16"/>
              </w:rPr>
            </w:pPr>
          </w:p>
        </w:tc>
        <w:tc>
          <w:tcPr>
            <w:tcW w:w="7203" w:type="dxa"/>
            <w:vMerge/>
            <w:shd w:val="clear" w:color="auto" w:fill="00B0F0"/>
          </w:tcPr>
          <w:p w14:paraId="0993A546" w14:textId="77777777" w:rsidR="00106707" w:rsidRPr="006372A5" w:rsidRDefault="00106707">
            <w:pPr>
              <w:widowControl w:val="0"/>
              <w:pBdr>
                <w:top w:val="nil"/>
                <w:left w:val="nil"/>
                <w:bottom w:val="nil"/>
                <w:right w:val="nil"/>
                <w:between w:val="nil"/>
              </w:pBdr>
              <w:spacing w:after="0" w:line="276" w:lineRule="auto"/>
              <w:jc w:val="left"/>
              <w:rPr>
                <w:rFonts w:ascii="Arial" w:eastAsia="Arial" w:hAnsi="Arial" w:cs="Arial"/>
                <w:color w:val="000000" w:themeColor="text1"/>
                <w:sz w:val="16"/>
                <w:szCs w:val="16"/>
              </w:rPr>
            </w:pPr>
          </w:p>
        </w:tc>
      </w:tr>
    </w:tbl>
    <w:p w14:paraId="0209CF05" w14:textId="77777777" w:rsidR="00106707" w:rsidRPr="006372A5" w:rsidRDefault="00106707">
      <w:pPr>
        <w:spacing w:after="0"/>
        <w:rPr>
          <w:color w:val="000000" w:themeColor="text1"/>
        </w:rPr>
        <w:sectPr w:rsidR="00106707" w:rsidRPr="006372A5">
          <w:headerReference w:type="even" r:id="rId12"/>
          <w:headerReference w:type="default" r:id="rId13"/>
          <w:footerReference w:type="even" r:id="rId14"/>
          <w:footerReference w:type="default" r:id="rId15"/>
          <w:headerReference w:type="first" r:id="rId16"/>
          <w:footerReference w:type="first" r:id="rId17"/>
          <w:pgSz w:w="23808" w:h="16840" w:orient="landscape"/>
          <w:pgMar w:top="720" w:right="720" w:bottom="578" w:left="720" w:header="431" w:footer="289" w:gutter="0"/>
          <w:pgNumType w:start="1"/>
          <w:cols w:space="720"/>
          <w:titlePg/>
        </w:sectPr>
      </w:pPr>
    </w:p>
    <w:p w14:paraId="4D57B1C2" w14:textId="77777777" w:rsidR="00106707" w:rsidRPr="006372A5" w:rsidRDefault="00106707">
      <w:pPr>
        <w:spacing w:after="0"/>
        <w:rPr>
          <w:color w:val="000000" w:themeColor="text1"/>
        </w:rPr>
      </w:pPr>
    </w:p>
    <w:p w14:paraId="384B3782" w14:textId="77777777" w:rsidR="00106707" w:rsidRPr="006372A5" w:rsidRDefault="00000000">
      <w:pPr>
        <w:spacing w:after="0"/>
        <w:rPr>
          <w:rFonts w:ascii="Arial" w:eastAsia="Arial" w:hAnsi="Arial" w:cs="Arial"/>
          <w:color w:val="000000" w:themeColor="text1"/>
          <w:sz w:val="28"/>
          <w:szCs w:val="28"/>
        </w:rPr>
      </w:pPr>
      <w:r w:rsidRPr="006372A5">
        <w:rPr>
          <w:rFonts w:ascii="Arial" w:eastAsia="Arial" w:hAnsi="Arial" w:cs="Arial"/>
          <w:b/>
          <w:bCs/>
          <w:color w:val="000000" w:themeColor="text1"/>
          <w:sz w:val="28"/>
          <w:szCs w:val="28"/>
        </w:rPr>
        <w:t>References</w:t>
      </w:r>
    </w:p>
    <w:p w14:paraId="389D3A30" w14:textId="77777777" w:rsidR="00106707" w:rsidRPr="006372A5" w:rsidRDefault="00000000">
      <w:pPr>
        <w:rPr>
          <w:color w:val="000000" w:themeColor="text1"/>
        </w:rPr>
      </w:pPr>
      <w:r w:rsidRPr="006372A5">
        <w:rPr>
          <w:color w:val="000000" w:themeColor="text1"/>
          <w:highlight w:val="white"/>
        </w:rPr>
        <w:t xml:space="preserve">Alhussein, M., Patel, B. and Liu, X., (2023). Closing the gap: technology access and telehealth use among older adults in the US Medicare beneficiaries. </w:t>
      </w:r>
      <w:r w:rsidRPr="006372A5">
        <w:rPr>
          <w:i/>
          <w:iCs/>
          <w:color w:val="000000" w:themeColor="text1"/>
          <w:highlight w:val="white"/>
        </w:rPr>
        <w:t>Telematics and Informatics Reports</w:t>
      </w:r>
      <w:r w:rsidRPr="006372A5">
        <w:rPr>
          <w:color w:val="000000" w:themeColor="text1"/>
          <w:highlight w:val="white"/>
        </w:rPr>
        <w:t xml:space="preserve">, </w:t>
      </w:r>
      <w:r w:rsidRPr="006372A5">
        <w:rPr>
          <w:i/>
          <w:iCs/>
          <w:color w:val="000000" w:themeColor="text1"/>
          <w:highlight w:val="white"/>
        </w:rPr>
        <w:t>12</w:t>
      </w:r>
      <w:r w:rsidRPr="006372A5">
        <w:rPr>
          <w:color w:val="000000" w:themeColor="text1"/>
          <w:highlight w:val="white"/>
        </w:rPr>
        <w:t>, p.100103.</w:t>
      </w:r>
      <w:r w:rsidRPr="006372A5">
        <w:rPr>
          <w:color w:val="000000" w:themeColor="text1"/>
        </w:rPr>
        <w:t xml:space="preserve"> </w:t>
      </w:r>
    </w:p>
    <w:p w14:paraId="02CE139D" w14:textId="77777777" w:rsidR="00106707" w:rsidRPr="006372A5" w:rsidRDefault="00000000">
      <w:pPr>
        <w:rPr>
          <w:color w:val="000000" w:themeColor="text1"/>
        </w:rPr>
      </w:pPr>
      <w:r w:rsidRPr="006372A5">
        <w:rPr>
          <w:color w:val="000000" w:themeColor="text1"/>
        </w:rPr>
        <w:t xml:space="preserve">Briggs, A.D.M., </w:t>
      </w:r>
      <w:proofErr w:type="spellStart"/>
      <w:r w:rsidRPr="006372A5">
        <w:rPr>
          <w:color w:val="000000" w:themeColor="text1"/>
        </w:rPr>
        <w:t>Göpfert</w:t>
      </w:r>
      <w:proofErr w:type="spellEnd"/>
      <w:r w:rsidRPr="006372A5">
        <w:rPr>
          <w:color w:val="000000" w:themeColor="text1"/>
        </w:rPr>
        <w:t xml:space="preserve">, A., </w:t>
      </w:r>
      <w:proofErr w:type="spellStart"/>
      <w:r w:rsidRPr="006372A5">
        <w:rPr>
          <w:color w:val="000000" w:themeColor="text1"/>
        </w:rPr>
        <w:t>Thorlby</w:t>
      </w:r>
      <w:proofErr w:type="spellEnd"/>
      <w:r w:rsidRPr="006372A5">
        <w:rPr>
          <w:color w:val="000000" w:themeColor="text1"/>
        </w:rPr>
        <w:t xml:space="preserve">, R., Allwood, D. and </w:t>
      </w:r>
      <w:proofErr w:type="spellStart"/>
      <w:r w:rsidRPr="006372A5">
        <w:rPr>
          <w:color w:val="000000" w:themeColor="text1"/>
        </w:rPr>
        <w:t>Alderwick</w:t>
      </w:r>
      <w:proofErr w:type="spellEnd"/>
      <w:r w:rsidRPr="006372A5">
        <w:rPr>
          <w:color w:val="000000" w:themeColor="text1"/>
        </w:rPr>
        <w:t xml:space="preserve">, H. (2020). Integrated health and care systems in England: can they help prevent disease? </w:t>
      </w:r>
      <w:r w:rsidRPr="006372A5">
        <w:rPr>
          <w:i/>
          <w:iCs/>
          <w:color w:val="000000" w:themeColor="text1"/>
        </w:rPr>
        <w:t>Integrated Healthcare Journal</w:t>
      </w:r>
      <w:r w:rsidRPr="006372A5">
        <w:rPr>
          <w:color w:val="000000" w:themeColor="text1"/>
        </w:rPr>
        <w:t>, [online] 2(1), p.e000013. doi:10.1136/ihj-2019-000013.</w:t>
      </w:r>
    </w:p>
    <w:p w14:paraId="36D32F26" w14:textId="77777777" w:rsidR="00106707" w:rsidRPr="006372A5" w:rsidRDefault="00000000">
      <w:pPr>
        <w:rPr>
          <w:color w:val="000000" w:themeColor="text1"/>
        </w:rPr>
      </w:pPr>
      <w:r w:rsidRPr="006372A5">
        <w:rPr>
          <w:color w:val="000000" w:themeColor="text1"/>
        </w:rPr>
        <w:t xml:space="preserve">Clotworthy, A., </w:t>
      </w:r>
      <w:proofErr w:type="spellStart"/>
      <w:r w:rsidRPr="006372A5">
        <w:rPr>
          <w:color w:val="000000" w:themeColor="text1"/>
        </w:rPr>
        <w:t>Kusumastuti</w:t>
      </w:r>
      <w:proofErr w:type="spellEnd"/>
      <w:r w:rsidRPr="006372A5">
        <w:rPr>
          <w:color w:val="000000" w:themeColor="text1"/>
        </w:rPr>
        <w:t xml:space="preserve">, S., and </w:t>
      </w:r>
      <w:proofErr w:type="spellStart"/>
      <w:r w:rsidRPr="006372A5">
        <w:rPr>
          <w:color w:val="000000" w:themeColor="text1"/>
        </w:rPr>
        <w:t>Westendorp</w:t>
      </w:r>
      <w:proofErr w:type="spellEnd"/>
      <w:r w:rsidRPr="006372A5">
        <w:rPr>
          <w:color w:val="000000" w:themeColor="text1"/>
        </w:rPr>
        <w:t xml:space="preserve">, R.G.J. (2021). Reablement through time and space: a scoping review of how the concept of ‘reablement’ for older people has been defined and operationalised. </w:t>
      </w:r>
      <w:r w:rsidRPr="006372A5">
        <w:rPr>
          <w:i/>
          <w:iCs/>
          <w:color w:val="000000" w:themeColor="text1"/>
        </w:rPr>
        <w:t>BMC Geriatrics</w:t>
      </w:r>
      <w:r w:rsidRPr="006372A5">
        <w:rPr>
          <w:color w:val="000000" w:themeColor="text1"/>
        </w:rPr>
        <w:t>, [online] 21, p.61. doi:10.1186/s12877-020-01958-1.</w:t>
      </w:r>
    </w:p>
    <w:p w14:paraId="5EC498BA" w14:textId="77777777" w:rsidR="00106707" w:rsidRPr="006372A5" w:rsidRDefault="00000000">
      <w:pPr>
        <w:spacing w:after="240" w:line="360" w:lineRule="auto"/>
        <w:rPr>
          <w:color w:val="000000" w:themeColor="text1"/>
        </w:rPr>
      </w:pPr>
      <w:r w:rsidRPr="006372A5">
        <w:rPr>
          <w:rFonts w:ascii="Times New Roman" w:eastAsia="Times New Roman" w:hAnsi="Times New Roman" w:cs="Times New Roman"/>
          <w:color w:val="000000" w:themeColor="text1"/>
          <w:sz w:val="24"/>
          <w:szCs w:val="24"/>
        </w:rPr>
        <w:t xml:space="preserve">Fleck, A. (2022). </w:t>
      </w:r>
      <w:r w:rsidRPr="006372A5">
        <w:rPr>
          <w:rFonts w:ascii="Times New Roman" w:eastAsia="Times New Roman" w:hAnsi="Times New Roman" w:cs="Times New Roman"/>
          <w:i/>
          <w:iCs/>
          <w:color w:val="000000" w:themeColor="text1"/>
          <w:sz w:val="24"/>
          <w:szCs w:val="24"/>
        </w:rPr>
        <w:t>The Aging Population of England and Wales</w:t>
      </w:r>
      <w:r w:rsidRPr="006372A5">
        <w:rPr>
          <w:rFonts w:ascii="Times New Roman" w:eastAsia="Times New Roman" w:hAnsi="Times New Roman" w:cs="Times New Roman"/>
          <w:color w:val="000000" w:themeColor="text1"/>
          <w:sz w:val="24"/>
          <w:szCs w:val="24"/>
        </w:rPr>
        <w:t>. [online] Statista Daily Data. Available at: https://www.statista.com/chart/27697/census-shows-population-of-england-and-wales/?srsltid=AfmBOorVfEOImMgTZLbV1ZjbBI_EEc0CG1mmRqPGYiab0eh2jLrbAu0c [Accessed 15 July 2026].</w:t>
      </w:r>
    </w:p>
    <w:p w14:paraId="3723F2D5" w14:textId="77777777" w:rsidR="00106707" w:rsidRPr="006372A5" w:rsidRDefault="00000000">
      <w:pPr>
        <w:rPr>
          <w:color w:val="000000" w:themeColor="text1"/>
        </w:rPr>
      </w:pPr>
      <w:r w:rsidRPr="006372A5">
        <w:rPr>
          <w:color w:val="000000" w:themeColor="text1"/>
          <w:highlight w:val="white"/>
        </w:rPr>
        <w:t xml:space="preserve">Hayes, C., Manning, M., Fitzgerald, C., Condon, B., Griffin, A., O’Connor, M., Glynn, L., Robinson, K. and Galvin, R., (2024). Effectiveness of Community‐Based Multidisciplinary Integrated Care for Older Adults with General Practitioner Involvement: A Systematic Review and Meta‐Analysis. </w:t>
      </w:r>
      <w:r w:rsidRPr="006372A5">
        <w:rPr>
          <w:i/>
          <w:iCs/>
          <w:color w:val="000000" w:themeColor="text1"/>
          <w:highlight w:val="white"/>
        </w:rPr>
        <w:t>Health &amp; Social Care in the Community</w:t>
      </w:r>
      <w:r w:rsidRPr="006372A5">
        <w:rPr>
          <w:color w:val="000000" w:themeColor="text1"/>
          <w:highlight w:val="white"/>
        </w:rPr>
        <w:t xml:space="preserve">, </w:t>
      </w:r>
      <w:r w:rsidRPr="006372A5">
        <w:rPr>
          <w:i/>
          <w:iCs/>
          <w:color w:val="000000" w:themeColor="text1"/>
          <w:highlight w:val="white"/>
        </w:rPr>
        <w:t>2024</w:t>
      </w:r>
      <w:r w:rsidRPr="006372A5">
        <w:rPr>
          <w:color w:val="000000" w:themeColor="text1"/>
          <w:highlight w:val="white"/>
        </w:rPr>
        <w:t>(1), p.6437930.</w:t>
      </w:r>
      <w:r w:rsidRPr="006372A5">
        <w:rPr>
          <w:color w:val="000000" w:themeColor="text1"/>
        </w:rPr>
        <w:t xml:space="preserve"> </w:t>
      </w:r>
    </w:p>
    <w:p w14:paraId="7927B85B" w14:textId="77777777" w:rsidR="00106707" w:rsidRPr="006372A5" w:rsidRDefault="00000000">
      <w:pPr>
        <w:rPr>
          <w:color w:val="000000" w:themeColor="text1"/>
        </w:rPr>
      </w:pPr>
      <w:r w:rsidRPr="006372A5">
        <w:rPr>
          <w:color w:val="000000" w:themeColor="text1"/>
          <w:highlight w:val="white"/>
        </w:rPr>
        <w:t xml:space="preserve">Jobe, I., (2022). Reflections of the collaborative care planning as a person‐centred practice. </w:t>
      </w:r>
      <w:r w:rsidRPr="006372A5">
        <w:rPr>
          <w:i/>
          <w:iCs/>
          <w:color w:val="000000" w:themeColor="text1"/>
          <w:highlight w:val="white"/>
        </w:rPr>
        <w:t>Nursing Philosophy</w:t>
      </w:r>
      <w:r w:rsidRPr="006372A5">
        <w:rPr>
          <w:color w:val="000000" w:themeColor="text1"/>
          <w:highlight w:val="white"/>
        </w:rPr>
        <w:t xml:space="preserve">, </w:t>
      </w:r>
      <w:r w:rsidRPr="006372A5">
        <w:rPr>
          <w:i/>
          <w:iCs/>
          <w:color w:val="000000" w:themeColor="text1"/>
          <w:highlight w:val="white"/>
        </w:rPr>
        <w:t>23</w:t>
      </w:r>
      <w:r w:rsidRPr="006372A5">
        <w:rPr>
          <w:color w:val="000000" w:themeColor="text1"/>
          <w:highlight w:val="white"/>
        </w:rPr>
        <w:t>(3), p.e12389.</w:t>
      </w:r>
    </w:p>
    <w:p w14:paraId="03D8793E" w14:textId="77777777" w:rsidR="00106707" w:rsidRPr="006372A5" w:rsidRDefault="00000000">
      <w:pPr>
        <w:rPr>
          <w:color w:val="000000" w:themeColor="text1"/>
        </w:rPr>
      </w:pPr>
      <w:r w:rsidRPr="006372A5">
        <w:rPr>
          <w:color w:val="000000" w:themeColor="text1"/>
          <w:highlight w:val="white"/>
        </w:rPr>
        <w:t xml:space="preserve">Kminiak, Ľ., </w:t>
      </w:r>
      <w:proofErr w:type="spellStart"/>
      <w:r w:rsidRPr="006372A5">
        <w:rPr>
          <w:color w:val="000000" w:themeColor="text1"/>
          <w:highlight w:val="white"/>
        </w:rPr>
        <w:t>Senáriková</w:t>
      </w:r>
      <w:proofErr w:type="spellEnd"/>
      <w:r w:rsidRPr="006372A5">
        <w:rPr>
          <w:color w:val="000000" w:themeColor="text1"/>
          <w:highlight w:val="white"/>
        </w:rPr>
        <w:t xml:space="preserve">, Z., </w:t>
      </w:r>
      <w:proofErr w:type="spellStart"/>
      <w:r w:rsidRPr="006372A5">
        <w:rPr>
          <w:color w:val="000000" w:themeColor="text1"/>
          <w:highlight w:val="white"/>
        </w:rPr>
        <w:t>Candrák</w:t>
      </w:r>
      <w:proofErr w:type="spellEnd"/>
      <w:r w:rsidRPr="006372A5">
        <w:rPr>
          <w:color w:val="000000" w:themeColor="text1"/>
          <w:highlight w:val="white"/>
        </w:rPr>
        <w:t xml:space="preserve">, M. and </w:t>
      </w:r>
      <w:proofErr w:type="spellStart"/>
      <w:r w:rsidRPr="006372A5">
        <w:rPr>
          <w:color w:val="000000" w:themeColor="text1"/>
          <w:highlight w:val="white"/>
        </w:rPr>
        <w:t>Kozubík</w:t>
      </w:r>
      <w:proofErr w:type="spellEnd"/>
      <w:r w:rsidRPr="006372A5">
        <w:rPr>
          <w:color w:val="000000" w:themeColor="text1"/>
          <w:highlight w:val="white"/>
        </w:rPr>
        <w:t xml:space="preserve">, M., (2024). Empowerment–Theory, History and Current Situation in Social Work: Literature Review. </w:t>
      </w:r>
      <w:proofErr w:type="spellStart"/>
      <w:r w:rsidRPr="006372A5">
        <w:rPr>
          <w:i/>
          <w:iCs/>
          <w:color w:val="000000" w:themeColor="text1"/>
          <w:highlight w:val="white"/>
        </w:rPr>
        <w:t>Pomáhajúce</w:t>
      </w:r>
      <w:proofErr w:type="spellEnd"/>
      <w:r w:rsidRPr="006372A5">
        <w:rPr>
          <w:i/>
          <w:iCs/>
          <w:color w:val="000000" w:themeColor="text1"/>
          <w:highlight w:val="white"/>
        </w:rPr>
        <w:t xml:space="preserve"> </w:t>
      </w:r>
      <w:proofErr w:type="spellStart"/>
      <w:r w:rsidRPr="006372A5">
        <w:rPr>
          <w:i/>
          <w:iCs/>
          <w:color w:val="000000" w:themeColor="text1"/>
          <w:highlight w:val="white"/>
        </w:rPr>
        <w:t>profesie</w:t>
      </w:r>
      <w:proofErr w:type="spellEnd"/>
      <w:r w:rsidRPr="006372A5">
        <w:rPr>
          <w:color w:val="000000" w:themeColor="text1"/>
          <w:highlight w:val="white"/>
        </w:rPr>
        <w:t xml:space="preserve">, </w:t>
      </w:r>
      <w:r w:rsidRPr="006372A5">
        <w:rPr>
          <w:i/>
          <w:iCs/>
          <w:color w:val="000000" w:themeColor="text1"/>
          <w:highlight w:val="white"/>
        </w:rPr>
        <w:t>7</w:t>
      </w:r>
      <w:r w:rsidRPr="006372A5">
        <w:rPr>
          <w:color w:val="000000" w:themeColor="text1"/>
          <w:highlight w:val="white"/>
        </w:rPr>
        <w:t>(1), pp.5-15.</w:t>
      </w:r>
      <w:r w:rsidRPr="006372A5">
        <w:rPr>
          <w:color w:val="000000" w:themeColor="text1"/>
        </w:rPr>
        <w:t xml:space="preserve"> </w:t>
      </w:r>
    </w:p>
    <w:p w14:paraId="22AFEE81" w14:textId="77777777" w:rsidR="00106707" w:rsidRPr="006372A5" w:rsidRDefault="00000000">
      <w:pPr>
        <w:rPr>
          <w:color w:val="000000" w:themeColor="text1"/>
          <w:highlight w:val="white"/>
        </w:rPr>
      </w:pPr>
      <w:r w:rsidRPr="006372A5">
        <w:rPr>
          <w:color w:val="000000" w:themeColor="text1"/>
          <w:highlight w:val="white"/>
        </w:rPr>
        <w:t xml:space="preserve">Meredith, S.J., Cox, N.J., Ibrahim, K., Higson, J., McNiff, J., Mitchell, S., Rutherford, M., Wijayendran, A., </w:t>
      </w:r>
      <w:proofErr w:type="spellStart"/>
      <w:r w:rsidRPr="006372A5">
        <w:rPr>
          <w:color w:val="000000" w:themeColor="text1"/>
          <w:highlight w:val="white"/>
        </w:rPr>
        <w:t>Shenkin</w:t>
      </w:r>
      <w:proofErr w:type="spellEnd"/>
      <w:r w:rsidRPr="006372A5">
        <w:rPr>
          <w:color w:val="000000" w:themeColor="text1"/>
          <w:highlight w:val="white"/>
        </w:rPr>
        <w:t xml:space="preserve">, S.D., Kilgour, A.H. and Lim, S.E., (2023). Factors that influence older adults’ participation in physical activity: a systematic review of qualitative studies. </w:t>
      </w:r>
      <w:r w:rsidRPr="006372A5">
        <w:rPr>
          <w:i/>
          <w:iCs/>
          <w:color w:val="000000" w:themeColor="text1"/>
          <w:highlight w:val="white"/>
        </w:rPr>
        <w:t>Age and ageing</w:t>
      </w:r>
      <w:r w:rsidRPr="006372A5">
        <w:rPr>
          <w:color w:val="000000" w:themeColor="text1"/>
          <w:highlight w:val="white"/>
        </w:rPr>
        <w:t xml:space="preserve">, </w:t>
      </w:r>
      <w:r w:rsidRPr="006372A5">
        <w:rPr>
          <w:i/>
          <w:iCs/>
          <w:color w:val="000000" w:themeColor="text1"/>
          <w:highlight w:val="white"/>
        </w:rPr>
        <w:t>52</w:t>
      </w:r>
      <w:r w:rsidRPr="006372A5">
        <w:rPr>
          <w:color w:val="000000" w:themeColor="text1"/>
          <w:highlight w:val="white"/>
        </w:rPr>
        <w:t xml:space="preserve">(8), </w:t>
      </w:r>
      <w:proofErr w:type="gramStart"/>
      <w:r w:rsidRPr="006372A5">
        <w:rPr>
          <w:color w:val="000000" w:themeColor="text1"/>
          <w:highlight w:val="white"/>
        </w:rPr>
        <w:t>p.afad</w:t>
      </w:r>
      <w:proofErr w:type="gramEnd"/>
      <w:r w:rsidRPr="006372A5">
        <w:rPr>
          <w:color w:val="000000" w:themeColor="text1"/>
          <w:highlight w:val="white"/>
        </w:rPr>
        <w:t>145.</w:t>
      </w:r>
    </w:p>
    <w:p w14:paraId="525DA06E" w14:textId="77777777" w:rsidR="00106707" w:rsidRPr="006372A5" w:rsidRDefault="00000000">
      <w:pPr>
        <w:rPr>
          <w:color w:val="000000" w:themeColor="text1"/>
        </w:rPr>
      </w:pPr>
      <w:r w:rsidRPr="006372A5">
        <w:rPr>
          <w:color w:val="000000" w:themeColor="text1"/>
          <w:highlight w:val="white"/>
        </w:rPr>
        <w:t xml:space="preserve">Murphy, S., McCance, T. and White, P.J., (2025). How Do Older People Experience Person-Centred Integrated Care? An Integrative Review of the Evidence. </w:t>
      </w:r>
      <w:r w:rsidRPr="006372A5">
        <w:rPr>
          <w:i/>
          <w:iCs/>
          <w:color w:val="000000" w:themeColor="text1"/>
          <w:highlight w:val="white"/>
        </w:rPr>
        <w:t>International journal of integrated care</w:t>
      </w:r>
      <w:r w:rsidRPr="006372A5">
        <w:rPr>
          <w:color w:val="000000" w:themeColor="text1"/>
          <w:highlight w:val="white"/>
        </w:rPr>
        <w:t xml:space="preserve">, </w:t>
      </w:r>
      <w:r w:rsidRPr="006372A5">
        <w:rPr>
          <w:i/>
          <w:iCs/>
          <w:color w:val="000000" w:themeColor="text1"/>
          <w:highlight w:val="white"/>
        </w:rPr>
        <w:t>25</w:t>
      </w:r>
      <w:r w:rsidRPr="006372A5">
        <w:rPr>
          <w:color w:val="000000" w:themeColor="text1"/>
          <w:highlight w:val="white"/>
        </w:rPr>
        <w:t>(4), p.21.</w:t>
      </w:r>
    </w:p>
    <w:p w14:paraId="6CE0866E" w14:textId="77777777" w:rsidR="00106707" w:rsidRPr="006372A5" w:rsidRDefault="00000000">
      <w:pPr>
        <w:rPr>
          <w:color w:val="000000" w:themeColor="text1"/>
        </w:rPr>
      </w:pPr>
      <w:r w:rsidRPr="006372A5">
        <w:rPr>
          <w:color w:val="000000" w:themeColor="text1"/>
        </w:rPr>
        <w:t xml:space="preserve">NHS England. (2026). </w:t>
      </w:r>
      <w:r w:rsidRPr="006372A5">
        <w:rPr>
          <w:i/>
          <w:iCs/>
          <w:color w:val="000000" w:themeColor="text1"/>
        </w:rPr>
        <w:t>Health Survey for England, 2024</w:t>
      </w:r>
      <w:r w:rsidRPr="006372A5">
        <w:rPr>
          <w:color w:val="000000" w:themeColor="text1"/>
        </w:rPr>
        <w:t>. [online] Available at: https://digital.nhs.uk/data-and-information/publications/statistical/health-survey-for-england/2024/loneliness-and-wellbeing [Accessed 8 July 2026].</w:t>
      </w:r>
    </w:p>
    <w:p w14:paraId="7C922E6E" w14:textId="77777777" w:rsidR="00106707" w:rsidRPr="006372A5" w:rsidRDefault="00000000">
      <w:pPr>
        <w:rPr>
          <w:color w:val="000000" w:themeColor="text1"/>
        </w:rPr>
      </w:pPr>
      <w:r w:rsidRPr="006372A5">
        <w:rPr>
          <w:color w:val="000000" w:themeColor="text1"/>
        </w:rPr>
        <w:t xml:space="preserve">Numbeo.com. (2026). </w:t>
      </w:r>
      <w:r w:rsidRPr="006372A5">
        <w:rPr>
          <w:i/>
          <w:iCs/>
          <w:color w:val="000000" w:themeColor="text1"/>
        </w:rPr>
        <w:t>Cost of Living in United Kingdom. Prices in United Kingdom. Updated Jul 2026</w:t>
      </w:r>
      <w:r w:rsidRPr="006372A5">
        <w:rPr>
          <w:color w:val="000000" w:themeColor="text1"/>
        </w:rPr>
        <w:t>. [online] Available at: https://www.numbeo.com/cost-of-living/country_result.jsp?country=United+Kingdom [Accessed 8 July 2026].</w:t>
      </w:r>
    </w:p>
    <w:p w14:paraId="0F0C3790" w14:textId="77777777" w:rsidR="00106707" w:rsidRPr="006372A5" w:rsidRDefault="00000000">
      <w:pPr>
        <w:jc w:val="left"/>
        <w:rPr>
          <w:color w:val="000000" w:themeColor="text1"/>
        </w:rPr>
      </w:pPr>
      <w:r w:rsidRPr="006372A5">
        <w:rPr>
          <w:color w:val="000000" w:themeColor="text1"/>
        </w:rPr>
        <w:t>Siegler, E.L., Lama, S. D, Knight, M.G., Laureano, E. and Carrington Reid, M. (2026). Community-Based Supports and Services for Older Adults: A Primer for Clinicians. </w:t>
      </w:r>
      <w:r w:rsidRPr="006372A5">
        <w:rPr>
          <w:i/>
          <w:iCs/>
          <w:color w:val="000000" w:themeColor="text1"/>
        </w:rPr>
        <w:t>Journal of geriatrics</w:t>
      </w:r>
      <w:r w:rsidRPr="006372A5">
        <w:rPr>
          <w:color w:val="000000" w:themeColor="text1"/>
        </w:rPr>
        <w:t>, [online] 2015, p.678625. doi:10.1155/2015/678625.</w:t>
      </w:r>
    </w:p>
    <w:p w14:paraId="62BC3DB1" w14:textId="77777777" w:rsidR="00106707" w:rsidRPr="006372A5" w:rsidRDefault="00000000">
      <w:pPr>
        <w:jc w:val="left"/>
        <w:rPr>
          <w:color w:val="000000" w:themeColor="text1"/>
        </w:rPr>
      </w:pPr>
      <w:r w:rsidRPr="006372A5">
        <w:rPr>
          <w:color w:val="000000" w:themeColor="text1"/>
        </w:rPr>
        <w:t>Thomson, L.J.M. and Chatterjee, H.J. (2024). Barriers and enablers of integrated care in the UK: a rapid evidence review of review articles and grey literature 2018–2022. </w:t>
      </w:r>
      <w:r w:rsidRPr="006372A5">
        <w:rPr>
          <w:i/>
          <w:iCs/>
          <w:color w:val="000000" w:themeColor="text1"/>
        </w:rPr>
        <w:t>Frontiers in Public Health</w:t>
      </w:r>
      <w:r w:rsidRPr="006372A5">
        <w:rPr>
          <w:color w:val="000000" w:themeColor="text1"/>
        </w:rPr>
        <w:t>, [online] 11, p.1286479. doi:10.3389/fpubh.2023.1286479.</w:t>
      </w:r>
    </w:p>
    <w:p w14:paraId="6A9799D9" w14:textId="77777777" w:rsidR="00106707" w:rsidRPr="006372A5" w:rsidRDefault="00000000">
      <w:pPr>
        <w:rPr>
          <w:color w:val="000000" w:themeColor="text1"/>
        </w:rPr>
      </w:pPr>
      <w:r w:rsidRPr="006372A5">
        <w:rPr>
          <w:color w:val="000000" w:themeColor="text1"/>
        </w:rPr>
        <w:t xml:space="preserve">Who.int. (2020). </w:t>
      </w:r>
      <w:r w:rsidRPr="006372A5">
        <w:rPr>
          <w:i/>
          <w:iCs/>
          <w:color w:val="000000" w:themeColor="text1"/>
        </w:rPr>
        <w:t>item</w:t>
      </w:r>
      <w:r w:rsidRPr="006372A5">
        <w:rPr>
          <w:color w:val="000000" w:themeColor="text1"/>
        </w:rPr>
        <w:t>. [online] Available at: https://www.who.int/news-room/questions-and-answers/item/healthy-ageing-and-functional-ability [Accessed 8 July 2026].</w:t>
      </w:r>
    </w:p>
    <w:p w14:paraId="54F5FEE9" w14:textId="77777777" w:rsidR="00106707" w:rsidRPr="006372A5" w:rsidRDefault="00000000">
      <w:pPr>
        <w:rPr>
          <w:color w:val="000000" w:themeColor="text1"/>
        </w:rPr>
      </w:pPr>
      <w:r w:rsidRPr="006372A5">
        <w:rPr>
          <w:color w:val="000000" w:themeColor="text1"/>
        </w:rPr>
        <w:t>‌</w:t>
      </w:r>
      <w:r w:rsidRPr="006372A5">
        <w:rPr>
          <w:color w:val="000000" w:themeColor="text1"/>
          <w:highlight w:val="white"/>
        </w:rPr>
        <w:t xml:space="preserve">Zager Kocjan, G., Špes, T., Svetina, M., Plohl, N., </w:t>
      </w:r>
      <w:proofErr w:type="spellStart"/>
      <w:r w:rsidRPr="006372A5">
        <w:rPr>
          <w:color w:val="000000" w:themeColor="text1"/>
          <w:highlight w:val="white"/>
        </w:rPr>
        <w:t>Smrke</w:t>
      </w:r>
      <w:proofErr w:type="spellEnd"/>
      <w:r w:rsidRPr="006372A5">
        <w:rPr>
          <w:color w:val="000000" w:themeColor="text1"/>
          <w:highlight w:val="white"/>
        </w:rPr>
        <w:t xml:space="preserve">, U., Mlakar, I. and Musil, B., (2023). Assistive digital technology to promote quality of life and independent living for older adults through improved self-regulation: a scoping review. </w:t>
      </w:r>
      <w:r w:rsidRPr="006372A5">
        <w:rPr>
          <w:i/>
          <w:iCs/>
          <w:color w:val="000000" w:themeColor="text1"/>
          <w:highlight w:val="white"/>
        </w:rPr>
        <w:t>Behaviour &amp; information technology</w:t>
      </w:r>
      <w:r w:rsidRPr="006372A5">
        <w:rPr>
          <w:color w:val="000000" w:themeColor="text1"/>
          <w:highlight w:val="white"/>
        </w:rPr>
        <w:t xml:space="preserve">, </w:t>
      </w:r>
      <w:r w:rsidRPr="006372A5">
        <w:rPr>
          <w:i/>
          <w:iCs/>
          <w:color w:val="000000" w:themeColor="text1"/>
          <w:highlight w:val="white"/>
        </w:rPr>
        <w:t>42</w:t>
      </w:r>
      <w:r w:rsidRPr="006372A5">
        <w:rPr>
          <w:color w:val="000000" w:themeColor="text1"/>
          <w:highlight w:val="white"/>
        </w:rPr>
        <w:t>(16), pp.2832-2851.</w:t>
      </w:r>
      <w:r w:rsidRPr="006372A5">
        <w:rPr>
          <w:color w:val="000000" w:themeColor="text1"/>
        </w:rPr>
        <w:t xml:space="preserve"> </w:t>
      </w:r>
    </w:p>
    <w:p w14:paraId="7C410BC1" w14:textId="77777777" w:rsidR="00106707" w:rsidRPr="006372A5" w:rsidRDefault="00000000">
      <w:pPr>
        <w:rPr>
          <w:color w:val="000000" w:themeColor="text1"/>
        </w:rPr>
      </w:pPr>
      <w:r w:rsidRPr="006372A5">
        <w:rPr>
          <w:color w:val="000000" w:themeColor="text1"/>
          <w:highlight w:val="white"/>
        </w:rPr>
        <w:t xml:space="preserve">Zaks, Z., (2024). Changing the medical model of disability to the normalization model of disability: Clarifying the past to create a new future direction. </w:t>
      </w:r>
      <w:r w:rsidRPr="006372A5">
        <w:rPr>
          <w:i/>
          <w:iCs/>
          <w:color w:val="000000" w:themeColor="text1"/>
          <w:highlight w:val="white"/>
        </w:rPr>
        <w:t>Disability &amp; Society</w:t>
      </w:r>
      <w:r w:rsidRPr="006372A5">
        <w:rPr>
          <w:color w:val="000000" w:themeColor="text1"/>
          <w:highlight w:val="white"/>
        </w:rPr>
        <w:t xml:space="preserve">, </w:t>
      </w:r>
      <w:r w:rsidRPr="006372A5">
        <w:rPr>
          <w:i/>
          <w:iCs/>
          <w:color w:val="000000" w:themeColor="text1"/>
          <w:highlight w:val="white"/>
        </w:rPr>
        <w:t>39</w:t>
      </w:r>
      <w:r w:rsidRPr="006372A5">
        <w:rPr>
          <w:color w:val="000000" w:themeColor="text1"/>
          <w:highlight w:val="white"/>
        </w:rPr>
        <w:t>(12), pp.3233-3260.</w:t>
      </w:r>
    </w:p>
    <w:p w14:paraId="666CE685" w14:textId="77777777" w:rsidR="00106707" w:rsidRPr="006372A5" w:rsidRDefault="00106707">
      <w:pPr>
        <w:spacing w:after="0"/>
        <w:rPr>
          <w:rFonts w:ascii="Arial" w:eastAsia="Arial" w:hAnsi="Arial" w:cs="Arial"/>
          <w:color w:val="000000" w:themeColor="text1"/>
          <w:sz w:val="24"/>
          <w:szCs w:val="24"/>
        </w:rPr>
      </w:pPr>
    </w:p>
    <w:sectPr w:rsidR="00106707" w:rsidRPr="006372A5">
      <w:pgSz w:w="23808" w:h="16840" w:orient="landscape"/>
      <w:pgMar w:top="720" w:right="720" w:bottom="576" w:left="720" w:header="432" w:footer="28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A3F88" w14:textId="77777777" w:rsidR="00BF6752" w:rsidRDefault="00BF6752">
      <w:pPr>
        <w:spacing w:after="0"/>
      </w:pPr>
      <w:r>
        <w:separator/>
      </w:r>
    </w:p>
  </w:endnote>
  <w:endnote w:type="continuationSeparator" w:id="0">
    <w:p w14:paraId="3B48DDD7" w14:textId="77777777" w:rsidR="00BF6752" w:rsidRDefault="00BF67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embedRegular r:id="rId1" w:fontKey="{0C5EF2A7-E757-47FB-813F-1ABE20491D18}"/>
    <w:embedBold r:id="rId2" w:fontKey="{32EE8B92-B7AE-4159-BE2E-A38111C28440}"/>
    <w:embedItalic r:id="rId3" w:fontKey="{D271DF0A-9AF1-4A73-A046-3391FBFDFBA5}"/>
  </w:font>
  <w:font w:name="Georgia">
    <w:panose1 w:val="02040502050405020303"/>
    <w:charset w:val="00"/>
    <w:family w:val="roman"/>
    <w:pitch w:val="variable"/>
    <w:sig w:usb0="00000287" w:usb1="00000000" w:usb2="00000000" w:usb3="00000000" w:csb0="0000009F" w:csb1="00000000"/>
    <w:embedItalic r:id="rId4" w:fontKey="{1185C914-B09D-4D1F-A75E-407B4D7BB459}"/>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377C642A-5A4D-4DDB-922F-986A9CAFD20D}"/>
  </w:font>
  <w:font w:name="Cambria">
    <w:panose1 w:val="02040503050406030204"/>
    <w:charset w:val="00"/>
    <w:family w:val="roman"/>
    <w:pitch w:val="variable"/>
    <w:sig w:usb0="E00006FF" w:usb1="420024FF" w:usb2="02000000" w:usb3="00000000" w:csb0="0000019F" w:csb1="00000000"/>
    <w:embedRegular r:id="rId6" w:fontKey="{D900B98E-1EA9-435A-9238-DE3651F8CE7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4169A" w14:textId="77777777" w:rsidR="00106707" w:rsidRDefault="00106707">
    <w:pPr>
      <w:pBdr>
        <w:top w:val="nil"/>
        <w:left w:val="nil"/>
        <w:bottom w:val="nil"/>
        <w:right w:val="nil"/>
        <w:between w:val="nil"/>
      </w:pBdr>
      <w:spacing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B15B2" w14:textId="77777777" w:rsidR="00106707" w:rsidRDefault="00000000">
    <w:pPr>
      <w:pBdr>
        <w:top w:val="nil"/>
        <w:left w:val="nil"/>
        <w:bottom w:val="nil"/>
        <w:right w:val="nil"/>
        <w:between w:val="nil"/>
      </w:pBdr>
      <w:spacing w:after="0"/>
      <w:jc w:val="right"/>
      <w:rPr>
        <w:color w:val="000000"/>
      </w:rPr>
    </w:pPr>
    <w:r>
      <w:rPr>
        <w:color w:val="000000"/>
      </w:rPr>
      <w:fldChar w:fldCharType="begin"/>
    </w:r>
    <w:r>
      <w:rPr>
        <w:color w:val="000000"/>
      </w:rPr>
      <w:instrText>PAGE</w:instrText>
    </w:r>
    <w:r>
      <w:rPr>
        <w:color w:val="000000"/>
      </w:rPr>
      <w:fldChar w:fldCharType="separate"/>
    </w:r>
    <w:r w:rsidR="0043320C">
      <w:rPr>
        <w:noProof/>
        <w:color w:val="000000"/>
      </w:rPr>
      <w:t>2</w:t>
    </w:r>
    <w:r>
      <w:rPr>
        <w:color w:val="000000"/>
      </w:rPr>
      <w:fldChar w:fldCharType="end"/>
    </w:r>
  </w:p>
  <w:p w14:paraId="332C36B7" w14:textId="77777777" w:rsidR="00106707" w:rsidRDefault="00106707">
    <w:pPr>
      <w:pBdr>
        <w:top w:val="nil"/>
        <w:left w:val="nil"/>
        <w:bottom w:val="nil"/>
        <w:right w:val="nil"/>
        <w:between w:val="nil"/>
      </w:pBdr>
      <w:spacing w:after="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5E044" w14:textId="77777777" w:rsidR="00106707" w:rsidRDefault="00106707">
    <w:pPr>
      <w:pBdr>
        <w:top w:val="nil"/>
        <w:left w:val="nil"/>
        <w:bottom w:val="nil"/>
        <w:right w:val="nil"/>
        <w:between w:val="nil"/>
      </w:pBdr>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28546" w14:textId="77777777" w:rsidR="00BF6752" w:rsidRDefault="00BF6752">
      <w:pPr>
        <w:spacing w:after="0"/>
      </w:pPr>
      <w:r>
        <w:separator/>
      </w:r>
    </w:p>
  </w:footnote>
  <w:footnote w:type="continuationSeparator" w:id="0">
    <w:p w14:paraId="2BA34DB5" w14:textId="77777777" w:rsidR="00BF6752" w:rsidRDefault="00BF675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DDA6D" w14:textId="77777777" w:rsidR="00106707" w:rsidRDefault="00106707">
    <w:pPr>
      <w:pBdr>
        <w:top w:val="nil"/>
        <w:left w:val="nil"/>
        <w:bottom w:val="nil"/>
        <w:right w:val="nil"/>
        <w:between w:val="nil"/>
      </w:pBdr>
      <w:spacing w:after="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44957" w14:textId="77777777" w:rsidR="00106707" w:rsidRDefault="00000000">
    <w:pPr>
      <w:pBdr>
        <w:top w:val="nil"/>
        <w:left w:val="nil"/>
        <w:bottom w:val="nil"/>
        <w:right w:val="nil"/>
        <w:between w:val="nil"/>
      </w:pBdr>
      <w:spacing w:after="0"/>
      <w:rPr>
        <w:color w:val="000000"/>
      </w:rPr>
    </w:pPr>
    <w:r>
      <w:rPr>
        <w:color w:val="000000"/>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9720D" w14:textId="77777777" w:rsidR="00106707" w:rsidRDefault="00106707">
    <w:pPr>
      <w:pBdr>
        <w:top w:val="nil"/>
        <w:left w:val="nil"/>
        <w:bottom w:val="nil"/>
        <w:right w:val="nil"/>
        <w:between w:val="nil"/>
      </w:pBdr>
      <w:spacing w:after="0"/>
      <w:rPr>
        <w:color w:val="000000"/>
      </w:rPr>
    </w:pPr>
  </w:p>
  <w:p w14:paraId="64191571" w14:textId="77777777" w:rsidR="00106707" w:rsidRDefault="00106707">
    <w:pPr>
      <w:pBdr>
        <w:top w:val="nil"/>
        <w:left w:val="nil"/>
        <w:bottom w:val="nil"/>
        <w:right w:val="nil"/>
        <w:between w:val="nil"/>
      </w:pBdr>
      <w:spacing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195D"/>
    <w:multiLevelType w:val="multilevel"/>
    <w:tmpl w:val="7C6EE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BD5817"/>
    <w:multiLevelType w:val="multilevel"/>
    <w:tmpl w:val="515CC4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E14724"/>
    <w:multiLevelType w:val="multilevel"/>
    <w:tmpl w:val="C47C4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2B32218"/>
    <w:multiLevelType w:val="multilevel"/>
    <w:tmpl w:val="4FC6D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E0D5EAB"/>
    <w:multiLevelType w:val="multilevel"/>
    <w:tmpl w:val="9620D0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F0F513F"/>
    <w:multiLevelType w:val="multilevel"/>
    <w:tmpl w:val="32D0C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29238254">
    <w:abstractNumId w:val="4"/>
  </w:num>
  <w:num w:numId="2" w16cid:durableId="1461458860">
    <w:abstractNumId w:val="1"/>
  </w:num>
  <w:num w:numId="3" w16cid:durableId="896666648">
    <w:abstractNumId w:val="0"/>
  </w:num>
  <w:num w:numId="4" w16cid:durableId="689532278">
    <w:abstractNumId w:val="5"/>
  </w:num>
  <w:num w:numId="5" w16cid:durableId="480384909">
    <w:abstractNumId w:val="3"/>
  </w:num>
  <w:num w:numId="6" w16cid:durableId="15330297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707"/>
    <w:rsid w:val="000E24EB"/>
    <w:rsid w:val="00106707"/>
    <w:rsid w:val="002D01B1"/>
    <w:rsid w:val="0043320C"/>
    <w:rsid w:val="00545E21"/>
    <w:rsid w:val="005642F1"/>
    <w:rsid w:val="00613266"/>
    <w:rsid w:val="006372A5"/>
    <w:rsid w:val="00A150FD"/>
    <w:rsid w:val="00BF6752"/>
    <w:rsid w:val="00F877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A980B"/>
  <w15:docId w15:val="{A2D78B9B-39D0-468E-9B9D-AFCFB9330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Schoolbook" w:eastAsia="Century Schoolbook" w:hAnsi="Century Schoolbook" w:cs="Century Schoolbook"/>
        <w:sz w:val="22"/>
        <w:szCs w:val="22"/>
        <w:lang w:val="en-GB" w:eastAsia="en-IN" w:bidi="ar-SA"/>
      </w:rPr>
    </w:rPrDefault>
    <w:pPrDefault>
      <w:pPr>
        <w:spacing w:after="2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240"/>
      <w:outlineLvl w:val="0"/>
    </w:pPr>
    <w:rPr>
      <w:b/>
      <w:bCs/>
      <w:color w:val="44546A"/>
      <w:sz w:val="28"/>
      <w:szCs w:val="28"/>
    </w:rPr>
  </w:style>
  <w:style w:type="paragraph" w:styleId="Heading2">
    <w:name w:val="heading 2"/>
    <w:basedOn w:val="Normal"/>
    <w:next w:val="Normal"/>
    <w:uiPriority w:val="9"/>
    <w:semiHidden/>
    <w:unhideWhenUsed/>
    <w:qFormat/>
    <w:pPr>
      <w:spacing w:after="240"/>
      <w:outlineLvl w:val="1"/>
    </w:pPr>
    <w:rPr>
      <w:b/>
      <w:bCs/>
      <w:color w:val="FFFFFF"/>
      <w:sz w:val="28"/>
      <w:szCs w:val="28"/>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pBdr>
        <w:top w:val="nil"/>
        <w:left w:val="nil"/>
        <w:bottom w:val="nil"/>
        <w:right w:val="nil"/>
        <w:between w:val="nil"/>
      </w:pBdr>
      <w:spacing w:after="240"/>
      <w:jc w:val="left"/>
      <w:outlineLvl w:val="3"/>
    </w:pPr>
    <w:rPr>
      <w:b/>
      <w:bCs/>
      <w:color w:val="ED7D31"/>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200"/>
      <w:jc w:val="center"/>
    </w:pPr>
    <w:rPr>
      <w:b/>
      <w:bCs/>
      <w:color w:val="FFFFFF"/>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Bjwt/u+n7mNwSHW7bkzecZmeHg==">CgMxLjAyDmguZHJ5b2F6bDZ0cDVzOAByITF0NmNZUXBDcG5jUEtBTDNLN1pUUHFvU19UTUVXd1BxeQ==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1311</Words>
  <Characters>7475</Characters>
  <Application>Microsoft Office Word</Application>
  <DocSecurity>0</DocSecurity>
  <Lines>62</Lines>
  <Paragraphs>17</Paragraphs>
  <ScaleCrop>false</ScaleCrop>
  <Company/>
  <LinksUpToDate>false</LinksUpToDate>
  <CharactersWithSpaces>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Abdulai Kamara (2328050)</cp:lastModifiedBy>
  <cp:revision>3</cp:revision>
  <dcterms:created xsi:type="dcterms:W3CDTF">2026-07-15T08:35:00Z</dcterms:created>
  <dcterms:modified xsi:type="dcterms:W3CDTF">2026-07-16T15:41:00Z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KeyPoints">
    <vt:lpwstr>MediaServiceKeyPoints</vt:lpwstr>
  </property>
</Properties>
</file>