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1005943421"/>
        <w:docPartObj>
          <w:docPartGallery w:val="Cover Pages"/>
          <w:docPartUnique/>
        </w:docPartObj>
      </w:sdtPr>
      <w:sdtEndPr>
        <w:rPr>
          <w:rFonts w:asciiTheme="minorHAnsi" w:eastAsiaTheme="minorEastAsia" w:hAnsiTheme="minorHAnsi"/>
          <w:color w:val="auto"/>
          <w:sz w:val="22"/>
          <w:lang w:val="en-US" w:eastAsia="zh-CN"/>
        </w:rPr>
      </w:sdtEndPr>
      <w:sdtContent>
        <w:p w14:paraId="15392B32" w14:textId="77777777" w:rsidR="009728F2" w:rsidRDefault="009728F2" w:rsidP="009728F2">
          <w:pPr>
            <w:pStyle w:val="NoSpacing"/>
            <w:spacing w:before="1540" w:after="240"/>
            <w:jc w:val="center"/>
            <w:rPr>
              <w:rFonts w:ascii="Arial" w:eastAsiaTheme="minorHAnsi" w:hAnsi="Arial"/>
              <w:bCs/>
              <w:color w:val="000000" w:themeColor="text1"/>
              <w:sz w:val="36"/>
              <w:szCs w:val="36"/>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4472C4" w:themeColor="accent1"/>
            </w:rPr>
            <w:drawing>
              <wp:inline distT="0" distB="0" distL="0" distR="0" wp14:anchorId="734FB72A" wp14:editId="43F64CB1">
                <wp:extent cx="5731510" cy="2209800"/>
                <wp:effectExtent l="76200" t="76200" r="135890" b="133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209800"/>
                        </a:xfrm>
                        <a:prstGeom prst="rect">
                          <a:avLst/>
                        </a:prstGeom>
                        <a:ln w="38100" cap="sq">
                          <a:solidFill>
                            <a:srgbClr val="00B0F0"/>
                          </a:solidFill>
                          <a:prstDash val="solid"/>
                          <a:miter lim="800000"/>
                        </a:ln>
                        <a:effectLst>
                          <a:outerShdw blurRad="50800" dist="38100" dir="2700000" algn="tl" rotWithShape="0">
                            <a:srgbClr val="000000">
                              <a:alpha val="43000"/>
                            </a:srgbClr>
                          </a:outerShdw>
                        </a:effectLst>
                      </pic:spPr>
                    </pic:pic>
                  </a:graphicData>
                </a:graphic>
              </wp:inline>
            </w:drawing>
          </w:r>
          <w:r w:rsidRPr="009728F2">
            <w:rPr>
              <w:rFonts w:ascii="Arial" w:eastAsiaTheme="minorHAnsi" w:hAnsi="Arial"/>
              <w:bCs/>
              <w:color w:val="000000" w:themeColor="text1"/>
              <w:sz w:val="36"/>
              <w:szCs w:val="36"/>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MANAGEMENT</w:t>
          </w:r>
        </w:p>
        <w:p w14:paraId="18029473" w14:textId="3A5E020E" w:rsidR="009728F2" w:rsidRDefault="009728F2" w:rsidP="009728F2">
          <w:pPr>
            <w:jc w:val="center"/>
          </w:pPr>
          <w:r>
            <w:t>ASSESSEMENT 2 – LCBB5005</w:t>
          </w:r>
        </w:p>
        <w:p w14:paraId="0EE5DDED" w14:textId="77777777" w:rsidR="009728F2" w:rsidRDefault="009728F2" w:rsidP="009728F2"/>
        <w:p w14:paraId="6BDC2B70" w14:textId="77777777" w:rsidR="009728F2" w:rsidRDefault="009728F2" w:rsidP="009728F2"/>
        <w:p w14:paraId="32ED19AB" w14:textId="77777777" w:rsidR="00F562C5" w:rsidRDefault="00F562C5" w:rsidP="009728F2"/>
        <w:p w14:paraId="5CAB25F1" w14:textId="77777777" w:rsidR="00F562C5" w:rsidRDefault="00F562C5" w:rsidP="009728F2"/>
        <w:p w14:paraId="7C8204FB" w14:textId="77777777" w:rsidR="00F562C5" w:rsidRDefault="00F562C5" w:rsidP="009728F2"/>
        <w:p w14:paraId="4381A13C" w14:textId="2CDB84CA" w:rsidR="009728F2" w:rsidRDefault="009728F2" w:rsidP="009728F2">
          <w:r>
            <w:t>Module tutor: Mr.</w:t>
          </w:r>
          <w:r w:rsidR="00F562C5">
            <w:t xml:space="preserve"> </w:t>
          </w:r>
          <w:proofErr w:type="spellStart"/>
          <w:r>
            <w:t>Sadeque</w:t>
          </w:r>
          <w:proofErr w:type="spellEnd"/>
          <w:r>
            <w:t xml:space="preserve"> </w:t>
          </w:r>
          <w:r w:rsidR="00F562C5">
            <w:t>Shaikh</w:t>
          </w:r>
        </w:p>
        <w:p w14:paraId="212BB138" w14:textId="056A4C44" w:rsidR="009728F2" w:rsidRDefault="009728F2" w:rsidP="009728F2">
          <w:r>
            <w:t>Student Name: Radoslav Ivanov</w:t>
          </w:r>
        </w:p>
        <w:p w14:paraId="59FC7709" w14:textId="3156EA30" w:rsidR="009728F2" w:rsidRDefault="009728F2" w:rsidP="009728F2">
          <w:r>
            <w:t>Student ID: 1909208</w:t>
          </w:r>
        </w:p>
        <w:p w14:paraId="6E630FE6" w14:textId="6965C9F0" w:rsidR="00F562C5" w:rsidRDefault="00F562C5" w:rsidP="009728F2"/>
        <w:p w14:paraId="0100DEDF" w14:textId="1972CCF5" w:rsidR="00F562C5" w:rsidRDefault="00F562C5" w:rsidP="009728F2"/>
        <w:p w14:paraId="3379B5FD" w14:textId="77777777" w:rsidR="009728F2" w:rsidRPr="009728F2" w:rsidRDefault="009728F2" w:rsidP="009728F2">
          <w:pPr>
            <w:pStyle w:val="NoSpacing"/>
            <w:spacing w:before="1540" w:after="240"/>
            <w:jc w:val="center"/>
            <w:rPr>
              <w:rFonts w:ascii="Arial" w:eastAsiaTheme="minorHAnsi" w:hAnsi="Arial"/>
              <w:bCs/>
              <w:color w:val="000000" w:themeColor="text1"/>
              <w:sz w:val="36"/>
              <w:szCs w:val="36"/>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DE400A" w14:textId="4B6E9508" w:rsidR="005E69AE" w:rsidRPr="009728F2" w:rsidRDefault="009728F2" w:rsidP="009728F2">
          <w:pPr>
            <w:pStyle w:val="NoSpacing"/>
            <w:tabs>
              <w:tab w:val="center" w:pos="4513"/>
            </w:tabs>
            <w:spacing w:before="1540" w:after="240"/>
            <w:rPr>
              <w:color w:val="4472C4" w:themeColor="accent1"/>
            </w:rPr>
          </w:pPr>
          <w:r>
            <w:rPr>
              <w:color w:val="4472C4" w:themeColor="accent1"/>
            </w:rPr>
            <w:lastRenderedPageBreak/>
            <w:tab/>
          </w:r>
        </w:p>
      </w:sdtContent>
    </w:sdt>
    <w:sdt>
      <w:sdtPr>
        <w:rPr>
          <w:rFonts w:ascii="Arial" w:eastAsiaTheme="minorHAnsi" w:hAnsi="Arial" w:cstheme="minorBidi"/>
          <w:b w:val="0"/>
          <w:bCs w:val="0"/>
          <w:color w:val="auto"/>
          <w:sz w:val="24"/>
          <w:szCs w:val="22"/>
          <w:lang w:val="en-GB"/>
        </w:rPr>
        <w:id w:val="1142772408"/>
        <w:docPartObj>
          <w:docPartGallery w:val="Table of Contents"/>
          <w:docPartUnique/>
        </w:docPartObj>
      </w:sdtPr>
      <w:sdtEndPr>
        <w:rPr>
          <w:noProof/>
        </w:rPr>
      </w:sdtEndPr>
      <w:sdtContent>
        <w:p w14:paraId="5EC6404D" w14:textId="75AA51BD" w:rsidR="008E0F09" w:rsidRPr="008E0F09" w:rsidRDefault="008E0F09" w:rsidP="008E0F09">
          <w:pPr>
            <w:pStyle w:val="TOCHeading"/>
            <w:jc w:val="center"/>
            <w:rPr>
              <w:sz w:val="32"/>
              <w:szCs w:val="32"/>
            </w:rPr>
          </w:pPr>
          <w:r w:rsidRPr="008E0F09">
            <w:rPr>
              <w:sz w:val="32"/>
              <w:szCs w:val="32"/>
            </w:rPr>
            <w:t>Table of Contents</w:t>
          </w:r>
        </w:p>
        <w:p w14:paraId="100F18B2" w14:textId="2EB6E5B7" w:rsidR="008E0F09" w:rsidRDefault="008E0F09">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2971800" w:history="1">
            <w:r w:rsidRPr="00B65ACC">
              <w:rPr>
                <w:rStyle w:val="Hyperlink"/>
                <w:noProof/>
              </w:rPr>
              <w:t>Introduction</w:t>
            </w:r>
            <w:r>
              <w:rPr>
                <w:noProof/>
                <w:webHidden/>
              </w:rPr>
              <w:tab/>
            </w:r>
            <w:r>
              <w:rPr>
                <w:noProof/>
                <w:webHidden/>
              </w:rPr>
              <w:fldChar w:fldCharType="begin"/>
            </w:r>
            <w:r>
              <w:rPr>
                <w:noProof/>
                <w:webHidden/>
              </w:rPr>
              <w:instrText xml:space="preserve"> PAGEREF _Toc102971800 \h </w:instrText>
            </w:r>
            <w:r>
              <w:rPr>
                <w:noProof/>
                <w:webHidden/>
              </w:rPr>
            </w:r>
            <w:r>
              <w:rPr>
                <w:noProof/>
                <w:webHidden/>
              </w:rPr>
              <w:fldChar w:fldCharType="separate"/>
            </w:r>
            <w:r>
              <w:rPr>
                <w:noProof/>
                <w:webHidden/>
              </w:rPr>
              <w:t>2</w:t>
            </w:r>
            <w:r>
              <w:rPr>
                <w:noProof/>
                <w:webHidden/>
              </w:rPr>
              <w:fldChar w:fldCharType="end"/>
            </w:r>
          </w:hyperlink>
        </w:p>
        <w:p w14:paraId="2E330C14" w14:textId="0A073458" w:rsidR="008E0F09" w:rsidRDefault="00BD135E">
          <w:pPr>
            <w:pStyle w:val="TOC1"/>
            <w:tabs>
              <w:tab w:val="right" w:leader="dot" w:pos="9016"/>
            </w:tabs>
            <w:rPr>
              <w:noProof/>
            </w:rPr>
          </w:pPr>
          <w:hyperlink w:anchor="_Toc102971801" w:history="1">
            <w:r w:rsidR="008E0F09" w:rsidRPr="00B65ACC">
              <w:rPr>
                <w:rStyle w:val="Hyperlink"/>
                <w:noProof/>
              </w:rPr>
              <w:t>Lessons Learned</w:t>
            </w:r>
            <w:r w:rsidR="008E0F09">
              <w:rPr>
                <w:noProof/>
                <w:webHidden/>
              </w:rPr>
              <w:tab/>
            </w:r>
            <w:r w:rsidR="008E0F09">
              <w:rPr>
                <w:noProof/>
                <w:webHidden/>
              </w:rPr>
              <w:fldChar w:fldCharType="begin"/>
            </w:r>
            <w:r w:rsidR="008E0F09">
              <w:rPr>
                <w:noProof/>
                <w:webHidden/>
              </w:rPr>
              <w:instrText xml:space="preserve"> PAGEREF _Toc102971801 \h </w:instrText>
            </w:r>
            <w:r w:rsidR="008E0F09">
              <w:rPr>
                <w:noProof/>
                <w:webHidden/>
              </w:rPr>
            </w:r>
            <w:r w:rsidR="008E0F09">
              <w:rPr>
                <w:noProof/>
                <w:webHidden/>
              </w:rPr>
              <w:fldChar w:fldCharType="separate"/>
            </w:r>
            <w:r w:rsidR="008E0F09">
              <w:rPr>
                <w:noProof/>
                <w:webHidden/>
              </w:rPr>
              <w:t>2</w:t>
            </w:r>
            <w:r w:rsidR="008E0F09">
              <w:rPr>
                <w:noProof/>
                <w:webHidden/>
              </w:rPr>
              <w:fldChar w:fldCharType="end"/>
            </w:r>
          </w:hyperlink>
        </w:p>
        <w:p w14:paraId="77632392" w14:textId="3B4CB6FE" w:rsidR="008E0F09" w:rsidRDefault="00BD135E">
          <w:pPr>
            <w:pStyle w:val="TOC1"/>
            <w:tabs>
              <w:tab w:val="right" w:leader="dot" w:pos="9016"/>
            </w:tabs>
            <w:rPr>
              <w:noProof/>
            </w:rPr>
          </w:pPr>
          <w:hyperlink w:anchor="_Toc102971802" w:history="1">
            <w:r w:rsidR="008E0F09" w:rsidRPr="00B65ACC">
              <w:rPr>
                <w:rStyle w:val="Hyperlink"/>
                <w:noProof/>
              </w:rPr>
              <w:t>Evaluation of Project Management Skills</w:t>
            </w:r>
            <w:r w:rsidR="008E0F09">
              <w:rPr>
                <w:noProof/>
                <w:webHidden/>
              </w:rPr>
              <w:tab/>
            </w:r>
            <w:r w:rsidR="008E0F09">
              <w:rPr>
                <w:noProof/>
                <w:webHidden/>
              </w:rPr>
              <w:fldChar w:fldCharType="begin"/>
            </w:r>
            <w:r w:rsidR="008E0F09">
              <w:rPr>
                <w:noProof/>
                <w:webHidden/>
              </w:rPr>
              <w:instrText xml:space="preserve"> PAGEREF _Toc102971802 \h </w:instrText>
            </w:r>
            <w:r w:rsidR="008E0F09">
              <w:rPr>
                <w:noProof/>
                <w:webHidden/>
              </w:rPr>
            </w:r>
            <w:r w:rsidR="008E0F09">
              <w:rPr>
                <w:noProof/>
                <w:webHidden/>
              </w:rPr>
              <w:fldChar w:fldCharType="separate"/>
            </w:r>
            <w:r w:rsidR="008E0F09">
              <w:rPr>
                <w:noProof/>
                <w:webHidden/>
              </w:rPr>
              <w:t>4</w:t>
            </w:r>
            <w:r w:rsidR="008E0F09">
              <w:rPr>
                <w:noProof/>
                <w:webHidden/>
              </w:rPr>
              <w:fldChar w:fldCharType="end"/>
            </w:r>
          </w:hyperlink>
        </w:p>
        <w:p w14:paraId="31587CBE" w14:textId="286D0254" w:rsidR="008E0F09" w:rsidRDefault="00BD135E">
          <w:pPr>
            <w:pStyle w:val="TOC1"/>
            <w:tabs>
              <w:tab w:val="right" w:leader="dot" w:pos="9016"/>
            </w:tabs>
            <w:rPr>
              <w:noProof/>
            </w:rPr>
          </w:pPr>
          <w:hyperlink w:anchor="_Toc102971803" w:history="1">
            <w:r w:rsidR="008E0F09" w:rsidRPr="00B65ACC">
              <w:rPr>
                <w:rStyle w:val="Hyperlink"/>
                <w:noProof/>
              </w:rPr>
              <w:t>Conclusion</w:t>
            </w:r>
            <w:r w:rsidR="008E0F09">
              <w:rPr>
                <w:noProof/>
                <w:webHidden/>
              </w:rPr>
              <w:tab/>
            </w:r>
            <w:r w:rsidR="008E0F09">
              <w:rPr>
                <w:noProof/>
                <w:webHidden/>
              </w:rPr>
              <w:fldChar w:fldCharType="begin"/>
            </w:r>
            <w:r w:rsidR="008E0F09">
              <w:rPr>
                <w:noProof/>
                <w:webHidden/>
              </w:rPr>
              <w:instrText xml:space="preserve"> PAGEREF _Toc102971803 \h </w:instrText>
            </w:r>
            <w:r w:rsidR="008E0F09">
              <w:rPr>
                <w:noProof/>
                <w:webHidden/>
              </w:rPr>
            </w:r>
            <w:r w:rsidR="008E0F09">
              <w:rPr>
                <w:noProof/>
                <w:webHidden/>
              </w:rPr>
              <w:fldChar w:fldCharType="separate"/>
            </w:r>
            <w:r w:rsidR="008E0F09">
              <w:rPr>
                <w:noProof/>
                <w:webHidden/>
              </w:rPr>
              <w:t>6</w:t>
            </w:r>
            <w:r w:rsidR="008E0F09">
              <w:rPr>
                <w:noProof/>
                <w:webHidden/>
              </w:rPr>
              <w:fldChar w:fldCharType="end"/>
            </w:r>
          </w:hyperlink>
        </w:p>
        <w:p w14:paraId="2AB663A9" w14:textId="4CAF19C8" w:rsidR="008E0F09" w:rsidRDefault="00BD135E">
          <w:pPr>
            <w:pStyle w:val="TOC1"/>
            <w:tabs>
              <w:tab w:val="right" w:leader="dot" w:pos="9016"/>
            </w:tabs>
            <w:rPr>
              <w:noProof/>
            </w:rPr>
          </w:pPr>
          <w:hyperlink w:anchor="_Toc102971804" w:history="1">
            <w:r w:rsidR="008E0F09" w:rsidRPr="00B65ACC">
              <w:rPr>
                <w:rStyle w:val="Hyperlink"/>
                <w:noProof/>
              </w:rPr>
              <w:t>Reference List</w:t>
            </w:r>
            <w:r w:rsidR="008E0F09">
              <w:rPr>
                <w:noProof/>
                <w:webHidden/>
              </w:rPr>
              <w:tab/>
            </w:r>
            <w:r w:rsidR="008E0F09">
              <w:rPr>
                <w:noProof/>
                <w:webHidden/>
              </w:rPr>
              <w:fldChar w:fldCharType="begin"/>
            </w:r>
            <w:r w:rsidR="008E0F09">
              <w:rPr>
                <w:noProof/>
                <w:webHidden/>
              </w:rPr>
              <w:instrText xml:space="preserve"> PAGEREF _Toc102971804 \h </w:instrText>
            </w:r>
            <w:r w:rsidR="008E0F09">
              <w:rPr>
                <w:noProof/>
                <w:webHidden/>
              </w:rPr>
            </w:r>
            <w:r w:rsidR="008E0F09">
              <w:rPr>
                <w:noProof/>
                <w:webHidden/>
              </w:rPr>
              <w:fldChar w:fldCharType="separate"/>
            </w:r>
            <w:r w:rsidR="008E0F09">
              <w:rPr>
                <w:noProof/>
                <w:webHidden/>
              </w:rPr>
              <w:t>7</w:t>
            </w:r>
            <w:r w:rsidR="008E0F09">
              <w:rPr>
                <w:noProof/>
                <w:webHidden/>
              </w:rPr>
              <w:fldChar w:fldCharType="end"/>
            </w:r>
          </w:hyperlink>
        </w:p>
        <w:p w14:paraId="769DAE60" w14:textId="747CE000" w:rsidR="008E0F09" w:rsidRDefault="008E0F09">
          <w:r>
            <w:rPr>
              <w:b/>
              <w:bCs/>
              <w:noProof/>
            </w:rPr>
            <w:fldChar w:fldCharType="end"/>
          </w:r>
        </w:p>
      </w:sdtContent>
    </w:sdt>
    <w:p w14:paraId="4F166192" w14:textId="77777777" w:rsidR="00E66D0A" w:rsidRDefault="00E66D0A"/>
    <w:p w14:paraId="4AD543EF" w14:textId="77777777" w:rsidR="00E66D0A" w:rsidRDefault="00E66D0A">
      <w:pPr>
        <w:spacing w:after="0" w:line="240" w:lineRule="auto"/>
      </w:pPr>
      <w:r>
        <w:br w:type="page"/>
      </w:r>
    </w:p>
    <w:p w14:paraId="11F3B88D" w14:textId="139C03C0" w:rsidR="00FE6EE1" w:rsidRDefault="00E66D0A" w:rsidP="009728F2">
      <w:pPr>
        <w:pStyle w:val="Heading1"/>
        <w:jc w:val="both"/>
      </w:pPr>
      <w:bookmarkStart w:id="0" w:name="_Toc102971800"/>
      <w:r>
        <w:lastRenderedPageBreak/>
        <w:t>Introduction</w:t>
      </w:r>
      <w:bookmarkEnd w:id="0"/>
    </w:p>
    <w:p w14:paraId="6348897B" w14:textId="5C780E3F" w:rsidR="00E66D0A" w:rsidRDefault="00710074" w:rsidP="009728F2">
      <w:pPr>
        <w:jc w:val="both"/>
      </w:pPr>
      <w:r w:rsidRPr="00710074">
        <w:t xml:space="preserve">This </w:t>
      </w:r>
      <w:r>
        <w:t>report</w:t>
      </w:r>
      <w:r w:rsidRPr="00710074">
        <w:t xml:space="preserve"> is </w:t>
      </w:r>
      <w:r>
        <w:t>focused on the reflective and critical evaluation of a project management, risks in the project</w:t>
      </w:r>
      <w:r w:rsidRPr="00710074">
        <w:t xml:space="preserve">, </w:t>
      </w:r>
      <w:r>
        <w:t xml:space="preserve">and </w:t>
      </w:r>
      <w:r w:rsidRPr="00710074">
        <w:t xml:space="preserve">examples learned and future improvements in managers' projects. This will include each of the associated </w:t>
      </w:r>
      <w:r>
        <w:t>risks</w:t>
      </w:r>
      <w:r w:rsidRPr="00710074">
        <w:t>, as well as the strategies by which the hazards may be truly due. It will also include models of the dangers through which Salisbury House can successfully deal with gambling. The assessment is entirely focused on the importance of recognizable evidence of the dangers associated with Salisbury House.</w:t>
      </w:r>
    </w:p>
    <w:p w14:paraId="11F7128F" w14:textId="00D87DC6" w:rsidR="001B0EE9" w:rsidRDefault="001B0EE9" w:rsidP="009728F2">
      <w:pPr>
        <w:pStyle w:val="Heading1"/>
        <w:jc w:val="both"/>
      </w:pPr>
      <w:bookmarkStart w:id="1" w:name="_Toc102971801"/>
      <w:r>
        <w:t>Lesson</w:t>
      </w:r>
      <w:r w:rsidR="0000279F">
        <w:t>s</w:t>
      </w:r>
      <w:r>
        <w:t xml:space="preserve"> Learned</w:t>
      </w:r>
      <w:bookmarkEnd w:id="1"/>
    </w:p>
    <w:p w14:paraId="4C2DC966" w14:textId="44D721CD" w:rsidR="009F34CB" w:rsidRDefault="009F34CB" w:rsidP="009728F2">
      <w:pPr>
        <w:jc w:val="both"/>
      </w:pPr>
      <w:r>
        <w:t xml:space="preserve">The idea of ​​risks at Salisbury House essentially hints at potential openings to misery. To make businesses effective, which is essential for the workers they hire, they break away from the undertaking of </w:t>
      </w:r>
      <w:r w:rsidR="00C308D4">
        <w:t>analysing</w:t>
      </w:r>
      <w:r>
        <w:t xml:space="preserve"> or recognizing the dangers associated with the task. After an investigation, hired workers must have the capacity to deal with special dangers in order to protect themselves from misfortunes and risky benefits. Frankly, gambling can be hinted at as a chance for something negative at Salisbury House. In general, the dangers involved in the vulnerabilities associated with the Salisbury House exercise focus are essentially focused on the adverse outcomes associated with the venture.</w:t>
      </w:r>
    </w:p>
    <w:p w14:paraId="2A8A3217" w14:textId="0B860CC8" w:rsidR="00C308D4" w:rsidRDefault="00C308D4" w:rsidP="009728F2">
      <w:pPr>
        <w:jc w:val="both"/>
      </w:pPr>
      <w:r>
        <w:t>It is often said that basic draft explanations fail because of correspondence accidents, not so much for special reasons. As the director of the company, I am at the centre of the wheel, the focal point for each of the exchanges that continue to cover the task</w:t>
      </w:r>
      <w:r w:rsidRPr="00C308D4">
        <w:t xml:space="preserve"> (</w:t>
      </w:r>
      <w:proofErr w:type="spellStart"/>
      <w:r w:rsidRPr="00C308D4">
        <w:t>Tinnirello</w:t>
      </w:r>
      <w:proofErr w:type="spellEnd"/>
      <w:r w:rsidRPr="00C308D4">
        <w:t>, 2016)</w:t>
      </w:r>
      <w:r>
        <w:t>. It is important to model unusual abilities for relationships with my group and partners.</w:t>
      </w:r>
    </w:p>
    <w:p w14:paraId="0E29A591" w14:textId="2D53F94B" w:rsidR="00C308D4" w:rsidRDefault="00C308D4" w:rsidP="009728F2">
      <w:pPr>
        <w:jc w:val="both"/>
      </w:pPr>
      <w:r>
        <w:t>Building group responsibility begins with clarity in explanation and a reason to be together in any case</w:t>
      </w:r>
      <w:r w:rsidRPr="00C308D4">
        <w:t xml:space="preserve"> (</w:t>
      </w:r>
      <w:proofErr w:type="spellStart"/>
      <w:r w:rsidRPr="00C308D4">
        <w:t>Tinnirello</w:t>
      </w:r>
      <w:proofErr w:type="spellEnd"/>
      <w:r w:rsidRPr="00C308D4">
        <w:t>, 2016)</w:t>
      </w:r>
      <w:r>
        <w:t xml:space="preserve">. When this is stated, it is usually prudent to make some working relationships while the group goes through the process of defining and arranging the operation. Basically, the director of understanding can interpret how group elements work. One of the crucial aspects of project management the way the controlling person does it. There are people who would prefer to take part in a less significant operation and appreciate the work with the group, instead of a project, where there are consistent battles, character problems and struggle. Correspondence is often mentioned as one of the most persistent reasons why an operation fails, i.e., it comes late, over the financial plan or potentially with little performance. </w:t>
      </w:r>
      <w:proofErr w:type="gramStart"/>
      <w:r>
        <w:t>In the event that</w:t>
      </w:r>
      <w:proofErr w:type="gramEnd"/>
      <w:r>
        <w:t xml:space="preserve"> correspondence is open, legitimate, immediate, accurate, and used both in an upward direction and in a plane throughout the association, productivity improves, rethinking stops, and secret plans cease to exist. The result is that the task groups experience less pressure and a much higher achievement rate.</w:t>
      </w:r>
    </w:p>
    <w:p w14:paraId="139432B0" w14:textId="77777777" w:rsidR="009F34CB" w:rsidRDefault="009F34CB" w:rsidP="009728F2">
      <w:pPr>
        <w:jc w:val="both"/>
      </w:pPr>
      <w:r>
        <w:t xml:space="preserve">The risk process is the main perspective in carrying out each of the </w:t>
      </w:r>
      <w:proofErr w:type="spellStart"/>
      <w:r>
        <w:t>endeavors</w:t>
      </w:r>
      <w:proofErr w:type="spellEnd"/>
      <w:r>
        <w:t xml:space="preserve">. The main idea used in interacting with the board is known as the PMBOK idea. The means at risk in the on-board cycle are identifiable evidence of hazards, subjective hazard </w:t>
      </w:r>
      <w:r>
        <w:lastRenderedPageBreak/>
        <w:t>research, quantitative randomness studies, hazard response organization, hazard inspection and control, and hazard management arrangements.</w:t>
      </w:r>
    </w:p>
    <w:p w14:paraId="37693B3E" w14:textId="77777777" w:rsidR="009F34CB" w:rsidRDefault="009F34CB" w:rsidP="009728F2">
      <w:pPr>
        <w:jc w:val="both"/>
      </w:pPr>
      <w:r>
        <w:t xml:space="preserve">The risk of ranking managers hints at the interaction in which task administrators worry about the documentation of gambling regions related to this </w:t>
      </w:r>
      <w:proofErr w:type="gramStart"/>
      <w:r>
        <w:t xml:space="preserve">particular </w:t>
      </w:r>
      <w:proofErr w:type="spellStart"/>
      <w:r>
        <w:t>endeavor</w:t>
      </w:r>
      <w:proofErr w:type="spellEnd"/>
      <w:proofErr w:type="gramEnd"/>
      <w:r>
        <w:t xml:space="preserve">. The documentation of the dangers confirms the settlement of the gambling, in fact, otherwise the settlement of the undertaking is thwarted </w:t>
      </w:r>
      <w:proofErr w:type="spellStart"/>
      <w:r>
        <w:t>unfavorably</w:t>
      </w:r>
      <w:proofErr w:type="spellEnd"/>
      <w:r>
        <w:t xml:space="preserve"> and is not ready to achieve the goal. For example, </w:t>
      </w:r>
      <w:proofErr w:type="gramStart"/>
      <w:r>
        <w:t>in the event that</w:t>
      </w:r>
      <w:proofErr w:type="gramEnd"/>
      <w:r>
        <w:t xml:space="preserve"> the Western Sydney Air terminal did not focus on building the completed </w:t>
      </w:r>
      <w:proofErr w:type="spellStart"/>
      <w:r>
        <w:t>kilometer</w:t>
      </w:r>
      <w:proofErr w:type="spellEnd"/>
      <w:r>
        <w:t>, then there will be problems in developing various things (</w:t>
      </w:r>
      <w:proofErr w:type="spellStart"/>
      <w:r>
        <w:t>Aladağ</w:t>
      </w:r>
      <w:proofErr w:type="spellEnd"/>
      <w:r>
        <w:t xml:space="preserve"> and </w:t>
      </w:r>
      <w:proofErr w:type="spellStart"/>
      <w:r>
        <w:t>Işık</w:t>
      </w:r>
      <w:proofErr w:type="spellEnd"/>
      <w:r>
        <w:t>, 2019).</w:t>
      </w:r>
    </w:p>
    <w:p w14:paraId="5B1280EE" w14:textId="37BD1BA5" w:rsidR="009F34CB" w:rsidRDefault="009F34CB" w:rsidP="009728F2">
      <w:pPr>
        <w:jc w:val="both"/>
      </w:pPr>
      <w:r>
        <w:t xml:space="preserve">Recognizable evidence of </w:t>
      </w:r>
      <w:r w:rsidR="00C308D4">
        <w:t>risks</w:t>
      </w:r>
      <w:r>
        <w:t xml:space="preserve"> </w:t>
      </w:r>
      <w:r w:rsidR="00C308D4">
        <w:t>is a reference</w:t>
      </w:r>
      <w:r>
        <w:t xml:space="preserve"> to the </w:t>
      </w:r>
      <w:r w:rsidR="00C308D4">
        <w:t>processes</w:t>
      </w:r>
      <w:r>
        <w:t xml:space="preserve"> in which the </w:t>
      </w:r>
      <w:r w:rsidR="00C308D4">
        <w:t>risks included and</w:t>
      </w:r>
      <w:r>
        <w:t xml:space="preserve"> associated with a particular </w:t>
      </w:r>
      <w:r w:rsidR="00C308D4">
        <w:t>project management plan</w:t>
      </w:r>
      <w:r>
        <w:t xml:space="preserve"> are distinguished. It includes the different types of effects on the progress of the task. The gambling ID is associated with both the current and future status. When differentiating gambling, it is also important that the relief of gambling is tailored to the costs and time involved. If the dangers are not distinguished, then there is a chance of disappointment.</w:t>
      </w:r>
    </w:p>
    <w:p w14:paraId="6FE90845" w14:textId="6E261467" w:rsidR="009F34CB" w:rsidRDefault="00C308D4" w:rsidP="009728F2">
      <w:pPr>
        <w:jc w:val="both"/>
      </w:pPr>
      <w:r>
        <w:t xml:space="preserve">Another aspect which is worth mentioning in terms of the management and completion of the project management plan is that there was </w:t>
      </w:r>
      <w:proofErr w:type="gramStart"/>
      <w:r>
        <w:t>particular research</w:t>
      </w:r>
      <w:proofErr w:type="gramEnd"/>
      <w:r>
        <w:t xml:space="preserve"> Inc. </w:t>
      </w:r>
      <w:r w:rsidR="009F34CB">
        <w:t xml:space="preserve">Quantitative research suggests research related to the financial plan, costs and time period. To make the </w:t>
      </w:r>
      <w:proofErr w:type="spellStart"/>
      <w:r w:rsidR="009F34CB">
        <w:t>endeavor</w:t>
      </w:r>
      <w:proofErr w:type="spellEnd"/>
      <w:r w:rsidR="009F34CB">
        <w:t xml:space="preserve"> fruitful, it is important to design the whole </w:t>
      </w:r>
      <w:proofErr w:type="spellStart"/>
      <w:r w:rsidR="009F34CB">
        <w:t>endeavor</w:t>
      </w:r>
      <w:proofErr w:type="spellEnd"/>
      <w:r w:rsidR="009F34CB">
        <w:t xml:space="preserve"> within the given cost plan and time period. The administrator of the enterprise must be reliable in performing the task so that it is completed within the given </w:t>
      </w:r>
      <w:proofErr w:type="gramStart"/>
      <w:r w:rsidR="009F34CB">
        <w:t>period of time</w:t>
      </w:r>
      <w:proofErr w:type="gramEnd"/>
      <w:r w:rsidR="009F34CB">
        <w:t xml:space="preserve"> and in choosing a cost plan. This can happen when the project manager successfully allocates assets as needed. For example, to complete the Sydney West Air Terminal according to the 2026 deadline, it is important to deal with the assets as prerequisites, so as not to create obstacles later in the shortage</w:t>
      </w:r>
      <w:proofErr w:type="gramStart"/>
      <w:r w:rsidR="009F34CB">
        <w:t>. .</w:t>
      </w:r>
      <w:proofErr w:type="gramEnd"/>
    </w:p>
    <w:p w14:paraId="59EF28CA" w14:textId="77777777" w:rsidR="009F34CB" w:rsidRDefault="009F34CB" w:rsidP="009728F2">
      <w:pPr>
        <w:jc w:val="both"/>
      </w:pPr>
      <w:r>
        <w:t xml:space="preserve">The ranking of Chance Asset hints at the interaction through which the task director investigates the future expansion and in the same way investigates the dangers associated with it. In this way, the director will </w:t>
      </w:r>
      <w:proofErr w:type="gramStart"/>
      <w:r>
        <w:t>actually want</w:t>
      </w:r>
      <w:proofErr w:type="gramEnd"/>
      <w:r>
        <w:t xml:space="preserve"> to successfully monitor the assets for future activities. It is assessed through the gambling framework and, if necessary, the agreement is implemented.</w:t>
      </w:r>
    </w:p>
    <w:p w14:paraId="0AECC5BE" w14:textId="675CF3B8" w:rsidR="001B0EE9" w:rsidRDefault="009F34CB" w:rsidP="009728F2">
      <w:pPr>
        <w:jc w:val="both"/>
      </w:pPr>
      <w:r>
        <w:t>Hazard control and verification hints at the interaction in which the undertaking of gambling oversight and as expected to do gambling is controlled and monitored in the same way (</w:t>
      </w:r>
      <w:proofErr w:type="spellStart"/>
      <w:r>
        <w:t>Safaei</w:t>
      </w:r>
      <w:proofErr w:type="spellEnd"/>
      <w:r>
        <w:t>, et al. 2018). In case it is not controlled and checked, then there are opportunities to counteract the antagonistic effects in the final interaction of the enterprise.</w:t>
      </w:r>
    </w:p>
    <w:p w14:paraId="73FECD01" w14:textId="73132864" w:rsidR="009F34CB" w:rsidRDefault="009F34CB" w:rsidP="009728F2">
      <w:pPr>
        <w:jc w:val="both"/>
      </w:pPr>
      <w:r w:rsidRPr="009F34CB">
        <w:t xml:space="preserve">An illustration of a risk oversight model in an executive business project is the MC Model. This model is generally used when the project manager </w:t>
      </w:r>
      <w:proofErr w:type="gramStart"/>
      <w:r w:rsidRPr="009F34CB">
        <w:t>has to</w:t>
      </w:r>
      <w:proofErr w:type="gramEnd"/>
      <w:r w:rsidRPr="009F34CB">
        <w:t xml:space="preserve"> deal with gambling related to market risk, innovation risk, etc. These bets have been observed by this model. As in </w:t>
      </w:r>
      <w:proofErr w:type="spellStart"/>
      <w:r w:rsidRPr="009F34CB">
        <w:t>Sprightly's</w:t>
      </w:r>
      <w:proofErr w:type="spellEnd"/>
      <w:r w:rsidRPr="009F34CB">
        <w:t xml:space="preserve"> model, the director cannot successfully gather information, figure, etc., although this model is convincing in the evaluation, the range </w:t>
      </w:r>
      <w:r w:rsidRPr="009F34CB">
        <w:lastRenderedPageBreak/>
        <w:t>of information and so on. which are the main characteristics through which market and innovation randomness can be far from and monitored by business task administrators (Ambos and Mikhailov, 2016).</w:t>
      </w:r>
    </w:p>
    <w:p w14:paraId="390B3DCD" w14:textId="137154AD" w:rsidR="001B0EE9" w:rsidRDefault="001B0EE9" w:rsidP="009728F2">
      <w:pPr>
        <w:pStyle w:val="Heading1"/>
        <w:jc w:val="both"/>
      </w:pPr>
      <w:bookmarkStart w:id="2" w:name="_Toc102971802"/>
      <w:r>
        <w:t>Evaluation of Project Management Skills</w:t>
      </w:r>
      <w:bookmarkEnd w:id="2"/>
    </w:p>
    <w:p w14:paraId="5F8B94F1" w14:textId="77777777" w:rsidR="009F34CB" w:rsidRDefault="009F34CB" w:rsidP="009728F2">
      <w:pPr>
        <w:jc w:val="both"/>
      </w:pPr>
      <w:r>
        <w:t xml:space="preserve">The project mix of managers is a cycle through which the various cycles of a task make it easier to cooperate to achieve the goals of the </w:t>
      </w:r>
      <w:proofErr w:type="spellStart"/>
      <w:r>
        <w:t>endeavor</w:t>
      </w:r>
      <w:proofErr w:type="spellEnd"/>
      <w:r>
        <w:t xml:space="preserve">. After serious training, I realized that an </w:t>
      </w:r>
      <w:proofErr w:type="spellStart"/>
      <w:r>
        <w:t>endeavor</w:t>
      </w:r>
      <w:proofErr w:type="spellEnd"/>
      <w:r>
        <w:t xml:space="preserve"> involves many cycles that need to be distinguished, characterized, combined and facilitated. While working on the Salisbury House (SH) project, the report acknowledged various cycles of commencing boarding. Obviously, there are different interdependencies of different cycles and exercises. In order to make progress in the </w:t>
      </w:r>
      <w:proofErr w:type="spellStart"/>
      <w:r>
        <w:t>endeavor</w:t>
      </w:r>
      <w:proofErr w:type="spellEnd"/>
      <w:r>
        <w:t xml:space="preserve"> and implement the expansion of the </w:t>
      </w:r>
      <w:proofErr w:type="spellStart"/>
      <w:r>
        <w:t>endeavor</w:t>
      </w:r>
      <w:proofErr w:type="spellEnd"/>
      <w:r>
        <w:t>, it is essential that the task is properly monitored and that each of the cycles proceeds as expected (Burke, 2013).</w:t>
      </w:r>
    </w:p>
    <w:p w14:paraId="08DDBF24" w14:textId="77777777" w:rsidR="009F34CB" w:rsidRDefault="009F34CB" w:rsidP="009728F2">
      <w:pPr>
        <w:jc w:val="both"/>
      </w:pPr>
      <w:r>
        <w:t>The integrative idea of ​​the information regions in the task will be formulated and considered in order to offer an appropriate impact on the equivalent. In addition, the importance of the devices and procedures and cycles recognized for this enterprise will be discussed. The tools, which include the order of activities and the main assessment, will be tested for each course of the combination of initiatives on board. In conclusion, we will talk about the interdependencies and how they were achieved in the task during each of the cycles.</w:t>
      </w:r>
    </w:p>
    <w:p w14:paraId="3DFA7689" w14:textId="77777777" w:rsidR="009F34CB" w:rsidRDefault="009F34CB" w:rsidP="009728F2">
      <w:pPr>
        <w:jc w:val="both"/>
      </w:pPr>
      <w:r>
        <w:t xml:space="preserve">From the task I learned that the implementation of the </w:t>
      </w:r>
      <w:proofErr w:type="spellStart"/>
      <w:r>
        <w:t>endeavor</w:t>
      </w:r>
      <w:proofErr w:type="spellEnd"/>
      <w:r>
        <w:t xml:space="preserve"> requires different cycles, consolidated to ensure the result of the implementation of the </w:t>
      </w:r>
      <w:proofErr w:type="spellStart"/>
      <w:r>
        <w:t>endeavor</w:t>
      </w:r>
      <w:proofErr w:type="spellEnd"/>
      <w:r>
        <w:t xml:space="preserve">. This shows that there must be a legitimate coordination of different cycles to achieve the expectations of the </w:t>
      </w:r>
      <w:proofErr w:type="spellStart"/>
      <w:r>
        <w:t>endeavor</w:t>
      </w:r>
      <w:proofErr w:type="spellEnd"/>
      <w:r>
        <w:t xml:space="preserve">. Without legitimate coordination, the financial plan of the risky company will be exceeded, or the project plan will not be implemented, or both, </w:t>
      </w:r>
      <w:proofErr w:type="gramStart"/>
      <w:r>
        <w:t>or</w:t>
      </w:r>
      <w:proofErr w:type="gramEnd"/>
      <w:r>
        <w:t xml:space="preserve"> even the disappointment of taking. With the culmination of the </w:t>
      </w:r>
      <w:proofErr w:type="spellStart"/>
      <w:r>
        <w:t>endeavor</w:t>
      </w:r>
      <w:proofErr w:type="spellEnd"/>
      <w:r>
        <w:t>, he intends to have some appropriate coordination. Although the timetable and cost plan were exceeded, there was proper coordination, which led to the completion of the task. it can be seen very well that the coordination of the cycles was fair.</w:t>
      </w:r>
    </w:p>
    <w:p w14:paraId="4CA230EC" w14:textId="77777777" w:rsidR="009F34CB" w:rsidRDefault="009F34CB" w:rsidP="009728F2">
      <w:pPr>
        <w:jc w:val="both"/>
      </w:pPr>
      <w:r>
        <w:t>This means that the supervisor must have appropriate betting on board and the ability and techniques to acquire assets. The legitimate preparation of the dangers and the advancement of the mitigation and ending techniques empowered by the task have an anticipation of the dangers and are therefore ready to deal with the dangers. This was achieved through legitimate correspondence and association of the organization's partners. The gambling event requires quick activity and legitimate correspondence of the partners to carry out an appropriate reaction and moderation / disposition procedure.</w:t>
      </w:r>
    </w:p>
    <w:p w14:paraId="053BAEB2" w14:textId="77777777" w:rsidR="009F34CB" w:rsidRDefault="009F34CB" w:rsidP="009728F2">
      <w:pPr>
        <w:jc w:val="both"/>
      </w:pPr>
      <w:r>
        <w:t xml:space="preserve">Partners need to know about the engagement's actions and therefore require legal correspondence. With the improvement of the plans and techniques for correspondence, the company had the opportunity to engage in business activities </w:t>
      </w:r>
      <w:r>
        <w:lastRenderedPageBreak/>
        <w:t xml:space="preserve">and guide the plans, and subsequently encourages the completion of the task. This task has faced </w:t>
      </w:r>
      <w:proofErr w:type="gramStart"/>
      <w:r>
        <w:t>a number of</w:t>
      </w:r>
      <w:proofErr w:type="gramEnd"/>
      <w:r>
        <w:t xml:space="preserve"> dangerous events, including significant cost overloads and delays.</w:t>
      </w:r>
    </w:p>
    <w:p w14:paraId="6F9252EE" w14:textId="53DFECC3" w:rsidR="001B0EE9" w:rsidRDefault="009F34CB" w:rsidP="009728F2">
      <w:pPr>
        <w:jc w:val="both"/>
      </w:pPr>
      <w:r>
        <w:t>Nevertheless, through correspondence, the task director was able to ensure that the partners knew and benefited from sufficient assets and resources for the enterprise's consumption. The head of the company had the opportunity to coordinate HR and the group to try to ensure that the company achieves its goals.</w:t>
      </w:r>
      <w:r w:rsidR="001B0EE9">
        <w:t xml:space="preserve"> </w:t>
      </w:r>
    </w:p>
    <w:p w14:paraId="3F6ACCFD" w14:textId="77777777" w:rsidR="009F34CB" w:rsidRDefault="009F34CB" w:rsidP="009728F2">
      <w:pPr>
        <w:jc w:val="both"/>
      </w:pPr>
      <w:r>
        <w:t xml:space="preserve">Finally, I found that the integrative idea of ​​information regions requires legitimate documentation to coordinate the exercises and the various cycles of the </w:t>
      </w:r>
      <w:proofErr w:type="spellStart"/>
      <w:r>
        <w:t>endeavor</w:t>
      </w:r>
      <w:proofErr w:type="spellEnd"/>
      <w:r>
        <w:t xml:space="preserve">. According to Kerzner and Kerzner (2017), the participation of managers is the </w:t>
      </w:r>
      <w:proofErr w:type="spellStart"/>
      <w:r>
        <w:t>center</w:t>
      </w:r>
      <w:proofErr w:type="spellEnd"/>
      <w:r>
        <w:t xml:space="preserve"> of action to guide the </w:t>
      </w:r>
      <w:proofErr w:type="spellStart"/>
      <w:r>
        <w:t>endeavor</w:t>
      </w:r>
      <w:proofErr w:type="spellEnd"/>
      <w:r>
        <w:t xml:space="preserve"> in the right position. Most importantly, the Salisbury House project created an appropriate and comprehensive contract for tasks. With this contract, the director of the company had the capacity to monitor various cycles and activities of the company. The risk agreement encourages the goals of the company and therefore encourages each of the exercises of the company, the working group and the partners to focus on a comparable course - achieving the goals.</w:t>
      </w:r>
    </w:p>
    <w:p w14:paraId="5DB09326" w14:textId="77777777" w:rsidR="009F34CB" w:rsidRDefault="009F34CB" w:rsidP="009728F2">
      <w:pPr>
        <w:jc w:val="both"/>
      </w:pPr>
      <w:r>
        <w:t xml:space="preserve">Apparatus and methods have been used to ensure that the </w:t>
      </w:r>
      <w:proofErr w:type="spellStart"/>
      <w:r>
        <w:t>endeavor</w:t>
      </w:r>
      <w:proofErr w:type="spellEnd"/>
      <w:r>
        <w:t xml:space="preserve"> is a triumph. Various devices and strategies have been used in the development of events and the implementation of the Salisbury House project. After researching and testing the </w:t>
      </w:r>
      <w:proofErr w:type="spellStart"/>
      <w:r>
        <w:t>endeavor</w:t>
      </w:r>
      <w:proofErr w:type="spellEnd"/>
      <w:r>
        <w:t xml:space="preserve">, I found that the apparatus and methods are vital to the task, just as some other functions in the organization, implementation and verification of the project. Various tools and methods were used in the preparation and implementation of the initiative. As a matter of some importance, the use of these tools and methods supported the working group and the leader to establish a legitimate partnership. As mentioned above, the partner's contribution is extremely important for achieving the goals of the task. By organizing the activity, the risk group and the boss had the opportunity to promote the parts and capacities that need to be filled by each of the partners to ensure the progress of the </w:t>
      </w:r>
      <w:proofErr w:type="spellStart"/>
      <w:r>
        <w:t>endeavor</w:t>
      </w:r>
      <w:proofErr w:type="spellEnd"/>
      <w:r>
        <w:t xml:space="preserve">. The ranking of activities conducted by Tooth and </w:t>
      </w:r>
      <w:proofErr w:type="spellStart"/>
      <w:r>
        <w:t>Marle</w:t>
      </w:r>
      <w:proofErr w:type="spellEnd"/>
      <w:r>
        <w:t xml:space="preserve"> (2012) is a demonstration of a list of promotional activities of the exercises that must be performed (by each partner) to achieve the shared goal.</w:t>
      </w:r>
    </w:p>
    <w:p w14:paraId="0D8D57C1" w14:textId="77777777" w:rsidR="009F34CB" w:rsidRDefault="009F34CB" w:rsidP="009728F2">
      <w:pPr>
        <w:jc w:val="both"/>
      </w:pPr>
      <w:r>
        <w:t xml:space="preserve">I consider these organized principles and the connection with the result of the operations to be of high effectiveness of the project management plan for Salisbury House. This is due to </w:t>
      </w:r>
      <w:proofErr w:type="spellStart"/>
      <w:r>
        <w:t>Heravi</w:t>
      </w:r>
      <w:proofErr w:type="spellEnd"/>
      <w:r>
        <w:t xml:space="preserve"> and </w:t>
      </w:r>
      <w:proofErr w:type="spellStart"/>
      <w:r>
        <w:t>Trigunarsyah</w:t>
      </w:r>
      <w:proofErr w:type="spellEnd"/>
      <w:r>
        <w:t xml:space="preserve">, B. (2015), who express that with insufficient contribution, the </w:t>
      </w:r>
      <w:proofErr w:type="spellStart"/>
      <w:r>
        <w:t>endeavor</w:t>
      </w:r>
      <w:proofErr w:type="spellEnd"/>
      <w:r>
        <w:t xml:space="preserve"> will neglect to achieve its goals.</w:t>
      </w:r>
    </w:p>
    <w:p w14:paraId="026C3C9E" w14:textId="77777777" w:rsidR="009F34CB" w:rsidRDefault="009F34CB" w:rsidP="009728F2">
      <w:pPr>
        <w:jc w:val="both"/>
      </w:pPr>
      <w:r>
        <w:t>With satisfactory asset and cycle management, achieving the task has high potential (</w:t>
      </w:r>
      <w:proofErr w:type="spellStart"/>
      <w:r>
        <w:t>Krajewski</w:t>
      </w:r>
      <w:proofErr w:type="spellEnd"/>
      <w:r>
        <w:t xml:space="preserve">, </w:t>
      </w:r>
      <w:proofErr w:type="spellStart"/>
      <w:r>
        <w:t>Ritzman</w:t>
      </w:r>
      <w:proofErr w:type="spellEnd"/>
      <w:r>
        <w:t xml:space="preserve"> and Malhotra, 2013). The use of tools and methods in the Salisbury House project has expanded the viability of the task of managers and thus expanded the ability to meet expectations. From our group work, I noticed that there is a use of the Executive Data Framework (PMIS) task. This is a product that is used to deal with risky exercises and cycles. With this product, the task director and the </w:t>
      </w:r>
      <w:r>
        <w:lastRenderedPageBreak/>
        <w:t xml:space="preserve">group had the opportunity to ensure that the risk exercises and cycles were in line with the achievement of the company's goals. The use of PMIS in the Salisbury House project supported the director of the company to monitor and coordinate the company's assets and activities. With the established framework, the director can differentiate resource needs and subsequently promote the basic methodology for meeting these asset needs. With this, I found that devices play a key role in ensuring that the goals of the </w:t>
      </w:r>
      <w:proofErr w:type="spellStart"/>
      <w:r>
        <w:t>endeavor</w:t>
      </w:r>
      <w:proofErr w:type="spellEnd"/>
      <w:r>
        <w:t xml:space="preserve"> are achieved by arranging cycles and systems to cope with the activities.</w:t>
      </w:r>
    </w:p>
    <w:p w14:paraId="0D5E210A" w14:textId="77777777" w:rsidR="009F34CB" w:rsidRDefault="009F34CB" w:rsidP="009728F2">
      <w:pPr>
        <w:jc w:val="both"/>
      </w:pPr>
      <w:r>
        <w:t xml:space="preserve">In the duration of this project management </w:t>
      </w:r>
      <w:proofErr w:type="spellStart"/>
      <w:r>
        <w:t>initative</w:t>
      </w:r>
      <w:proofErr w:type="spellEnd"/>
      <w:r>
        <w:t xml:space="preserve"> I discovered that joining the project requires legitimate coordination of cycles and exercises. With coordination, the head of the company and the group will </w:t>
      </w:r>
      <w:proofErr w:type="gramStart"/>
      <w:r>
        <w:t>actually want</w:t>
      </w:r>
      <w:proofErr w:type="gramEnd"/>
      <w:r>
        <w:t xml:space="preserve"> to ensure that the different cycles run as expected to achieve the goal. Accordingly, it is crucial to use a reliance on reliance to ensure that the association of exercises and cycles is established and therefore to facilitate the coordinating elements of the head of the enterprise. According to PMBOK (2017), there are four conditions in one </w:t>
      </w:r>
      <w:proofErr w:type="spellStart"/>
      <w:r>
        <w:t>endeavor</w:t>
      </w:r>
      <w:proofErr w:type="spellEnd"/>
      <w:r>
        <w:t>. These are the obligatory internal and obligatory external conditions, the optional internal and optional external conditions.</w:t>
      </w:r>
    </w:p>
    <w:p w14:paraId="3172F386" w14:textId="6F26337B" w:rsidR="001B0EE9" w:rsidRDefault="009F34CB" w:rsidP="009728F2">
      <w:pPr>
        <w:jc w:val="both"/>
      </w:pPr>
      <w:r>
        <w:t xml:space="preserve">Despite the fact that the task plan was not </w:t>
      </w:r>
      <w:proofErr w:type="gramStart"/>
      <w:r>
        <w:t>implemented</w:t>
      </w:r>
      <w:proofErr w:type="gramEnd"/>
      <w:r>
        <w:t xml:space="preserve"> and the cost plan was exceeded, the Salisbury House project was effective. Consolidating the assessment of the </w:t>
      </w:r>
      <w:proofErr w:type="spellStart"/>
      <w:r>
        <w:t>endeavor</w:t>
      </w:r>
      <w:proofErr w:type="spellEnd"/>
      <w:r>
        <w:t xml:space="preserve"> and the profit of the class, it becomes clear that the risk </w:t>
      </w:r>
      <w:proofErr w:type="gramStart"/>
      <w:r>
        <w:t>mix</w:t>
      </w:r>
      <w:proofErr w:type="gramEnd"/>
      <w:r>
        <w:t xml:space="preserve"> on board the task is solid and properly executed. Most importantly, the company has developed legal interdependencies between the cycles and activities of the company. This has been achieved through legal correspondence and settlement of the engagement.</w:t>
      </w:r>
    </w:p>
    <w:p w14:paraId="386AAE97" w14:textId="77777777" w:rsidR="001B0EE9" w:rsidRDefault="001B0EE9" w:rsidP="009728F2">
      <w:pPr>
        <w:pStyle w:val="Heading1"/>
        <w:jc w:val="both"/>
      </w:pPr>
      <w:bookmarkStart w:id="3" w:name="_Toc102971803"/>
      <w:r>
        <w:t>Conclusion</w:t>
      </w:r>
      <w:bookmarkEnd w:id="3"/>
    </w:p>
    <w:p w14:paraId="044D33C8" w14:textId="52CF7CBF" w:rsidR="001B0EE9" w:rsidRDefault="00C308D4" w:rsidP="009728F2">
      <w:pPr>
        <w:jc w:val="both"/>
      </w:pPr>
      <w:r w:rsidRPr="00C308D4">
        <w:t xml:space="preserve">Through all this evaluation, it can be concluded that </w:t>
      </w:r>
      <w:proofErr w:type="gramStart"/>
      <w:r w:rsidRPr="00C308D4">
        <w:t>in order for</w:t>
      </w:r>
      <w:proofErr w:type="gramEnd"/>
      <w:r w:rsidRPr="00C308D4">
        <w:t xml:space="preserve"> the task to be fruitful, as you complete it in the given period of time and in the given financial plan, it is important to really deal with the dangers. Improving the risk sanction further shows how the company coordinates exercises and information regions and interaction groups during the task. I created extensive information about the tools and methods used in the </w:t>
      </w:r>
      <w:proofErr w:type="spellStart"/>
      <w:r w:rsidRPr="00C308D4">
        <w:t>endeavor</w:t>
      </w:r>
      <w:proofErr w:type="spellEnd"/>
      <w:r w:rsidRPr="00C308D4">
        <w:t xml:space="preserve"> and understood their significance. It is also important to outline the fact that the tools used in the enterprise are different and include ordering of activities, deterioration and major judgment. The use of computerized data frameworks for project verification should be visible in the same way in the administration and organization of the enterprise. Additionally, the ways in which interdependencies between exercises and cycles are created were discussed and learned.</w:t>
      </w:r>
    </w:p>
    <w:p w14:paraId="2CAC220B" w14:textId="1B6546F0" w:rsidR="001B0EE9" w:rsidRDefault="001B0EE9" w:rsidP="009728F2">
      <w:pPr>
        <w:pStyle w:val="Heading1"/>
        <w:jc w:val="both"/>
      </w:pPr>
      <w:bookmarkStart w:id="4" w:name="_Toc102971804"/>
      <w:r>
        <w:t>Reference List</w:t>
      </w:r>
      <w:bookmarkEnd w:id="4"/>
    </w:p>
    <w:p w14:paraId="7A61D939" w14:textId="77777777" w:rsidR="00EE3065" w:rsidRDefault="00EE3065" w:rsidP="009728F2">
      <w:pPr>
        <w:jc w:val="both"/>
      </w:pPr>
      <w:r>
        <w:t xml:space="preserve">Aladağ, H., and </w:t>
      </w:r>
      <w:proofErr w:type="spellStart"/>
      <w:r>
        <w:t>Işık</w:t>
      </w:r>
      <w:proofErr w:type="spellEnd"/>
      <w:r>
        <w:t xml:space="preserve">, H. (2019). Design and construction risks in </w:t>
      </w:r>
      <w:proofErr w:type="spellStart"/>
      <w:r>
        <w:t>bot</w:t>
      </w:r>
      <w:proofErr w:type="spellEnd"/>
      <w:r>
        <w:t xml:space="preserve"> type mega transportation projects. </w:t>
      </w:r>
      <w:r w:rsidRPr="008E0F09">
        <w:rPr>
          <w:i/>
          <w:iCs/>
        </w:rPr>
        <w:t>Engineering, Construction and Architectural Management</w:t>
      </w:r>
      <w:r>
        <w:t>, 26(</w:t>
      </w:r>
      <w:r w:rsidRPr="008E0F09">
        <w:rPr>
          <w:b/>
          <w:bCs/>
        </w:rPr>
        <w:t>10</w:t>
      </w:r>
      <w:r>
        <w:t xml:space="preserve">), 2223–2242. </w:t>
      </w:r>
    </w:p>
    <w:p w14:paraId="16D74F81" w14:textId="7A1CF33D" w:rsidR="00EE3065" w:rsidRDefault="00EE3065" w:rsidP="009728F2">
      <w:pPr>
        <w:jc w:val="both"/>
      </w:pPr>
      <w:r>
        <w:lastRenderedPageBreak/>
        <w:t>Ambos, A. Y. and Mikhailov, G. A. (2016)</w:t>
      </w:r>
      <w:r w:rsidR="008E0F09">
        <w:t xml:space="preserve">. </w:t>
      </w:r>
      <w:r>
        <w:t>Effective Averaging of Stochastic Radiative Models Based on Monte Carlo Simulation</w:t>
      </w:r>
      <w:r w:rsidR="008E0F09">
        <w:t>.</w:t>
      </w:r>
      <w:r>
        <w:t xml:space="preserve"> </w:t>
      </w:r>
      <w:r w:rsidRPr="008E0F09">
        <w:rPr>
          <w:i/>
          <w:iCs/>
        </w:rPr>
        <w:t>Computational Mathematics and Mathematical Physics</w:t>
      </w:r>
      <w:r>
        <w:t>, 56(</w:t>
      </w:r>
      <w:r w:rsidRPr="008E0F09">
        <w:rPr>
          <w:b/>
          <w:bCs/>
        </w:rPr>
        <w:t>5</w:t>
      </w:r>
      <w:r>
        <w:t xml:space="preserve">), pp. 881–893. </w:t>
      </w:r>
    </w:p>
    <w:p w14:paraId="5D11BBA3" w14:textId="77777777" w:rsidR="00EE3065" w:rsidRDefault="00EE3065" w:rsidP="009728F2">
      <w:pPr>
        <w:jc w:val="both"/>
      </w:pPr>
      <w:r>
        <w:t xml:space="preserve">Burke, R. (2013). </w:t>
      </w:r>
      <w:r w:rsidRPr="008E0F09">
        <w:rPr>
          <w:i/>
          <w:iCs/>
        </w:rPr>
        <w:t>Project management: planning and control techniques</w:t>
      </w:r>
      <w:r>
        <w:t xml:space="preserve">. New Jersey, USA. </w:t>
      </w:r>
    </w:p>
    <w:p w14:paraId="0C5849C3" w14:textId="77777777" w:rsidR="00EE3065" w:rsidRDefault="00EE3065" w:rsidP="009728F2">
      <w:pPr>
        <w:jc w:val="both"/>
      </w:pPr>
      <w:r>
        <w:t xml:space="preserve">Fang, C., &amp; </w:t>
      </w:r>
      <w:proofErr w:type="spellStart"/>
      <w:r>
        <w:t>Marle</w:t>
      </w:r>
      <w:proofErr w:type="spellEnd"/>
      <w:r>
        <w:t xml:space="preserve">, F. (2012). A simulation-based risk network model for decision support in project risk management. </w:t>
      </w:r>
      <w:r w:rsidRPr="008E0F09">
        <w:rPr>
          <w:i/>
          <w:iCs/>
        </w:rPr>
        <w:t>Decision Support Systems</w:t>
      </w:r>
      <w:r>
        <w:t>, 52(</w:t>
      </w:r>
      <w:r w:rsidRPr="008E0F09">
        <w:rPr>
          <w:b/>
          <w:bCs/>
        </w:rPr>
        <w:t>3</w:t>
      </w:r>
      <w:r>
        <w:t>), 635-644.</w:t>
      </w:r>
    </w:p>
    <w:p w14:paraId="321286BF" w14:textId="77777777" w:rsidR="00EE3065" w:rsidRDefault="00EE3065" w:rsidP="009728F2">
      <w:pPr>
        <w:jc w:val="both"/>
      </w:pPr>
      <w:proofErr w:type="spellStart"/>
      <w:r>
        <w:t>Heravi</w:t>
      </w:r>
      <w:proofErr w:type="spellEnd"/>
      <w:r>
        <w:t xml:space="preserve">, A., Coffey, V., &amp; </w:t>
      </w:r>
      <w:proofErr w:type="spellStart"/>
      <w:r>
        <w:t>Trigunarsyah</w:t>
      </w:r>
      <w:proofErr w:type="spellEnd"/>
      <w:r>
        <w:t xml:space="preserve">, B. (2015). Evaluating the level of stakeholder involvement during the project planning processes of building projects. </w:t>
      </w:r>
      <w:r w:rsidRPr="008E0F09">
        <w:rPr>
          <w:i/>
          <w:iCs/>
        </w:rPr>
        <w:t>International Journal of Project Management</w:t>
      </w:r>
      <w:r>
        <w:t>, 33(</w:t>
      </w:r>
      <w:r w:rsidRPr="008E0F09">
        <w:rPr>
          <w:b/>
          <w:bCs/>
        </w:rPr>
        <w:t>5</w:t>
      </w:r>
      <w:r>
        <w:t>), 985-997.</w:t>
      </w:r>
    </w:p>
    <w:p w14:paraId="0BC81D1D" w14:textId="77777777" w:rsidR="00EE3065" w:rsidRDefault="00EE3065" w:rsidP="009728F2">
      <w:pPr>
        <w:jc w:val="both"/>
      </w:pPr>
      <w:r>
        <w:t xml:space="preserve">Kerzner, H., &amp; Kerzner, H. R. (2017). </w:t>
      </w:r>
      <w:r w:rsidRPr="008E0F09">
        <w:rPr>
          <w:i/>
          <w:iCs/>
        </w:rPr>
        <w:t>Project management: a systems approach to planning, scheduling, and controlling</w:t>
      </w:r>
      <w:r>
        <w:t>. John Wiley &amp; Sons.</w:t>
      </w:r>
    </w:p>
    <w:p w14:paraId="479FCC1E" w14:textId="77777777" w:rsidR="008E0F09" w:rsidRDefault="00EE3065" w:rsidP="009728F2">
      <w:pPr>
        <w:jc w:val="both"/>
      </w:pPr>
      <w:proofErr w:type="spellStart"/>
      <w:r>
        <w:t>Krajewski</w:t>
      </w:r>
      <w:proofErr w:type="spellEnd"/>
      <w:r>
        <w:t xml:space="preserve">, L. J., </w:t>
      </w:r>
      <w:proofErr w:type="spellStart"/>
      <w:r>
        <w:t>Ritzman</w:t>
      </w:r>
      <w:proofErr w:type="spellEnd"/>
      <w:r>
        <w:t xml:space="preserve">, L. P., &amp; Malhotra, M. K. (2013). Operations management. </w:t>
      </w:r>
      <w:proofErr w:type="gramStart"/>
      <w:r>
        <w:t>Pearson,.</w:t>
      </w:r>
      <w:proofErr w:type="gramEnd"/>
      <w:r>
        <w:t xml:space="preserve"> McManus, J. (2012). Risk management in software development projects. Routledge. </w:t>
      </w:r>
    </w:p>
    <w:p w14:paraId="1A15542D" w14:textId="77777777" w:rsidR="00EE3065" w:rsidRDefault="00EE3065" w:rsidP="009728F2">
      <w:pPr>
        <w:jc w:val="both"/>
      </w:pPr>
      <w:r>
        <w:t xml:space="preserve">PMBOK (2017). </w:t>
      </w:r>
      <w:r w:rsidRPr="008E0F09">
        <w:rPr>
          <w:i/>
          <w:iCs/>
        </w:rPr>
        <w:t>Project management body of knowledge (PMBOK)</w:t>
      </w:r>
      <w:r>
        <w:t>. 6th ed. Newtown Square, Pa.: Project Management Institute.</w:t>
      </w:r>
    </w:p>
    <w:p w14:paraId="65796C9E" w14:textId="5135A5A3" w:rsidR="008E0F09" w:rsidRPr="001B0EE9" w:rsidRDefault="00EE3065" w:rsidP="009728F2">
      <w:pPr>
        <w:jc w:val="both"/>
      </w:pPr>
      <w:proofErr w:type="spellStart"/>
      <w:r>
        <w:t>Safaei</w:t>
      </w:r>
      <w:proofErr w:type="spellEnd"/>
      <w:r>
        <w:t>, M. et al. (2018)</w:t>
      </w:r>
      <w:r w:rsidR="008E0F09">
        <w:t xml:space="preserve">. </w:t>
      </w:r>
      <w:r>
        <w:t>Mapping and Monitoring of the Structure and Function of Rangeland Ecosystems in Central Zagros, Iran</w:t>
      </w:r>
      <w:r w:rsidR="008E0F09">
        <w:t>.</w:t>
      </w:r>
      <w:r>
        <w:t xml:space="preserve"> </w:t>
      </w:r>
      <w:r w:rsidRPr="008E0F09">
        <w:rPr>
          <w:i/>
          <w:iCs/>
        </w:rPr>
        <w:t xml:space="preserve">Environmental Monitoring and </w:t>
      </w:r>
      <w:r w:rsidR="008E0F09" w:rsidRPr="008E0F09">
        <w:rPr>
          <w:i/>
          <w:iCs/>
        </w:rPr>
        <w:t>Assessment:</w:t>
      </w:r>
      <w:r w:rsidRPr="008E0F09">
        <w:rPr>
          <w:i/>
          <w:iCs/>
        </w:rPr>
        <w:t xml:space="preserve"> An International Journal Devoted to Progress in the Use of Monitoring Data in Assessing Environmental Risks to Man and the Environment</w:t>
      </w:r>
      <w:r>
        <w:t>, 190(</w:t>
      </w:r>
      <w:r w:rsidRPr="008E0F09">
        <w:rPr>
          <w:b/>
          <w:bCs/>
        </w:rPr>
        <w:t>11</w:t>
      </w:r>
      <w:r>
        <w:t xml:space="preserve">), pp. 1–17. </w:t>
      </w:r>
      <w:proofErr w:type="spellStart"/>
      <w:r w:rsidR="008E0F09" w:rsidRPr="008E0F09">
        <w:t>Tinnirello</w:t>
      </w:r>
      <w:proofErr w:type="spellEnd"/>
      <w:r w:rsidR="008E0F09" w:rsidRPr="008E0F09">
        <w:t xml:space="preserve">, P. (2016). </w:t>
      </w:r>
      <w:r w:rsidR="008E0F09" w:rsidRPr="008E0F09">
        <w:rPr>
          <w:i/>
          <w:iCs/>
        </w:rPr>
        <w:t>Project management</w:t>
      </w:r>
      <w:r w:rsidR="008E0F09" w:rsidRPr="008E0F09">
        <w:t>. 1st ed. Boca Raton: Auerbach.</w:t>
      </w:r>
    </w:p>
    <w:sectPr w:rsidR="008E0F09" w:rsidRPr="001B0EE9" w:rsidSect="009728F2">
      <w:footerReference w:type="even" r:id="rId9"/>
      <w:footerReference w:type="default" r:id="rId10"/>
      <w:pgSz w:w="11906" w:h="16838"/>
      <w:pgMar w:top="1440" w:right="1440" w:bottom="1440" w:left="1440" w:header="708" w:footer="708" w:gutter="0"/>
      <w:pgBorders w:offsetFrom="page">
        <w:top w:val="single" w:sz="4" w:space="24" w:color="00B0F0"/>
        <w:left w:val="single" w:sz="4" w:space="24" w:color="00B0F0"/>
        <w:bottom w:val="single" w:sz="4" w:space="24" w:color="00B0F0"/>
        <w:right w:val="single" w:sz="4" w:space="24" w:color="00B0F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639D5" w14:textId="77777777" w:rsidR="00BD135E" w:rsidRDefault="00BD135E" w:rsidP="00E66D0A">
      <w:pPr>
        <w:spacing w:after="0" w:line="240" w:lineRule="auto"/>
      </w:pPr>
      <w:r>
        <w:separator/>
      </w:r>
    </w:p>
  </w:endnote>
  <w:endnote w:type="continuationSeparator" w:id="0">
    <w:p w14:paraId="6D352BB5" w14:textId="77777777" w:rsidR="00BD135E" w:rsidRDefault="00BD135E" w:rsidP="00E66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0366035"/>
      <w:docPartObj>
        <w:docPartGallery w:val="Page Numbers (Bottom of Page)"/>
        <w:docPartUnique/>
      </w:docPartObj>
    </w:sdtPr>
    <w:sdtEndPr>
      <w:rPr>
        <w:rStyle w:val="PageNumber"/>
      </w:rPr>
    </w:sdtEndPr>
    <w:sdtContent>
      <w:p w14:paraId="5645347E" w14:textId="4D3AE3C8" w:rsidR="00E66D0A" w:rsidRDefault="00E66D0A"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229F48" w14:textId="77777777" w:rsidR="00E66D0A" w:rsidRDefault="00E66D0A" w:rsidP="00E66D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8630567"/>
      <w:docPartObj>
        <w:docPartGallery w:val="Page Numbers (Bottom of Page)"/>
        <w:docPartUnique/>
      </w:docPartObj>
    </w:sdtPr>
    <w:sdtEndPr>
      <w:rPr>
        <w:rStyle w:val="PageNumber"/>
      </w:rPr>
    </w:sdtEndPr>
    <w:sdtContent>
      <w:p w14:paraId="0FA50B28" w14:textId="246B805E" w:rsidR="00E66D0A" w:rsidRDefault="00E66D0A"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225F0C" w14:textId="77777777" w:rsidR="00E66D0A" w:rsidRDefault="00E66D0A" w:rsidP="00E66D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E6A96" w14:textId="77777777" w:rsidR="00BD135E" w:rsidRDefault="00BD135E" w:rsidP="00E66D0A">
      <w:pPr>
        <w:spacing w:after="0" w:line="240" w:lineRule="auto"/>
      </w:pPr>
      <w:r>
        <w:separator/>
      </w:r>
    </w:p>
  </w:footnote>
  <w:footnote w:type="continuationSeparator" w:id="0">
    <w:p w14:paraId="0DBDA48D" w14:textId="77777777" w:rsidR="00BD135E" w:rsidRDefault="00BD135E" w:rsidP="00E66D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D0A"/>
    <w:rsid w:val="0000279F"/>
    <w:rsid w:val="001B0EE9"/>
    <w:rsid w:val="002E6979"/>
    <w:rsid w:val="005433BA"/>
    <w:rsid w:val="0058209E"/>
    <w:rsid w:val="005E69AE"/>
    <w:rsid w:val="006B1ACD"/>
    <w:rsid w:val="00710074"/>
    <w:rsid w:val="007A3D60"/>
    <w:rsid w:val="008E0F09"/>
    <w:rsid w:val="009728F2"/>
    <w:rsid w:val="009F34CB"/>
    <w:rsid w:val="00A00E0C"/>
    <w:rsid w:val="00BD135E"/>
    <w:rsid w:val="00C308D4"/>
    <w:rsid w:val="00E66D0A"/>
    <w:rsid w:val="00EB0A82"/>
    <w:rsid w:val="00EE3065"/>
    <w:rsid w:val="00F562C5"/>
    <w:rsid w:val="00F71C6D"/>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03F8"/>
  <w15:chartTrackingRefBased/>
  <w15:docId w15:val="{7FF2A326-5592-AE4B-9D95-88E784CC0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E66D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D0A"/>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E66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D0A"/>
    <w:rPr>
      <w:rFonts w:ascii="Arial" w:hAnsi="Arial"/>
      <w:szCs w:val="22"/>
    </w:rPr>
  </w:style>
  <w:style w:type="character" w:styleId="PageNumber">
    <w:name w:val="page number"/>
    <w:basedOn w:val="DefaultParagraphFont"/>
    <w:uiPriority w:val="99"/>
    <w:semiHidden/>
    <w:unhideWhenUsed/>
    <w:rsid w:val="00E66D0A"/>
  </w:style>
  <w:style w:type="paragraph" w:styleId="NoSpacing">
    <w:name w:val="No Spacing"/>
    <w:link w:val="NoSpacingChar"/>
    <w:uiPriority w:val="1"/>
    <w:qFormat/>
    <w:rsid w:val="005E69AE"/>
    <w:rPr>
      <w:rFonts w:eastAsiaTheme="minorEastAsia"/>
      <w:sz w:val="22"/>
      <w:szCs w:val="22"/>
      <w:lang w:val="en-US" w:eastAsia="zh-CN"/>
    </w:rPr>
  </w:style>
  <w:style w:type="character" w:customStyle="1" w:styleId="NoSpacingChar">
    <w:name w:val="No Spacing Char"/>
    <w:basedOn w:val="DefaultParagraphFont"/>
    <w:link w:val="NoSpacing"/>
    <w:uiPriority w:val="1"/>
    <w:rsid w:val="005E69AE"/>
    <w:rPr>
      <w:rFonts w:eastAsiaTheme="minorEastAsia"/>
      <w:sz w:val="22"/>
      <w:szCs w:val="22"/>
      <w:lang w:val="en-US" w:eastAsia="zh-CN"/>
    </w:rPr>
  </w:style>
  <w:style w:type="paragraph" w:styleId="TOCHeading">
    <w:name w:val="TOC Heading"/>
    <w:basedOn w:val="Heading1"/>
    <w:next w:val="Normal"/>
    <w:uiPriority w:val="39"/>
    <w:unhideWhenUsed/>
    <w:qFormat/>
    <w:rsid w:val="008E0F09"/>
    <w:pPr>
      <w:spacing w:before="480"/>
      <w:outlineLvl w:val="9"/>
    </w:pPr>
    <w:rPr>
      <w:b/>
      <w:bCs/>
      <w:sz w:val="28"/>
      <w:szCs w:val="28"/>
      <w:lang w:val="en-US"/>
    </w:rPr>
  </w:style>
  <w:style w:type="paragraph" w:styleId="TOC1">
    <w:name w:val="toc 1"/>
    <w:basedOn w:val="Normal"/>
    <w:next w:val="Normal"/>
    <w:autoRedefine/>
    <w:uiPriority w:val="39"/>
    <w:unhideWhenUsed/>
    <w:rsid w:val="008E0F09"/>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8E0F09"/>
    <w:rPr>
      <w:color w:val="0563C1" w:themeColor="hyperlink"/>
      <w:u w:val="single"/>
    </w:rPr>
  </w:style>
  <w:style w:type="paragraph" w:styleId="TOC2">
    <w:name w:val="toc 2"/>
    <w:basedOn w:val="Normal"/>
    <w:next w:val="Normal"/>
    <w:autoRedefine/>
    <w:uiPriority w:val="39"/>
    <w:semiHidden/>
    <w:unhideWhenUsed/>
    <w:rsid w:val="008E0F09"/>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8E0F09"/>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E0F09"/>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E0F09"/>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E0F09"/>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E0F09"/>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E0F09"/>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E0F09"/>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396F37-AFEA-374E-9BC0-AF4BF7C3C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2617</Words>
  <Characters>14920</Characters>
  <DocSecurity>0</DocSecurity>
  <Lines>124</Lines>
  <Paragraphs>35</Paragraphs>
  <ScaleCrop>false</ScaleCrop>
  <HeadingPairs>
    <vt:vector size="2" baseType="variant">
      <vt:variant>
        <vt:lpstr>Title</vt:lpstr>
      </vt:variant>
      <vt:variant>
        <vt:i4>1</vt:i4>
      </vt:variant>
    </vt:vector>
  </HeadingPairs>
  <TitlesOfParts>
    <vt:vector size="1" baseType="lpstr">
      <vt:lpstr>LCBB5005 – Project management (ASSESSMENT 2)</vt:lpstr>
    </vt:vector>
  </TitlesOfParts>
  <LinksUpToDate>false</LinksUpToDate>
  <CharactersWithSpaces>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dcterms:created xsi:type="dcterms:W3CDTF">2022-05-09T05:31:00Z</dcterms:created>
  <dcterms:modified xsi:type="dcterms:W3CDTF">2022-05-09T13:28:00Z</dcterms:modified>
</cp:coreProperties>
</file>