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114DA3" w14:textId="77777777" w:rsidR="00AA7F72" w:rsidRPr="004551F3" w:rsidRDefault="00AA7F72" w:rsidP="00AA7F72">
      <w:pPr>
        <w:spacing w:line="360" w:lineRule="auto"/>
        <w:jc w:val="center"/>
        <w:rPr>
          <w:rFonts w:asciiTheme="minorHAnsi" w:hAnsiTheme="minorHAnsi" w:cstheme="minorHAnsi"/>
          <w:b/>
          <w:sz w:val="44"/>
          <w:szCs w:val="44"/>
        </w:rPr>
      </w:pPr>
    </w:p>
    <w:p w14:paraId="2FDC34E4" w14:textId="77777777" w:rsidR="00AA7F72" w:rsidRDefault="00AA7F72" w:rsidP="00AA7F72">
      <w:pPr>
        <w:spacing w:line="360" w:lineRule="auto"/>
        <w:jc w:val="center"/>
        <w:rPr>
          <w:rFonts w:asciiTheme="minorHAnsi" w:hAnsiTheme="minorHAnsi" w:cstheme="minorHAnsi"/>
          <w:b/>
          <w:sz w:val="44"/>
          <w:szCs w:val="44"/>
        </w:rPr>
      </w:pPr>
      <w:r>
        <w:rPr>
          <w:rFonts w:asciiTheme="minorHAnsi" w:hAnsiTheme="minorHAnsi" w:cstheme="minorHAnsi"/>
          <w:b/>
          <w:sz w:val="44"/>
          <w:szCs w:val="44"/>
        </w:rPr>
        <w:t>Impulse or Intent?</w:t>
      </w:r>
    </w:p>
    <w:p w14:paraId="2DE5DE07" w14:textId="77777777" w:rsidR="00AA7F72" w:rsidRDefault="00AA7F72" w:rsidP="00AA7F72">
      <w:pPr>
        <w:spacing w:line="360" w:lineRule="auto"/>
        <w:jc w:val="center"/>
        <w:rPr>
          <w:rFonts w:asciiTheme="minorHAnsi" w:hAnsiTheme="minorHAnsi" w:cstheme="minorHAnsi"/>
          <w:b/>
          <w:sz w:val="44"/>
          <w:szCs w:val="44"/>
        </w:rPr>
      </w:pPr>
      <w:r>
        <w:rPr>
          <w:rFonts w:asciiTheme="minorHAnsi" w:hAnsiTheme="minorHAnsi" w:cstheme="minorHAnsi"/>
          <w:b/>
          <w:sz w:val="44"/>
          <w:szCs w:val="44"/>
        </w:rPr>
        <w:t xml:space="preserve">An investigation into possible predictors of adolescent risk-taking behaviour.  </w:t>
      </w:r>
    </w:p>
    <w:p w14:paraId="66838C28" w14:textId="77777777" w:rsidR="00AA7F72" w:rsidRPr="004551F3" w:rsidRDefault="00AA7F72" w:rsidP="00AA7F72">
      <w:pPr>
        <w:spacing w:line="360" w:lineRule="auto"/>
        <w:jc w:val="center"/>
        <w:rPr>
          <w:rFonts w:asciiTheme="minorHAnsi" w:hAnsiTheme="minorHAnsi" w:cstheme="minorHAnsi"/>
          <w:b/>
          <w:sz w:val="44"/>
          <w:szCs w:val="44"/>
        </w:rPr>
      </w:pPr>
      <w:r>
        <w:rPr>
          <w:rFonts w:asciiTheme="minorHAnsi" w:hAnsiTheme="minorHAnsi" w:cstheme="minorHAnsi"/>
          <w:b/>
          <w:sz w:val="44"/>
          <w:szCs w:val="44"/>
        </w:rPr>
        <w:t>Lessons for youth work practice</w:t>
      </w:r>
    </w:p>
    <w:p w14:paraId="5FA4BDA9" w14:textId="77777777" w:rsidR="00AA7F72" w:rsidRPr="004551F3" w:rsidRDefault="00AA7F72" w:rsidP="00AA7F72">
      <w:pPr>
        <w:spacing w:line="360" w:lineRule="auto"/>
        <w:jc w:val="right"/>
        <w:rPr>
          <w:rFonts w:asciiTheme="minorHAnsi" w:hAnsiTheme="minorHAnsi" w:cstheme="minorHAnsi"/>
          <w:b/>
          <w:sz w:val="44"/>
          <w:szCs w:val="44"/>
        </w:rPr>
      </w:pPr>
    </w:p>
    <w:p w14:paraId="5F4C98E8" w14:textId="77777777" w:rsidR="00AA7F72" w:rsidRPr="004551F3" w:rsidRDefault="00AA7F72" w:rsidP="00AA7F72">
      <w:pPr>
        <w:jc w:val="right"/>
        <w:rPr>
          <w:rFonts w:asciiTheme="minorHAnsi" w:hAnsiTheme="minorHAnsi" w:cstheme="minorHAnsi"/>
          <w:b/>
          <w:i/>
          <w:iCs/>
          <w:sz w:val="56"/>
          <w:szCs w:val="48"/>
        </w:rPr>
      </w:pPr>
      <w:r>
        <w:rPr>
          <w:rFonts w:asciiTheme="minorHAnsi" w:hAnsiTheme="minorHAnsi" w:cstheme="minorHAnsi"/>
          <w:b/>
          <w:i/>
          <w:iCs/>
          <w:sz w:val="56"/>
          <w:szCs w:val="48"/>
        </w:rPr>
        <w:t>Sue Lines</w:t>
      </w:r>
    </w:p>
    <w:p w14:paraId="1892D29A" w14:textId="77777777" w:rsidR="00AA7F72" w:rsidRPr="004551F3" w:rsidRDefault="00AA7F72" w:rsidP="00AA7F72">
      <w:pPr>
        <w:jc w:val="right"/>
        <w:rPr>
          <w:rFonts w:asciiTheme="minorHAnsi" w:hAnsiTheme="minorHAnsi" w:cstheme="minorHAnsi"/>
          <w:b/>
          <w:sz w:val="56"/>
          <w:szCs w:val="48"/>
        </w:rPr>
      </w:pPr>
      <w:r w:rsidRPr="004551F3">
        <w:rPr>
          <w:rFonts w:asciiTheme="minorHAnsi" w:hAnsiTheme="minorHAnsi" w:cstheme="minorHAnsi"/>
          <w:b/>
          <w:iCs/>
          <w:sz w:val="56"/>
          <w:szCs w:val="48"/>
        </w:rPr>
        <w:t xml:space="preserve"> </w:t>
      </w:r>
      <w:r>
        <w:rPr>
          <w:rFonts w:asciiTheme="minorHAnsi" w:hAnsiTheme="minorHAnsi" w:cstheme="minorHAnsi"/>
          <w:b/>
          <w:iCs/>
          <w:sz w:val="56"/>
          <w:szCs w:val="48"/>
        </w:rPr>
        <w:t>1706862</w:t>
      </w:r>
    </w:p>
    <w:p w14:paraId="53A61B03" w14:textId="77777777" w:rsidR="00AA7F72" w:rsidRPr="004551F3" w:rsidRDefault="00AA7F72" w:rsidP="00AA7F72">
      <w:pPr>
        <w:spacing w:line="480" w:lineRule="auto"/>
        <w:jc w:val="right"/>
        <w:rPr>
          <w:rFonts w:asciiTheme="minorHAnsi" w:hAnsiTheme="minorHAnsi" w:cstheme="minorHAnsi"/>
          <w:i/>
        </w:rPr>
      </w:pPr>
    </w:p>
    <w:p w14:paraId="48340CAA" w14:textId="77777777" w:rsidR="00AA7F72" w:rsidRPr="004551F3" w:rsidRDefault="00AA7F72" w:rsidP="00AA7F72">
      <w:pPr>
        <w:spacing w:line="480" w:lineRule="auto"/>
        <w:jc w:val="right"/>
        <w:rPr>
          <w:rFonts w:asciiTheme="minorHAnsi" w:hAnsiTheme="minorHAnsi" w:cstheme="minorHAnsi"/>
          <w:i/>
        </w:rPr>
      </w:pPr>
    </w:p>
    <w:p w14:paraId="0FD6AB1B" w14:textId="29C99FB9" w:rsidR="00AA7F72" w:rsidRPr="004551F3" w:rsidRDefault="005B76E4" w:rsidP="00AA7F72">
      <w:pPr>
        <w:spacing w:line="480" w:lineRule="auto"/>
        <w:jc w:val="right"/>
        <w:rPr>
          <w:rFonts w:asciiTheme="minorHAnsi" w:hAnsiTheme="minorHAnsi" w:cstheme="minorHAnsi"/>
          <w:i/>
          <w:sz w:val="52"/>
          <w:szCs w:val="52"/>
        </w:rPr>
      </w:pPr>
      <w:r>
        <w:rPr>
          <w:rFonts w:asciiTheme="minorHAnsi" w:hAnsiTheme="minorHAnsi" w:cstheme="minorHAnsi"/>
          <w:i/>
          <w:sz w:val="52"/>
          <w:szCs w:val="52"/>
        </w:rPr>
        <w:t>8</w:t>
      </w:r>
      <w:r w:rsidR="00AA7F72" w:rsidRPr="004551F3">
        <w:rPr>
          <w:rFonts w:asciiTheme="minorHAnsi" w:hAnsiTheme="minorHAnsi" w:cstheme="minorHAnsi"/>
          <w:i/>
          <w:sz w:val="52"/>
          <w:szCs w:val="52"/>
          <w:vertAlign w:val="superscript"/>
        </w:rPr>
        <w:t>th</w:t>
      </w:r>
      <w:r w:rsidR="00AA7F72">
        <w:rPr>
          <w:rFonts w:asciiTheme="minorHAnsi" w:hAnsiTheme="minorHAnsi" w:cstheme="minorHAnsi"/>
          <w:i/>
          <w:sz w:val="52"/>
          <w:szCs w:val="52"/>
        </w:rPr>
        <w:t xml:space="preserve"> July 2021</w:t>
      </w:r>
    </w:p>
    <w:p w14:paraId="396EDA04" w14:textId="77777777" w:rsidR="00AA7F72" w:rsidRPr="004551F3" w:rsidRDefault="00AA7F72" w:rsidP="00AA7F72">
      <w:pPr>
        <w:spacing w:line="480" w:lineRule="auto"/>
        <w:jc w:val="right"/>
        <w:rPr>
          <w:rFonts w:asciiTheme="minorHAnsi" w:hAnsiTheme="minorHAnsi" w:cstheme="minorHAnsi"/>
          <w:b/>
          <w:i/>
          <w:sz w:val="48"/>
          <w:szCs w:val="48"/>
        </w:rPr>
      </w:pPr>
      <w:r w:rsidRPr="004551F3">
        <w:rPr>
          <w:rFonts w:asciiTheme="minorHAnsi" w:hAnsiTheme="minorHAnsi" w:cstheme="minorHAnsi"/>
          <w:b/>
          <w:i/>
          <w:sz w:val="48"/>
          <w:szCs w:val="48"/>
        </w:rPr>
        <w:t>ECYW6001</w:t>
      </w:r>
    </w:p>
    <w:p w14:paraId="6CAE8F8F" w14:textId="77777777" w:rsidR="00AA7F72" w:rsidRPr="004551F3" w:rsidRDefault="00AA7F72" w:rsidP="00AA7F72">
      <w:pPr>
        <w:spacing w:line="360" w:lineRule="auto"/>
        <w:jc w:val="right"/>
        <w:rPr>
          <w:rFonts w:asciiTheme="minorHAnsi" w:hAnsiTheme="minorHAnsi" w:cstheme="minorHAnsi"/>
          <w:i/>
          <w:sz w:val="40"/>
          <w:szCs w:val="40"/>
        </w:rPr>
      </w:pPr>
      <w:proofErr w:type="spellStart"/>
      <w:r w:rsidRPr="004551F3">
        <w:rPr>
          <w:rFonts w:asciiTheme="minorHAnsi" w:hAnsiTheme="minorHAnsi" w:cstheme="minorHAnsi"/>
          <w:i/>
          <w:sz w:val="40"/>
          <w:szCs w:val="40"/>
        </w:rPr>
        <w:t>Yr</w:t>
      </w:r>
      <w:proofErr w:type="spellEnd"/>
      <w:r w:rsidRPr="004551F3">
        <w:rPr>
          <w:rFonts w:asciiTheme="minorHAnsi" w:hAnsiTheme="minorHAnsi" w:cstheme="minorHAnsi"/>
          <w:i/>
          <w:sz w:val="40"/>
          <w:szCs w:val="40"/>
        </w:rPr>
        <w:t xml:space="preserve"> </w:t>
      </w:r>
      <w:proofErr w:type="spellStart"/>
      <w:r w:rsidRPr="004551F3">
        <w:rPr>
          <w:rFonts w:asciiTheme="minorHAnsi" w:hAnsiTheme="minorHAnsi" w:cstheme="minorHAnsi"/>
          <w:i/>
          <w:sz w:val="40"/>
          <w:szCs w:val="40"/>
        </w:rPr>
        <w:t>Athrofa</w:t>
      </w:r>
      <w:proofErr w:type="spellEnd"/>
      <w:r w:rsidRPr="004551F3">
        <w:rPr>
          <w:rFonts w:asciiTheme="minorHAnsi" w:hAnsiTheme="minorHAnsi" w:cstheme="minorHAnsi"/>
          <w:i/>
          <w:sz w:val="40"/>
          <w:szCs w:val="40"/>
        </w:rPr>
        <w:t xml:space="preserve">: Education and Humanities </w:t>
      </w:r>
    </w:p>
    <w:p w14:paraId="792DBF77" w14:textId="77777777" w:rsidR="00AA7F72" w:rsidRPr="00F91581" w:rsidRDefault="00AA7F72" w:rsidP="00AA7F72">
      <w:pPr>
        <w:spacing w:line="480" w:lineRule="auto"/>
        <w:outlineLvl w:val="0"/>
        <w:rPr>
          <w:rFonts w:asciiTheme="minorHAnsi" w:hAnsiTheme="minorHAnsi" w:cstheme="minorHAnsi"/>
          <w:bCs/>
          <w:sz w:val="24"/>
          <w:szCs w:val="24"/>
        </w:rPr>
      </w:pPr>
      <w:bookmarkStart w:id="0" w:name="_Toc45110155"/>
      <w:bookmarkStart w:id="1" w:name="_Toc76631134"/>
      <w:r w:rsidRPr="00F91581">
        <w:rPr>
          <w:rFonts w:asciiTheme="minorHAnsi" w:hAnsiTheme="minorHAnsi" w:cstheme="minorHAnsi"/>
          <w:bCs/>
          <w:sz w:val="24"/>
          <w:szCs w:val="24"/>
        </w:rPr>
        <w:lastRenderedPageBreak/>
        <w:t>DECLARATION FORM</w:t>
      </w:r>
      <w:bookmarkEnd w:id="0"/>
      <w:bookmarkEnd w:id="1"/>
    </w:p>
    <w:p w14:paraId="6B173356" w14:textId="77777777" w:rsidR="00AA7F72" w:rsidRPr="004551F3" w:rsidRDefault="00AA7F72" w:rsidP="00AA7F72">
      <w:pPr>
        <w:rPr>
          <w:rFonts w:asciiTheme="minorHAnsi" w:hAnsiTheme="minorHAnsi" w:cstheme="minorHAnsi"/>
        </w:rPr>
      </w:pPr>
      <w:r w:rsidRPr="004551F3">
        <w:rPr>
          <w:rFonts w:asciiTheme="minorHAnsi" w:hAnsiTheme="minorHAnsi" w:cstheme="minorHAnsi"/>
          <w:noProof/>
        </w:rPr>
        <w:drawing>
          <wp:inline distT="0" distB="0" distL="0" distR="0" wp14:anchorId="68169D87" wp14:editId="46A64272">
            <wp:extent cx="2859405" cy="118046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741954DD" w14:textId="77777777" w:rsidR="00AA7F72" w:rsidRPr="004551F3" w:rsidRDefault="00AA7F72" w:rsidP="00AA7F72">
      <w:pPr>
        <w:jc w:val="center"/>
        <w:rPr>
          <w:rFonts w:asciiTheme="minorHAnsi" w:hAnsiTheme="minorHAnsi" w:cstheme="minorHAnsi"/>
        </w:rPr>
      </w:pPr>
    </w:p>
    <w:p w14:paraId="423A6F31" w14:textId="77777777" w:rsidR="00AA7F72" w:rsidRPr="00AA7F72" w:rsidRDefault="00AA7F72" w:rsidP="00AA7F72">
      <w:pPr>
        <w:rPr>
          <w:rFonts w:asciiTheme="minorHAnsi" w:hAnsiTheme="minorHAnsi" w:cstheme="minorHAnsi"/>
          <w:b/>
          <w:bCs/>
          <w:sz w:val="24"/>
          <w:szCs w:val="24"/>
        </w:rPr>
      </w:pPr>
      <w:r w:rsidRPr="00AA7F72">
        <w:rPr>
          <w:rFonts w:asciiTheme="minorHAnsi" w:hAnsiTheme="minorHAnsi" w:cstheme="minorHAnsi"/>
          <w:b/>
          <w:bCs/>
          <w:sz w:val="24"/>
          <w:szCs w:val="24"/>
        </w:rPr>
        <w:t>Name of the Programme of Study: BA (Hons) Youth Work and Social Education</w:t>
      </w:r>
    </w:p>
    <w:p w14:paraId="56C88397" w14:textId="77777777" w:rsidR="00AA7F72" w:rsidRPr="00AA7F72" w:rsidRDefault="00AA7F72" w:rsidP="00AA7F72">
      <w:pPr>
        <w:rPr>
          <w:rFonts w:asciiTheme="minorHAnsi" w:hAnsiTheme="minorHAnsi" w:cstheme="minorHAnsi"/>
          <w:b/>
          <w:bCs/>
          <w:sz w:val="24"/>
          <w:szCs w:val="24"/>
        </w:rPr>
      </w:pPr>
    </w:p>
    <w:p w14:paraId="656D1B0F" w14:textId="77777777" w:rsidR="00AA7F72" w:rsidRPr="00AA7F72" w:rsidRDefault="00AA7F72" w:rsidP="00AA7F72">
      <w:pPr>
        <w:rPr>
          <w:rFonts w:asciiTheme="minorHAnsi" w:hAnsiTheme="minorHAnsi" w:cstheme="minorHAnsi"/>
          <w:b/>
          <w:bCs/>
          <w:sz w:val="24"/>
          <w:szCs w:val="24"/>
        </w:rPr>
      </w:pPr>
      <w:r w:rsidRPr="00AA7F72">
        <w:rPr>
          <w:rFonts w:asciiTheme="minorHAnsi" w:hAnsiTheme="minorHAnsi" w:cstheme="minorHAnsi"/>
          <w:b/>
          <w:bCs/>
          <w:sz w:val="24"/>
          <w:szCs w:val="24"/>
        </w:rPr>
        <w:t>Name of Student (Capital Letters): SUSAN LINES</w:t>
      </w:r>
    </w:p>
    <w:p w14:paraId="111ACD6D" w14:textId="77777777" w:rsidR="00AA7F72" w:rsidRPr="004551F3" w:rsidRDefault="00AA7F72" w:rsidP="00AA7F72">
      <w:pPr>
        <w:rPr>
          <w:rFonts w:asciiTheme="minorHAnsi" w:hAnsiTheme="minorHAnsi" w:cstheme="minorHAnsi"/>
          <w:b/>
          <w:bCs/>
        </w:rPr>
      </w:pPr>
    </w:p>
    <w:p w14:paraId="4C478824" w14:textId="77777777" w:rsidR="00AA7F72" w:rsidRPr="00AA7F72" w:rsidRDefault="00AA7F72" w:rsidP="00AA7F72">
      <w:pPr>
        <w:rPr>
          <w:rFonts w:asciiTheme="minorHAnsi" w:hAnsiTheme="minorHAnsi" w:cstheme="minorHAnsi"/>
          <w:b/>
          <w:bCs/>
          <w:sz w:val="24"/>
          <w:szCs w:val="24"/>
        </w:rPr>
      </w:pPr>
      <w:r w:rsidRPr="00AA7F72">
        <w:rPr>
          <w:rFonts w:asciiTheme="minorHAnsi" w:hAnsiTheme="minorHAnsi" w:cstheme="minorHAnsi"/>
          <w:b/>
          <w:bCs/>
          <w:sz w:val="24"/>
          <w:szCs w:val="24"/>
        </w:rPr>
        <w:t>DECLARATION</w:t>
      </w:r>
    </w:p>
    <w:p w14:paraId="6F3EBA19" w14:textId="77777777" w:rsidR="00AA7F72" w:rsidRPr="00AA7F72" w:rsidRDefault="00AA7F72" w:rsidP="00AA7F72">
      <w:pPr>
        <w:rPr>
          <w:rFonts w:asciiTheme="minorHAnsi" w:hAnsiTheme="minorHAnsi" w:cstheme="minorHAnsi"/>
          <w:b/>
          <w:bCs/>
          <w:sz w:val="24"/>
          <w:szCs w:val="24"/>
        </w:rPr>
      </w:pPr>
    </w:p>
    <w:p w14:paraId="547635EF" w14:textId="77777777" w:rsidR="00AA7F72" w:rsidRPr="00AA7F72" w:rsidRDefault="00AA7F72" w:rsidP="00AA7F72">
      <w:pPr>
        <w:rPr>
          <w:rFonts w:asciiTheme="minorHAnsi" w:hAnsiTheme="minorHAnsi" w:cstheme="minorHAnsi"/>
          <w:b/>
          <w:bCs/>
          <w:sz w:val="24"/>
          <w:szCs w:val="24"/>
        </w:rPr>
      </w:pPr>
      <w:r w:rsidRPr="00AA7F72">
        <w:rPr>
          <w:rFonts w:asciiTheme="minorHAnsi" w:hAnsiTheme="minorHAnsi" w:cstheme="minorHAnsi"/>
          <w:b/>
          <w:bCs/>
          <w:sz w:val="24"/>
          <w:szCs w:val="24"/>
        </w:rPr>
        <w:t>I certify that the whole of this work is the result of my individual effort, and that all sources have been acknowledged.</w:t>
      </w:r>
    </w:p>
    <w:p w14:paraId="58D509D7" w14:textId="4F6F0AD7" w:rsidR="00AA7F72" w:rsidRPr="00AA7F72" w:rsidRDefault="00AA7F72" w:rsidP="00AA7F72">
      <w:pPr>
        <w:rPr>
          <w:rFonts w:asciiTheme="minorHAnsi" w:hAnsiTheme="minorHAnsi" w:cstheme="minorHAnsi"/>
          <w:b/>
          <w:bCs/>
          <w:sz w:val="24"/>
          <w:szCs w:val="24"/>
        </w:rPr>
      </w:pPr>
      <w:r>
        <w:rPr>
          <w:rFonts w:asciiTheme="minorHAnsi" w:hAnsiTheme="minorHAnsi" w:cstheme="minorHAnsi"/>
          <w:b/>
          <w:bCs/>
          <w:sz w:val="24"/>
          <w:szCs w:val="24"/>
        </w:rPr>
        <w:t>S</w:t>
      </w:r>
      <w:r w:rsidRPr="00AA7F72">
        <w:rPr>
          <w:rFonts w:asciiTheme="minorHAnsi" w:hAnsiTheme="minorHAnsi" w:cstheme="minorHAnsi"/>
          <w:b/>
          <w:bCs/>
          <w:sz w:val="24"/>
          <w:szCs w:val="24"/>
        </w:rPr>
        <w:t>igned</w:t>
      </w:r>
      <w:r>
        <w:rPr>
          <w:rFonts w:asciiTheme="minorHAnsi" w:hAnsiTheme="minorHAnsi" w:cstheme="minorHAnsi"/>
          <w:b/>
          <w:bCs/>
        </w:rPr>
        <w:t xml:space="preserve">   </w:t>
      </w:r>
      <w:r w:rsidRPr="004551F3">
        <w:rPr>
          <w:rFonts w:asciiTheme="minorHAnsi" w:hAnsiTheme="minorHAnsi" w:cstheme="minorHAnsi"/>
          <w:b/>
          <w:bCs/>
        </w:rPr>
        <w:t xml:space="preserve"> </w:t>
      </w:r>
      <w:r>
        <w:rPr>
          <w:rFonts w:ascii="Bradley Hand ITC" w:hAnsi="Bradley Hand ITC" w:cstheme="minorHAnsi"/>
          <w:b/>
          <w:bCs/>
          <w:sz w:val="56"/>
          <w:szCs w:val="56"/>
        </w:rPr>
        <w:t>Sue Lines</w:t>
      </w:r>
      <w:proofErr w:type="gramStart"/>
      <w:r w:rsidRPr="004551F3">
        <w:rPr>
          <w:rFonts w:asciiTheme="minorHAnsi" w:hAnsiTheme="minorHAnsi" w:cstheme="minorHAnsi"/>
          <w:b/>
          <w:bCs/>
        </w:rPr>
        <w:t xml:space="preserve"> </w:t>
      </w:r>
      <w:r>
        <w:rPr>
          <w:rFonts w:asciiTheme="minorHAnsi" w:hAnsiTheme="minorHAnsi" w:cstheme="minorHAnsi"/>
          <w:b/>
          <w:bCs/>
        </w:rPr>
        <w:t xml:space="preserve">  </w:t>
      </w:r>
      <w:r w:rsidRPr="00AA7F72">
        <w:rPr>
          <w:rFonts w:asciiTheme="minorHAnsi" w:hAnsiTheme="minorHAnsi" w:cstheme="minorHAnsi"/>
          <w:b/>
          <w:bCs/>
          <w:sz w:val="24"/>
          <w:szCs w:val="24"/>
        </w:rPr>
        <w:t>(</w:t>
      </w:r>
      <w:proofErr w:type="gramEnd"/>
      <w:r w:rsidRPr="00AA7F72">
        <w:rPr>
          <w:rFonts w:asciiTheme="minorHAnsi" w:hAnsiTheme="minorHAnsi" w:cstheme="minorHAnsi"/>
          <w:b/>
          <w:bCs/>
          <w:sz w:val="24"/>
          <w:szCs w:val="24"/>
        </w:rPr>
        <w:t>Student)</w:t>
      </w:r>
    </w:p>
    <w:p w14:paraId="68869904" w14:textId="77777777" w:rsidR="00AA7F72" w:rsidRPr="00AA7F72" w:rsidRDefault="00AA7F72" w:rsidP="00AA7F72">
      <w:pPr>
        <w:rPr>
          <w:rFonts w:asciiTheme="minorHAnsi" w:hAnsiTheme="minorHAnsi" w:cstheme="minorHAnsi"/>
          <w:b/>
          <w:bCs/>
          <w:sz w:val="24"/>
          <w:szCs w:val="24"/>
        </w:rPr>
      </w:pPr>
      <w:r w:rsidRPr="00AA7F72">
        <w:rPr>
          <w:rFonts w:asciiTheme="minorHAnsi" w:hAnsiTheme="minorHAnsi" w:cstheme="minorHAnsi"/>
          <w:b/>
          <w:bCs/>
          <w:sz w:val="24"/>
          <w:szCs w:val="24"/>
        </w:rPr>
        <w:t>Date        9</w:t>
      </w:r>
      <w:r w:rsidRPr="00AA7F72">
        <w:rPr>
          <w:rFonts w:asciiTheme="minorHAnsi" w:hAnsiTheme="minorHAnsi" w:cstheme="minorHAnsi"/>
          <w:b/>
          <w:bCs/>
          <w:sz w:val="24"/>
          <w:szCs w:val="24"/>
          <w:vertAlign w:val="superscript"/>
        </w:rPr>
        <w:t>th</w:t>
      </w:r>
      <w:r w:rsidRPr="00AA7F72">
        <w:rPr>
          <w:rFonts w:asciiTheme="minorHAnsi" w:hAnsiTheme="minorHAnsi" w:cstheme="minorHAnsi"/>
          <w:b/>
          <w:bCs/>
          <w:sz w:val="24"/>
          <w:szCs w:val="24"/>
        </w:rPr>
        <w:t xml:space="preserve"> July 2021</w:t>
      </w:r>
    </w:p>
    <w:p w14:paraId="541630F9" w14:textId="77777777" w:rsidR="00AA7F72" w:rsidRPr="00AA7F72" w:rsidRDefault="00AA7F72" w:rsidP="00AA7F72">
      <w:pPr>
        <w:rPr>
          <w:rFonts w:asciiTheme="minorHAnsi" w:hAnsiTheme="minorHAnsi" w:cstheme="minorHAnsi"/>
          <w:b/>
          <w:bCs/>
          <w:sz w:val="24"/>
          <w:szCs w:val="24"/>
        </w:rPr>
      </w:pPr>
    </w:p>
    <w:p w14:paraId="72619F63" w14:textId="77777777" w:rsidR="00AA7F72" w:rsidRPr="00AA7F72" w:rsidRDefault="00AA7F72" w:rsidP="00AA7F72">
      <w:pPr>
        <w:rPr>
          <w:rFonts w:asciiTheme="minorHAnsi" w:hAnsiTheme="minorHAnsi" w:cstheme="minorHAnsi"/>
          <w:b/>
          <w:bCs/>
          <w:sz w:val="24"/>
          <w:szCs w:val="24"/>
        </w:rPr>
      </w:pPr>
      <w:r w:rsidRPr="00AA7F72">
        <w:rPr>
          <w:rFonts w:asciiTheme="minorHAnsi" w:hAnsiTheme="minorHAnsi" w:cstheme="minorHAnsi"/>
          <w:b/>
          <w:bCs/>
          <w:sz w:val="24"/>
          <w:szCs w:val="24"/>
        </w:rPr>
        <w:t>DECLARATION</w:t>
      </w:r>
    </w:p>
    <w:p w14:paraId="18C8EF43" w14:textId="77777777" w:rsidR="00AA7F72" w:rsidRPr="00AA7F72" w:rsidRDefault="00AA7F72" w:rsidP="00AA7F72">
      <w:pPr>
        <w:rPr>
          <w:rFonts w:asciiTheme="minorHAnsi" w:hAnsiTheme="minorHAnsi" w:cstheme="minorHAnsi"/>
          <w:b/>
          <w:bCs/>
          <w:sz w:val="24"/>
          <w:szCs w:val="24"/>
        </w:rPr>
      </w:pPr>
      <w:r w:rsidRPr="00AA7F72">
        <w:rPr>
          <w:rFonts w:asciiTheme="minorHAnsi" w:hAnsiTheme="minorHAnsi" w:cstheme="minorHAnsi"/>
          <w:b/>
          <w:bCs/>
          <w:sz w:val="24"/>
          <w:szCs w:val="24"/>
        </w:rPr>
        <w:t xml:space="preserve">I am satisfied that this work is the result of the </w:t>
      </w:r>
      <w:proofErr w:type="gramStart"/>
      <w:r w:rsidRPr="00AA7F72">
        <w:rPr>
          <w:rFonts w:asciiTheme="minorHAnsi" w:hAnsiTheme="minorHAnsi" w:cstheme="minorHAnsi"/>
          <w:b/>
          <w:bCs/>
          <w:sz w:val="24"/>
          <w:szCs w:val="24"/>
        </w:rPr>
        <w:t>Student’s</w:t>
      </w:r>
      <w:proofErr w:type="gramEnd"/>
      <w:r w:rsidRPr="00AA7F72">
        <w:rPr>
          <w:rFonts w:asciiTheme="minorHAnsi" w:hAnsiTheme="minorHAnsi" w:cstheme="minorHAnsi"/>
          <w:b/>
          <w:bCs/>
          <w:sz w:val="24"/>
          <w:szCs w:val="24"/>
        </w:rPr>
        <w:t xml:space="preserve"> effort.</w:t>
      </w:r>
    </w:p>
    <w:p w14:paraId="6F8FAC9D" w14:textId="77777777" w:rsidR="00AA7F72" w:rsidRPr="00AA7F72" w:rsidRDefault="00AA7F72" w:rsidP="00AA7F72">
      <w:pPr>
        <w:rPr>
          <w:rFonts w:asciiTheme="minorHAnsi" w:hAnsiTheme="minorHAnsi" w:cstheme="minorHAnsi"/>
          <w:b/>
          <w:bCs/>
          <w:sz w:val="24"/>
          <w:szCs w:val="24"/>
        </w:rPr>
      </w:pPr>
    </w:p>
    <w:p w14:paraId="75DDE39D" w14:textId="77777777" w:rsidR="00AA7F72" w:rsidRPr="00AA7F72" w:rsidRDefault="00AA7F72" w:rsidP="00AA7F72">
      <w:pPr>
        <w:rPr>
          <w:rFonts w:asciiTheme="minorHAnsi" w:hAnsiTheme="minorHAnsi" w:cstheme="minorHAnsi"/>
          <w:b/>
          <w:bCs/>
          <w:sz w:val="24"/>
          <w:szCs w:val="24"/>
        </w:rPr>
      </w:pPr>
      <w:r w:rsidRPr="00AA7F72">
        <w:rPr>
          <w:rFonts w:asciiTheme="minorHAnsi" w:hAnsiTheme="minorHAnsi" w:cstheme="minorHAnsi"/>
          <w:b/>
          <w:bCs/>
          <w:sz w:val="24"/>
          <w:szCs w:val="24"/>
        </w:rPr>
        <w:t>Signed .............................................................. (Lecturer)</w:t>
      </w:r>
    </w:p>
    <w:p w14:paraId="7AEECDD7" w14:textId="77777777" w:rsidR="00AA7F72" w:rsidRDefault="00AA7F72" w:rsidP="00AA7F72">
      <w:pPr>
        <w:rPr>
          <w:rFonts w:asciiTheme="minorHAnsi" w:hAnsiTheme="minorHAnsi" w:cstheme="minorHAnsi"/>
          <w:b/>
          <w:bCs/>
          <w:sz w:val="24"/>
          <w:szCs w:val="24"/>
        </w:rPr>
      </w:pPr>
    </w:p>
    <w:p w14:paraId="3749DC6E" w14:textId="77777777" w:rsidR="00AA7F72" w:rsidRDefault="00AA7F72" w:rsidP="00AA7F72">
      <w:pPr>
        <w:rPr>
          <w:rFonts w:asciiTheme="minorHAnsi" w:hAnsiTheme="minorHAnsi" w:cstheme="minorHAnsi"/>
          <w:b/>
          <w:bCs/>
          <w:sz w:val="24"/>
          <w:szCs w:val="24"/>
        </w:rPr>
      </w:pPr>
      <w:r w:rsidRPr="00AA7F72">
        <w:rPr>
          <w:rFonts w:asciiTheme="minorHAnsi" w:hAnsiTheme="minorHAnsi" w:cstheme="minorHAnsi"/>
          <w:b/>
          <w:bCs/>
          <w:sz w:val="24"/>
          <w:szCs w:val="24"/>
        </w:rPr>
        <w:t>Date     ..............................................................</w:t>
      </w:r>
    </w:p>
    <w:sdt>
      <w:sdtPr>
        <w:rPr>
          <w:rFonts w:ascii="Calibri" w:eastAsia="Calibri" w:hAnsi="Calibri" w:cstheme="minorBidi"/>
          <w:color w:val="00000A"/>
          <w:sz w:val="22"/>
          <w:szCs w:val="22"/>
          <w:lang w:val="en-GB"/>
        </w:rPr>
        <w:id w:val="-1469428317"/>
        <w:docPartObj>
          <w:docPartGallery w:val="Table of Contents"/>
          <w:docPartUnique/>
        </w:docPartObj>
      </w:sdtPr>
      <w:sdtEndPr>
        <w:rPr>
          <w:b/>
          <w:bCs/>
          <w:noProof/>
        </w:rPr>
      </w:sdtEndPr>
      <w:sdtContent>
        <w:p w14:paraId="1C193803" w14:textId="49012E51" w:rsidR="001D5CAE" w:rsidRDefault="001D5CAE">
          <w:pPr>
            <w:pStyle w:val="TOCHeading"/>
          </w:pPr>
          <w:r>
            <w:t>Table of Contents</w:t>
          </w:r>
        </w:p>
        <w:p w14:paraId="7AD4246C" w14:textId="70B011A3" w:rsidR="00345F04" w:rsidRDefault="001D5CAE">
          <w:pPr>
            <w:pStyle w:val="TOC1"/>
            <w:rPr>
              <w:rFonts w:asciiTheme="minorHAnsi" w:eastAsiaTheme="minorEastAsia" w:hAnsiTheme="minorHAnsi" w:cstheme="minorBidi"/>
              <w:b w:val="0"/>
              <w:bCs w:val="0"/>
              <w:color w:val="auto"/>
              <w:lang w:eastAsia="en-GB"/>
            </w:rPr>
          </w:pPr>
          <w:r w:rsidRPr="001D5CAE">
            <w:rPr>
              <w:noProof w:val="0"/>
              <w:sz w:val="24"/>
              <w:szCs w:val="24"/>
            </w:rPr>
            <w:fldChar w:fldCharType="begin"/>
          </w:r>
          <w:r w:rsidRPr="001D5CAE">
            <w:rPr>
              <w:sz w:val="24"/>
              <w:szCs w:val="24"/>
            </w:rPr>
            <w:instrText xml:space="preserve"> TOC \o "1-3" \h \z \u </w:instrText>
          </w:r>
          <w:r w:rsidRPr="001D5CAE">
            <w:rPr>
              <w:noProof w:val="0"/>
              <w:sz w:val="24"/>
              <w:szCs w:val="24"/>
            </w:rPr>
            <w:fldChar w:fldCharType="separate"/>
          </w:r>
          <w:hyperlink w:anchor="_Toc76631134" w:history="1">
            <w:r w:rsidR="00345F04" w:rsidRPr="00A53D57">
              <w:rPr>
                <w:rStyle w:val="Hyperlink"/>
                <w:rFonts w:cstheme="minorHAnsi"/>
              </w:rPr>
              <w:t>DECLARATION FORM</w:t>
            </w:r>
            <w:r w:rsidR="00345F04">
              <w:rPr>
                <w:webHidden/>
              </w:rPr>
              <w:tab/>
            </w:r>
            <w:r w:rsidR="00345F04">
              <w:rPr>
                <w:webHidden/>
              </w:rPr>
              <w:fldChar w:fldCharType="begin"/>
            </w:r>
            <w:r w:rsidR="00345F04">
              <w:rPr>
                <w:webHidden/>
              </w:rPr>
              <w:instrText xml:space="preserve"> PAGEREF _Toc76631134 \h </w:instrText>
            </w:r>
            <w:r w:rsidR="00345F04">
              <w:rPr>
                <w:webHidden/>
              </w:rPr>
            </w:r>
            <w:r w:rsidR="00345F04">
              <w:rPr>
                <w:webHidden/>
              </w:rPr>
              <w:fldChar w:fldCharType="separate"/>
            </w:r>
            <w:r w:rsidR="00345F04">
              <w:rPr>
                <w:webHidden/>
              </w:rPr>
              <w:t>2</w:t>
            </w:r>
            <w:r w:rsidR="00345F04">
              <w:rPr>
                <w:webHidden/>
              </w:rPr>
              <w:fldChar w:fldCharType="end"/>
            </w:r>
          </w:hyperlink>
        </w:p>
        <w:p w14:paraId="378632CE" w14:textId="43AA0A5B" w:rsidR="00345F04" w:rsidRDefault="005B76E4">
          <w:pPr>
            <w:pStyle w:val="TOC1"/>
            <w:rPr>
              <w:rFonts w:asciiTheme="minorHAnsi" w:eastAsiaTheme="minorEastAsia" w:hAnsiTheme="minorHAnsi" w:cstheme="minorBidi"/>
              <w:b w:val="0"/>
              <w:bCs w:val="0"/>
              <w:color w:val="auto"/>
              <w:lang w:eastAsia="en-GB"/>
            </w:rPr>
          </w:pPr>
          <w:hyperlink w:anchor="_Toc76631135" w:history="1">
            <w:r w:rsidR="00345F04" w:rsidRPr="00A53D57">
              <w:rPr>
                <w:rStyle w:val="Hyperlink"/>
              </w:rPr>
              <w:t>Acknowledgements</w:t>
            </w:r>
            <w:r w:rsidR="00345F04">
              <w:rPr>
                <w:webHidden/>
              </w:rPr>
              <w:tab/>
            </w:r>
            <w:r w:rsidR="00345F04">
              <w:rPr>
                <w:webHidden/>
              </w:rPr>
              <w:fldChar w:fldCharType="begin"/>
            </w:r>
            <w:r w:rsidR="00345F04">
              <w:rPr>
                <w:webHidden/>
              </w:rPr>
              <w:instrText xml:space="preserve"> PAGEREF _Toc76631135 \h </w:instrText>
            </w:r>
            <w:r w:rsidR="00345F04">
              <w:rPr>
                <w:webHidden/>
              </w:rPr>
            </w:r>
            <w:r w:rsidR="00345F04">
              <w:rPr>
                <w:webHidden/>
              </w:rPr>
              <w:fldChar w:fldCharType="separate"/>
            </w:r>
            <w:r w:rsidR="00345F04">
              <w:rPr>
                <w:webHidden/>
              </w:rPr>
              <w:t>4</w:t>
            </w:r>
            <w:r w:rsidR="00345F04">
              <w:rPr>
                <w:webHidden/>
              </w:rPr>
              <w:fldChar w:fldCharType="end"/>
            </w:r>
          </w:hyperlink>
        </w:p>
        <w:p w14:paraId="3257CE25" w14:textId="0D1A17A7" w:rsidR="00345F04" w:rsidRDefault="005B76E4">
          <w:pPr>
            <w:pStyle w:val="TOC1"/>
            <w:rPr>
              <w:rFonts w:asciiTheme="minorHAnsi" w:eastAsiaTheme="minorEastAsia" w:hAnsiTheme="minorHAnsi" w:cstheme="minorBidi"/>
              <w:b w:val="0"/>
              <w:bCs w:val="0"/>
              <w:color w:val="auto"/>
              <w:lang w:eastAsia="en-GB"/>
            </w:rPr>
          </w:pPr>
          <w:hyperlink w:anchor="_Toc76631136" w:history="1">
            <w:r w:rsidR="00345F04" w:rsidRPr="00A53D57">
              <w:rPr>
                <w:rStyle w:val="Hyperlink"/>
              </w:rPr>
              <w:t>Acronyms</w:t>
            </w:r>
            <w:r w:rsidR="00345F04">
              <w:rPr>
                <w:webHidden/>
              </w:rPr>
              <w:tab/>
            </w:r>
            <w:r w:rsidR="00345F04">
              <w:rPr>
                <w:webHidden/>
              </w:rPr>
              <w:fldChar w:fldCharType="begin"/>
            </w:r>
            <w:r w:rsidR="00345F04">
              <w:rPr>
                <w:webHidden/>
              </w:rPr>
              <w:instrText xml:space="preserve"> PAGEREF _Toc76631136 \h </w:instrText>
            </w:r>
            <w:r w:rsidR="00345F04">
              <w:rPr>
                <w:webHidden/>
              </w:rPr>
            </w:r>
            <w:r w:rsidR="00345F04">
              <w:rPr>
                <w:webHidden/>
              </w:rPr>
              <w:fldChar w:fldCharType="separate"/>
            </w:r>
            <w:r w:rsidR="00345F04">
              <w:rPr>
                <w:webHidden/>
              </w:rPr>
              <w:t>5</w:t>
            </w:r>
            <w:r w:rsidR="00345F04">
              <w:rPr>
                <w:webHidden/>
              </w:rPr>
              <w:fldChar w:fldCharType="end"/>
            </w:r>
          </w:hyperlink>
        </w:p>
        <w:p w14:paraId="6D8C3BF4" w14:textId="045AC5ED" w:rsidR="00345F04" w:rsidRDefault="005B76E4">
          <w:pPr>
            <w:pStyle w:val="TOC1"/>
            <w:rPr>
              <w:rFonts w:asciiTheme="minorHAnsi" w:eastAsiaTheme="minorEastAsia" w:hAnsiTheme="minorHAnsi" w:cstheme="minorBidi"/>
              <w:b w:val="0"/>
              <w:bCs w:val="0"/>
              <w:color w:val="auto"/>
              <w:lang w:eastAsia="en-GB"/>
            </w:rPr>
          </w:pPr>
          <w:hyperlink w:anchor="_Toc76631137" w:history="1">
            <w:r w:rsidR="00345F04" w:rsidRPr="00A53D57">
              <w:rPr>
                <w:rStyle w:val="Hyperlink"/>
              </w:rPr>
              <w:t>1.0 Introduction</w:t>
            </w:r>
            <w:r w:rsidR="00345F04">
              <w:rPr>
                <w:webHidden/>
              </w:rPr>
              <w:tab/>
            </w:r>
            <w:r w:rsidR="00345F04">
              <w:rPr>
                <w:webHidden/>
              </w:rPr>
              <w:fldChar w:fldCharType="begin"/>
            </w:r>
            <w:r w:rsidR="00345F04">
              <w:rPr>
                <w:webHidden/>
              </w:rPr>
              <w:instrText xml:space="preserve"> PAGEREF _Toc76631137 \h </w:instrText>
            </w:r>
            <w:r w:rsidR="00345F04">
              <w:rPr>
                <w:webHidden/>
              </w:rPr>
            </w:r>
            <w:r w:rsidR="00345F04">
              <w:rPr>
                <w:webHidden/>
              </w:rPr>
              <w:fldChar w:fldCharType="separate"/>
            </w:r>
            <w:r w:rsidR="00345F04">
              <w:rPr>
                <w:webHidden/>
              </w:rPr>
              <w:t>6</w:t>
            </w:r>
            <w:r w:rsidR="00345F04">
              <w:rPr>
                <w:webHidden/>
              </w:rPr>
              <w:fldChar w:fldCharType="end"/>
            </w:r>
          </w:hyperlink>
        </w:p>
        <w:p w14:paraId="37E4E9AA" w14:textId="5F20B4D7" w:rsidR="00345F04" w:rsidRDefault="005B76E4">
          <w:pPr>
            <w:pStyle w:val="TOC1"/>
            <w:rPr>
              <w:rFonts w:asciiTheme="minorHAnsi" w:eastAsiaTheme="minorEastAsia" w:hAnsiTheme="minorHAnsi" w:cstheme="minorBidi"/>
              <w:b w:val="0"/>
              <w:bCs w:val="0"/>
              <w:color w:val="auto"/>
              <w:lang w:eastAsia="en-GB"/>
            </w:rPr>
          </w:pPr>
          <w:hyperlink w:anchor="_Toc76631138" w:history="1">
            <w:r w:rsidR="00345F04" w:rsidRPr="00A53D57">
              <w:rPr>
                <w:rStyle w:val="Hyperlink"/>
              </w:rPr>
              <w:t>2.0 Literature Review</w:t>
            </w:r>
            <w:r w:rsidR="00345F04">
              <w:rPr>
                <w:webHidden/>
              </w:rPr>
              <w:tab/>
            </w:r>
            <w:r w:rsidR="00345F04">
              <w:rPr>
                <w:webHidden/>
              </w:rPr>
              <w:fldChar w:fldCharType="begin"/>
            </w:r>
            <w:r w:rsidR="00345F04">
              <w:rPr>
                <w:webHidden/>
              </w:rPr>
              <w:instrText xml:space="preserve"> PAGEREF _Toc76631138 \h </w:instrText>
            </w:r>
            <w:r w:rsidR="00345F04">
              <w:rPr>
                <w:webHidden/>
              </w:rPr>
            </w:r>
            <w:r w:rsidR="00345F04">
              <w:rPr>
                <w:webHidden/>
              </w:rPr>
              <w:fldChar w:fldCharType="separate"/>
            </w:r>
            <w:r w:rsidR="00345F04">
              <w:rPr>
                <w:webHidden/>
              </w:rPr>
              <w:t>13</w:t>
            </w:r>
            <w:r w:rsidR="00345F04">
              <w:rPr>
                <w:webHidden/>
              </w:rPr>
              <w:fldChar w:fldCharType="end"/>
            </w:r>
          </w:hyperlink>
        </w:p>
        <w:p w14:paraId="63E4F97E" w14:textId="1B9AAE7B" w:rsidR="00345F04" w:rsidRDefault="005B76E4">
          <w:pPr>
            <w:pStyle w:val="TOC2"/>
            <w:tabs>
              <w:tab w:val="right" w:leader="dot" w:pos="9016"/>
            </w:tabs>
            <w:rPr>
              <w:rFonts w:asciiTheme="minorHAnsi" w:eastAsiaTheme="minorEastAsia" w:hAnsiTheme="minorHAnsi"/>
              <w:noProof/>
              <w:color w:val="auto"/>
              <w:lang w:eastAsia="en-GB"/>
            </w:rPr>
          </w:pPr>
          <w:hyperlink w:anchor="_Toc76631139" w:history="1">
            <w:r w:rsidR="00345F04" w:rsidRPr="00A53D57">
              <w:rPr>
                <w:rStyle w:val="Hyperlink"/>
                <w:noProof/>
              </w:rPr>
              <w:t>2.1 Introduction</w:t>
            </w:r>
            <w:r w:rsidR="00345F04">
              <w:rPr>
                <w:noProof/>
                <w:webHidden/>
              </w:rPr>
              <w:tab/>
            </w:r>
            <w:r w:rsidR="00345F04">
              <w:rPr>
                <w:noProof/>
                <w:webHidden/>
              </w:rPr>
              <w:fldChar w:fldCharType="begin"/>
            </w:r>
            <w:r w:rsidR="00345F04">
              <w:rPr>
                <w:noProof/>
                <w:webHidden/>
              </w:rPr>
              <w:instrText xml:space="preserve"> PAGEREF _Toc76631139 \h </w:instrText>
            </w:r>
            <w:r w:rsidR="00345F04">
              <w:rPr>
                <w:noProof/>
                <w:webHidden/>
              </w:rPr>
            </w:r>
            <w:r w:rsidR="00345F04">
              <w:rPr>
                <w:noProof/>
                <w:webHidden/>
              </w:rPr>
              <w:fldChar w:fldCharType="separate"/>
            </w:r>
            <w:r w:rsidR="00345F04">
              <w:rPr>
                <w:noProof/>
                <w:webHidden/>
              </w:rPr>
              <w:t>13</w:t>
            </w:r>
            <w:r w:rsidR="00345F04">
              <w:rPr>
                <w:noProof/>
                <w:webHidden/>
              </w:rPr>
              <w:fldChar w:fldCharType="end"/>
            </w:r>
          </w:hyperlink>
        </w:p>
        <w:p w14:paraId="624455B3" w14:textId="5D397EA0" w:rsidR="00345F04" w:rsidRDefault="005B76E4">
          <w:pPr>
            <w:pStyle w:val="TOC2"/>
            <w:tabs>
              <w:tab w:val="right" w:leader="dot" w:pos="9016"/>
            </w:tabs>
            <w:rPr>
              <w:rFonts w:asciiTheme="minorHAnsi" w:eastAsiaTheme="minorEastAsia" w:hAnsiTheme="minorHAnsi"/>
              <w:noProof/>
              <w:color w:val="auto"/>
              <w:lang w:eastAsia="en-GB"/>
            </w:rPr>
          </w:pPr>
          <w:hyperlink w:anchor="_Toc76631140" w:history="1">
            <w:r w:rsidR="00345F04" w:rsidRPr="00A53D57">
              <w:rPr>
                <w:rStyle w:val="Hyperlink"/>
                <w:noProof/>
              </w:rPr>
              <w:t>2.2 Cognitive Development</w:t>
            </w:r>
            <w:r w:rsidR="00345F04">
              <w:rPr>
                <w:noProof/>
                <w:webHidden/>
              </w:rPr>
              <w:tab/>
            </w:r>
            <w:r w:rsidR="00345F04">
              <w:rPr>
                <w:noProof/>
                <w:webHidden/>
              </w:rPr>
              <w:fldChar w:fldCharType="begin"/>
            </w:r>
            <w:r w:rsidR="00345F04">
              <w:rPr>
                <w:noProof/>
                <w:webHidden/>
              </w:rPr>
              <w:instrText xml:space="preserve"> PAGEREF _Toc76631140 \h </w:instrText>
            </w:r>
            <w:r w:rsidR="00345F04">
              <w:rPr>
                <w:noProof/>
                <w:webHidden/>
              </w:rPr>
            </w:r>
            <w:r w:rsidR="00345F04">
              <w:rPr>
                <w:noProof/>
                <w:webHidden/>
              </w:rPr>
              <w:fldChar w:fldCharType="separate"/>
            </w:r>
            <w:r w:rsidR="00345F04">
              <w:rPr>
                <w:noProof/>
                <w:webHidden/>
              </w:rPr>
              <w:t>14</w:t>
            </w:r>
            <w:r w:rsidR="00345F04">
              <w:rPr>
                <w:noProof/>
                <w:webHidden/>
              </w:rPr>
              <w:fldChar w:fldCharType="end"/>
            </w:r>
          </w:hyperlink>
        </w:p>
        <w:p w14:paraId="7298A8B0" w14:textId="078865BC" w:rsidR="00345F04" w:rsidRDefault="005B76E4">
          <w:pPr>
            <w:pStyle w:val="TOC2"/>
            <w:tabs>
              <w:tab w:val="right" w:leader="dot" w:pos="9016"/>
            </w:tabs>
            <w:rPr>
              <w:rFonts w:asciiTheme="minorHAnsi" w:eastAsiaTheme="minorEastAsia" w:hAnsiTheme="minorHAnsi"/>
              <w:noProof/>
              <w:color w:val="auto"/>
              <w:lang w:eastAsia="en-GB"/>
            </w:rPr>
          </w:pPr>
          <w:hyperlink w:anchor="_Toc76631141" w:history="1">
            <w:r w:rsidR="00345F04" w:rsidRPr="00A53D57">
              <w:rPr>
                <w:rStyle w:val="Hyperlink"/>
                <w:noProof/>
              </w:rPr>
              <w:t>2.3 Puberty</w:t>
            </w:r>
            <w:r w:rsidR="00345F04">
              <w:rPr>
                <w:noProof/>
                <w:webHidden/>
              </w:rPr>
              <w:tab/>
            </w:r>
            <w:r w:rsidR="00345F04">
              <w:rPr>
                <w:noProof/>
                <w:webHidden/>
              </w:rPr>
              <w:fldChar w:fldCharType="begin"/>
            </w:r>
            <w:r w:rsidR="00345F04">
              <w:rPr>
                <w:noProof/>
                <w:webHidden/>
              </w:rPr>
              <w:instrText xml:space="preserve"> PAGEREF _Toc76631141 \h </w:instrText>
            </w:r>
            <w:r w:rsidR="00345F04">
              <w:rPr>
                <w:noProof/>
                <w:webHidden/>
              </w:rPr>
            </w:r>
            <w:r w:rsidR="00345F04">
              <w:rPr>
                <w:noProof/>
                <w:webHidden/>
              </w:rPr>
              <w:fldChar w:fldCharType="separate"/>
            </w:r>
            <w:r w:rsidR="00345F04">
              <w:rPr>
                <w:noProof/>
                <w:webHidden/>
              </w:rPr>
              <w:t>21</w:t>
            </w:r>
            <w:r w:rsidR="00345F04">
              <w:rPr>
                <w:noProof/>
                <w:webHidden/>
              </w:rPr>
              <w:fldChar w:fldCharType="end"/>
            </w:r>
          </w:hyperlink>
        </w:p>
        <w:p w14:paraId="658C6105" w14:textId="35C4D42D" w:rsidR="00345F04" w:rsidRDefault="005B76E4">
          <w:pPr>
            <w:pStyle w:val="TOC2"/>
            <w:tabs>
              <w:tab w:val="right" w:leader="dot" w:pos="9016"/>
            </w:tabs>
            <w:rPr>
              <w:rFonts w:asciiTheme="minorHAnsi" w:eastAsiaTheme="minorEastAsia" w:hAnsiTheme="minorHAnsi"/>
              <w:noProof/>
              <w:color w:val="auto"/>
              <w:lang w:eastAsia="en-GB"/>
            </w:rPr>
          </w:pPr>
          <w:hyperlink w:anchor="_Toc76631142" w:history="1">
            <w:r w:rsidR="00345F04" w:rsidRPr="00A53D57">
              <w:rPr>
                <w:rStyle w:val="Hyperlink"/>
                <w:noProof/>
              </w:rPr>
              <w:t>2.4 Mental Health</w:t>
            </w:r>
            <w:r w:rsidR="00345F04">
              <w:rPr>
                <w:noProof/>
                <w:webHidden/>
              </w:rPr>
              <w:tab/>
            </w:r>
            <w:r w:rsidR="00345F04">
              <w:rPr>
                <w:noProof/>
                <w:webHidden/>
              </w:rPr>
              <w:fldChar w:fldCharType="begin"/>
            </w:r>
            <w:r w:rsidR="00345F04">
              <w:rPr>
                <w:noProof/>
                <w:webHidden/>
              </w:rPr>
              <w:instrText xml:space="preserve"> PAGEREF _Toc76631142 \h </w:instrText>
            </w:r>
            <w:r w:rsidR="00345F04">
              <w:rPr>
                <w:noProof/>
                <w:webHidden/>
              </w:rPr>
            </w:r>
            <w:r w:rsidR="00345F04">
              <w:rPr>
                <w:noProof/>
                <w:webHidden/>
              </w:rPr>
              <w:fldChar w:fldCharType="separate"/>
            </w:r>
            <w:r w:rsidR="00345F04">
              <w:rPr>
                <w:noProof/>
                <w:webHidden/>
              </w:rPr>
              <w:t>27</w:t>
            </w:r>
            <w:r w:rsidR="00345F04">
              <w:rPr>
                <w:noProof/>
                <w:webHidden/>
              </w:rPr>
              <w:fldChar w:fldCharType="end"/>
            </w:r>
          </w:hyperlink>
        </w:p>
        <w:p w14:paraId="5572EB09" w14:textId="19117E21" w:rsidR="00345F04" w:rsidRDefault="005B76E4">
          <w:pPr>
            <w:pStyle w:val="TOC2"/>
            <w:tabs>
              <w:tab w:val="right" w:leader="dot" w:pos="9016"/>
            </w:tabs>
            <w:rPr>
              <w:rFonts w:asciiTheme="minorHAnsi" w:eastAsiaTheme="minorEastAsia" w:hAnsiTheme="minorHAnsi"/>
              <w:noProof/>
              <w:color w:val="auto"/>
              <w:lang w:eastAsia="en-GB"/>
            </w:rPr>
          </w:pPr>
          <w:hyperlink w:anchor="_Toc76631143" w:history="1">
            <w:r w:rsidR="00345F04" w:rsidRPr="00A53D57">
              <w:rPr>
                <w:rStyle w:val="Hyperlink"/>
                <w:noProof/>
              </w:rPr>
              <w:t>2.5 Peer Influence</w:t>
            </w:r>
            <w:r w:rsidR="00345F04">
              <w:rPr>
                <w:noProof/>
                <w:webHidden/>
              </w:rPr>
              <w:tab/>
            </w:r>
            <w:r w:rsidR="00345F04">
              <w:rPr>
                <w:noProof/>
                <w:webHidden/>
              </w:rPr>
              <w:fldChar w:fldCharType="begin"/>
            </w:r>
            <w:r w:rsidR="00345F04">
              <w:rPr>
                <w:noProof/>
                <w:webHidden/>
              </w:rPr>
              <w:instrText xml:space="preserve"> PAGEREF _Toc76631143 \h </w:instrText>
            </w:r>
            <w:r w:rsidR="00345F04">
              <w:rPr>
                <w:noProof/>
                <w:webHidden/>
              </w:rPr>
            </w:r>
            <w:r w:rsidR="00345F04">
              <w:rPr>
                <w:noProof/>
                <w:webHidden/>
              </w:rPr>
              <w:fldChar w:fldCharType="separate"/>
            </w:r>
            <w:r w:rsidR="00345F04">
              <w:rPr>
                <w:noProof/>
                <w:webHidden/>
              </w:rPr>
              <w:t>33</w:t>
            </w:r>
            <w:r w:rsidR="00345F04">
              <w:rPr>
                <w:noProof/>
                <w:webHidden/>
              </w:rPr>
              <w:fldChar w:fldCharType="end"/>
            </w:r>
          </w:hyperlink>
        </w:p>
        <w:p w14:paraId="34AF9987" w14:textId="1A0DB043" w:rsidR="00345F04" w:rsidRDefault="005B76E4">
          <w:pPr>
            <w:pStyle w:val="TOC2"/>
            <w:tabs>
              <w:tab w:val="right" w:leader="dot" w:pos="9016"/>
            </w:tabs>
            <w:rPr>
              <w:rFonts w:asciiTheme="minorHAnsi" w:eastAsiaTheme="minorEastAsia" w:hAnsiTheme="minorHAnsi"/>
              <w:noProof/>
              <w:color w:val="auto"/>
              <w:lang w:eastAsia="en-GB"/>
            </w:rPr>
          </w:pPr>
          <w:hyperlink w:anchor="_Toc76631144" w:history="1">
            <w:r w:rsidR="00345F04" w:rsidRPr="00A53D57">
              <w:rPr>
                <w:rStyle w:val="Hyperlink"/>
                <w:noProof/>
              </w:rPr>
              <w:t>2.6 Conclusion</w:t>
            </w:r>
            <w:r w:rsidR="00345F04">
              <w:rPr>
                <w:noProof/>
                <w:webHidden/>
              </w:rPr>
              <w:tab/>
            </w:r>
            <w:r w:rsidR="00345F04">
              <w:rPr>
                <w:noProof/>
                <w:webHidden/>
              </w:rPr>
              <w:fldChar w:fldCharType="begin"/>
            </w:r>
            <w:r w:rsidR="00345F04">
              <w:rPr>
                <w:noProof/>
                <w:webHidden/>
              </w:rPr>
              <w:instrText xml:space="preserve"> PAGEREF _Toc76631144 \h </w:instrText>
            </w:r>
            <w:r w:rsidR="00345F04">
              <w:rPr>
                <w:noProof/>
                <w:webHidden/>
              </w:rPr>
            </w:r>
            <w:r w:rsidR="00345F04">
              <w:rPr>
                <w:noProof/>
                <w:webHidden/>
              </w:rPr>
              <w:fldChar w:fldCharType="separate"/>
            </w:r>
            <w:r w:rsidR="00345F04">
              <w:rPr>
                <w:noProof/>
                <w:webHidden/>
              </w:rPr>
              <w:t>38</w:t>
            </w:r>
            <w:r w:rsidR="00345F04">
              <w:rPr>
                <w:noProof/>
                <w:webHidden/>
              </w:rPr>
              <w:fldChar w:fldCharType="end"/>
            </w:r>
          </w:hyperlink>
        </w:p>
        <w:p w14:paraId="4FA1A10A" w14:textId="05E86B3A" w:rsidR="00345F04" w:rsidRDefault="005B76E4">
          <w:pPr>
            <w:pStyle w:val="TOC1"/>
            <w:rPr>
              <w:rFonts w:asciiTheme="minorHAnsi" w:eastAsiaTheme="minorEastAsia" w:hAnsiTheme="minorHAnsi" w:cstheme="minorBidi"/>
              <w:b w:val="0"/>
              <w:bCs w:val="0"/>
              <w:color w:val="auto"/>
              <w:lang w:eastAsia="en-GB"/>
            </w:rPr>
          </w:pPr>
          <w:hyperlink w:anchor="_Toc76631145" w:history="1">
            <w:r w:rsidR="00345F04" w:rsidRPr="00A53D57">
              <w:rPr>
                <w:rStyle w:val="Hyperlink"/>
              </w:rPr>
              <w:t>3.0 Discussion</w:t>
            </w:r>
            <w:r w:rsidR="00345F04">
              <w:rPr>
                <w:webHidden/>
              </w:rPr>
              <w:tab/>
            </w:r>
            <w:r w:rsidR="00345F04">
              <w:rPr>
                <w:webHidden/>
              </w:rPr>
              <w:fldChar w:fldCharType="begin"/>
            </w:r>
            <w:r w:rsidR="00345F04">
              <w:rPr>
                <w:webHidden/>
              </w:rPr>
              <w:instrText xml:space="preserve"> PAGEREF _Toc76631145 \h </w:instrText>
            </w:r>
            <w:r w:rsidR="00345F04">
              <w:rPr>
                <w:webHidden/>
              </w:rPr>
            </w:r>
            <w:r w:rsidR="00345F04">
              <w:rPr>
                <w:webHidden/>
              </w:rPr>
              <w:fldChar w:fldCharType="separate"/>
            </w:r>
            <w:r w:rsidR="00345F04">
              <w:rPr>
                <w:webHidden/>
              </w:rPr>
              <w:t>40</w:t>
            </w:r>
            <w:r w:rsidR="00345F04">
              <w:rPr>
                <w:webHidden/>
              </w:rPr>
              <w:fldChar w:fldCharType="end"/>
            </w:r>
          </w:hyperlink>
        </w:p>
        <w:p w14:paraId="06ABE40A" w14:textId="29204ED8" w:rsidR="00345F04" w:rsidRDefault="005B76E4">
          <w:pPr>
            <w:pStyle w:val="TOC1"/>
            <w:rPr>
              <w:rFonts w:asciiTheme="minorHAnsi" w:eastAsiaTheme="minorEastAsia" w:hAnsiTheme="minorHAnsi" w:cstheme="minorBidi"/>
              <w:b w:val="0"/>
              <w:bCs w:val="0"/>
              <w:color w:val="auto"/>
              <w:lang w:eastAsia="en-GB"/>
            </w:rPr>
          </w:pPr>
          <w:hyperlink w:anchor="_Toc76631146" w:history="1">
            <w:r w:rsidR="00345F04" w:rsidRPr="00A53D57">
              <w:rPr>
                <w:rStyle w:val="Hyperlink"/>
              </w:rPr>
              <w:t>4.0 Conclusions and Recommendations for Practice</w:t>
            </w:r>
            <w:r w:rsidR="00345F04">
              <w:rPr>
                <w:webHidden/>
              </w:rPr>
              <w:tab/>
            </w:r>
            <w:r w:rsidR="00345F04">
              <w:rPr>
                <w:webHidden/>
              </w:rPr>
              <w:fldChar w:fldCharType="begin"/>
            </w:r>
            <w:r w:rsidR="00345F04">
              <w:rPr>
                <w:webHidden/>
              </w:rPr>
              <w:instrText xml:space="preserve"> PAGEREF _Toc76631146 \h </w:instrText>
            </w:r>
            <w:r w:rsidR="00345F04">
              <w:rPr>
                <w:webHidden/>
              </w:rPr>
            </w:r>
            <w:r w:rsidR="00345F04">
              <w:rPr>
                <w:webHidden/>
              </w:rPr>
              <w:fldChar w:fldCharType="separate"/>
            </w:r>
            <w:r w:rsidR="00345F04">
              <w:rPr>
                <w:webHidden/>
              </w:rPr>
              <w:t>45</w:t>
            </w:r>
            <w:r w:rsidR="00345F04">
              <w:rPr>
                <w:webHidden/>
              </w:rPr>
              <w:fldChar w:fldCharType="end"/>
            </w:r>
          </w:hyperlink>
        </w:p>
        <w:p w14:paraId="0B57FA39" w14:textId="7905CB50" w:rsidR="00345F04" w:rsidRDefault="005B76E4">
          <w:pPr>
            <w:pStyle w:val="TOC1"/>
            <w:rPr>
              <w:rFonts w:asciiTheme="minorHAnsi" w:eastAsiaTheme="minorEastAsia" w:hAnsiTheme="minorHAnsi" w:cstheme="minorBidi"/>
              <w:b w:val="0"/>
              <w:bCs w:val="0"/>
              <w:color w:val="auto"/>
              <w:lang w:eastAsia="en-GB"/>
            </w:rPr>
          </w:pPr>
          <w:hyperlink w:anchor="_Toc76631147" w:history="1">
            <w:r w:rsidR="00345F04" w:rsidRPr="00A53D57">
              <w:rPr>
                <w:rStyle w:val="Hyperlink"/>
              </w:rPr>
              <w:t>5.0 Reference List</w:t>
            </w:r>
            <w:r w:rsidR="00345F04">
              <w:rPr>
                <w:webHidden/>
              </w:rPr>
              <w:tab/>
            </w:r>
            <w:r w:rsidR="00345F04">
              <w:rPr>
                <w:webHidden/>
              </w:rPr>
              <w:fldChar w:fldCharType="begin"/>
            </w:r>
            <w:r w:rsidR="00345F04">
              <w:rPr>
                <w:webHidden/>
              </w:rPr>
              <w:instrText xml:space="preserve"> PAGEREF _Toc76631147 \h </w:instrText>
            </w:r>
            <w:r w:rsidR="00345F04">
              <w:rPr>
                <w:webHidden/>
              </w:rPr>
            </w:r>
            <w:r w:rsidR="00345F04">
              <w:rPr>
                <w:webHidden/>
              </w:rPr>
              <w:fldChar w:fldCharType="separate"/>
            </w:r>
            <w:r w:rsidR="00345F04">
              <w:rPr>
                <w:webHidden/>
              </w:rPr>
              <w:t>49</w:t>
            </w:r>
            <w:r w:rsidR="00345F04">
              <w:rPr>
                <w:webHidden/>
              </w:rPr>
              <w:fldChar w:fldCharType="end"/>
            </w:r>
          </w:hyperlink>
        </w:p>
        <w:p w14:paraId="49272516" w14:textId="009B3FDC" w:rsidR="00345F04" w:rsidRDefault="005B76E4">
          <w:pPr>
            <w:pStyle w:val="TOC1"/>
            <w:rPr>
              <w:rFonts w:asciiTheme="minorHAnsi" w:eastAsiaTheme="minorEastAsia" w:hAnsiTheme="minorHAnsi" w:cstheme="minorBidi"/>
              <w:b w:val="0"/>
              <w:bCs w:val="0"/>
              <w:color w:val="auto"/>
              <w:lang w:eastAsia="en-GB"/>
            </w:rPr>
          </w:pPr>
          <w:hyperlink w:anchor="_Toc76631148" w:history="1">
            <w:r w:rsidR="00345F04" w:rsidRPr="00A53D57">
              <w:rPr>
                <w:rStyle w:val="Hyperlink"/>
              </w:rPr>
              <w:t>6.0 Bibliography</w:t>
            </w:r>
            <w:r w:rsidR="00345F04">
              <w:rPr>
                <w:webHidden/>
              </w:rPr>
              <w:tab/>
            </w:r>
            <w:r w:rsidR="00345F04">
              <w:rPr>
                <w:webHidden/>
              </w:rPr>
              <w:fldChar w:fldCharType="begin"/>
            </w:r>
            <w:r w:rsidR="00345F04">
              <w:rPr>
                <w:webHidden/>
              </w:rPr>
              <w:instrText xml:space="preserve"> PAGEREF _Toc76631148 \h </w:instrText>
            </w:r>
            <w:r w:rsidR="00345F04">
              <w:rPr>
                <w:webHidden/>
              </w:rPr>
            </w:r>
            <w:r w:rsidR="00345F04">
              <w:rPr>
                <w:webHidden/>
              </w:rPr>
              <w:fldChar w:fldCharType="separate"/>
            </w:r>
            <w:r w:rsidR="00345F04">
              <w:rPr>
                <w:webHidden/>
              </w:rPr>
              <w:t>64</w:t>
            </w:r>
            <w:r w:rsidR="00345F04">
              <w:rPr>
                <w:webHidden/>
              </w:rPr>
              <w:fldChar w:fldCharType="end"/>
            </w:r>
          </w:hyperlink>
        </w:p>
        <w:p w14:paraId="7DC6A8A9" w14:textId="7CAD9D73" w:rsidR="00345F04" w:rsidRDefault="005B76E4">
          <w:pPr>
            <w:pStyle w:val="TOC1"/>
            <w:rPr>
              <w:rFonts w:asciiTheme="minorHAnsi" w:eastAsiaTheme="minorEastAsia" w:hAnsiTheme="minorHAnsi" w:cstheme="minorBidi"/>
              <w:b w:val="0"/>
              <w:bCs w:val="0"/>
              <w:color w:val="auto"/>
              <w:lang w:eastAsia="en-GB"/>
            </w:rPr>
          </w:pPr>
          <w:hyperlink w:anchor="_Toc76631149" w:history="1">
            <w:r w:rsidR="00345F04" w:rsidRPr="00A53D57">
              <w:rPr>
                <w:rStyle w:val="Hyperlink"/>
              </w:rPr>
              <w:t>7.0 Appendices</w:t>
            </w:r>
            <w:r w:rsidR="00345F04">
              <w:rPr>
                <w:webHidden/>
              </w:rPr>
              <w:tab/>
            </w:r>
            <w:r w:rsidR="00345F04">
              <w:rPr>
                <w:webHidden/>
              </w:rPr>
              <w:fldChar w:fldCharType="begin"/>
            </w:r>
            <w:r w:rsidR="00345F04">
              <w:rPr>
                <w:webHidden/>
              </w:rPr>
              <w:instrText xml:space="preserve"> PAGEREF _Toc76631149 \h </w:instrText>
            </w:r>
            <w:r w:rsidR="00345F04">
              <w:rPr>
                <w:webHidden/>
              </w:rPr>
            </w:r>
            <w:r w:rsidR="00345F04">
              <w:rPr>
                <w:webHidden/>
              </w:rPr>
              <w:fldChar w:fldCharType="separate"/>
            </w:r>
            <w:r w:rsidR="00345F04">
              <w:rPr>
                <w:webHidden/>
              </w:rPr>
              <w:t>70</w:t>
            </w:r>
            <w:r w:rsidR="00345F04">
              <w:rPr>
                <w:webHidden/>
              </w:rPr>
              <w:fldChar w:fldCharType="end"/>
            </w:r>
          </w:hyperlink>
        </w:p>
        <w:p w14:paraId="49415C45" w14:textId="3E1AD412" w:rsidR="00345F04" w:rsidRDefault="005B76E4">
          <w:pPr>
            <w:pStyle w:val="TOC2"/>
            <w:tabs>
              <w:tab w:val="right" w:leader="dot" w:pos="9016"/>
            </w:tabs>
            <w:rPr>
              <w:rFonts w:asciiTheme="minorHAnsi" w:eastAsiaTheme="minorEastAsia" w:hAnsiTheme="minorHAnsi"/>
              <w:noProof/>
              <w:color w:val="auto"/>
              <w:lang w:eastAsia="en-GB"/>
            </w:rPr>
          </w:pPr>
          <w:hyperlink w:anchor="_Toc76631150" w:history="1">
            <w:r w:rsidR="00345F04" w:rsidRPr="00A53D57">
              <w:rPr>
                <w:rStyle w:val="Hyperlink"/>
                <w:noProof/>
              </w:rPr>
              <w:t>Appendix 1 – Ethical Approval Form</w:t>
            </w:r>
            <w:r w:rsidR="00345F04">
              <w:rPr>
                <w:noProof/>
                <w:webHidden/>
              </w:rPr>
              <w:tab/>
            </w:r>
            <w:r w:rsidR="00345F04">
              <w:rPr>
                <w:noProof/>
                <w:webHidden/>
              </w:rPr>
              <w:fldChar w:fldCharType="begin"/>
            </w:r>
            <w:r w:rsidR="00345F04">
              <w:rPr>
                <w:noProof/>
                <w:webHidden/>
              </w:rPr>
              <w:instrText xml:space="preserve"> PAGEREF _Toc76631150 \h </w:instrText>
            </w:r>
            <w:r w:rsidR="00345F04">
              <w:rPr>
                <w:noProof/>
                <w:webHidden/>
              </w:rPr>
            </w:r>
            <w:r w:rsidR="00345F04">
              <w:rPr>
                <w:noProof/>
                <w:webHidden/>
              </w:rPr>
              <w:fldChar w:fldCharType="separate"/>
            </w:r>
            <w:r w:rsidR="00345F04">
              <w:rPr>
                <w:noProof/>
                <w:webHidden/>
              </w:rPr>
              <w:t>70</w:t>
            </w:r>
            <w:r w:rsidR="00345F04">
              <w:rPr>
                <w:noProof/>
                <w:webHidden/>
              </w:rPr>
              <w:fldChar w:fldCharType="end"/>
            </w:r>
          </w:hyperlink>
        </w:p>
        <w:p w14:paraId="6B7DAD16" w14:textId="3D30AFCD" w:rsidR="00345F04" w:rsidRDefault="005B76E4">
          <w:pPr>
            <w:pStyle w:val="TOC2"/>
            <w:tabs>
              <w:tab w:val="right" w:leader="dot" w:pos="9016"/>
            </w:tabs>
            <w:rPr>
              <w:rFonts w:asciiTheme="minorHAnsi" w:eastAsiaTheme="minorEastAsia" w:hAnsiTheme="minorHAnsi"/>
              <w:noProof/>
              <w:color w:val="auto"/>
              <w:lang w:eastAsia="en-GB"/>
            </w:rPr>
          </w:pPr>
          <w:hyperlink w:anchor="_Toc76631151" w:history="1">
            <w:r w:rsidR="00345F04" w:rsidRPr="00A53D57">
              <w:rPr>
                <w:rStyle w:val="Hyperlink"/>
                <w:rFonts w:asciiTheme="majorHAnsi" w:eastAsia="Times New Roman" w:hAnsiTheme="majorHAnsi" w:cstheme="majorBidi"/>
                <w:noProof/>
                <w:lang w:eastAsia="en-GB"/>
              </w:rPr>
              <w:t>Appendix 2 – Risky Behavior Questionnaire for Adolescents (RBQ-A)</w:t>
            </w:r>
            <w:r w:rsidR="00345F04">
              <w:rPr>
                <w:noProof/>
                <w:webHidden/>
              </w:rPr>
              <w:tab/>
            </w:r>
            <w:r w:rsidR="00345F04">
              <w:rPr>
                <w:noProof/>
                <w:webHidden/>
              </w:rPr>
              <w:fldChar w:fldCharType="begin"/>
            </w:r>
            <w:r w:rsidR="00345F04">
              <w:rPr>
                <w:noProof/>
                <w:webHidden/>
              </w:rPr>
              <w:instrText xml:space="preserve"> PAGEREF _Toc76631151 \h </w:instrText>
            </w:r>
            <w:r w:rsidR="00345F04">
              <w:rPr>
                <w:noProof/>
                <w:webHidden/>
              </w:rPr>
            </w:r>
            <w:r w:rsidR="00345F04">
              <w:rPr>
                <w:noProof/>
                <w:webHidden/>
              </w:rPr>
              <w:fldChar w:fldCharType="separate"/>
            </w:r>
            <w:r w:rsidR="00345F04">
              <w:rPr>
                <w:noProof/>
                <w:webHidden/>
              </w:rPr>
              <w:t>83</w:t>
            </w:r>
            <w:r w:rsidR="00345F04">
              <w:rPr>
                <w:noProof/>
                <w:webHidden/>
              </w:rPr>
              <w:fldChar w:fldCharType="end"/>
            </w:r>
          </w:hyperlink>
        </w:p>
        <w:p w14:paraId="4F662605" w14:textId="3EAED835" w:rsidR="00345F04" w:rsidRDefault="005B76E4">
          <w:pPr>
            <w:pStyle w:val="TOC2"/>
            <w:tabs>
              <w:tab w:val="right" w:leader="dot" w:pos="9016"/>
            </w:tabs>
            <w:rPr>
              <w:rFonts w:asciiTheme="minorHAnsi" w:eastAsiaTheme="minorEastAsia" w:hAnsiTheme="minorHAnsi"/>
              <w:noProof/>
              <w:color w:val="auto"/>
              <w:lang w:eastAsia="en-GB"/>
            </w:rPr>
          </w:pPr>
          <w:hyperlink w:anchor="_Toc76631152" w:history="1">
            <w:r w:rsidR="00345F04" w:rsidRPr="00A53D57">
              <w:rPr>
                <w:rStyle w:val="Hyperlink"/>
                <w:rFonts w:asciiTheme="majorHAnsi" w:eastAsiaTheme="majorEastAsia" w:hAnsiTheme="majorHAnsi" w:cstheme="majorBidi"/>
                <w:noProof/>
                <w:lang w:val="en-US"/>
              </w:rPr>
              <w:t>Appendix 3 – Developmental Assets</w:t>
            </w:r>
            <w:r w:rsidR="00345F04">
              <w:rPr>
                <w:noProof/>
                <w:webHidden/>
              </w:rPr>
              <w:tab/>
            </w:r>
            <w:r w:rsidR="00345F04">
              <w:rPr>
                <w:noProof/>
                <w:webHidden/>
              </w:rPr>
              <w:fldChar w:fldCharType="begin"/>
            </w:r>
            <w:r w:rsidR="00345F04">
              <w:rPr>
                <w:noProof/>
                <w:webHidden/>
              </w:rPr>
              <w:instrText xml:space="preserve"> PAGEREF _Toc76631152 \h </w:instrText>
            </w:r>
            <w:r w:rsidR="00345F04">
              <w:rPr>
                <w:noProof/>
                <w:webHidden/>
              </w:rPr>
            </w:r>
            <w:r w:rsidR="00345F04">
              <w:rPr>
                <w:noProof/>
                <w:webHidden/>
              </w:rPr>
              <w:fldChar w:fldCharType="separate"/>
            </w:r>
            <w:r w:rsidR="00345F04">
              <w:rPr>
                <w:noProof/>
                <w:webHidden/>
              </w:rPr>
              <w:t>84</w:t>
            </w:r>
            <w:r w:rsidR="00345F04">
              <w:rPr>
                <w:noProof/>
                <w:webHidden/>
              </w:rPr>
              <w:fldChar w:fldCharType="end"/>
            </w:r>
          </w:hyperlink>
        </w:p>
        <w:p w14:paraId="0E867EB8" w14:textId="1CCD5F91" w:rsidR="001D5CAE" w:rsidRDefault="001D5CAE">
          <w:r w:rsidRPr="001D5CAE">
            <w:rPr>
              <w:b/>
              <w:bCs/>
              <w:noProof/>
              <w:sz w:val="24"/>
              <w:szCs w:val="24"/>
            </w:rPr>
            <w:fldChar w:fldCharType="end"/>
          </w:r>
        </w:p>
      </w:sdtContent>
    </w:sdt>
    <w:p w14:paraId="652E57E2" w14:textId="385D87B1" w:rsidR="00AA7F72" w:rsidRDefault="001D5CAE" w:rsidP="001D5CAE">
      <w:r>
        <w:t xml:space="preserve"> </w:t>
      </w:r>
      <w:r w:rsidR="00AA7F72">
        <w:br w:type="page"/>
      </w:r>
    </w:p>
    <w:p w14:paraId="63CEAD00" w14:textId="20EDE7DC" w:rsidR="00F91581" w:rsidRDefault="00F91581" w:rsidP="00AA7F72">
      <w:pPr>
        <w:pStyle w:val="Heading1"/>
      </w:pPr>
      <w:bookmarkStart w:id="2" w:name="_Toc76631135"/>
      <w:r>
        <w:lastRenderedPageBreak/>
        <w:t>Acknowledgements</w:t>
      </w:r>
      <w:bookmarkEnd w:id="2"/>
    </w:p>
    <w:p w14:paraId="4DA8661D" w14:textId="39167126" w:rsidR="00180B01" w:rsidRDefault="00F91581" w:rsidP="00345F04">
      <w:pPr>
        <w:jc w:val="both"/>
        <w:rPr>
          <w:sz w:val="24"/>
          <w:szCs w:val="24"/>
        </w:rPr>
      </w:pPr>
      <w:r>
        <w:rPr>
          <w:sz w:val="24"/>
          <w:szCs w:val="24"/>
        </w:rPr>
        <w:t>The author would like to thank</w:t>
      </w:r>
      <w:r w:rsidR="00180B01">
        <w:rPr>
          <w:sz w:val="24"/>
          <w:szCs w:val="24"/>
        </w:rPr>
        <w:t xml:space="preserve"> Angharad Lewis </w:t>
      </w:r>
      <w:r w:rsidR="00113EBB">
        <w:rPr>
          <w:sz w:val="24"/>
          <w:szCs w:val="24"/>
        </w:rPr>
        <w:t xml:space="preserve">and other members of staff </w:t>
      </w:r>
      <w:r w:rsidR="00180B01">
        <w:rPr>
          <w:sz w:val="24"/>
          <w:szCs w:val="24"/>
        </w:rPr>
        <w:t xml:space="preserve">at the University of Wales Trinity Saint David for </w:t>
      </w:r>
      <w:r w:rsidR="00113EBB">
        <w:rPr>
          <w:sz w:val="24"/>
          <w:szCs w:val="24"/>
        </w:rPr>
        <w:t>t</w:t>
      </w:r>
      <w:r w:rsidR="00180B01">
        <w:rPr>
          <w:sz w:val="24"/>
          <w:szCs w:val="24"/>
        </w:rPr>
        <w:t>he</w:t>
      </w:r>
      <w:r w:rsidR="00113EBB">
        <w:rPr>
          <w:sz w:val="24"/>
          <w:szCs w:val="24"/>
        </w:rPr>
        <w:t>i</w:t>
      </w:r>
      <w:r w:rsidR="00180B01">
        <w:rPr>
          <w:sz w:val="24"/>
          <w:szCs w:val="24"/>
        </w:rPr>
        <w:t xml:space="preserve">r </w:t>
      </w:r>
      <w:r w:rsidR="00113EBB">
        <w:rPr>
          <w:sz w:val="24"/>
          <w:szCs w:val="24"/>
        </w:rPr>
        <w:t xml:space="preserve">ongoing enthusiasm and </w:t>
      </w:r>
      <w:r w:rsidR="00180B01">
        <w:rPr>
          <w:sz w:val="24"/>
          <w:szCs w:val="24"/>
        </w:rPr>
        <w:t xml:space="preserve">support </w:t>
      </w:r>
      <w:r w:rsidR="00113EBB">
        <w:rPr>
          <w:sz w:val="24"/>
          <w:szCs w:val="24"/>
        </w:rPr>
        <w:t xml:space="preserve">during the BA Youth Work and Social Education degree course, with special thanks to Angharad for her guidance in the </w:t>
      </w:r>
      <w:r w:rsidR="00180B01">
        <w:rPr>
          <w:sz w:val="24"/>
          <w:szCs w:val="24"/>
        </w:rPr>
        <w:t>produc</w:t>
      </w:r>
      <w:r w:rsidR="00113EBB">
        <w:rPr>
          <w:sz w:val="24"/>
          <w:szCs w:val="24"/>
        </w:rPr>
        <w:t xml:space="preserve">tion of </w:t>
      </w:r>
      <w:r w:rsidR="00180B01">
        <w:rPr>
          <w:sz w:val="24"/>
          <w:szCs w:val="24"/>
        </w:rPr>
        <w:t>this dissertation.</w:t>
      </w:r>
    </w:p>
    <w:p w14:paraId="2CFF8889" w14:textId="378E5AFE" w:rsidR="005C10DE" w:rsidRDefault="005C10DE" w:rsidP="00345F04">
      <w:pPr>
        <w:jc w:val="both"/>
        <w:rPr>
          <w:sz w:val="24"/>
          <w:szCs w:val="24"/>
        </w:rPr>
      </w:pPr>
      <w:r>
        <w:rPr>
          <w:sz w:val="24"/>
          <w:szCs w:val="24"/>
        </w:rPr>
        <w:t>The author would also like to thank her partner, Rob, for enduring a dining room piled high with books and papers, part pandemic home office and part student study for a long time.</w:t>
      </w:r>
    </w:p>
    <w:p w14:paraId="61E4A1B6" w14:textId="13006623" w:rsidR="00F91581" w:rsidRPr="00F91581" w:rsidRDefault="00180B01" w:rsidP="00345F04">
      <w:pPr>
        <w:jc w:val="both"/>
        <w:rPr>
          <w:sz w:val="24"/>
          <w:szCs w:val="24"/>
        </w:rPr>
      </w:pPr>
      <w:r>
        <w:rPr>
          <w:sz w:val="24"/>
          <w:szCs w:val="24"/>
        </w:rPr>
        <w:t xml:space="preserve">The author also acknowledges the contribution of the many thousands of children and young people and their families who have given their time to support the studies and surveys of scientific and academic communities around the world. </w:t>
      </w:r>
      <w:r w:rsidR="00F91581">
        <w:rPr>
          <w:sz w:val="24"/>
          <w:szCs w:val="24"/>
        </w:rPr>
        <w:t xml:space="preserve"> </w:t>
      </w:r>
    </w:p>
    <w:p w14:paraId="3B023FDB" w14:textId="77777777" w:rsidR="00F91581" w:rsidRPr="00F91581" w:rsidRDefault="00F91581" w:rsidP="00F91581"/>
    <w:p w14:paraId="57142689" w14:textId="77777777" w:rsidR="00F91581" w:rsidRDefault="00F91581">
      <w:pPr>
        <w:rPr>
          <w:rFonts w:asciiTheme="majorHAnsi" w:eastAsiaTheme="majorEastAsia" w:hAnsiTheme="majorHAnsi" w:cstheme="majorBidi"/>
          <w:color w:val="2F5496" w:themeColor="accent1" w:themeShade="BF"/>
          <w:sz w:val="32"/>
          <w:szCs w:val="32"/>
        </w:rPr>
      </w:pPr>
      <w:r>
        <w:br w:type="page"/>
      </w:r>
    </w:p>
    <w:p w14:paraId="1368F7E1" w14:textId="115AFF98" w:rsidR="00F91581" w:rsidRPr="00180B01" w:rsidRDefault="00F91581" w:rsidP="00F91581">
      <w:pPr>
        <w:pStyle w:val="Heading1"/>
        <w:rPr>
          <w:sz w:val="24"/>
          <w:szCs w:val="24"/>
        </w:rPr>
      </w:pPr>
      <w:bookmarkStart w:id="3" w:name="_Toc76631136"/>
      <w:r>
        <w:lastRenderedPageBreak/>
        <w:t>Acronyms</w:t>
      </w:r>
      <w:bookmarkEnd w:id="3"/>
    </w:p>
    <w:p w14:paraId="5A4E497E" w14:textId="17D7114C" w:rsidR="00C0405E" w:rsidRDefault="00C0405E" w:rsidP="00180B01">
      <w:pPr>
        <w:rPr>
          <w:sz w:val="24"/>
          <w:szCs w:val="24"/>
        </w:rPr>
      </w:pPr>
      <w:r>
        <w:rPr>
          <w:sz w:val="24"/>
          <w:szCs w:val="24"/>
        </w:rPr>
        <w:t xml:space="preserve">ADHD – </w:t>
      </w:r>
      <w:proofErr w:type="gramStart"/>
      <w:r>
        <w:rPr>
          <w:sz w:val="24"/>
          <w:szCs w:val="24"/>
        </w:rPr>
        <w:t>Attention deficit hyperactivity disorder</w:t>
      </w:r>
      <w:proofErr w:type="gramEnd"/>
    </w:p>
    <w:p w14:paraId="6505DB24" w14:textId="3F963289" w:rsidR="00180B01" w:rsidRDefault="00180B01" w:rsidP="00180B01">
      <w:pPr>
        <w:rPr>
          <w:sz w:val="24"/>
          <w:szCs w:val="24"/>
        </w:rPr>
      </w:pPr>
      <w:r>
        <w:rPr>
          <w:sz w:val="24"/>
          <w:szCs w:val="24"/>
        </w:rPr>
        <w:t>ALSPAC – Avon Longitudinal Study of Parents and Children</w:t>
      </w:r>
    </w:p>
    <w:p w14:paraId="001D9787" w14:textId="548583D1" w:rsidR="00C0405E" w:rsidRDefault="00C0405E" w:rsidP="00180B01">
      <w:pPr>
        <w:rPr>
          <w:sz w:val="24"/>
          <w:szCs w:val="24"/>
        </w:rPr>
      </w:pPr>
      <w:r>
        <w:rPr>
          <w:sz w:val="24"/>
          <w:szCs w:val="24"/>
        </w:rPr>
        <w:t>BART-Y – Balloon Analogue Risk Task for Youth</w:t>
      </w:r>
    </w:p>
    <w:p w14:paraId="211EBAAD" w14:textId="5534500B" w:rsidR="00C0405E" w:rsidRDefault="00C0405E" w:rsidP="00180B01">
      <w:pPr>
        <w:rPr>
          <w:sz w:val="24"/>
          <w:szCs w:val="24"/>
        </w:rPr>
      </w:pPr>
      <w:r>
        <w:rPr>
          <w:sz w:val="24"/>
          <w:szCs w:val="24"/>
        </w:rPr>
        <w:t>BMJ – British Medical Journal</w:t>
      </w:r>
    </w:p>
    <w:p w14:paraId="52EF8891" w14:textId="58DE93C7" w:rsidR="00DE1306" w:rsidRDefault="00DE1306" w:rsidP="00180B01">
      <w:pPr>
        <w:rPr>
          <w:sz w:val="24"/>
          <w:szCs w:val="24"/>
        </w:rPr>
      </w:pPr>
      <w:r>
        <w:rPr>
          <w:sz w:val="24"/>
          <w:szCs w:val="24"/>
        </w:rPr>
        <w:t>CD – Conduct Disorder</w:t>
      </w:r>
    </w:p>
    <w:p w14:paraId="0275B6E8" w14:textId="16D677AA" w:rsidR="00180B01" w:rsidRDefault="00180B01" w:rsidP="00180B01">
      <w:pPr>
        <w:rPr>
          <w:rFonts w:asciiTheme="minorHAnsi" w:eastAsiaTheme="minorHAnsi" w:hAnsiTheme="minorHAnsi" w:cstheme="minorHAnsi"/>
          <w:color w:val="auto"/>
          <w:sz w:val="24"/>
          <w:szCs w:val="24"/>
        </w:rPr>
      </w:pPr>
      <w:r>
        <w:rPr>
          <w:sz w:val="24"/>
          <w:szCs w:val="24"/>
        </w:rPr>
        <w:t xml:space="preserve">CDC - </w:t>
      </w:r>
      <w:proofErr w:type="spellStart"/>
      <w:r w:rsidRPr="0010297E">
        <w:rPr>
          <w:rFonts w:asciiTheme="minorHAnsi" w:eastAsiaTheme="minorHAnsi" w:hAnsiTheme="minorHAnsi" w:cstheme="minorHAnsi"/>
          <w:color w:val="auto"/>
          <w:sz w:val="24"/>
          <w:szCs w:val="24"/>
        </w:rPr>
        <w:t>Centers</w:t>
      </w:r>
      <w:proofErr w:type="spellEnd"/>
      <w:r w:rsidRPr="0010297E">
        <w:rPr>
          <w:rFonts w:asciiTheme="minorHAnsi" w:eastAsiaTheme="minorHAnsi" w:hAnsiTheme="minorHAnsi" w:cstheme="minorHAnsi"/>
          <w:color w:val="auto"/>
          <w:sz w:val="24"/>
          <w:szCs w:val="24"/>
        </w:rPr>
        <w:t xml:space="preserve"> for Disease Control and Prevention</w:t>
      </w:r>
      <w:r w:rsidR="00C0405E">
        <w:rPr>
          <w:rFonts w:asciiTheme="minorHAnsi" w:eastAsiaTheme="minorHAnsi" w:hAnsiTheme="minorHAnsi" w:cstheme="minorHAnsi"/>
          <w:color w:val="auto"/>
          <w:sz w:val="24"/>
          <w:szCs w:val="24"/>
        </w:rPr>
        <w:t>, USA</w:t>
      </w:r>
    </w:p>
    <w:p w14:paraId="3CB97B0B" w14:textId="30BF4F1A" w:rsidR="00C0405E" w:rsidRDefault="00C0405E" w:rsidP="00180B01">
      <w:pPr>
        <w:rPr>
          <w:rFonts w:asciiTheme="minorHAnsi" w:eastAsiaTheme="minorHAnsi" w:hAnsiTheme="minorHAnsi" w:cstheme="minorHAnsi"/>
          <w:color w:val="auto"/>
          <w:sz w:val="24"/>
          <w:szCs w:val="24"/>
        </w:rPr>
      </w:pPr>
      <w:r>
        <w:rPr>
          <w:rFonts w:asciiTheme="minorHAnsi" w:eastAsiaTheme="minorHAnsi" w:hAnsiTheme="minorHAnsi" w:cstheme="minorHAnsi"/>
          <w:color w:val="auto"/>
          <w:sz w:val="24"/>
          <w:szCs w:val="24"/>
        </w:rPr>
        <w:t>fMRI – Functional magnetic resonance imaging</w:t>
      </w:r>
    </w:p>
    <w:p w14:paraId="364A75A8" w14:textId="035DC689" w:rsidR="00C0405E" w:rsidRDefault="00C0405E" w:rsidP="00180B01">
      <w:pPr>
        <w:rPr>
          <w:sz w:val="24"/>
          <w:szCs w:val="24"/>
        </w:rPr>
      </w:pPr>
      <w:r>
        <w:rPr>
          <w:rFonts w:asciiTheme="minorHAnsi" w:eastAsiaTheme="minorHAnsi" w:hAnsiTheme="minorHAnsi" w:cstheme="minorHAnsi"/>
          <w:color w:val="auto"/>
          <w:sz w:val="24"/>
          <w:szCs w:val="24"/>
        </w:rPr>
        <w:t>NHS – National Health Service, UK</w:t>
      </w:r>
    </w:p>
    <w:p w14:paraId="41089400" w14:textId="6DD81E72" w:rsidR="00180B01" w:rsidRDefault="00180B01" w:rsidP="00180B01">
      <w:pPr>
        <w:rPr>
          <w:sz w:val="24"/>
          <w:szCs w:val="24"/>
        </w:rPr>
      </w:pPr>
      <w:r>
        <w:rPr>
          <w:sz w:val="24"/>
          <w:szCs w:val="24"/>
        </w:rPr>
        <w:t>NSW Government – New South Wales Government, Australia</w:t>
      </w:r>
    </w:p>
    <w:p w14:paraId="1714DD7F" w14:textId="17C90D85" w:rsidR="00DE1306" w:rsidRDefault="00DE1306" w:rsidP="00180B01">
      <w:pPr>
        <w:rPr>
          <w:sz w:val="24"/>
          <w:szCs w:val="24"/>
        </w:rPr>
      </w:pPr>
      <w:r>
        <w:rPr>
          <w:sz w:val="24"/>
          <w:szCs w:val="24"/>
        </w:rPr>
        <w:t>ODD – Oppositional Defiant Disorder</w:t>
      </w:r>
    </w:p>
    <w:p w14:paraId="6B0C2A81" w14:textId="13E8C531" w:rsidR="00180B01" w:rsidRDefault="00180B01" w:rsidP="00180B01">
      <w:pPr>
        <w:rPr>
          <w:sz w:val="24"/>
          <w:szCs w:val="24"/>
        </w:rPr>
      </w:pPr>
      <w:r w:rsidRPr="00180B01">
        <w:rPr>
          <w:sz w:val="24"/>
          <w:szCs w:val="24"/>
        </w:rPr>
        <w:t>ONS – Office for National Statistics</w:t>
      </w:r>
    </w:p>
    <w:p w14:paraId="63E1B5E6" w14:textId="2E360F14" w:rsidR="00DB10F0" w:rsidRDefault="00DB10F0" w:rsidP="00180B01">
      <w:pPr>
        <w:rPr>
          <w:sz w:val="24"/>
          <w:szCs w:val="24"/>
        </w:rPr>
      </w:pPr>
      <w:r>
        <w:rPr>
          <w:sz w:val="24"/>
          <w:szCs w:val="24"/>
        </w:rPr>
        <w:t>RBQ-A – Risky Behaviour Questionnaire for Adolescents</w:t>
      </w:r>
    </w:p>
    <w:p w14:paraId="6AED34BA" w14:textId="698F5D38" w:rsidR="00D7748F" w:rsidRDefault="00D7748F" w:rsidP="00180B01">
      <w:pPr>
        <w:rPr>
          <w:sz w:val="24"/>
          <w:szCs w:val="24"/>
        </w:rPr>
      </w:pPr>
      <w:r>
        <w:rPr>
          <w:sz w:val="24"/>
          <w:szCs w:val="24"/>
        </w:rPr>
        <w:t>STIs – Sexually Transmitted Infections</w:t>
      </w:r>
    </w:p>
    <w:p w14:paraId="5DDBF7EF" w14:textId="027DE196" w:rsidR="00180B01" w:rsidRDefault="00180B01" w:rsidP="00180B01">
      <w:pPr>
        <w:rPr>
          <w:sz w:val="24"/>
          <w:szCs w:val="24"/>
        </w:rPr>
      </w:pPr>
      <w:r>
        <w:rPr>
          <w:sz w:val="24"/>
          <w:szCs w:val="24"/>
        </w:rPr>
        <w:t xml:space="preserve">WHO – World Health </w:t>
      </w:r>
      <w:proofErr w:type="gramStart"/>
      <w:r>
        <w:rPr>
          <w:sz w:val="24"/>
          <w:szCs w:val="24"/>
        </w:rPr>
        <w:t>Organisation</w:t>
      </w:r>
      <w:proofErr w:type="gramEnd"/>
    </w:p>
    <w:p w14:paraId="3243F6F5" w14:textId="01942736" w:rsidR="000F6BC9" w:rsidRPr="00180B01" w:rsidRDefault="000F6BC9" w:rsidP="00180B01">
      <w:pPr>
        <w:rPr>
          <w:sz w:val="24"/>
          <w:szCs w:val="24"/>
        </w:rPr>
      </w:pPr>
      <w:r>
        <w:rPr>
          <w:sz w:val="24"/>
          <w:szCs w:val="24"/>
        </w:rPr>
        <w:t>YWWRG – Youth Work in Wales Review Group</w:t>
      </w:r>
    </w:p>
    <w:p w14:paraId="651FCC10" w14:textId="77777777" w:rsidR="00F91581" w:rsidRPr="00F91581" w:rsidRDefault="00F91581" w:rsidP="00F91581">
      <w:pPr>
        <w:rPr>
          <w:sz w:val="24"/>
          <w:szCs w:val="24"/>
        </w:rPr>
      </w:pPr>
    </w:p>
    <w:p w14:paraId="3D98908B" w14:textId="2E231853" w:rsidR="00F91581" w:rsidRDefault="00F91581" w:rsidP="007F23A0">
      <w:pPr>
        <w:pStyle w:val="Heading1"/>
        <w:spacing w:after="100"/>
      </w:pPr>
      <w:r>
        <w:br w:type="page"/>
      </w:r>
    </w:p>
    <w:p w14:paraId="29F3861E" w14:textId="60587BF7" w:rsidR="00EB2853" w:rsidRPr="00F91581" w:rsidRDefault="00EB2853" w:rsidP="00AA7F72">
      <w:pPr>
        <w:pStyle w:val="Heading1"/>
        <w:rPr>
          <w:b/>
          <w:bCs/>
        </w:rPr>
      </w:pPr>
      <w:bookmarkStart w:id="4" w:name="_Toc76631137"/>
      <w:bookmarkStart w:id="5" w:name="_Hlk76647332"/>
      <w:r w:rsidRPr="00F91581">
        <w:rPr>
          <w:b/>
          <w:bCs/>
        </w:rPr>
        <w:lastRenderedPageBreak/>
        <w:t>1.0 Introduction</w:t>
      </w:r>
      <w:bookmarkEnd w:id="4"/>
    </w:p>
    <w:p w14:paraId="51D7EED6" w14:textId="1A91A39C" w:rsidR="006478BF" w:rsidRDefault="006478BF" w:rsidP="00EB2853">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Adolescence is a time of great change, full of promise yet fraught with </w:t>
      </w:r>
      <w:r w:rsidR="002A5A3F">
        <w:rPr>
          <w:rFonts w:asciiTheme="minorHAnsi" w:hAnsiTheme="minorHAnsi" w:cstheme="minorHAnsi"/>
          <w:sz w:val="24"/>
          <w:szCs w:val="24"/>
        </w:rPr>
        <w:t>challenge</w:t>
      </w:r>
      <w:r>
        <w:rPr>
          <w:rFonts w:asciiTheme="minorHAnsi" w:hAnsiTheme="minorHAnsi" w:cstheme="minorHAnsi"/>
          <w:sz w:val="24"/>
          <w:szCs w:val="24"/>
        </w:rPr>
        <w:t xml:space="preserve">.  Striving for independence, young people explore, experiment and take risks that children and adults would avoid.  Do they do this with conscious </w:t>
      </w:r>
      <w:proofErr w:type="gramStart"/>
      <w:r>
        <w:rPr>
          <w:rFonts w:asciiTheme="minorHAnsi" w:hAnsiTheme="minorHAnsi" w:cstheme="minorHAnsi"/>
          <w:sz w:val="24"/>
          <w:szCs w:val="24"/>
        </w:rPr>
        <w:t>intent</w:t>
      </w:r>
      <w:proofErr w:type="gramEnd"/>
      <w:r>
        <w:rPr>
          <w:rFonts w:asciiTheme="minorHAnsi" w:hAnsiTheme="minorHAnsi" w:cstheme="minorHAnsi"/>
          <w:sz w:val="24"/>
          <w:szCs w:val="24"/>
        </w:rPr>
        <w:t xml:space="preserve"> or </w:t>
      </w:r>
      <w:r w:rsidR="00E43992">
        <w:rPr>
          <w:rFonts w:asciiTheme="minorHAnsi" w:hAnsiTheme="minorHAnsi" w:cstheme="minorHAnsi"/>
          <w:sz w:val="24"/>
          <w:szCs w:val="24"/>
        </w:rPr>
        <w:t>do they act on</w:t>
      </w:r>
      <w:r>
        <w:rPr>
          <w:rFonts w:asciiTheme="minorHAnsi" w:hAnsiTheme="minorHAnsi" w:cstheme="minorHAnsi"/>
          <w:sz w:val="24"/>
          <w:szCs w:val="24"/>
        </w:rPr>
        <w:t xml:space="preserve"> impulse?  </w:t>
      </w:r>
      <w:r w:rsidR="003F5948">
        <w:rPr>
          <w:rFonts w:asciiTheme="minorHAnsi" w:hAnsiTheme="minorHAnsi" w:cstheme="minorHAnsi"/>
          <w:sz w:val="24"/>
          <w:szCs w:val="24"/>
        </w:rPr>
        <w:t xml:space="preserve">How far do we need to intervene to keep them safe </w:t>
      </w:r>
      <w:r w:rsidR="00801BCD">
        <w:rPr>
          <w:rFonts w:asciiTheme="minorHAnsi" w:hAnsiTheme="minorHAnsi" w:cstheme="minorHAnsi"/>
          <w:sz w:val="24"/>
          <w:szCs w:val="24"/>
        </w:rPr>
        <w:t xml:space="preserve">and healthy </w:t>
      </w:r>
      <w:r w:rsidR="003F5948">
        <w:rPr>
          <w:rFonts w:asciiTheme="minorHAnsi" w:hAnsiTheme="minorHAnsi" w:cstheme="minorHAnsi"/>
          <w:sz w:val="24"/>
          <w:szCs w:val="24"/>
        </w:rPr>
        <w:t xml:space="preserve">without stifling their </w:t>
      </w:r>
      <w:r w:rsidR="00CF4A50">
        <w:rPr>
          <w:rFonts w:asciiTheme="minorHAnsi" w:hAnsiTheme="minorHAnsi" w:cstheme="minorHAnsi"/>
          <w:sz w:val="24"/>
          <w:szCs w:val="24"/>
        </w:rPr>
        <w:t xml:space="preserve">learning and </w:t>
      </w:r>
      <w:r w:rsidR="003F5948">
        <w:rPr>
          <w:rFonts w:asciiTheme="minorHAnsi" w:hAnsiTheme="minorHAnsi" w:cstheme="minorHAnsi"/>
          <w:sz w:val="24"/>
          <w:szCs w:val="24"/>
        </w:rPr>
        <w:t xml:space="preserve">growth?   </w:t>
      </w:r>
      <w:r>
        <w:rPr>
          <w:rFonts w:asciiTheme="minorHAnsi" w:hAnsiTheme="minorHAnsi" w:cstheme="minorHAnsi"/>
          <w:sz w:val="24"/>
          <w:szCs w:val="24"/>
        </w:rPr>
        <w:t xml:space="preserve">    </w:t>
      </w:r>
    </w:p>
    <w:p w14:paraId="0B1A45DE" w14:textId="17A093A5" w:rsidR="00EB2853" w:rsidRPr="00EB2853" w:rsidRDefault="00EB2853" w:rsidP="00EB2853">
      <w:pPr>
        <w:spacing w:line="480" w:lineRule="auto"/>
        <w:jc w:val="both"/>
        <w:rPr>
          <w:rFonts w:asciiTheme="minorHAnsi" w:hAnsiTheme="minorHAnsi" w:cstheme="minorHAnsi"/>
          <w:sz w:val="24"/>
          <w:szCs w:val="24"/>
        </w:rPr>
      </w:pPr>
      <w:r w:rsidRPr="00EB2853">
        <w:rPr>
          <w:rFonts w:asciiTheme="minorHAnsi" w:hAnsiTheme="minorHAnsi" w:cstheme="minorHAnsi"/>
          <w:sz w:val="24"/>
          <w:szCs w:val="24"/>
        </w:rPr>
        <w:t xml:space="preserve">The purpose of this </w:t>
      </w:r>
      <w:r w:rsidR="000B1F1B">
        <w:rPr>
          <w:rFonts w:asciiTheme="minorHAnsi" w:hAnsiTheme="minorHAnsi" w:cstheme="minorHAnsi"/>
          <w:sz w:val="24"/>
          <w:szCs w:val="24"/>
        </w:rPr>
        <w:t>dissertation</w:t>
      </w:r>
      <w:r w:rsidRPr="00EB2853">
        <w:rPr>
          <w:rFonts w:asciiTheme="minorHAnsi" w:hAnsiTheme="minorHAnsi" w:cstheme="minorHAnsi"/>
          <w:sz w:val="24"/>
          <w:szCs w:val="24"/>
        </w:rPr>
        <w:t xml:space="preserve"> is to identify whether </w:t>
      </w:r>
      <w:r w:rsidR="006E27DB">
        <w:rPr>
          <w:rFonts w:asciiTheme="minorHAnsi" w:hAnsiTheme="minorHAnsi" w:cstheme="minorHAnsi"/>
          <w:sz w:val="24"/>
          <w:szCs w:val="24"/>
        </w:rPr>
        <w:t xml:space="preserve">recent </w:t>
      </w:r>
      <w:r w:rsidRPr="00EB2853">
        <w:rPr>
          <w:rFonts w:asciiTheme="minorHAnsi" w:hAnsiTheme="minorHAnsi" w:cstheme="minorHAnsi"/>
          <w:sz w:val="24"/>
          <w:szCs w:val="24"/>
        </w:rPr>
        <w:t xml:space="preserve">research </w:t>
      </w:r>
      <w:r w:rsidR="006E27DB">
        <w:rPr>
          <w:rFonts w:asciiTheme="minorHAnsi" w:hAnsiTheme="minorHAnsi" w:cstheme="minorHAnsi"/>
          <w:sz w:val="24"/>
          <w:szCs w:val="24"/>
        </w:rPr>
        <w:t>ca</w:t>
      </w:r>
      <w:r w:rsidRPr="00EB2853">
        <w:rPr>
          <w:rFonts w:asciiTheme="minorHAnsi" w:hAnsiTheme="minorHAnsi" w:cstheme="minorHAnsi"/>
          <w:sz w:val="24"/>
          <w:szCs w:val="24"/>
        </w:rPr>
        <w:t xml:space="preserve">n explain </w:t>
      </w:r>
      <w:r w:rsidR="006E27DB">
        <w:rPr>
          <w:rFonts w:asciiTheme="minorHAnsi" w:hAnsiTheme="minorHAnsi" w:cstheme="minorHAnsi"/>
          <w:sz w:val="24"/>
          <w:szCs w:val="24"/>
        </w:rPr>
        <w:t>how certain aspects of adolescence (cognitive development, p</w:t>
      </w:r>
      <w:r w:rsidRPr="00EB2853">
        <w:rPr>
          <w:rFonts w:asciiTheme="minorHAnsi" w:hAnsiTheme="minorHAnsi" w:cstheme="minorHAnsi"/>
          <w:sz w:val="24"/>
          <w:szCs w:val="24"/>
        </w:rPr>
        <w:t xml:space="preserve">uberty, mental health </w:t>
      </w:r>
      <w:r w:rsidR="006E27DB">
        <w:rPr>
          <w:rFonts w:asciiTheme="minorHAnsi" w:hAnsiTheme="minorHAnsi" w:cstheme="minorHAnsi"/>
          <w:sz w:val="24"/>
          <w:szCs w:val="24"/>
        </w:rPr>
        <w:t xml:space="preserve">and peers) individually </w:t>
      </w:r>
      <w:r w:rsidR="002A5A3F">
        <w:rPr>
          <w:rFonts w:asciiTheme="minorHAnsi" w:hAnsiTheme="minorHAnsi" w:cstheme="minorHAnsi"/>
          <w:sz w:val="24"/>
          <w:szCs w:val="24"/>
        </w:rPr>
        <w:t>and</w:t>
      </w:r>
      <w:r w:rsidR="006E27DB">
        <w:rPr>
          <w:rFonts w:asciiTheme="minorHAnsi" w:hAnsiTheme="minorHAnsi" w:cstheme="minorHAnsi"/>
          <w:sz w:val="24"/>
          <w:szCs w:val="24"/>
        </w:rPr>
        <w:t xml:space="preserve"> collectively </w:t>
      </w:r>
      <w:r w:rsidRPr="00EB2853">
        <w:rPr>
          <w:rFonts w:asciiTheme="minorHAnsi" w:hAnsiTheme="minorHAnsi" w:cstheme="minorHAnsi"/>
          <w:sz w:val="24"/>
          <w:szCs w:val="24"/>
        </w:rPr>
        <w:t xml:space="preserve">influence </w:t>
      </w:r>
      <w:r w:rsidR="006E27DB">
        <w:rPr>
          <w:rFonts w:asciiTheme="minorHAnsi" w:hAnsiTheme="minorHAnsi" w:cstheme="minorHAnsi"/>
          <w:sz w:val="24"/>
          <w:szCs w:val="24"/>
        </w:rPr>
        <w:t xml:space="preserve">young people’s </w:t>
      </w:r>
      <w:r w:rsidRPr="00EB2853">
        <w:rPr>
          <w:rFonts w:asciiTheme="minorHAnsi" w:hAnsiTheme="minorHAnsi" w:cstheme="minorHAnsi"/>
          <w:sz w:val="24"/>
          <w:szCs w:val="24"/>
        </w:rPr>
        <w:t>risk-taking behaviours.</w:t>
      </w:r>
      <w:r w:rsidR="006E27DB">
        <w:rPr>
          <w:rFonts w:asciiTheme="minorHAnsi" w:hAnsiTheme="minorHAnsi" w:cstheme="minorHAnsi"/>
          <w:sz w:val="24"/>
          <w:szCs w:val="24"/>
        </w:rPr>
        <w:t xml:space="preserve">  </w:t>
      </w:r>
    </w:p>
    <w:p w14:paraId="7D42F2A1" w14:textId="22286171" w:rsidR="00EB2853" w:rsidRDefault="00EB2853" w:rsidP="00EB2853">
      <w:pPr>
        <w:spacing w:line="480" w:lineRule="auto"/>
        <w:jc w:val="both"/>
        <w:rPr>
          <w:rFonts w:asciiTheme="minorHAnsi" w:hAnsiTheme="minorHAnsi" w:cstheme="minorHAnsi"/>
          <w:sz w:val="24"/>
          <w:szCs w:val="24"/>
        </w:rPr>
      </w:pPr>
      <w:r w:rsidRPr="00EB2853">
        <w:rPr>
          <w:rFonts w:asciiTheme="minorHAnsi" w:hAnsiTheme="minorHAnsi" w:cstheme="minorHAnsi"/>
          <w:sz w:val="24"/>
          <w:szCs w:val="24"/>
        </w:rPr>
        <w:t xml:space="preserve">The aim </w:t>
      </w:r>
      <w:r w:rsidR="000B1F1B">
        <w:rPr>
          <w:rFonts w:asciiTheme="minorHAnsi" w:hAnsiTheme="minorHAnsi" w:cstheme="minorHAnsi"/>
          <w:sz w:val="24"/>
          <w:szCs w:val="24"/>
        </w:rPr>
        <w:t xml:space="preserve">of this study </w:t>
      </w:r>
      <w:r w:rsidRPr="00EB2853">
        <w:rPr>
          <w:rFonts w:asciiTheme="minorHAnsi" w:hAnsiTheme="minorHAnsi" w:cstheme="minorHAnsi"/>
          <w:sz w:val="24"/>
          <w:szCs w:val="24"/>
        </w:rPr>
        <w:t>is to identify or suggest indicators or predictors that youth work</w:t>
      </w:r>
      <w:r w:rsidR="00775204">
        <w:rPr>
          <w:rFonts w:asciiTheme="minorHAnsi" w:hAnsiTheme="minorHAnsi" w:cstheme="minorHAnsi"/>
          <w:sz w:val="24"/>
          <w:szCs w:val="24"/>
        </w:rPr>
        <w:t xml:space="preserve">ers </w:t>
      </w:r>
      <w:r w:rsidRPr="00EB2853">
        <w:rPr>
          <w:rFonts w:asciiTheme="minorHAnsi" w:hAnsiTheme="minorHAnsi" w:cstheme="minorHAnsi"/>
          <w:sz w:val="24"/>
          <w:szCs w:val="24"/>
        </w:rPr>
        <w:t xml:space="preserve">might use to shape their thinking, approach and work with children and young people who are either undertaking </w:t>
      </w:r>
      <w:r w:rsidR="00E91950">
        <w:rPr>
          <w:rFonts w:asciiTheme="minorHAnsi" w:hAnsiTheme="minorHAnsi" w:cstheme="minorHAnsi"/>
          <w:sz w:val="24"/>
          <w:szCs w:val="24"/>
        </w:rPr>
        <w:t xml:space="preserve">harmful </w:t>
      </w:r>
      <w:r w:rsidRPr="00EB2853">
        <w:rPr>
          <w:rFonts w:asciiTheme="minorHAnsi" w:hAnsiTheme="minorHAnsi" w:cstheme="minorHAnsi"/>
          <w:sz w:val="24"/>
          <w:szCs w:val="24"/>
        </w:rPr>
        <w:t>risky behaviour or indicating the possibility of doing so in the future</w:t>
      </w:r>
      <w:r w:rsidR="006E27DB">
        <w:rPr>
          <w:rFonts w:asciiTheme="minorHAnsi" w:hAnsiTheme="minorHAnsi" w:cstheme="minorHAnsi"/>
          <w:sz w:val="24"/>
          <w:szCs w:val="24"/>
        </w:rPr>
        <w:t xml:space="preserve">.   The objective is to </w:t>
      </w:r>
      <w:r w:rsidRPr="00EB2853">
        <w:rPr>
          <w:rFonts w:asciiTheme="minorHAnsi" w:hAnsiTheme="minorHAnsi" w:cstheme="minorHAnsi"/>
          <w:sz w:val="24"/>
          <w:szCs w:val="24"/>
        </w:rPr>
        <w:t>provide youth workers with additional early intervention and prevention skills</w:t>
      </w:r>
      <w:r w:rsidR="00CF4A50">
        <w:rPr>
          <w:rFonts w:asciiTheme="minorHAnsi" w:hAnsiTheme="minorHAnsi" w:cstheme="minorHAnsi"/>
          <w:sz w:val="24"/>
          <w:szCs w:val="24"/>
        </w:rPr>
        <w:t>,</w:t>
      </w:r>
      <w:r w:rsidRPr="00EB2853">
        <w:rPr>
          <w:rFonts w:asciiTheme="minorHAnsi" w:hAnsiTheme="minorHAnsi" w:cstheme="minorHAnsi"/>
          <w:sz w:val="24"/>
          <w:szCs w:val="24"/>
        </w:rPr>
        <w:t xml:space="preserve"> knowledge</w:t>
      </w:r>
      <w:r w:rsidR="00CF4A50">
        <w:rPr>
          <w:rFonts w:asciiTheme="minorHAnsi" w:hAnsiTheme="minorHAnsi" w:cstheme="minorHAnsi"/>
          <w:sz w:val="24"/>
          <w:szCs w:val="24"/>
        </w:rPr>
        <w:t xml:space="preserve"> and understanding</w:t>
      </w:r>
      <w:r w:rsidRPr="00EB2853">
        <w:rPr>
          <w:rFonts w:asciiTheme="minorHAnsi" w:hAnsiTheme="minorHAnsi" w:cstheme="minorHAnsi"/>
          <w:sz w:val="24"/>
          <w:szCs w:val="24"/>
        </w:rPr>
        <w:t>.</w:t>
      </w:r>
    </w:p>
    <w:p w14:paraId="2B98B3E2" w14:textId="754B0F55" w:rsidR="008348FC" w:rsidRDefault="00E91950" w:rsidP="000B7E9E">
      <w:pPr>
        <w:spacing w:line="480" w:lineRule="auto"/>
        <w:jc w:val="both"/>
        <w:rPr>
          <w:rFonts w:asciiTheme="minorHAnsi" w:hAnsiTheme="minorHAnsi" w:cstheme="minorHAnsi"/>
          <w:sz w:val="24"/>
          <w:szCs w:val="24"/>
        </w:rPr>
      </w:pPr>
      <w:r>
        <w:rPr>
          <w:rFonts w:asciiTheme="minorHAnsi" w:hAnsiTheme="minorHAnsi" w:cstheme="minorHAnsi"/>
          <w:sz w:val="24"/>
          <w:szCs w:val="24"/>
        </w:rPr>
        <w:t>T</w:t>
      </w:r>
      <w:r w:rsidR="00EA6230">
        <w:rPr>
          <w:rFonts w:asciiTheme="minorHAnsi" w:hAnsiTheme="minorHAnsi" w:cstheme="minorHAnsi"/>
          <w:sz w:val="24"/>
          <w:szCs w:val="24"/>
        </w:rPr>
        <w:t>he risk</w:t>
      </w:r>
      <w:r>
        <w:rPr>
          <w:rFonts w:asciiTheme="minorHAnsi" w:hAnsiTheme="minorHAnsi" w:cstheme="minorHAnsi"/>
          <w:sz w:val="24"/>
          <w:szCs w:val="24"/>
        </w:rPr>
        <w:t xml:space="preserve"> behaviour</w:t>
      </w:r>
      <w:r w:rsidR="00EA6230">
        <w:rPr>
          <w:rFonts w:asciiTheme="minorHAnsi" w:hAnsiTheme="minorHAnsi" w:cstheme="minorHAnsi"/>
          <w:sz w:val="24"/>
          <w:szCs w:val="24"/>
        </w:rPr>
        <w:t>s that demand attention</w:t>
      </w:r>
      <w:r>
        <w:rPr>
          <w:rFonts w:asciiTheme="minorHAnsi" w:hAnsiTheme="minorHAnsi" w:cstheme="minorHAnsi"/>
          <w:sz w:val="24"/>
          <w:szCs w:val="24"/>
        </w:rPr>
        <w:t xml:space="preserve"> are those which seriously compromise </w:t>
      </w:r>
      <w:r w:rsidR="00E43992">
        <w:rPr>
          <w:rFonts w:asciiTheme="minorHAnsi" w:hAnsiTheme="minorHAnsi" w:cstheme="minorHAnsi"/>
          <w:sz w:val="24"/>
          <w:szCs w:val="24"/>
        </w:rPr>
        <w:t xml:space="preserve">young people’s </w:t>
      </w:r>
      <w:r>
        <w:rPr>
          <w:rFonts w:asciiTheme="minorHAnsi" w:hAnsiTheme="minorHAnsi" w:cstheme="minorHAnsi"/>
          <w:sz w:val="24"/>
          <w:szCs w:val="24"/>
        </w:rPr>
        <w:t>potential in life, are harmful to long-term health or are potentially life-threatening</w:t>
      </w:r>
      <w:r w:rsidR="000B7E9E">
        <w:rPr>
          <w:rFonts w:asciiTheme="minorHAnsi" w:hAnsiTheme="minorHAnsi" w:cstheme="minorHAnsi"/>
          <w:sz w:val="24"/>
          <w:szCs w:val="24"/>
        </w:rPr>
        <w:t xml:space="preserve"> (Kipping,</w:t>
      </w:r>
      <w:r w:rsidR="008348FC" w:rsidRPr="008348FC">
        <w:rPr>
          <w:rFonts w:asciiTheme="minorHAnsi" w:eastAsiaTheme="minorHAnsi" w:hAnsiTheme="minorHAnsi" w:cstheme="minorHAnsi"/>
          <w:color w:val="auto"/>
          <w:sz w:val="24"/>
          <w:szCs w:val="24"/>
        </w:rPr>
        <w:t xml:space="preserve"> </w:t>
      </w:r>
      <w:r w:rsidR="008348FC" w:rsidRPr="005A37BE">
        <w:rPr>
          <w:rFonts w:asciiTheme="minorHAnsi" w:eastAsiaTheme="minorHAnsi" w:hAnsiTheme="minorHAnsi" w:cstheme="minorHAnsi"/>
          <w:color w:val="auto"/>
          <w:sz w:val="24"/>
          <w:szCs w:val="24"/>
        </w:rPr>
        <w:t>Campbell, MacArthur, Gunnell</w:t>
      </w:r>
      <w:r w:rsidR="008348FC">
        <w:rPr>
          <w:rFonts w:asciiTheme="minorHAnsi" w:eastAsiaTheme="minorHAnsi" w:hAnsiTheme="minorHAnsi" w:cstheme="minorHAnsi"/>
          <w:color w:val="auto"/>
          <w:sz w:val="24"/>
          <w:szCs w:val="24"/>
        </w:rPr>
        <w:t xml:space="preserve"> a</w:t>
      </w:r>
      <w:r w:rsidR="008348FC" w:rsidRPr="005A37BE">
        <w:rPr>
          <w:rFonts w:asciiTheme="minorHAnsi" w:eastAsiaTheme="minorHAnsi" w:hAnsiTheme="minorHAnsi" w:cstheme="minorHAnsi"/>
          <w:color w:val="auto"/>
          <w:sz w:val="24"/>
          <w:szCs w:val="24"/>
        </w:rPr>
        <w:t>nd Hickman,</w:t>
      </w:r>
      <w:r w:rsidR="008348FC">
        <w:rPr>
          <w:rFonts w:asciiTheme="minorHAnsi" w:eastAsiaTheme="minorHAnsi" w:hAnsiTheme="minorHAnsi" w:cstheme="minorHAnsi"/>
          <w:color w:val="auto"/>
          <w:sz w:val="24"/>
          <w:szCs w:val="24"/>
        </w:rPr>
        <w:t xml:space="preserve"> 2012).  </w:t>
      </w:r>
      <w:r w:rsidR="004B4740">
        <w:rPr>
          <w:rFonts w:asciiTheme="minorHAnsi" w:hAnsiTheme="minorHAnsi" w:cstheme="minorHAnsi"/>
          <w:sz w:val="24"/>
          <w:szCs w:val="24"/>
        </w:rPr>
        <w:t>Young people taking harmful risks put themselves, sometimes others and sometimes both</w:t>
      </w:r>
      <w:r w:rsidR="00FD1109">
        <w:rPr>
          <w:rFonts w:asciiTheme="minorHAnsi" w:hAnsiTheme="minorHAnsi" w:cstheme="minorHAnsi"/>
          <w:sz w:val="24"/>
          <w:szCs w:val="24"/>
        </w:rPr>
        <w:t>,</w:t>
      </w:r>
      <w:r w:rsidR="004B4740">
        <w:rPr>
          <w:rFonts w:asciiTheme="minorHAnsi" w:hAnsiTheme="minorHAnsi" w:cstheme="minorHAnsi"/>
          <w:sz w:val="24"/>
          <w:szCs w:val="24"/>
        </w:rPr>
        <w:t xml:space="preserve"> at risk of future morbidity </w:t>
      </w:r>
      <w:r w:rsidR="0085284F">
        <w:rPr>
          <w:rFonts w:asciiTheme="minorHAnsi" w:hAnsiTheme="minorHAnsi" w:cstheme="minorHAnsi"/>
          <w:sz w:val="24"/>
          <w:szCs w:val="24"/>
        </w:rPr>
        <w:t>and</w:t>
      </w:r>
      <w:r w:rsidR="004B4740">
        <w:rPr>
          <w:rFonts w:asciiTheme="minorHAnsi" w:hAnsiTheme="minorHAnsi" w:cstheme="minorHAnsi"/>
          <w:sz w:val="24"/>
          <w:szCs w:val="24"/>
        </w:rPr>
        <w:t xml:space="preserve"> early mortality</w:t>
      </w:r>
      <w:r w:rsidR="008348FC">
        <w:rPr>
          <w:rFonts w:asciiTheme="minorHAnsi" w:hAnsiTheme="minorHAnsi" w:cstheme="minorHAnsi"/>
          <w:sz w:val="24"/>
          <w:szCs w:val="24"/>
        </w:rPr>
        <w:t>, which is both costly to young people in terms of their attainment and wellbeing and to society (ibid).</w:t>
      </w:r>
    </w:p>
    <w:p w14:paraId="19F37020" w14:textId="5D52F7EB" w:rsidR="00EF46F8" w:rsidRPr="001B16E6" w:rsidRDefault="008348FC" w:rsidP="0048030D">
      <w:pPr>
        <w:spacing w:line="480" w:lineRule="auto"/>
        <w:jc w:val="both"/>
        <w:rPr>
          <w:rFonts w:asciiTheme="minorHAnsi" w:hAnsiTheme="minorHAnsi" w:cstheme="minorHAnsi"/>
          <w:color w:val="auto"/>
          <w:sz w:val="24"/>
          <w:szCs w:val="24"/>
        </w:rPr>
      </w:pPr>
      <w:r>
        <w:rPr>
          <w:rFonts w:asciiTheme="minorHAnsi" w:hAnsiTheme="minorHAnsi" w:cstheme="minorHAnsi"/>
          <w:sz w:val="24"/>
          <w:szCs w:val="24"/>
        </w:rPr>
        <w:lastRenderedPageBreak/>
        <w:t>M</w:t>
      </w:r>
      <w:r w:rsidR="00FD1109">
        <w:rPr>
          <w:rFonts w:asciiTheme="minorHAnsi" w:hAnsiTheme="minorHAnsi" w:cstheme="minorHAnsi"/>
          <w:sz w:val="24"/>
          <w:szCs w:val="24"/>
        </w:rPr>
        <w:t xml:space="preserve">ost harmful risk behaviours impact on health or safety.  </w:t>
      </w:r>
      <w:r w:rsidR="00E91950">
        <w:rPr>
          <w:rFonts w:asciiTheme="minorHAnsi" w:hAnsiTheme="minorHAnsi" w:cstheme="minorHAnsi"/>
          <w:sz w:val="24"/>
          <w:szCs w:val="24"/>
        </w:rPr>
        <w:t>These include smoking, alcohol and drug use, unsafe sex, dangerous driving, bullying, fighting, dating violence</w:t>
      </w:r>
      <w:r w:rsidR="00FD1109">
        <w:rPr>
          <w:rFonts w:asciiTheme="minorHAnsi" w:hAnsiTheme="minorHAnsi" w:cstheme="minorHAnsi"/>
          <w:sz w:val="24"/>
          <w:szCs w:val="24"/>
        </w:rPr>
        <w:t xml:space="preserve">, anti-social behaviour, criminal activity, gambling, disordered eating, </w:t>
      </w:r>
      <w:r w:rsidR="00CF4A50">
        <w:rPr>
          <w:rFonts w:asciiTheme="minorHAnsi" w:hAnsiTheme="minorHAnsi" w:cstheme="minorHAnsi"/>
          <w:sz w:val="24"/>
          <w:szCs w:val="24"/>
        </w:rPr>
        <w:t xml:space="preserve">dangerous or </w:t>
      </w:r>
      <w:r w:rsidR="00FD1109">
        <w:rPr>
          <w:rFonts w:asciiTheme="minorHAnsi" w:hAnsiTheme="minorHAnsi" w:cstheme="minorHAnsi"/>
          <w:sz w:val="24"/>
          <w:szCs w:val="24"/>
        </w:rPr>
        <w:t xml:space="preserve">extreme sports and some </w:t>
      </w:r>
      <w:r w:rsidR="0048030D">
        <w:rPr>
          <w:rFonts w:asciiTheme="minorHAnsi" w:hAnsiTheme="minorHAnsi" w:cstheme="minorHAnsi"/>
          <w:sz w:val="24"/>
          <w:szCs w:val="24"/>
        </w:rPr>
        <w:t xml:space="preserve">dares and </w:t>
      </w:r>
      <w:r w:rsidR="00FD1109">
        <w:rPr>
          <w:rFonts w:asciiTheme="minorHAnsi" w:hAnsiTheme="minorHAnsi" w:cstheme="minorHAnsi"/>
          <w:sz w:val="24"/>
          <w:szCs w:val="24"/>
        </w:rPr>
        <w:t>online challenges.</w:t>
      </w:r>
      <w:r w:rsidR="0048030D">
        <w:rPr>
          <w:rFonts w:asciiTheme="minorHAnsi" w:hAnsiTheme="minorHAnsi" w:cstheme="minorHAnsi"/>
          <w:sz w:val="24"/>
          <w:szCs w:val="24"/>
        </w:rPr>
        <w:t xml:space="preserve">  Some risk-taking is more potentially harmful</w:t>
      </w:r>
      <w:r w:rsidR="00775204">
        <w:rPr>
          <w:rFonts w:asciiTheme="minorHAnsi" w:hAnsiTheme="minorHAnsi" w:cstheme="minorHAnsi"/>
          <w:sz w:val="24"/>
          <w:szCs w:val="24"/>
        </w:rPr>
        <w:t>:</w:t>
      </w:r>
      <w:r w:rsidR="0048030D">
        <w:rPr>
          <w:rFonts w:asciiTheme="minorHAnsi" w:hAnsiTheme="minorHAnsi" w:cstheme="minorHAnsi"/>
          <w:sz w:val="24"/>
          <w:szCs w:val="24"/>
        </w:rPr>
        <w:t xml:space="preserve"> for instance, trying a cigarette versus playing chicken on the train tracks.  The degree of harm for most harmful health risk behaviours is usually determined by the intensity and/or frequency of these behaviours; for example, trying alcohol with friends versus regular binge drinking</w:t>
      </w:r>
      <w:r w:rsidR="00F3793A">
        <w:rPr>
          <w:rFonts w:asciiTheme="minorHAnsi" w:hAnsiTheme="minorHAnsi" w:cstheme="minorHAnsi"/>
          <w:sz w:val="24"/>
          <w:szCs w:val="24"/>
        </w:rPr>
        <w:t xml:space="preserve"> (Fitzsimons, Jackman, </w:t>
      </w:r>
      <w:proofErr w:type="spellStart"/>
      <w:r w:rsidR="00F3793A">
        <w:rPr>
          <w:rFonts w:asciiTheme="minorHAnsi" w:hAnsiTheme="minorHAnsi" w:cstheme="minorHAnsi"/>
          <w:sz w:val="24"/>
          <w:szCs w:val="24"/>
        </w:rPr>
        <w:t>Kyprianides</w:t>
      </w:r>
      <w:proofErr w:type="spellEnd"/>
      <w:r w:rsidR="00F3793A">
        <w:rPr>
          <w:rFonts w:asciiTheme="minorHAnsi" w:hAnsiTheme="minorHAnsi" w:cstheme="minorHAnsi"/>
          <w:sz w:val="24"/>
          <w:szCs w:val="24"/>
        </w:rPr>
        <w:t xml:space="preserve"> and </w:t>
      </w:r>
      <w:proofErr w:type="spellStart"/>
      <w:r w:rsidR="00F3793A">
        <w:rPr>
          <w:rFonts w:asciiTheme="minorHAnsi" w:hAnsiTheme="minorHAnsi" w:cstheme="minorHAnsi"/>
          <w:sz w:val="24"/>
          <w:szCs w:val="24"/>
        </w:rPr>
        <w:t>Villadsen</w:t>
      </w:r>
      <w:proofErr w:type="spellEnd"/>
      <w:r w:rsidR="00F3793A">
        <w:rPr>
          <w:rFonts w:asciiTheme="minorHAnsi" w:hAnsiTheme="minorHAnsi" w:cstheme="minorHAnsi"/>
          <w:sz w:val="24"/>
          <w:szCs w:val="24"/>
        </w:rPr>
        <w:t>, 2018)</w:t>
      </w:r>
      <w:r w:rsidR="0048030D">
        <w:rPr>
          <w:rFonts w:asciiTheme="minorHAnsi" w:hAnsiTheme="minorHAnsi" w:cstheme="minorHAnsi"/>
          <w:sz w:val="24"/>
          <w:szCs w:val="24"/>
        </w:rPr>
        <w:t>.  Many harmful behaviours also have a</w:t>
      </w:r>
      <w:r w:rsidR="00CF4A50">
        <w:rPr>
          <w:rFonts w:asciiTheme="minorHAnsi" w:hAnsiTheme="minorHAnsi" w:cstheme="minorHAnsi"/>
          <w:sz w:val="24"/>
          <w:szCs w:val="24"/>
        </w:rPr>
        <w:t xml:space="preserve"> </w:t>
      </w:r>
      <w:r w:rsidR="0048030D">
        <w:rPr>
          <w:rFonts w:asciiTheme="minorHAnsi" w:hAnsiTheme="minorHAnsi" w:cstheme="minorHAnsi"/>
          <w:sz w:val="24"/>
          <w:szCs w:val="24"/>
        </w:rPr>
        <w:t>n</w:t>
      </w:r>
      <w:r w:rsidR="00CF4A50">
        <w:rPr>
          <w:rFonts w:asciiTheme="minorHAnsi" w:hAnsiTheme="minorHAnsi" w:cstheme="minorHAnsi"/>
          <w:sz w:val="24"/>
          <w:szCs w:val="24"/>
        </w:rPr>
        <w:t>egative</w:t>
      </w:r>
      <w:r w:rsidR="0048030D">
        <w:rPr>
          <w:rFonts w:asciiTheme="minorHAnsi" w:hAnsiTheme="minorHAnsi" w:cstheme="minorHAnsi"/>
          <w:sz w:val="24"/>
          <w:szCs w:val="24"/>
        </w:rPr>
        <w:t xml:space="preserve"> impact on mental health</w:t>
      </w:r>
      <w:r w:rsidR="00CF4A50">
        <w:rPr>
          <w:rFonts w:asciiTheme="minorHAnsi" w:hAnsiTheme="minorHAnsi" w:cstheme="minorHAnsi"/>
          <w:sz w:val="24"/>
          <w:szCs w:val="24"/>
        </w:rPr>
        <w:t xml:space="preserve">, which can </w:t>
      </w:r>
      <w:r w:rsidR="00CF4A50" w:rsidRPr="001B16E6">
        <w:rPr>
          <w:rFonts w:asciiTheme="minorHAnsi" w:hAnsiTheme="minorHAnsi" w:cstheme="minorHAnsi"/>
          <w:color w:val="auto"/>
          <w:sz w:val="24"/>
          <w:szCs w:val="24"/>
        </w:rPr>
        <w:t xml:space="preserve">predispose young people to take up further </w:t>
      </w:r>
      <w:r w:rsidR="00EF46F8" w:rsidRPr="001B16E6">
        <w:rPr>
          <w:rFonts w:asciiTheme="minorHAnsi" w:hAnsiTheme="minorHAnsi" w:cstheme="minorHAnsi"/>
          <w:color w:val="auto"/>
          <w:sz w:val="24"/>
          <w:szCs w:val="24"/>
        </w:rPr>
        <w:t>risk</w:t>
      </w:r>
      <w:r w:rsidR="00CF4A50" w:rsidRPr="001B16E6">
        <w:rPr>
          <w:rFonts w:asciiTheme="minorHAnsi" w:hAnsiTheme="minorHAnsi" w:cstheme="minorHAnsi"/>
          <w:color w:val="auto"/>
          <w:sz w:val="24"/>
          <w:szCs w:val="24"/>
        </w:rPr>
        <w:t xml:space="preserve"> behaviours</w:t>
      </w:r>
      <w:r w:rsidR="00EF46F8" w:rsidRPr="001B16E6">
        <w:rPr>
          <w:rFonts w:asciiTheme="minorHAnsi" w:hAnsiTheme="minorHAnsi" w:cstheme="minorHAnsi"/>
          <w:color w:val="auto"/>
          <w:sz w:val="24"/>
          <w:szCs w:val="24"/>
        </w:rPr>
        <w:t>, initiating a cycle of harms</w:t>
      </w:r>
      <w:r w:rsidR="00DA0671">
        <w:rPr>
          <w:rFonts w:asciiTheme="minorHAnsi" w:hAnsiTheme="minorHAnsi" w:cstheme="minorHAnsi"/>
          <w:color w:val="auto"/>
          <w:sz w:val="24"/>
          <w:szCs w:val="24"/>
        </w:rPr>
        <w:t xml:space="preserve"> and increased vulnerability</w:t>
      </w:r>
      <w:r w:rsidR="00CF4A50" w:rsidRPr="001B16E6">
        <w:rPr>
          <w:rFonts w:asciiTheme="minorHAnsi" w:hAnsiTheme="minorHAnsi" w:cstheme="minorHAnsi"/>
          <w:color w:val="auto"/>
          <w:sz w:val="24"/>
          <w:szCs w:val="24"/>
        </w:rPr>
        <w:t>.</w:t>
      </w:r>
      <w:r w:rsidR="00C8451E">
        <w:rPr>
          <w:rFonts w:asciiTheme="minorHAnsi" w:hAnsiTheme="minorHAnsi" w:cstheme="minorHAnsi"/>
          <w:color w:val="auto"/>
          <w:sz w:val="24"/>
          <w:szCs w:val="24"/>
        </w:rPr>
        <w:t xml:space="preserve">   Indeed, multiple risk behaviours are seen to ‘cluster’ in adolescence (Kipping et al., 2012, pi1).</w:t>
      </w:r>
      <w:r w:rsidR="00472F45">
        <w:rPr>
          <w:rFonts w:asciiTheme="minorHAnsi" w:hAnsiTheme="minorHAnsi" w:cstheme="minorHAnsi"/>
          <w:color w:val="auto"/>
          <w:sz w:val="24"/>
          <w:szCs w:val="24"/>
        </w:rPr>
        <w:t xml:space="preserve">  </w:t>
      </w:r>
    </w:p>
    <w:p w14:paraId="00F60448" w14:textId="3850FE02" w:rsidR="00472F45" w:rsidRDefault="00EF46F8" w:rsidP="00EF46F8">
      <w:pPr>
        <w:spacing w:line="480" w:lineRule="auto"/>
        <w:jc w:val="both"/>
        <w:rPr>
          <w:rFonts w:asciiTheme="minorHAnsi" w:hAnsiTheme="minorHAnsi" w:cstheme="minorHAnsi"/>
          <w:color w:val="auto"/>
          <w:sz w:val="24"/>
          <w:szCs w:val="24"/>
        </w:rPr>
      </w:pPr>
      <w:r w:rsidRPr="001B16E6">
        <w:rPr>
          <w:rFonts w:asciiTheme="minorHAnsi" w:hAnsiTheme="minorHAnsi" w:cstheme="minorHAnsi"/>
          <w:color w:val="auto"/>
          <w:sz w:val="24"/>
          <w:szCs w:val="24"/>
        </w:rPr>
        <w:t xml:space="preserve">It is important </w:t>
      </w:r>
      <w:r w:rsidR="001B16E6" w:rsidRPr="001B16E6">
        <w:rPr>
          <w:rFonts w:asciiTheme="minorHAnsi" w:hAnsiTheme="minorHAnsi" w:cstheme="minorHAnsi"/>
          <w:color w:val="auto"/>
          <w:sz w:val="24"/>
          <w:szCs w:val="24"/>
        </w:rPr>
        <w:t xml:space="preserve">to intervene and prevent the most harmful </w:t>
      </w:r>
      <w:r w:rsidR="00577137">
        <w:rPr>
          <w:rFonts w:asciiTheme="minorHAnsi" w:hAnsiTheme="minorHAnsi" w:cstheme="minorHAnsi"/>
          <w:color w:val="auto"/>
          <w:sz w:val="24"/>
          <w:szCs w:val="24"/>
        </w:rPr>
        <w:t xml:space="preserve">of young people’s </w:t>
      </w:r>
      <w:r w:rsidR="001B16E6" w:rsidRPr="001B16E6">
        <w:rPr>
          <w:rFonts w:asciiTheme="minorHAnsi" w:hAnsiTheme="minorHAnsi" w:cstheme="minorHAnsi"/>
          <w:color w:val="auto"/>
          <w:sz w:val="24"/>
          <w:szCs w:val="24"/>
        </w:rPr>
        <w:t>behaviours, because</w:t>
      </w:r>
      <w:r w:rsidR="00DA0671">
        <w:rPr>
          <w:rFonts w:asciiTheme="minorHAnsi" w:hAnsiTheme="minorHAnsi" w:cstheme="minorHAnsi"/>
          <w:color w:val="auto"/>
          <w:sz w:val="24"/>
          <w:szCs w:val="24"/>
        </w:rPr>
        <w:t xml:space="preserve"> although some of them</w:t>
      </w:r>
      <w:r w:rsidR="00577137">
        <w:rPr>
          <w:rFonts w:asciiTheme="minorHAnsi" w:hAnsiTheme="minorHAnsi" w:cstheme="minorHAnsi"/>
          <w:color w:val="auto"/>
          <w:sz w:val="24"/>
          <w:szCs w:val="24"/>
        </w:rPr>
        <w:t xml:space="preserve"> such as smoking,</w:t>
      </w:r>
      <w:r w:rsidR="00472F45">
        <w:rPr>
          <w:rFonts w:asciiTheme="minorHAnsi" w:hAnsiTheme="minorHAnsi" w:cstheme="minorHAnsi"/>
          <w:color w:val="auto"/>
          <w:sz w:val="24"/>
          <w:szCs w:val="24"/>
        </w:rPr>
        <w:t xml:space="preserve"> drinking, using drugs and criminal behaviour </w:t>
      </w:r>
      <w:r w:rsidR="00DA0671">
        <w:rPr>
          <w:rFonts w:asciiTheme="minorHAnsi" w:hAnsiTheme="minorHAnsi" w:cstheme="minorHAnsi"/>
          <w:color w:val="auto"/>
          <w:sz w:val="24"/>
          <w:szCs w:val="24"/>
        </w:rPr>
        <w:t>have been decreasing in recent years (Cabinet Office, 2014),</w:t>
      </w:r>
      <w:r w:rsidR="00577137">
        <w:rPr>
          <w:rFonts w:asciiTheme="minorHAnsi" w:hAnsiTheme="minorHAnsi" w:cstheme="minorHAnsi"/>
          <w:color w:val="auto"/>
          <w:sz w:val="24"/>
          <w:szCs w:val="24"/>
        </w:rPr>
        <w:t xml:space="preserve"> </w:t>
      </w:r>
      <w:r w:rsidR="00F22BFF">
        <w:rPr>
          <w:rFonts w:asciiTheme="minorHAnsi" w:hAnsiTheme="minorHAnsi" w:cstheme="minorHAnsi"/>
          <w:color w:val="auto"/>
          <w:sz w:val="24"/>
          <w:szCs w:val="24"/>
        </w:rPr>
        <w:t>they are still</w:t>
      </w:r>
      <w:r w:rsidR="00472F45">
        <w:rPr>
          <w:rFonts w:asciiTheme="minorHAnsi" w:hAnsiTheme="minorHAnsi" w:cstheme="minorHAnsi"/>
          <w:color w:val="auto"/>
          <w:sz w:val="24"/>
          <w:szCs w:val="24"/>
        </w:rPr>
        <w:t xml:space="preserve"> taking place and they are still</w:t>
      </w:r>
      <w:r w:rsidR="00F22BFF">
        <w:rPr>
          <w:rFonts w:asciiTheme="minorHAnsi" w:hAnsiTheme="minorHAnsi" w:cstheme="minorHAnsi"/>
          <w:color w:val="auto"/>
          <w:sz w:val="24"/>
          <w:szCs w:val="24"/>
        </w:rPr>
        <w:t xml:space="preserve"> </w:t>
      </w:r>
      <w:r w:rsidR="000D7508">
        <w:rPr>
          <w:rFonts w:asciiTheme="minorHAnsi" w:hAnsiTheme="minorHAnsi" w:cstheme="minorHAnsi"/>
          <w:color w:val="auto"/>
          <w:sz w:val="24"/>
          <w:szCs w:val="24"/>
        </w:rPr>
        <w:t xml:space="preserve">very </w:t>
      </w:r>
      <w:r w:rsidR="00F22BFF">
        <w:rPr>
          <w:rFonts w:asciiTheme="minorHAnsi" w:hAnsiTheme="minorHAnsi" w:cstheme="minorHAnsi"/>
          <w:color w:val="auto"/>
          <w:sz w:val="24"/>
          <w:szCs w:val="24"/>
        </w:rPr>
        <w:t>hazardous.</w:t>
      </w:r>
      <w:r w:rsidR="000D7508">
        <w:rPr>
          <w:rFonts w:asciiTheme="minorHAnsi" w:hAnsiTheme="minorHAnsi" w:cstheme="minorHAnsi"/>
          <w:color w:val="auto"/>
          <w:sz w:val="24"/>
          <w:szCs w:val="24"/>
        </w:rPr>
        <w:t xml:space="preserve">  Indeed, in 2019 there were 92 deaths of young people related to drugs and alcohol (ONS, 2021) and presumably </w:t>
      </w:r>
      <w:r w:rsidR="008348FC">
        <w:rPr>
          <w:rFonts w:asciiTheme="minorHAnsi" w:hAnsiTheme="minorHAnsi" w:cstheme="minorHAnsi"/>
          <w:color w:val="auto"/>
          <w:sz w:val="24"/>
          <w:szCs w:val="24"/>
        </w:rPr>
        <w:t xml:space="preserve">there were </w:t>
      </w:r>
      <w:r w:rsidR="000D7508">
        <w:rPr>
          <w:rFonts w:asciiTheme="minorHAnsi" w:hAnsiTheme="minorHAnsi" w:cstheme="minorHAnsi"/>
          <w:color w:val="auto"/>
          <w:sz w:val="24"/>
          <w:szCs w:val="24"/>
        </w:rPr>
        <w:t xml:space="preserve">many more </w:t>
      </w:r>
      <w:r w:rsidR="00C8451E">
        <w:rPr>
          <w:rFonts w:asciiTheme="minorHAnsi" w:hAnsiTheme="minorHAnsi" w:cstheme="minorHAnsi"/>
          <w:color w:val="auto"/>
          <w:sz w:val="24"/>
          <w:szCs w:val="24"/>
        </w:rPr>
        <w:t>young people developing</w:t>
      </w:r>
      <w:r w:rsidR="000D7508">
        <w:rPr>
          <w:rFonts w:asciiTheme="minorHAnsi" w:hAnsiTheme="minorHAnsi" w:cstheme="minorHAnsi"/>
          <w:color w:val="auto"/>
          <w:sz w:val="24"/>
          <w:szCs w:val="24"/>
        </w:rPr>
        <w:t xml:space="preserve"> serious health issues.  </w:t>
      </w:r>
      <w:r w:rsidR="002F1889">
        <w:rPr>
          <w:rFonts w:asciiTheme="minorHAnsi" w:hAnsiTheme="minorHAnsi" w:cstheme="minorHAnsi"/>
          <w:color w:val="auto"/>
          <w:sz w:val="24"/>
          <w:szCs w:val="24"/>
        </w:rPr>
        <w:t xml:space="preserve">  </w:t>
      </w:r>
    </w:p>
    <w:p w14:paraId="1F0E58A9" w14:textId="2C6ACE4A" w:rsidR="002F1889" w:rsidRDefault="008348FC" w:rsidP="00EF46F8">
      <w:pPr>
        <w:spacing w:line="48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Although </w:t>
      </w:r>
      <w:r w:rsidR="003A365A">
        <w:rPr>
          <w:rFonts w:asciiTheme="minorHAnsi" w:hAnsiTheme="minorHAnsi" w:cstheme="minorHAnsi"/>
          <w:color w:val="auto"/>
          <w:sz w:val="24"/>
          <w:szCs w:val="24"/>
        </w:rPr>
        <w:t>youth crime</w:t>
      </w:r>
      <w:r w:rsidR="00423736">
        <w:rPr>
          <w:rFonts w:asciiTheme="minorHAnsi" w:hAnsiTheme="minorHAnsi" w:cstheme="minorHAnsi"/>
          <w:color w:val="auto"/>
          <w:sz w:val="24"/>
          <w:szCs w:val="24"/>
        </w:rPr>
        <w:t xml:space="preserve"> has</w:t>
      </w:r>
      <w:r w:rsidR="003A365A">
        <w:rPr>
          <w:rFonts w:asciiTheme="minorHAnsi" w:hAnsiTheme="minorHAnsi" w:cstheme="minorHAnsi"/>
          <w:color w:val="auto"/>
          <w:sz w:val="24"/>
          <w:szCs w:val="24"/>
        </w:rPr>
        <w:t xml:space="preserve"> been decreasing steadily</w:t>
      </w:r>
      <w:r>
        <w:rPr>
          <w:rFonts w:asciiTheme="minorHAnsi" w:hAnsiTheme="minorHAnsi" w:cstheme="minorHAnsi"/>
          <w:color w:val="auto"/>
          <w:sz w:val="24"/>
          <w:szCs w:val="24"/>
        </w:rPr>
        <w:t xml:space="preserve"> in the UK</w:t>
      </w:r>
      <w:r w:rsidR="00547652">
        <w:rPr>
          <w:rFonts w:asciiTheme="minorHAnsi" w:hAnsiTheme="minorHAnsi" w:cstheme="minorHAnsi"/>
          <w:color w:val="auto"/>
          <w:sz w:val="24"/>
          <w:szCs w:val="24"/>
        </w:rPr>
        <w:t>, violence against a</w:t>
      </w:r>
      <w:r>
        <w:rPr>
          <w:rFonts w:asciiTheme="minorHAnsi" w:hAnsiTheme="minorHAnsi" w:cstheme="minorHAnsi"/>
          <w:color w:val="auto"/>
          <w:sz w:val="24"/>
          <w:szCs w:val="24"/>
        </w:rPr>
        <w:t>nother</w:t>
      </w:r>
      <w:r w:rsidR="00547652">
        <w:rPr>
          <w:rFonts w:asciiTheme="minorHAnsi" w:hAnsiTheme="minorHAnsi" w:cstheme="minorHAnsi"/>
          <w:color w:val="auto"/>
          <w:sz w:val="24"/>
          <w:szCs w:val="24"/>
        </w:rPr>
        <w:t xml:space="preserve"> person</w:t>
      </w:r>
      <w:r>
        <w:rPr>
          <w:rFonts w:asciiTheme="minorHAnsi" w:hAnsiTheme="minorHAnsi" w:cstheme="minorHAnsi"/>
          <w:color w:val="auto"/>
          <w:sz w:val="24"/>
          <w:szCs w:val="24"/>
        </w:rPr>
        <w:t xml:space="preserve"> has not; this</w:t>
      </w:r>
      <w:r w:rsidR="00547652">
        <w:rPr>
          <w:rFonts w:asciiTheme="minorHAnsi" w:hAnsiTheme="minorHAnsi" w:cstheme="minorHAnsi"/>
          <w:color w:val="auto"/>
          <w:sz w:val="24"/>
          <w:szCs w:val="24"/>
        </w:rPr>
        <w:t xml:space="preserve"> has increased by 36% over the last five years (Youth Justice Board, 2021).  Worryingly, the number of self-harm incidents recorded for those in youth custody has been increasing since 2018 and jumped by 35% </w:t>
      </w:r>
      <w:r w:rsidR="00A565BF">
        <w:rPr>
          <w:rFonts w:asciiTheme="minorHAnsi" w:hAnsiTheme="minorHAnsi" w:cstheme="minorHAnsi"/>
          <w:color w:val="auto"/>
          <w:sz w:val="24"/>
          <w:szCs w:val="24"/>
        </w:rPr>
        <w:t>during 2019-20</w:t>
      </w:r>
      <w:r w:rsidR="00547652">
        <w:rPr>
          <w:rFonts w:asciiTheme="minorHAnsi" w:hAnsiTheme="minorHAnsi" w:cstheme="minorHAnsi"/>
          <w:color w:val="auto"/>
          <w:sz w:val="24"/>
          <w:szCs w:val="24"/>
        </w:rPr>
        <w:t xml:space="preserve"> to 2,500 young people, the highest for five years</w:t>
      </w:r>
      <w:r w:rsidR="00423736">
        <w:rPr>
          <w:rFonts w:asciiTheme="minorHAnsi" w:hAnsiTheme="minorHAnsi" w:cstheme="minorHAnsi"/>
          <w:color w:val="auto"/>
          <w:sz w:val="24"/>
          <w:szCs w:val="24"/>
        </w:rPr>
        <w:t>.  This</w:t>
      </w:r>
      <w:r w:rsidR="008A4C70">
        <w:rPr>
          <w:rFonts w:asciiTheme="minorHAnsi" w:hAnsiTheme="minorHAnsi" w:cstheme="minorHAnsi"/>
          <w:color w:val="auto"/>
          <w:sz w:val="24"/>
          <w:szCs w:val="24"/>
        </w:rPr>
        <w:t xml:space="preserve"> is especially high for girls and increasing fastest among </w:t>
      </w:r>
      <w:proofErr w:type="gramStart"/>
      <w:r w:rsidR="008A4C70">
        <w:rPr>
          <w:rFonts w:asciiTheme="minorHAnsi" w:hAnsiTheme="minorHAnsi" w:cstheme="minorHAnsi"/>
          <w:color w:val="auto"/>
          <w:sz w:val="24"/>
          <w:szCs w:val="24"/>
        </w:rPr>
        <w:t>10</w:t>
      </w:r>
      <w:r>
        <w:rPr>
          <w:rFonts w:asciiTheme="minorHAnsi" w:hAnsiTheme="minorHAnsi" w:cstheme="minorHAnsi"/>
          <w:color w:val="auto"/>
          <w:sz w:val="24"/>
          <w:szCs w:val="24"/>
        </w:rPr>
        <w:t>-</w:t>
      </w:r>
      <w:r w:rsidR="008A4C70">
        <w:rPr>
          <w:rFonts w:asciiTheme="minorHAnsi" w:hAnsiTheme="minorHAnsi" w:cstheme="minorHAnsi"/>
          <w:color w:val="auto"/>
          <w:sz w:val="24"/>
          <w:szCs w:val="24"/>
        </w:rPr>
        <w:t>14 year olds</w:t>
      </w:r>
      <w:proofErr w:type="gramEnd"/>
      <w:r w:rsidR="008A4C70">
        <w:rPr>
          <w:rFonts w:asciiTheme="minorHAnsi" w:hAnsiTheme="minorHAnsi" w:cstheme="minorHAnsi"/>
          <w:color w:val="auto"/>
          <w:sz w:val="24"/>
          <w:szCs w:val="24"/>
        </w:rPr>
        <w:t xml:space="preserve"> </w:t>
      </w:r>
      <w:r w:rsidR="008A4C70">
        <w:rPr>
          <w:rFonts w:asciiTheme="minorHAnsi" w:hAnsiTheme="minorHAnsi" w:cstheme="minorHAnsi"/>
          <w:color w:val="auto"/>
          <w:sz w:val="24"/>
          <w:szCs w:val="24"/>
        </w:rPr>
        <w:lastRenderedPageBreak/>
        <w:t>(ibid.)</w:t>
      </w:r>
      <w:r w:rsidR="00547652">
        <w:rPr>
          <w:rFonts w:asciiTheme="minorHAnsi" w:hAnsiTheme="minorHAnsi" w:cstheme="minorHAnsi"/>
          <w:color w:val="auto"/>
          <w:sz w:val="24"/>
          <w:szCs w:val="24"/>
        </w:rPr>
        <w:t>.</w:t>
      </w:r>
      <w:r w:rsidR="008A4C70">
        <w:rPr>
          <w:rFonts w:asciiTheme="minorHAnsi" w:hAnsiTheme="minorHAnsi" w:cstheme="minorHAnsi"/>
          <w:color w:val="auto"/>
          <w:sz w:val="24"/>
          <w:szCs w:val="24"/>
        </w:rPr>
        <w:t xml:space="preserve">  Perhaps this </w:t>
      </w:r>
      <w:r>
        <w:rPr>
          <w:rFonts w:asciiTheme="minorHAnsi" w:hAnsiTheme="minorHAnsi" w:cstheme="minorHAnsi"/>
          <w:color w:val="auto"/>
          <w:sz w:val="24"/>
          <w:szCs w:val="24"/>
        </w:rPr>
        <w:t>is related to</w:t>
      </w:r>
      <w:r w:rsidR="008A4C70">
        <w:rPr>
          <w:rFonts w:asciiTheme="minorHAnsi" w:hAnsiTheme="minorHAnsi" w:cstheme="minorHAnsi"/>
          <w:color w:val="auto"/>
          <w:sz w:val="24"/>
          <w:szCs w:val="24"/>
        </w:rPr>
        <w:t xml:space="preserve"> the average length of </w:t>
      </w:r>
      <w:r>
        <w:rPr>
          <w:rFonts w:asciiTheme="minorHAnsi" w:hAnsiTheme="minorHAnsi" w:cstheme="minorHAnsi"/>
          <w:color w:val="auto"/>
          <w:sz w:val="24"/>
          <w:szCs w:val="24"/>
        </w:rPr>
        <w:t xml:space="preserve">youth </w:t>
      </w:r>
      <w:r w:rsidR="008A4C70">
        <w:rPr>
          <w:rFonts w:asciiTheme="minorHAnsi" w:hAnsiTheme="minorHAnsi" w:cstheme="minorHAnsi"/>
          <w:color w:val="auto"/>
          <w:sz w:val="24"/>
          <w:szCs w:val="24"/>
        </w:rPr>
        <w:t>custodial sentence</w:t>
      </w:r>
      <w:r>
        <w:rPr>
          <w:rFonts w:asciiTheme="minorHAnsi" w:hAnsiTheme="minorHAnsi" w:cstheme="minorHAnsi"/>
          <w:color w:val="auto"/>
          <w:sz w:val="24"/>
          <w:szCs w:val="24"/>
        </w:rPr>
        <w:t>s</w:t>
      </w:r>
      <w:r w:rsidR="008A4C70">
        <w:rPr>
          <w:rFonts w:asciiTheme="minorHAnsi" w:hAnsiTheme="minorHAnsi" w:cstheme="minorHAnsi"/>
          <w:color w:val="auto"/>
          <w:sz w:val="24"/>
          <w:szCs w:val="24"/>
        </w:rPr>
        <w:t xml:space="preserve">, which has increased by </w:t>
      </w:r>
      <w:r w:rsidR="002F1889">
        <w:rPr>
          <w:rFonts w:asciiTheme="minorHAnsi" w:hAnsiTheme="minorHAnsi" w:cstheme="minorHAnsi"/>
          <w:color w:val="auto"/>
          <w:sz w:val="24"/>
          <w:szCs w:val="24"/>
        </w:rPr>
        <w:t>65% over the last ten years (ibid.).</w:t>
      </w:r>
    </w:p>
    <w:p w14:paraId="1FCABC27" w14:textId="6AFF694D" w:rsidR="003A365A" w:rsidRDefault="00F96A14" w:rsidP="00EF46F8">
      <w:pPr>
        <w:spacing w:line="48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It has been shown that</w:t>
      </w:r>
      <w:r w:rsidR="00423736">
        <w:rPr>
          <w:rFonts w:asciiTheme="minorHAnsi" w:hAnsiTheme="minorHAnsi" w:cstheme="minorHAnsi"/>
          <w:color w:val="auto"/>
          <w:sz w:val="24"/>
          <w:szCs w:val="24"/>
        </w:rPr>
        <w:t>,</w:t>
      </w:r>
      <w:r w:rsidR="000D7508">
        <w:rPr>
          <w:rFonts w:asciiTheme="minorHAnsi" w:hAnsiTheme="minorHAnsi" w:cstheme="minorHAnsi"/>
          <w:color w:val="auto"/>
          <w:sz w:val="24"/>
          <w:szCs w:val="24"/>
        </w:rPr>
        <w:t xml:space="preserve"> amongst</w:t>
      </w:r>
      <w:r w:rsidR="00331F58">
        <w:rPr>
          <w:rFonts w:asciiTheme="minorHAnsi" w:hAnsiTheme="minorHAnsi" w:cstheme="minorHAnsi"/>
          <w:color w:val="auto"/>
          <w:sz w:val="24"/>
          <w:szCs w:val="24"/>
        </w:rPr>
        <w:t xml:space="preserve"> </w:t>
      </w:r>
      <w:r>
        <w:rPr>
          <w:rFonts w:asciiTheme="minorHAnsi" w:hAnsiTheme="minorHAnsi" w:cstheme="minorHAnsi"/>
          <w:color w:val="auto"/>
          <w:sz w:val="24"/>
          <w:szCs w:val="24"/>
        </w:rPr>
        <w:t xml:space="preserve">adolescents admitted to hospital following self-harm, or injury related to violence, drugs or alcohol, </w:t>
      </w:r>
      <w:r w:rsidR="00331F58">
        <w:rPr>
          <w:rFonts w:asciiTheme="minorHAnsi" w:hAnsiTheme="minorHAnsi" w:cstheme="minorHAnsi"/>
          <w:color w:val="auto"/>
          <w:sz w:val="24"/>
          <w:szCs w:val="24"/>
        </w:rPr>
        <w:t>twice as many of them d</w:t>
      </w:r>
      <w:r>
        <w:rPr>
          <w:rFonts w:asciiTheme="minorHAnsi" w:hAnsiTheme="minorHAnsi" w:cstheme="minorHAnsi"/>
          <w:color w:val="auto"/>
          <w:sz w:val="24"/>
          <w:szCs w:val="24"/>
        </w:rPr>
        <w:t xml:space="preserve">ie in the </w:t>
      </w:r>
      <w:r w:rsidR="00331F58">
        <w:rPr>
          <w:rFonts w:asciiTheme="minorHAnsi" w:hAnsiTheme="minorHAnsi" w:cstheme="minorHAnsi"/>
          <w:color w:val="auto"/>
          <w:sz w:val="24"/>
          <w:szCs w:val="24"/>
        </w:rPr>
        <w:t>following</w:t>
      </w:r>
      <w:r>
        <w:rPr>
          <w:rFonts w:asciiTheme="minorHAnsi" w:hAnsiTheme="minorHAnsi" w:cstheme="minorHAnsi"/>
          <w:color w:val="auto"/>
          <w:sz w:val="24"/>
          <w:szCs w:val="24"/>
        </w:rPr>
        <w:t xml:space="preserve"> ten years from those same risk behaviours </w:t>
      </w:r>
      <w:r w:rsidR="00085682">
        <w:rPr>
          <w:rFonts w:asciiTheme="minorHAnsi" w:hAnsiTheme="minorHAnsi" w:cstheme="minorHAnsi"/>
          <w:color w:val="auto"/>
          <w:sz w:val="24"/>
          <w:szCs w:val="24"/>
        </w:rPr>
        <w:t>when compared with</w:t>
      </w:r>
      <w:r>
        <w:rPr>
          <w:rFonts w:asciiTheme="minorHAnsi" w:hAnsiTheme="minorHAnsi" w:cstheme="minorHAnsi"/>
          <w:color w:val="auto"/>
          <w:sz w:val="24"/>
          <w:szCs w:val="24"/>
        </w:rPr>
        <w:t xml:space="preserve"> young people who are injured in accidents (</w:t>
      </w:r>
      <w:r w:rsidR="00331F58">
        <w:rPr>
          <w:rFonts w:asciiTheme="minorHAnsi" w:hAnsiTheme="minorHAnsi" w:cstheme="minorHAnsi"/>
          <w:color w:val="auto"/>
          <w:sz w:val="24"/>
          <w:szCs w:val="24"/>
        </w:rPr>
        <w:t>Herbert, Gilbert and Cottrell, 2017).</w:t>
      </w:r>
      <w:r w:rsidR="00FF3DB2">
        <w:rPr>
          <w:rFonts w:asciiTheme="minorHAnsi" w:hAnsiTheme="minorHAnsi" w:cstheme="minorHAnsi"/>
          <w:color w:val="auto"/>
          <w:sz w:val="24"/>
          <w:szCs w:val="24"/>
        </w:rPr>
        <w:t xml:space="preserve">  </w:t>
      </w:r>
      <w:r w:rsidR="000D7508">
        <w:rPr>
          <w:rFonts w:asciiTheme="minorHAnsi" w:hAnsiTheme="minorHAnsi" w:cstheme="minorHAnsi"/>
          <w:color w:val="auto"/>
          <w:sz w:val="24"/>
          <w:szCs w:val="24"/>
        </w:rPr>
        <w:t>I</w:t>
      </w:r>
      <w:r w:rsidR="00FF3DB2">
        <w:rPr>
          <w:rFonts w:asciiTheme="minorHAnsi" w:hAnsiTheme="minorHAnsi" w:cstheme="minorHAnsi"/>
          <w:color w:val="auto"/>
          <w:sz w:val="24"/>
          <w:szCs w:val="24"/>
        </w:rPr>
        <w:t>n the USA it has been shown that young people with significant conduct and substance use problems are five times more likely to die prematurely than their peers, with 5% of them dying by their 30s (Border,</w:t>
      </w:r>
      <w:r w:rsidR="009A1F2E">
        <w:rPr>
          <w:rFonts w:asciiTheme="minorHAnsi" w:hAnsiTheme="minorHAnsi" w:cstheme="minorHAnsi"/>
          <w:sz w:val="24"/>
          <w:szCs w:val="24"/>
        </w:rPr>
        <w:t xml:space="preserve"> Corley, Brown, Hewitt, </w:t>
      </w:r>
      <w:proofErr w:type="spellStart"/>
      <w:r w:rsidR="009A1F2E">
        <w:rPr>
          <w:rFonts w:asciiTheme="minorHAnsi" w:hAnsiTheme="minorHAnsi" w:cstheme="minorHAnsi"/>
          <w:sz w:val="24"/>
          <w:szCs w:val="24"/>
        </w:rPr>
        <w:t>Hopfer</w:t>
      </w:r>
      <w:proofErr w:type="spellEnd"/>
      <w:r w:rsidR="009A1F2E">
        <w:rPr>
          <w:rFonts w:asciiTheme="minorHAnsi" w:hAnsiTheme="minorHAnsi" w:cstheme="minorHAnsi"/>
          <w:sz w:val="24"/>
          <w:szCs w:val="24"/>
        </w:rPr>
        <w:t>, McWilliams, Rhea, Shriver, Stallings, Wall, Woodward and Rhee, 2018).</w:t>
      </w:r>
      <w:r w:rsidR="00085682">
        <w:rPr>
          <w:rFonts w:asciiTheme="minorHAnsi" w:hAnsiTheme="minorHAnsi" w:cstheme="minorHAnsi"/>
          <w:sz w:val="24"/>
          <w:szCs w:val="24"/>
        </w:rPr>
        <w:t xml:space="preserve">  </w:t>
      </w:r>
    </w:p>
    <w:p w14:paraId="1FF0E581" w14:textId="59BCD816" w:rsidR="002F1889" w:rsidRDefault="002F1889" w:rsidP="002F1889">
      <w:pPr>
        <w:spacing w:line="48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Evidence is emerging that high tolerance and/or frequent use of alcohol in adolescence increases the risk of dying, mainly as a result of accident or suicide, by age 33, by two to four times (</w:t>
      </w:r>
      <w:proofErr w:type="spellStart"/>
      <w:r>
        <w:rPr>
          <w:rFonts w:asciiTheme="minorHAnsi" w:hAnsiTheme="minorHAnsi" w:cstheme="minorHAnsi"/>
          <w:color w:val="auto"/>
          <w:sz w:val="24"/>
          <w:szCs w:val="24"/>
        </w:rPr>
        <w:t>Levola</w:t>
      </w:r>
      <w:proofErr w:type="spellEnd"/>
      <w:r>
        <w:rPr>
          <w:rFonts w:asciiTheme="minorHAnsi" w:hAnsiTheme="minorHAnsi" w:cstheme="minorHAnsi"/>
          <w:color w:val="auto"/>
          <w:sz w:val="24"/>
          <w:szCs w:val="24"/>
        </w:rPr>
        <w:t xml:space="preserve">, Sarala, </w:t>
      </w:r>
      <w:proofErr w:type="spellStart"/>
      <w:r>
        <w:rPr>
          <w:rFonts w:asciiTheme="minorHAnsi" w:hAnsiTheme="minorHAnsi" w:cstheme="minorHAnsi"/>
          <w:color w:val="auto"/>
          <w:sz w:val="24"/>
          <w:szCs w:val="24"/>
        </w:rPr>
        <w:t>Mustonen</w:t>
      </w:r>
      <w:proofErr w:type="spellEnd"/>
      <w:r>
        <w:rPr>
          <w:rFonts w:asciiTheme="minorHAnsi" w:hAnsiTheme="minorHAnsi" w:cstheme="minorHAnsi"/>
          <w:color w:val="auto"/>
          <w:sz w:val="24"/>
          <w:szCs w:val="24"/>
        </w:rPr>
        <w:t xml:space="preserve">, Rose, </w:t>
      </w:r>
      <w:proofErr w:type="spellStart"/>
      <w:r>
        <w:rPr>
          <w:rFonts w:asciiTheme="minorHAnsi" w:hAnsiTheme="minorHAnsi" w:cstheme="minorHAnsi"/>
          <w:color w:val="auto"/>
          <w:sz w:val="24"/>
          <w:szCs w:val="24"/>
        </w:rPr>
        <w:t>Miettunen</w:t>
      </w:r>
      <w:proofErr w:type="spellEnd"/>
      <w:r>
        <w:rPr>
          <w:rFonts w:asciiTheme="minorHAnsi" w:hAnsiTheme="minorHAnsi" w:cstheme="minorHAnsi"/>
          <w:color w:val="auto"/>
          <w:sz w:val="24"/>
          <w:szCs w:val="24"/>
        </w:rPr>
        <w:t>, Niemela and Niemela, 2020).  In the USA it has been shown that young people who start drinking before age 13 are twice as likely to carry a weapon at 14 to 18 than those who did not (</w:t>
      </w:r>
      <w:proofErr w:type="spellStart"/>
      <w:r>
        <w:rPr>
          <w:rFonts w:asciiTheme="minorHAnsi" w:hAnsiTheme="minorHAnsi" w:cstheme="minorHAnsi"/>
          <w:color w:val="auto"/>
          <w:sz w:val="24"/>
          <w:szCs w:val="24"/>
        </w:rPr>
        <w:t>Baiden</w:t>
      </w:r>
      <w:proofErr w:type="spellEnd"/>
      <w:r>
        <w:rPr>
          <w:rFonts w:asciiTheme="minorHAnsi" w:hAnsiTheme="minorHAnsi" w:cstheme="minorHAnsi"/>
          <w:color w:val="auto"/>
          <w:sz w:val="24"/>
          <w:szCs w:val="24"/>
        </w:rPr>
        <w:t xml:space="preserve">, Jahan, </w:t>
      </w:r>
      <w:proofErr w:type="spellStart"/>
      <w:r>
        <w:rPr>
          <w:rFonts w:asciiTheme="minorHAnsi" w:hAnsiTheme="minorHAnsi" w:cstheme="minorHAnsi"/>
          <w:color w:val="auto"/>
          <w:sz w:val="24"/>
          <w:szCs w:val="24"/>
        </w:rPr>
        <w:t>Onyeaka</w:t>
      </w:r>
      <w:proofErr w:type="spellEnd"/>
      <w:r>
        <w:rPr>
          <w:rFonts w:asciiTheme="minorHAnsi" w:hAnsiTheme="minorHAnsi" w:cstheme="minorHAnsi"/>
          <w:color w:val="auto"/>
          <w:sz w:val="24"/>
          <w:szCs w:val="24"/>
        </w:rPr>
        <w:t xml:space="preserve">, Thrasher, </w:t>
      </w:r>
      <w:proofErr w:type="spellStart"/>
      <w:r>
        <w:rPr>
          <w:rFonts w:asciiTheme="minorHAnsi" w:hAnsiTheme="minorHAnsi" w:cstheme="minorHAnsi"/>
          <w:color w:val="auto"/>
          <w:sz w:val="24"/>
          <w:szCs w:val="24"/>
        </w:rPr>
        <w:t>Tadeo</w:t>
      </w:r>
      <w:proofErr w:type="spellEnd"/>
      <w:r>
        <w:rPr>
          <w:rFonts w:asciiTheme="minorHAnsi" w:hAnsiTheme="minorHAnsi" w:cstheme="minorHAnsi"/>
          <w:color w:val="auto"/>
          <w:sz w:val="24"/>
          <w:szCs w:val="24"/>
        </w:rPr>
        <w:t xml:space="preserve"> and Findley, 2021).</w:t>
      </w:r>
    </w:p>
    <w:p w14:paraId="7C7812E9" w14:textId="072863A8" w:rsidR="000D7508" w:rsidRDefault="00085682" w:rsidP="009E6687">
      <w:pPr>
        <w:spacing w:line="48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While we </w:t>
      </w:r>
      <w:r w:rsidR="00423736">
        <w:rPr>
          <w:rFonts w:asciiTheme="minorHAnsi" w:hAnsiTheme="minorHAnsi" w:cstheme="minorHAnsi"/>
          <w:color w:val="auto"/>
          <w:sz w:val="24"/>
          <w:szCs w:val="24"/>
        </w:rPr>
        <w:t xml:space="preserve">often </w:t>
      </w:r>
      <w:r>
        <w:rPr>
          <w:rFonts w:asciiTheme="minorHAnsi" w:hAnsiTheme="minorHAnsi" w:cstheme="minorHAnsi"/>
          <w:color w:val="auto"/>
          <w:sz w:val="24"/>
          <w:szCs w:val="24"/>
        </w:rPr>
        <w:t>focus on the</w:t>
      </w:r>
      <w:r w:rsidR="00423736">
        <w:rPr>
          <w:rFonts w:asciiTheme="minorHAnsi" w:hAnsiTheme="minorHAnsi" w:cstheme="minorHAnsi"/>
          <w:color w:val="auto"/>
          <w:sz w:val="24"/>
          <w:szCs w:val="24"/>
        </w:rPr>
        <w:t>se</w:t>
      </w:r>
      <w:r>
        <w:rPr>
          <w:rFonts w:asciiTheme="minorHAnsi" w:hAnsiTheme="minorHAnsi" w:cstheme="minorHAnsi"/>
          <w:color w:val="auto"/>
          <w:sz w:val="24"/>
          <w:szCs w:val="24"/>
        </w:rPr>
        <w:t xml:space="preserve"> </w:t>
      </w:r>
      <w:r w:rsidR="00423736">
        <w:rPr>
          <w:rFonts w:asciiTheme="minorHAnsi" w:hAnsiTheme="minorHAnsi" w:cstheme="minorHAnsi"/>
          <w:color w:val="auto"/>
          <w:sz w:val="24"/>
          <w:szCs w:val="24"/>
        </w:rPr>
        <w:t>common</w:t>
      </w:r>
      <w:r>
        <w:rPr>
          <w:rFonts w:asciiTheme="minorHAnsi" w:hAnsiTheme="minorHAnsi" w:cstheme="minorHAnsi"/>
          <w:color w:val="auto"/>
          <w:sz w:val="24"/>
          <w:szCs w:val="24"/>
        </w:rPr>
        <w:t xml:space="preserve"> risk behaviours, </w:t>
      </w:r>
      <w:r w:rsidR="00423736">
        <w:rPr>
          <w:rFonts w:asciiTheme="minorHAnsi" w:hAnsiTheme="minorHAnsi" w:cstheme="minorHAnsi"/>
          <w:color w:val="auto"/>
          <w:sz w:val="24"/>
          <w:szCs w:val="24"/>
        </w:rPr>
        <w:t xml:space="preserve">we must not </w:t>
      </w:r>
      <w:r>
        <w:rPr>
          <w:rFonts w:asciiTheme="minorHAnsi" w:hAnsiTheme="minorHAnsi" w:cstheme="minorHAnsi"/>
          <w:color w:val="auto"/>
          <w:sz w:val="24"/>
          <w:szCs w:val="24"/>
        </w:rPr>
        <w:t xml:space="preserve">forget that young people need to </w:t>
      </w:r>
      <w:r w:rsidR="008348FC">
        <w:rPr>
          <w:rFonts w:asciiTheme="minorHAnsi" w:hAnsiTheme="minorHAnsi" w:cstheme="minorHAnsi"/>
          <w:color w:val="auto"/>
          <w:sz w:val="24"/>
          <w:szCs w:val="24"/>
        </w:rPr>
        <w:t>learn about</w:t>
      </w:r>
      <w:r>
        <w:rPr>
          <w:rFonts w:asciiTheme="minorHAnsi" w:hAnsiTheme="minorHAnsi" w:cstheme="minorHAnsi"/>
          <w:color w:val="auto"/>
          <w:sz w:val="24"/>
          <w:szCs w:val="24"/>
        </w:rPr>
        <w:t xml:space="preserve"> all sorts of risks</w:t>
      </w:r>
      <w:r w:rsidR="00D668FF">
        <w:rPr>
          <w:rFonts w:asciiTheme="minorHAnsi" w:hAnsiTheme="minorHAnsi" w:cstheme="minorHAnsi"/>
          <w:color w:val="auto"/>
          <w:sz w:val="24"/>
          <w:szCs w:val="24"/>
        </w:rPr>
        <w:t xml:space="preserve"> that might seem obvious to adults</w:t>
      </w:r>
      <w:r>
        <w:rPr>
          <w:rFonts w:asciiTheme="minorHAnsi" w:hAnsiTheme="minorHAnsi" w:cstheme="minorHAnsi"/>
          <w:color w:val="auto"/>
          <w:sz w:val="24"/>
          <w:szCs w:val="24"/>
        </w:rPr>
        <w:t xml:space="preserve">.  </w:t>
      </w:r>
      <w:r w:rsidR="00057B72">
        <w:rPr>
          <w:rFonts w:asciiTheme="minorHAnsi" w:hAnsiTheme="minorHAnsi" w:cstheme="minorHAnsi"/>
          <w:color w:val="auto"/>
          <w:sz w:val="24"/>
          <w:szCs w:val="24"/>
        </w:rPr>
        <w:t>Following record numbers of young people dying on railway lines, the British Transport Police and Network Rail launched their ‘You vs. Train’ campaign (</w:t>
      </w:r>
      <w:r w:rsidR="00775204">
        <w:rPr>
          <w:rFonts w:asciiTheme="minorHAnsi" w:hAnsiTheme="minorHAnsi" w:cstheme="minorHAnsi"/>
          <w:color w:val="auto"/>
          <w:sz w:val="24"/>
          <w:szCs w:val="24"/>
        </w:rPr>
        <w:t>Network Rail</w:t>
      </w:r>
      <w:r w:rsidR="00057B72">
        <w:rPr>
          <w:rFonts w:asciiTheme="minorHAnsi" w:hAnsiTheme="minorHAnsi" w:cstheme="minorHAnsi"/>
          <w:color w:val="auto"/>
          <w:sz w:val="24"/>
          <w:szCs w:val="24"/>
        </w:rPr>
        <w:t>, 2018), but numbers are still increasing (</w:t>
      </w:r>
      <w:r w:rsidR="00D7748F">
        <w:rPr>
          <w:rFonts w:asciiTheme="minorHAnsi" w:hAnsiTheme="minorHAnsi" w:cstheme="minorHAnsi"/>
          <w:color w:val="auto"/>
          <w:sz w:val="24"/>
          <w:szCs w:val="24"/>
        </w:rPr>
        <w:t>Network Rail</w:t>
      </w:r>
      <w:r w:rsidR="00057B72">
        <w:rPr>
          <w:rFonts w:asciiTheme="minorHAnsi" w:hAnsiTheme="minorHAnsi" w:cstheme="minorHAnsi"/>
          <w:color w:val="auto"/>
          <w:sz w:val="24"/>
          <w:szCs w:val="24"/>
        </w:rPr>
        <w:t>, 2021).</w:t>
      </w:r>
      <w:r w:rsidR="009E6687">
        <w:rPr>
          <w:rFonts w:asciiTheme="minorHAnsi" w:hAnsiTheme="minorHAnsi" w:cstheme="minorHAnsi"/>
          <w:color w:val="auto"/>
          <w:sz w:val="24"/>
          <w:szCs w:val="24"/>
        </w:rPr>
        <w:t xml:space="preserve">  Statistics suggest that we should indeed focus our attention on avoidable injury as it is the leading cause of death for children and adolescents</w:t>
      </w:r>
      <w:r w:rsidR="008348FC">
        <w:rPr>
          <w:rFonts w:asciiTheme="minorHAnsi" w:hAnsiTheme="minorHAnsi" w:cstheme="minorHAnsi"/>
          <w:color w:val="auto"/>
          <w:sz w:val="24"/>
          <w:szCs w:val="24"/>
        </w:rPr>
        <w:t xml:space="preserve"> </w:t>
      </w:r>
      <w:r w:rsidR="008348FC">
        <w:rPr>
          <w:rFonts w:asciiTheme="minorHAnsi" w:hAnsiTheme="minorHAnsi" w:cstheme="minorHAnsi"/>
          <w:color w:val="auto"/>
          <w:sz w:val="24"/>
          <w:szCs w:val="24"/>
        </w:rPr>
        <w:lastRenderedPageBreak/>
        <w:t>in the UK</w:t>
      </w:r>
      <w:r w:rsidR="009E6687">
        <w:rPr>
          <w:rFonts w:asciiTheme="minorHAnsi" w:hAnsiTheme="minorHAnsi" w:cstheme="minorHAnsi"/>
          <w:color w:val="auto"/>
          <w:sz w:val="24"/>
          <w:szCs w:val="24"/>
        </w:rPr>
        <w:t>; despite figures decreasing steadily, there were still 576 child and adolescent deaths due to avoidable injury in 2019 (ONS, 2021).</w:t>
      </w:r>
      <w:r w:rsidR="00655273">
        <w:rPr>
          <w:rFonts w:asciiTheme="minorHAnsi" w:hAnsiTheme="minorHAnsi" w:cstheme="minorHAnsi"/>
          <w:color w:val="auto"/>
          <w:sz w:val="24"/>
          <w:szCs w:val="24"/>
        </w:rPr>
        <w:t xml:space="preserve">  </w:t>
      </w:r>
    </w:p>
    <w:p w14:paraId="0F35DD75" w14:textId="75969DF1" w:rsidR="009E6687" w:rsidRDefault="000B1F1B" w:rsidP="009E6687">
      <w:pPr>
        <w:spacing w:line="48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ONS (2021) states that </w:t>
      </w:r>
      <w:r w:rsidR="007279C4">
        <w:rPr>
          <w:rFonts w:asciiTheme="minorHAnsi" w:hAnsiTheme="minorHAnsi" w:cstheme="minorHAnsi"/>
          <w:color w:val="auto"/>
          <w:sz w:val="24"/>
          <w:szCs w:val="24"/>
        </w:rPr>
        <w:t>‘In</w:t>
      </w:r>
      <w:r w:rsidR="000D7508">
        <w:rPr>
          <w:rFonts w:asciiTheme="minorHAnsi" w:hAnsiTheme="minorHAnsi" w:cstheme="minorHAnsi"/>
          <w:color w:val="auto"/>
          <w:sz w:val="24"/>
          <w:szCs w:val="24"/>
        </w:rPr>
        <w:t xml:space="preserve"> </w:t>
      </w:r>
      <w:r w:rsidR="000D7508" w:rsidRPr="001B16E6">
        <w:rPr>
          <w:rFonts w:asciiTheme="minorHAnsi" w:hAnsiTheme="minorHAnsi" w:cstheme="minorHAnsi"/>
          <w:color w:val="auto"/>
          <w:sz w:val="24"/>
          <w:szCs w:val="24"/>
          <w:shd w:val="clear" w:color="auto" w:fill="FFFFFF"/>
        </w:rPr>
        <w:t>2019, of all deaths among children and young people aged 0 to 19 years in the UK, 33.7% were considered avoidable (1,590 deaths out of 4,717)</w:t>
      </w:r>
      <w:r w:rsidR="000D7508">
        <w:rPr>
          <w:rFonts w:asciiTheme="minorHAnsi" w:hAnsiTheme="minorHAnsi" w:cstheme="minorHAnsi"/>
          <w:color w:val="auto"/>
          <w:sz w:val="24"/>
          <w:szCs w:val="24"/>
          <w:shd w:val="clear" w:color="auto" w:fill="FFFFFF"/>
        </w:rPr>
        <w:t xml:space="preserve">’.  That is, these deaths were either preventable or treatable, and they include </w:t>
      </w:r>
      <w:r w:rsidR="00D7748F">
        <w:rPr>
          <w:rFonts w:asciiTheme="minorHAnsi" w:hAnsiTheme="minorHAnsi" w:cstheme="minorHAnsi"/>
          <w:color w:val="auto"/>
          <w:sz w:val="24"/>
          <w:szCs w:val="24"/>
          <w:shd w:val="clear" w:color="auto" w:fill="FFFFFF"/>
        </w:rPr>
        <w:t>STIs</w:t>
      </w:r>
      <w:r w:rsidR="000D7508">
        <w:rPr>
          <w:rFonts w:asciiTheme="minorHAnsi" w:hAnsiTheme="minorHAnsi" w:cstheme="minorHAnsi"/>
          <w:color w:val="auto"/>
          <w:sz w:val="24"/>
          <w:szCs w:val="24"/>
          <w:shd w:val="clear" w:color="auto" w:fill="FFFFFF"/>
        </w:rPr>
        <w:t>, HIV/AIDS, accidental injuries, self-inflicted injury, assault, alcohol and drugs and events of undetermined intent (ibid.).</w:t>
      </w:r>
      <w:r w:rsidR="000B7E9E">
        <w:rPr>
          <w:rFonts w:asciiTheme="minorHAnsi" w:hAnsiTheme="minorHAnsi" w:cstheme="minorHAnsi"/>
          <w:color w:val="auto"/>
          <w:sz w:val="24"/>
          <w:szCs w:val="24"/>
          <w:shd w:val="clear" w:color="auto" w:fill="FFFFFF"/>
        </w:rPr>
        <w:t xml:space="preserve">  </w:t>
      </w:r>
      <w:r w:rsidR="000D7508">
        <w:rPr>
          <w:rFonts w:asciiTheme="minorHAnsi" w:hAnsiTheme="minorHAnsi" w:cstheme="minorHAnsi"/>
          <w:color w:val="auto"/>
          <w:sz w:val="24"/>
          <w:szCs w:val="24"/>
          <w:shd w:val="clear" w:color="auto" w:fill="FFFFFF"/>
        </w:rPr>
        <w:t xml:space="preserve"> </w:t>
      </w:r>
      <w:r w:rsidR="009E6687">
        <w:rPr>
          <w:rFonts w:asciiTheme="minorHAnsi" w:hAnsiTheme="minorHAnsi" w:cstheme="minorHAnsi"/>
          <w:color w:val="auto"/>
          <w:sz w:val="24"/>
          <w:szCs w:val="24"/>
        </w:rPr>
        <w:t xml:space="preserve"> </w:t>
      </w:r>
    </w:p>
    <w:p w14:paraId="709333C8" w14:textId="1E01F4EF" w:rsidR="008348FC" w:rsidRDefault="00592E65" w:rsidP="00EF46F8">
      <w:pPr>
        <w:spacing w:line="48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Do young people learn from their mistakes </w:t>
      </w:r>
      <w:r w:rsidR="00174CE6">
        <w:rPr>
          <w:rFonts w:asciiTheme="minorHAnsi" w:hAnsiTheme="minorHAnsi" w:cstheme="minorHAnsi"/>
          <w:color w:val="auto"/>
          <w:sz w:val="24"/>
          <w:szCs w:val="24"/>
        </w:rPr>
        <w:t>after</w:t>
      </w:r>
      <w:r>
        <w:rPr>
          <w:rFonts w:asciiTheme="minorHAnsi" w:hAnsiTheme="minorHAnsi" w:cstheme="minorHAnsi"/>
          <w:color w:val="auto"/>
          <w:sz w:val="24"/>
          <w:szCs w:val="24"/>
        </w:rPr>
        <w:t xml:space="preserve"> taking dangerous risks?  </w:t>
      </w:r>
      <w:r w:rsidR="007279C4">
        <w:rPr>
          <w:rFonts w:asciiTheme="minorHAnsi" w:hAnsiTheme="minorHAnsi" w:cstheme="minorHAnsi"/>
          <w:color w:val="auto"/>
          <w:sz w:val="24"/>
          <w:szCs w:val="24"/>
        </w:rPr>
        <w:t xml:space="preserve">Probably many do.  However, a study of young people’s motorcycling behaviour by Lin, Huang, Hwang, Wu and Yen in 2004 found that </w:t>
      </w:r>
      <w:r>
        <w:rPr>
          <w:rFonts w:asciiTheme="minorHAnsi" w:hAnsiTheme="minorHAnsi" w:cstheme="minorHAnsi"/>
          <w:color w:val="auto"/>
          <w:sz w:val="24"/>
          <w:szCs w:val="24"/>
        </w:rPr>
        <w:t>experience of motorcycle crashes did not alter the</w:t>
      </w:r>
      <w:r w:rsidR="00AA46DD">
        <w:rPr>
          <w:rFonts w:asciiTheme="minorHAnsi" w:hAnsiTheme="minorHAnsi" w:cstheme="minorHAnsi"/>
          <w:color w:val="auto"/>
          <w:sz w:val="24"/>
          <w:szCs w:val="24"/>
        </w:rPr>
        <w:t xml:space="preserve"> subjects’</w:t>
      </w:r>
      <w:r>
        <w:rPr>
          <w:rFonts w:asciiTheme="minorHAnsi" w:hAnsiTheme="minorHAnsi" w:cstheme="minorHAnsi"/>
          <w:color w:val="auto"/>
          <w:sz w:val="24"/>
          <w:szCs w:val="24"/>
        </w:rPr>
        <w:t xml:space="preserve"> risky driving behaviour</w:t>
      </w:r>
      <w:r w:rsidR="00174CE6">
        <w:rPr>
          <w:rFonts w:asciiTheme="minorHAnsi" w:hAnsiTheme="minorHAnsi" w:cstheme="minorHAnsi"/>
          <w:color w:val="auto"/>
          <w:sz w:val="24"/>
          <w:szCs w:val="24"/>
        </w:rPr>
        <w:t>.</w:t>
      </w:r>
      <w:r w:rsidR="00DB67E9">
        <w:rPr>
          <w:rFonts w:asciiTheme="minorHAnsi" w:hAnsiTheme="minorHAnsi" w:cstheme="minorHAnsi"/>
          <w:color w:val="auto"/>
          <w:sz w:val="24"/>
          <w:szCs w:val="24"/>
        </w:rPr>
        <w:t xml:space="preserve">  Thus, it may be that learning through experience is a more protracted process for some young people, and that eliminating risk is neither possible nor desirable for them.</w:t>
      </w:r>
    </w:p>
    <w:p w14:paraId="6B3EF49E" w14:textId="665B70B0" w:rsidR="00AA46DD" w:rsidRDefault="00DB67E9" w:rsidP="00EF46F8">
      <w:pPr>
        <w:spacing w:line="48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Nonetheless, a</w:t>
      </w:r>
      <w:r w:rsidR="008348FC">
        <w:rPr>
          <w:rFonts w:asciiTheme="minorHAnsi" w:hAnsiTheme="minorHAnsi" w:cstheme="minorHAnsi"/>
          <w:color w:val="auto"/>
          <w:sz w:val="24"/>
          <w:szCs w:val="24"/>
        </w:rPr>
        <w:t xml:space="preserve">ll areas of education and social care, including youth work, </w:t>
      </w:r>
      <w:r>
        <w:rPr>
          <w:rFonts w:asciiTheme="minorHAnsi" w:hAnsiTheme="minorHAnsi" w:cstheme="minorHAnsi"/>
          <w:color w:val="auto"/>
          <w:sz w:val="24"/>
          <w:szCs w:val="24"/>
        </w:rPr>
        <w:t>h</w:t>
      </w:r>
      <w:r w:rsidR="008348FC">
        <w:rPr>
          <w:rFonts w:asciiTheme="minorHAnsi" w:hAnsiTheme="minorHAnsi" w:cstheme="minorHAnsi"/>
          <w:color w:val="auto"/>
          <w:sz w:val="24"/>
          <w:szCs w:val="24"/>
        </w:rPr>
        <w:t xml:space="preserve">ave a </w:t>
      </w:r>
      <w:r>
        <w:rPr>
          <w:rFonts w:asciiTheme="minorHAnsi" w:hAnsiTheme="minorHAnsi" w:cstheme="minorHAnsi"/>
          <w:color w:val="auto"/>
          <w:sz w:val="24"/>
          <w:szCs w:val="24"/>
        </w:rPr>
        <w:t>responsibility to promote health and safety for children and young people and have a rol</w:t>
      </w:r>
      <w:r w:rsidR="008348FC">
        <w:rPr>
          <w:rFonts w:asciiTheme="minorHAnsi" w:hAnsiTheme="minorHAnsi" w:cstheme="minorHAnsi"/>
          <w:color w:val="auto"/>
          <w:sz w:val="24"/>
          <w:szCs w:val="24"/>
        </w:rPr>
        <w:t xml:space="preserve">e to play in </w:t>
      </w:r>
      <w:r w:rsidR="00AA46DD">
        <w:rPr>
          <w:rFonts w:asciiTheme="minorHAnsi" w:hAnsiTheme="minorHAnsi" w:cstheme="minorHAnsi"/>
          <w:color w:val="auto"/>
          <w:sz w:val="24"/>
          <w:szCs w:val="24"/>
        </w:rPr>
        <w:t xml:space="preserve">education, </w:t>
      </w:r>
      <w:r w:rsidR="008348FC">
        <w:rPr>
          <w:rFonts w:asciiTheme="minorHAnsi" w:hAnsiTheme="minorHAnsi" w:cstheme="minorHAnsi"/>
          <w:color w:val="auto"/>
          <w:sz w:val="24"/>
          <w:szCs w:val="24"/>
        </w:rPr>
        <w:t>prevention</w:t>
      </w:r>
      <w:r w:rsidR="00AA46DD">
        <w:rPr>
          <w:rFonts w:asciiTheme="minorHAnsi" w:hAnsiTheme="minorHAnsi" w:cstheme="minorHAnsi"/>
          <w:color w:val="auto"/>
          <w:sz w:val="24"/>
          <w:szCs w:val="24"/>
        </w:rPr>
        <w:t xml:space="preserve"> and </w:t>
      </w:r>
      <w:r w:rsidR="00655273">
        <w:rPr>
          <w:rFonts w:asciiTheme="minorHAnsi" w:hAnsiTheme="minorHAnsi" w:cstheme="minorHAnsi"/>
          <w:color w:val="auto"/>
          <w:sz w:val="24"/>
          <w:szCs w:val="24"/>
        </w:rPr>
        <w:t xml:space="preserve">intervention or </w:t>
      </w:r>
      <w:r w:rsidR="00AA46DD">
        <w:rPr>
          <w:rFonts w:asciiTheme="minorHAnsi" w:hAnsiTheme="minorHAnsi" w:cstheme="minorHAnsi"/>
          <w:color w:val="auto"/>
          <w:sz w:val="24"/>
          <w:szCs w:val="24"/>
        </w:rPr>
        <w:t>treatment</w:t>
      </w:r>
      <w:r w:rsidR="008348FC">
        <w:rPr>
          <w:rFonts w:asciiTheme="minorHAnsi" w:hAnsiTheme="minorHAnsi" w:cstheme="minorHAnsi"/>
          <w:color w:val="auto"/>
          <w:sz w:val="24"/>
          <w:szCs w:val="24"/>
        </w:rPr>
        <w:t>.  Every death of a child or young person is a tragedy, but so too are the many more</w:t>
      </w:r>
      <w:r w:rsidR="00AA46DD">
        <w:rPr>
          <w:rFonts w:asciiTheme="minorHAnsi" w:hAnsiTheme="minorHAnsi" w:cstheme="minorHAnsi"/>
          <w:color w:val="auto"/>
          <w:sz w:val="24"/>
          <w:szCs w:val="24"/>
        </w:rPr>
        <w:t xml:space="preserve"> young people</w:t>
      </w:r>
      <w:r w:rsidR="008348FC">
        <w:rPr>
          <w:rFonts w:asciiTheme="minorHAnsi" w:hAnsiTheme="minorHAnsi" w:cstheme="minorHAnsi"/>
          <w:color w:val="auto"/>
          <w:sz w:val="24"/>
          <w:szCs w:val="24"/>
        </w:rPr>
        <w:t xml:space="preserve"> who transition to adulthood with preventable</w:t>
      </w:r>
      <w:r w:rsidR="00AA46DD">
        <w:rPr>
          <w:rFonts w:asciiTheme="minorHAnsi" w:hAnsiTheme="minorHAnsi" w:cstheme="minorHAnsi"/>
          <w:color w:val="auto"/>
          <w:sz w:val="24"/>
          <w:szCs w:val="24"/>
        </w:rPr>
        <w:t xml:space="preserve"> or treatable problems.  This research aims to assist youth workers in identifying </w:t>
      </w:r>
      <w:r>
        <w:rPr>
          <w:rFonts w:asciiTheme="minorHAnsi" w:hAnsiTheme="minorHAnsi" w:cstheme="minorHAnsi"/>
          <w:color w:val="auto"/>
          <w:sz w:val="24"/>
          <w:szCs w:val="24"/>
        </w:rPr>
        <w:t xml:space="preserve">those children and young people who are most likely to experience </w:t>
      </w:r>
      <w:r w:rsidR="00AA46DD">
        <w:rPr>
          <w:rFonts w:asciiTheme="minorHAnsi" w:hAnsiTheme="minorHAnsi" w:cstheme="minorHAnsi"/>
          <w:color w:val="auto"/>
          <w:sz w:val="24"/>
          <w:szCs w:val="24"/>
        </w:rPr>
        <w:t>problems</w:t>
      </w:r>
      <w:r>
        <w:rPr>
          <w:rFonts w:asciiTheme="minorHAnsi" w:hAnsiTheme="minorHAnsi" w:cstheme="minorHAnsi"/>
          <w:color w:val="auto"/>
          <w:sz w:val="24"/>
          <w:szCs w:val="24"/>
        </w:rPr>
        <w:t>,</w:t>
      </w:r>
      <w:r w:rsidR="00AA46DD">
        <w:rPr>
          <w:rFonts w:asciiTheme="minorHAnsi" w:hAnsiTheme="minorHAnsi" w:cstheme="minorHAnsi"/>
          <w:color w:val="auto"/>
          <w:sz w:val="24"/>
          <w:szCs w:val="24"/>
        </w:rPr>
        <w:t xml:space="preserve"> so that preventative or ameliorative action may be taken before </w:t>
      </w:r>
      <w:r>
        <w:rPr>
          <w:rFonts w:asciiTheme="minorHAnsi" w:hAnsiTheme="minorHAnsi" w:cstheme="minorHAnsi"/>
          <w:color w:val="auto"/>
          <w:sz w:val="24"/>
          <w:szCs w:val="24"/>
        </w:rPr>
        <w:t>issues</w:t>
      </w:r>
      <w:r w:rsidR="00AA46DD">
        <w:rPr>
          <w:rFonts w:asciiTheme="minorHAnsi" w:hAnsiTheme="minorHAnsi" w:cstheme="minorHAnsi"/>
          <w:color w:val="auto"/>
          <w:sz w:val="24"/>
          <w:szCs w:val="24"/>
        </w:rPr>
        <w:t xml:space="preserve"> escalate.</w:t>
      </w:r>
      <w:r w:rsidR="00655273">
        <w:rPr>
          <w:rFonts w:asciiTheme="minorHAnsi" w:hAnsiTheme="minorHAnsi" w:cstheme="minorHAnsi"/>
          <w:color w:val="auto"/>
          <w:sz w:val="24"/>
          <w:szCs w:val="24"/>
        </w:rPr>
        <w:t xml:space="preserve">  Youth workers will benefit from information drawn from and suggestions based on a broad review of the most recent research. </w:t>
      </w:r>
    </w:p>
    <w:p w14:paraId="201F6B84" w14:textId="6D7D443E" w:rsidR="008A4E62" w:rsidRDefault="00C8451E" w:rsidP="00EF46F8">
      <w:pPr>
        <w:spacing w:line="48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lastRenderedPageBreak/>
        <w:t xml:space="preserve">This will be achieved by examining some of the most recent literature on the topic of risky behaviour in adolescence, to see if </w:t>
      </w:r>
      <w:r w:rsidR="00C04E0B">
        <w:rPr>
          <w:rFonts w:asciiTheme="minorHAnsi" w:hAnsiTheme="minorHAnsi" w:cstheme="minorHAnsi"/>
          <w:color w:val="auto"/>
          <w:sz w:val="24"/>
          <w:szCs w:val="24"/>
        </w:rPr>
        <w:t xml:space="preserve">fresh </w:t>
      </w:r>
      <w:r>
        <w:rPr>
          <w:rFonts w:asciiTheme="minorHAnsi" w:hAnsiTheme="minorHAnsi" w:cstheme="minorHAnsi"/>
          <w:color w:val="auto"/>
          <w:sz w:val="24"/>
          <w:szCs w:val="24"/>
        </w:rPr>
        <w:t xml:space="preserve">insight has been gained </w:t>
      </w:r>
      <w:r w:rsidR="00C04E0B">
        <w:rPr>
          <w:rFonts w:asciiTheme="minorHAnsi" w:hAnsiTheme="minorHAnsi" w:cstheme="minorHAnsi"/>
          <w:color w:val="auto"/>
          <w:sz w:val="24"/>
          <w:szCs w:val="24"/>
        </w:rPr>
        <w:t>into</w:t>
      </w:r>
      <w:r>
        <w:rPr>
          <w:rFonts w:asciiTheme="minorHAnsi" w:hAnsiTheme="minorHAnsi" w:cstheme="minorHAnsi"/>
          <w:color w:val="auto"/>
          <w:sz w:val="24"/>
          <w:szCs w:val="24"/>
        </w:rPr>
        <w:t xml:space="preserve"> which children and adolescents are most likely to take up risky behaviours that are harmful.</w:t>
      </w:r>
      <w:r w:rsidR="008A4E62">
        <w:rPr>
          <w:rFonts w:asciiTheme="minorHAnsi" w:hAnsiTheme="minorHAnsi" w:cstheme="minorHAnsi"/>
          <w:color w:val="auto"/>
          <w:sz w:val="24"/>
          <w:szCs w:val="24"/>
        </w:rPr>
        <w:t xml:space="preserve">  The research will encompass a range of scientific fields.  It is anticipated that by reading widely and limiting this to the most recent findings, which build on </w:t>
      </w:r>
      <w:r w:rsidR="002C5E71">
        <w:rPr>
          <w:rFonts w:asciiTheme="minorHAnsi" w:hAnsiTheme="minorHAnsi" w:cstheme="minorHAnsi"/>
          <w:color w:val="auto"/>
          <w:sz w:val="24"/>
          <w:szCs w:val="24"/>
        </w:rPr>
        <w:t xml:space="preserve">previously </w:t>
      </w:r>
      <w:r w:rsidR="008A4E62">
        <w:rPr>
          <w:rFonts w:asciiTheme="minorHAnsi" w:hAnsiTheme="minorHAnsi" w:cstheme="minorHAnsi"/>
          <w:color w:val="auto"/>
          <w:sz w:val="24"/>
          <w:szCs w:val="24"/>
        </w:rPr>
        <w:t xml:space="preserve">established research </w:t>
      </w:r>
      <w:r w:rsidR="002C5E71">
        <w:rPr>
          <w:rFonts w:asciiTheme="minorHAnsi" w:hAnsiTheme="minorHAnsi" w:cstheme="minorHAnsi"/>
          <w:color w:val="auto"/>
          <w:sz w:val="24"/>
          <w:szCs w:val="24"/>
        </w:rPr>
        <w:t>findings</w:t>
      </w:r>
      <w:r w:rsidR="008A4E62">
        <w:rPr>
          <w:rFonts w:asciiTheme="minorHAnsi" w:hAnsiTheme="minorHAnsi" w:cstheme="minorHAnsi"/>
          <w:color w:val="auto"/>
          <w:sz w:val="24"/>
          <w:szCs w:val="24"/>
        </w:rPr>
        <w:t>, that new patterns of information might be gleaned.</w:t>
      </w:r>
    </w:p>
    <w:p w14:paraId="1CA3F1CA" w14:textId="557B49B7" w:rsidR="00CF2DE2" w:rsidRDefault="008A4E62" w:rsidP="00EF46F8">
      <w:pPr>
        <w:spacing w:line="480" w:lineRule="auto"/>
        <w:jc w:val="both"/>
        <w:rPr>
          <w:rFonts w:asciiTheme="minorHAnsi" w:hAnsiTheme="minorHAnsi" w:cstheme="minorHAnsi"/>
          <w:sz w:val="24"/>
          <w:szCs w:val="24"/>
        </w:rPr>
      </w:pPr>
      <w:r>
        <w:rPr>
          <w:rFonts w:asciiTheme="minorHAnsi" w:hAnsiTheme="minorHAnsi" w:cstheme="minorHAnsi"/>
          <w:color w:val="auto"/>
          <w:sz w:val="24"/>
          <w:szCs w:val="24"/>
        </w:rPr>
        <w:t xml:space="preserve">The limitations of this study include the fact that only four main themes of influence will be investigated </w:t>
      </w:r>
      <w:r>
        <w:rPr>
          <w:rFonts w:asciiTheme="minorHAnsi" w:hAnsiTheme="minorHAnsi" w:cstheme="minorHAnsi"/>
          <w:sz w:val="24"/>
          <w:szCs w:val="24"/>
        </w:rPr>
        <w:t>(cognitive development, p</w:t>
      </w:r>
      <w:r w:rsidRPr="00EB2853">
        <w:rPr>
          <w:rFonts w:asciiTheme="minorHAnsi" w:hAnsiTheme="minorHAnsi" w:cstheme="minorHAnsi"/>
          <w:sz w:val="24"/>
          <w:szCs w:val="24"/>
        </w:rPr>
        <w:t xml:space="preserve">uberty, mental health </w:t>
      </w:r>
      <w:r>
        <w:rPr>
          <w:rFonts w:asciiTheme="minorHAnsi" w:hAnsiTheme="minorHAnsi" w:cstheme="minorHAnsi"/>
          <w:sz w:val="24"/>
          <w:szCs w:val="24"/>
        </w:rPr>
        <w:t xml:space="preserve">and peers) when there are other themes </w:t>
      </w:r>
      <w:r w:rsidR="009E327D">
        <w:rPr>
          <w:rFonts w:asciiTheme="minorHAnsi" w:hAnsiTheme="minorHAnsi" w:cstheme="minorHAnsi"/>
          <w:sz w:val="24"/>
          <w:szCs w:val="24"/>
        </w:rPr>
        <w:t xml:space="preserve">such as gender or ethnicity </w:t>
      </w:r>
      <w:r>
        <w:rPr>
          <w:rFonts w:asciiTheme="minorHAnsi" w:hAnsiTheme="minorHAnsi" w:cstheme="minorHAnsi"/>
          <w:sz w:val="24"/>
          <w:szCs w:val="24"/>
        </w:rPr>
        <w:t xml:space="preserve">that could be included.  </w:t>
      </w:r>
      <w:r w:rsidR="009E327D">
        <w:rPr>
          <w:rFonts w:asciiTheme="minorHAnsi" w:hAnsiTheme="minorHAnsi" w:cstheme="minorHAnsi"/>
          <w:sz w:val="24"/>
          <w:szCs w:val="24"/>
        </w:rPr>
        <w:t>The r</w:t>
      </w:r>
      <w:r>
        <w:rPr>
          <w:rFonts w:asciiTheme="minorHAnsi" w:hAnsiTheme="minorHAnsi" w:cstheme="minorHAnsi"/>
          <w:sz w:val="24"/>
          <w:szCs w:val="24"/>
        </w:rPr>
        <w:t xml:space="preserve">esearch literature to be reviewed will </w:t>
      </w:r>
      <w:r w:rsidR="00391750">
        <w:rPr>
          <w:rFonts w:asciiTheme="minorHAnsi" w:hAnsiTheme="minorHAnsi" w:cstheme="minorHAnsi"/>
          <w:sz w:val="24"/>
          <w:szCs w:val="24"/>
        </w:rPr>
        <w:t xml:space="preserve">predominantly </w:t>
      </w:r>
      <w:r>
        <w:rPr>
          <w:rFonts w:asciiTheme="minorHAnsi" w:hAnsiTheme="minorHAnsi" w:cstheme="minorHAnsi"/>
          <w:sz w:val="24"/>
          <w:szCs w:val="24"/>
        </w:rPr>
        <w:t xml:space="preserve">be limited to that which has studied large numbers of young people </w:t>
      </w:r>
      <w:r w:rsidR="008948FB">
        <w:rPr>
          <w:rFonts w:asciiTheme="minorHAnsi" w:hAnsiTheme="minorHAnsi" w:cstheme="minorHAnsi"/>
          <w:sz w:val="24"/>
          <w:szCs w:val="24"/>
        </w:rPr>
        <w:t xml:space="preserve">over long periods of time </w:t>
      </w:r>
      <w:r>
        <w:rPr>
          <w:rFonts w:asciiTheme="minorHAnsi" w:hAnsiTheme="minorHAnsi" w:cstheme="minorHAnsi"/>
          <w:sz w:val="24"/>
          <w:szCs w:val="24"/>
        </w:rPr>
        <w:t>in high income countries and with similar cultures</w:t>
      </w:r>
      <w:r w:rsidR="00391750">
        <w:rPr>
          <w:rFonts w:asciiTheme="minorHAnsi" w:hAnsiTheme="minorHAnsi" w:cstheme="minorHAnsi"/>
          <w:sz w:val="24"/>
          <w:szCs w:val="24"/>
        </w:rPr>
        <w:t xml:space="preserve"> to the UK</w:t>
      </w:r>
      <w:r>
        <w:rPr>
          <w:rFonts w:asciiTheme="minorHAnsi" w:hAnsiTheme="minorHAnsi" w:cstheme="minorHAnsi"/>
          <w:sz w:val="24"/>
          <w:szCs w:val="24"/>
        </w:rPr>
        <w:t xml:space="preserve">.  </w:t>
      </w:r>
    </w:p>
    <w:p w14:paraId="5CFE2C2D" w14:textId="64CAE099" w:rsidR="00391750" w:rsidRDefault="008A4E62" w:rsidP="00EF46F8">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This study will also be limited by the limitations in the </w:t>
      </w:r>
      <w:r w:rsidR="009E327D">
        <w:rPr>
          <w:rFonts w:asciiTheme="minorHAnsi" w:hAnsiTheme="minorHAnsi" w:cstheme="minorHAnsi"/>
          <w:sz w:val="24"/>
          <w:szCs w:val="24"/>
        </w:rPr>
        <w:t>research</w:t>
      </w:r>
      <w:r>
        <w:rPr>
          <w:rFonts w:asciiTheme="minorHAnsi" w:hAnsiTheme="minorHAnsi" w:cstheme="minorHAnsi"/>
          <w:sz w:val="24"/>
          <w:szCs w:val="24"/>
        </w:rPr>
        <w:t xml:space="preserve"> </w:t>
      </w:r>
      <w:r w:rsidR="008948FB">
        <w:rPr>
          <w:rFonts w:asciiTheme="minorHAnsi" w:hAnsiTheme="minorHAnsi" w:cstheme="minorHAnsi"/>
          <w:sz w:val="24"/>
          <w:szCs w:val="24"/>
        </w:rPr>
        <w:t>itself</w:t>
      </w:r>
      <w:r>
        <w:rPr>
          <w:rFonts w:asciiTheme="minorHAnsi" w:hAnsiTheme="minorHAnsi" w:cstheme="minorHAnsi"/>
          <w:sz w:val="24"/>
          <w:szCs w:val="24"/>
        </w:rPr>
        <w:t xml:space="preserve">.  </w:t>
      </w:r>
      <w:r w:rsidR="002C5E71">
        <w:rPr>
          <w:rFonts w:asciiTheme="minorHAnsi" w:hAnsiTheme="minorHAnsi" w:cstheme="minorHAnsi"/>
          <w:sz w:val="24"/>
          <w:szCs w:val="24"/>
        </w:rPr>
        <w:t xml:space="preserve">Most </w:t>
      </w:r>
      <w:r>
        <w:rPr>
          <w:rFonts w:asciiTheme="minorHAnsi" w:hAnsiTheme="minorHAnsi" w:cstheme="minorHAnsi"/>
          <w:sz w:val="24"/>
          <w:szCs w:val="24"/>
        </w:rPr>
        <w:t xml:space="preserve">studies </w:t>
      </w:r>
      <w:r w:rsidR="008948FB">
        <w:rPr>
          <w:rFonts w:asciiTheme="minorHAnsi" w:hAnsiTheme="minorHAnsi" w:cstheme="minorHAnsi"/>
          <w:sz w:val="24"/>
          <w:szCs w:val="24"/>
        </w:rPr>
        <w:t>examine youth behaviours that are easier to measure and routinely measured</w:t>
      </w:r>
      <w:r w:rsidR="00A62FC9">
        <w:rPr>
          <w:rFonts w:asciiTheme="minorHAnsi" w:hAnsiTheme="minorHAnsi" w:cstheme="minorHAnsi"/>
          <w:sz w:val="24"/>
          <w:szCs w:val="24"/>
        </w:rPr>
        <w:t xml:space="preserve">, meaning that there may be less research evidence surrounding newly emerging themes such as </w:t>
      </w:r>
      <w:r w:rsidR="00655273">
        <w:rPr>
          <w:rFonts w:asciiTheme="minorHAnsi" w:hAnsiTheme="minorHAnsi" w:cstheme="minorHAnsi"/>
          <w:sz w:val="24"/>
          <w:szCs w:val="24"/>
        </w:rPr>
        <w:t>vaping</w:t>
      </w:r>
      <w:r w:rsidR="00A62FC9">
        <w:rPr>
          <w:rFonts w:asciiTheme="minorHAnsi" w:hAnsiTheme="minorHAnsi" w:cstheme="minorHAnsi"/>
          <w:sz w:val="24"/>
          <w:szCs w:val="24"/>
        </w:rPr>
        <w:t xml:space="preserve"> and harder to measure themes such as the effects of the environment on adolescent health.  Identifying 99 measures that are relevant to adolescent health, </w:t>
      </w:r>
      <w:proofErr w:type="spellStart"/>
      <w:r w:rsidR="00A62FC9">
        <w:rPr>
          <w:rFonts w:asciiTheme="minorHAnsi" w:hAnsiTheme="minorHAnsi" w:cstheme="minorHAnsi"/>
          <w:sz w:val="24"/>
          <w:szCs w:val="24"/>
        </w:rPr>
        <w:t>Guthold</w:t>
      </w:r>
      <w:proofErr w:type="spellEnd"/>
      <w:r w:rsidR="00A62FC9">
        <w:rPr>
          <w:rFonts w:asciiTheme="minorHAnsi" w:hAnsiTheme="minorHAnsi" w:cstheme="minorHAnsi"/>
          <w:sz w:val="24"/>
          <w:szCs w:val="24"/>
        </w:rPr>
        <w:t xml:space="preserve">, Moller, Adebayo, Carvajal, Ekman, Fagan, Ferguson, Friedman, </w:t>
      </w:r>
      <w:proofErr w:type="spellStart"/>
      <w:r w:rsidR="00A62FC9">
        <w:rPr>
          <w:rFonts w:asciiTheme="minorHAnsi" w:hAnsiTheme="minorHAnsi" w:cstheme="minorHAnsi"/>
          <w:sz w:val="24"/>
          <w:szCs w:val="24"/>
        </w:rPr>
        <w:t>Gueye</w:t>
      </w:r>
      <w:proofErr w:type="spellEnd"/>
      <w:r w:rsidR="00A62FC9">
        <w:rPr>
          <w:rFonts w:asciiTheme="minorHAnsi" w:hAnsiTheme="minorHAnsi" w:cstheme="minorHAnsi"/>
          <w:sz w:val="24"/>
          <w:szCs w:val="24"/>
        </w:rPr>
        <w:t xml:space="preserve">, </w:t>
      </w:r>
      <w:proofErr w:type="spellStart"/>
      <w:r w:rsidR="00A62FC9">
        <w:rPr>
          <w:rFonts w:asciiTheme="minorHAnsi" w:hAnsiTheme="minorHAnsi" w:cstheme="minorHAnsi"/>
          <w:sz w:val="24"/>
          <w:szCs w:val="24"/>
        </w:rPr>
        <w:t>Hagell</w:t>
      </w:r>
      <w:proofErr w:type="spellEnd"/>
      <w:r w:rsidR="00A62FC9">
        <w:rPr>
          <w:rFonts w:asciiTheme="minorHAnsi" w:hAnsiTheme="minorHAnsi" w:cstheme="minorHAnsi"/>
          <w:sz w:val="24"/>
          <w:szCs w:val="24"/>
        </w:rPr>
        <w:t xml:space="preserve">, Kohl and Azzopardi (2021) have recently recommended a new set of </w:t>
      </w:r>
      <w:r w:rsidR="00CF2DE2">
        <w:rPr>
          <w:rFonts w:asciiTheme="minorHAnsi" w:hAnsiTheme="minorHAnsi" w:cstheme="minorHAnsi"/>
          <w:sz w:val="24"/>
          <w:szCs w:val="24"/>
        </w:rPr>
        <w:t>33 core, 19 expanded and 6 context-specific measures for national and global use, because measures to date have not reflected the most important health areas according to young people, national perspectives or the adolescent burden of disease (ibid.).</w:t>
      </w:r>
      <w:r w:rsidR="00407545">
        <w:rPr>
          <w:rFonts w:asciiTheme="minorHAnsi" w:hAnsiTheme="minorHAnsi" w:cstheme="minorHAnsi"/>
          <w:sz w:val="24"/>
          <w:szCs w:val="24"/>
        </w:rPr>
        <w:t xml:space="preserve">  The World Health Organisation (2021) also recognises </w:t>
      </w:r>
      <w:r w:rsidR="00487BA2">
        <w:rPr>
          <w:rFonts w:asciiTheme="minorHAnsi" w:hAnsiTheme="minorHAnsi" w:cstheme="minorHAnsi"/>
          <w:sz w:val="24"/>
          <w:szCs w:val="24"/>
        </w:rPr>
        <w:t>these limitations.</w:t>
      </w:r>
    </w:p>
    <w:p w14:paraId="4EABCA32" w14:textId="648B36F2" w:rsidR="00487BA2" w:rsidRDefault="00391750" w:rsidP="00EF46F8">
      <w:pPr>
        <w:spacing w:line="480" w:lineRule="auto"/>
        <w:jc w:val="both"/>
        <w:rPr>
          <w:rFonts w:asciiTheme="minorHAnsi" w:hAnsiTheme="minorHAnsi" w:cstheme="minorHAnsi"/>
          <w:sz w:val="24"/>
          <w:szCs w:val="24"/>
        </w:rPr>
      </w:pPr>
      <w:r>
        <w:rPr>
          <w:rFonts w:asciiTheme="minorHAnsi" w:hAnsiTheme="minorHAnsi" w:cstheme="minorHAnsi"/>
          <w:sz w:val="24"/>
          <w:szCs w:val="24"/>
        </w:rPr>
        <w:lastRenderedPageBreak/>
        <w:t>Limitations in research might also include the efficacy of tools used, such as questionnaires</w:t>
      </w:r>
      <w:r w:rsidR="00900B87">
        <w:rPr>
          <w:rFonts w:asciiTheme="minorHAnsi" w:hAnsiTheme="minorHAnsi" w:cstheme="minorHAnsi"/>
          <w:sz w:val="24"/>
          <w:szCs w:val="24"/>
        </w:rPr>
        <w:t>,</w:t>
      </w:r>
      <w:r>
        <w:rPr>
          <w:rFonts w:asciiTheme="minorHAnsi" w:hAnsiTheme="minorHAnsi" w:cstheme="minorHAnsi"/>
          <w:sz w:val="24"/>
          <w:szCs w:val="24"/>
        </w:rPr>
        <w:t xml:space="preserve"> laboratory </w:t>
      </w:r>
      <w:r w:rsidR="0057663E">
        <w:rPr>
          <w:rFonts w:asciiTheme="minorHAnsi" w:hAnsiTheme="minorHAnsi" w:cstheme="minorHAnsi"/>
          <w:sz w:val="24"/>
          <w:szCs w:val="24"/>
        </w:rPr>
        <w:t xml:space="preserve">risk </w:t>
      </w:r>
      <w:r>
        <w:rPr>
          <w:rFonts w:asciiTheme="minorHAnsi" w:hAnsiTheme="minorHAnsi" w:cstheme="minorHAnsi"/>
          <w:sz w:val="24"/>
          <w:szCs w:val="24"/>
        </w:rPr>
        <w:t>tests</w:t>
      </w:r>
      <w:r w:rsidR="0064744A">
        <w:rPr>
          <w:rFonts w:asciiTheme="minorHAnsi" w:hAnsiTheme="minorHAnsi" w:cstheme="minorHAnsi"/>
          <w:sz w:val="24"/>
          <w:szCs w:val="24"/>
        </w:rPr>
        <w:t xml:space="preserve"> that do not involve real adverse consequences (</w:t>
      </w:r>
      <w:proofErr w:type="spellStart"/>
      <w:r w:rsidR="0064744A">
        <w:rPr>
          <w:rFonts w:asciiTheme="minorHAnsi" w:hAnsiTheme="minorHAnsi" w:cstheme="minorHAnsi"/>
          <w:sz w:val="24"/>
          <w:szCs w:val="24"/>
        </w:rPr>
        <w:t>Euser</w:t>
      </w:r>
      <w:proofErr w:type="spellEnd"/>
      <w:r w:rsidR="0064744A">
        <w:rPr>
          <w:rFonts w:asciiTheme="minorHAnsi" w:hAnsiTheme="minorHAnsi" w:cstheme="minorHAnsi"/>
          <w:sz w:val="24"/>
          <w:szCs w:val="24"/>
        </w:rPr>
        <w:t xml:space="preserve">, Evan, Greaves-Lord, </w:t>
      </w:r>
      <w:proofErr w:type="spellStart"/>
      <w:r w:rsidR="0064744A">
        <w:rPr>
          <w:rFonts w:asciiTheme="minorHAnsi" w:hAnsiTheme="minorHAnsi" w:cstheme="minorHAnsi"/>
          <w:sz w:val="24"/>
          <w:szCs w:val="24"/>
        </w:rPr>
        <w:t>Hui</w:t>
      </w:r>
      <w:r w:rsidR="0057663E">
        <w:rPr>
          <w:rFonts w:asciiTheme="minorHAnsi" w:hAnsiTheme="minorHAnsi" w:cstheme="minorHAnsi"/>
          <w:sz w:val="24"/>
          <w:szCs w:val="24"/>
        </w:rPr>
        <w:t>zink</w:t>
      </w:r>
      <w:proofErr w:type="spellEnd"/>
      <w:r w:rsidR="0057663E">
        <w:rPr>
          <w:rFonts w:asciiTheme="minorHAnsi" w:hAnsiTheme="minorHAnsi" w:cstheme="minorHAnsi"/>
          <w:sz w:val="24"/>
          <w:szCs w:val="24"/>
        </w:rPr>
        <w:t xml:space="preserve"> and Franken, 2013, p423)</w:t>
      </w:r>
      <w:r w:rsidR="00900B87">
        <w:rPr>
          <w:rFonts w:asciiTheme="minorHAnsi" w:hAnsiTheme="minorHAnsi" w:cstheme="minorHAnsi"/>
          <w:sz w:val="24"/>
          <w:szCs w:val="24"/>
        </w:rPr>
        <w:t xml:space="preserve"> and psychosocial screening</w:t>
      </w:r>
      <w:r>
        <w:rPr>
          <w:rFonts w:asciiTheme="minorHAnsi" w:hAnsiTheme="minorHAnsi" w:cstheme="minorHAnsi"/>
          <w:sz w:val="24"/>
          <w:szCs w:val="24"/>
        </w:rPr>
        <w:t>, so this literature review will focus on studies that use</w:t>
      </w:r>
      <w:r w:rsidR="00A565BF">
        <w:rPr>
          <w:rFonts w:asciiTheme="minorHAnsi" w:hAnsiTheme="minorHAnsi" w:cstheme="minorHAnsi"/>
          <w:sz w:val="24"/>
          <w:szCs w:val="24"/>
        </w:rPr>
        <w:t>d</w:t>
      </w:r>
      <w:r>
        <w:rPr>
          <w:rFonts w:asciiTheme="minorHAnsi" w:hAnsiTheme="minorHAnsi" w:cstheme="minorHAnsi"/>
          <w:sz w:val="24"/>
          <w:szCs w:val="24"/>
        </w:rPr>
        <w:t xml:space="preserve"> validated methods of assessment.</w:t>
      </w:r>
      <w:r w:rsidR="00900B87">
        <w:rPr>
          <w:rFonts w:asciiTheme="minorHAnsi" w:hAnsiTheme="minorHAnsi" w:cstheme="minorHAnsi"/>
          <w:sz w:val="24"/>
          <w:szCs w:val="24"/>
        </w:rPr>
        <w:t xml:space="preserve">  Recommending a ‘gold stand</w:t>
      </w:r>
      <w:r w:rsidR="008C1483">
        <w:rPr>
          <w:rFonts w:asciiTheme="minorHAnsi" w:hAnsiTheme="minorHAnsi" w:cstheme="minorHAnsi"/>
          <w:sz w:val="24"/>
          <w:szCs w:val="24"/>
        </w:rPr>
        <w:t>a</w:t>
      </w:r>
      <w:r w:rsidR="00900B87">
        <w:rPr>
          <w:rFonts w:asciiTheme="minorHAnsi" w:hAnsiTheme="minorHAnsi" w:cstheme="minorHAnsi"/>
          <w:sz w:val="24"/>
          <w:szCs w:val="24"/>
        </w:rPr>
        <w:t xml:space="preserve">rd’ </w:t>
      </w:r>
      <w:r w:rsidR="008C1483">
        <w:rPr>
          <w:rFonts w:asciiTheme="minorHAnsi" w:hAnsiTheme="minorHAnsi" w:cstheme="minorHAnsi"/>
          <w:sz w:val="24"/>
          <w:szCs w:val="24"/>
        </w:rPr>
        <w:t xml:space="preserve">screening </w:t>
      </w:r>
      <w:r w:rsidR="00900B87">
        <w:rPr>
          <w:rFonts w:asciiTheme="minorHAnsi" w:hAnsiTheme="minorHAnsi" w:cstheme="minorHAnsi"/>
          <w:sz w:val="24"/>
          <w:szCs w:val="24"/>
        </w:rPr>
        <w:t xml:space="preserve">tool for </w:t>
      </w:r>
      <w:r w:rsidR="008C1483">
        <w:rPr>
          <w:rFonts w:asciiTheme="minorHAnsi" w:hAnsiTheme="minorHAnsi" w:cstheme="minorHAnsi"/>
          <w:sz w:val="24"/>
          <w:szCs w:val="24"/>
        </w:rPr>
        <w:t xml:space="preserve">universal </w:t>
      </w:r>
      <w:r w:rsidR="00900B87">
        <w:rPr>
          <w:rFonts w:asciiTheme="minorHAnsi" w:hAnsiTheme="minorHAnsi" w:cstheme="minorHAnsi"/>
          <w:sz w:val="24"/>
          <w:szCs w:val="24"/>
        </w:rPr>
        <w:t xml:space="preserve">use </w:t>
      </w:r>
      <w:r w:rsidR="008C1483">
        <w:rPr>
          <w:rFonts w:asciiTheme="minorHAnsi" w:hAnsiTheme="minorHAnsi" w:cstheme="minorHAnsi"/>
          <w:sz w:val="24"/>
          <w:szCs w:val="24"/>
        </w:rPr>
        <w:t xml:space="preserve">with adolescents </w:t>
      </w:r>
      <w:r w:rsidR="00900B87">
        <w:rPr>
          <w:rFonts w:asciiTheme="minorHAnsi" w:hAnsiTheme="minorHAnsi" w:cstheme="minorHAnsi"/>
          <w:sz w:val="24"/>
          <w:szCs w:val="24"/>
        </w:rPr>
        <w:t xml:space="preserve">in clinical and school settings, </w:t>
      </w:r>
      <w:proofErr w:type="spellStart"/>
      <w:r w:rsidR="00900B87">
        <w:rPr>
          <w:rFonts w:asciiTheme="minorHAnsi" w:hAnsiTheme="minorHAnsi" w:cstheme="minorHAnsi"/>
          <w:sz w:val="24"/>
          <w:szCs w:val="24"/>
        </w:rPr>
        <w:t>Glasner</w:t>
      </w:r>
      <w:proofErr w:type="spellEnd"/>
      <w:r w:rsidR="00900B87">
        <w:rPr>
          <w:rFonts w:asciiTheme="minorHAnsi" w:hAnsiTheme="minorHAnsi" w:cstheme="minorHAnsi"/>
          <w:sz w:val="24"/>
          <w:szCs w:val="24"/>
        </w:rPr>
        <w:t xml:space="preserve">, </w:t>
      </w:r>
      <w:proofErr w:type="spellStart"/>
      <w:r w:rsidR="00900B87">
        <w:rPr>
          <w:rFonts w:asciiTheme="minorHAnsi" w:hAnsiTheme="minorHAnsi" w:cstheme="minorHAnsi"/>
          <w:sz w:val="24"/>
          <w:szCs w:val="24"/>
        </w:rPr>
        <w:t>Baltag</w:t>
      </w:r>
      <w:proofErr w:type="spellEnd"/>
      <w:r w:rsidR="00900B87">
        <w:rPr>
          <w:rFonts w:asciiTheme="minorHAnsi" w:hAnsiTheme="minorHAnsi" w:cstheme="minorHAnsi"/>
          <w:sz w:val="24"/>
          <w:szCs w:val="24"/>
        </w:rPr>
        <w:t xml:space="preserve"> and </w:t>
      </w:r>
      <w:proofErr w:type="spellStart"/>
      <w:r w:rsidR="00900B87">
        <w:rPr>
          <w:rFonts w:asciiTheme="minorHAnsi" w:hAnsiTheme="minorHAnsi" w:cstheme="minorHAnsi"/>
          <w:sz w:val="24"/>
          <w:szCs w:val="24"/>
        </w:rPr>
        <w:t>Ambresin</w:t>
      </w:r>
      <w:proofErr w:type="spellEnd"/>
      <w:r w:rsidR="00900B87">
        <w:rPr>
          <w:rFonts w:asciiTheme="minorHAnsi" w:hAnsiTheme="minorHAnsi" w:cstheme="minorHAnsi"/>
          <w:sz w:val="24"/>
          <w:szCs w:val="24"/>
        </w:rPr>
        <w:t xml:space="preserve"> (2021</w:t>
      </w:r>
      <w:r w:rsidR="008C1483">
        <w:rPr>
          <w:rFonts w:asciiTheme="minorHAnsi" w:hAnsiTheme="minorHAnsi" w:cstheme="minorHAnsi"/>
          <w:sz w:val="24"/>
          <w:szCs w:val="24"/>
        </w:rPr>
        <w:t>, p457</w:t>
      </w:r>
      <w:r w:rsidR="00900B87">
        <w:rPr>
          <w:rFonts w:asciiTheme="minorHAnsi" w:hAnsiTheme="minorHAnsi" w:cstheme="minorHAnsi"/>
          <w:sz w:val="24"/>
          <w:szCs w:val="24"/>
        </w:rPr>
        <w:t>) highlight the limitations and gaps in the tools that have been in use to date.</w:t>
      </w:r>
    </w:p>
    <w:p w14:paraId="0504CD3B" w14:textId="69BBE7A7" w:rsidR="0083262D" w:rsidRDefault="00487BA2" w:rsidP="00487BA2">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From a personal perspective, the author has selected to study children and young people’s risk-taking behaviours, and to look for predictors, because </w:t>
      </w:r>
      <w:r w:rsidR="0083262D">
        <w:rPr>
          <w:rFonts w:asciiTheme="minorHAnsi" w:hAnsiTheme="minorHAnsi" w:cstheme="minorHAnsi"/>
          <w:sz w:val="24"/>
          <w:szCs w:val="24"/>
        </w:rPr>
        <w:t xml:space="preserve">proactive </w:t>
      </w:r>
      <w:r>
        <w:rPr>
          <w:rFonts w:asciiTheme="minorHAnsi" w:hAnsiTheme="minorHAnsi" w:cstheme="minorHAnsi"/>
          <w:sz w:val="24"/>
          <w:szCs w:val="24"/>
        </w:rPr>
        <w:t xml:space="preserve">safeguarding must be paramount </w:t>
      </w:r>
      <w:r w:rsidR="002C5E71">
        <w:rPr>
          <w:rFonts w:asciiTheme="minorHAnsi" w:hAnsiTheme="minorHAnsi" w:cstheme="minorHAnsi"/>
          <w:sz w:val="24"/>
          <w:szCs w:val="24"/>
        </w:rPr>
        <w:t>in</w:t>
      </w:r>
      <w:r>
        <w:rPr>
          <w:rFonts w:asciiTheme="minorHAnsi" w:hAnsiTheme="minorHAnsi" w:cstheme="minorHAnsi"/>
          <w:sz w:val="24"/>
          <w:szCs w:val="24"/>
        </w:rPr>
        <w:t xml:space="preserve"> youth work.  Knowing what to look out for and when to listen in or probe deeper is a key skill for development.  As a parent the author believes that every child is precious,</w:t>
      </w:r>
      <w:r w:rsidR="0083262D">
        <w:rPr>
          <w:rFonts w:asciiTheme="minorHAnsi" w:hAnsiTheme="minorHAnsi" w:cstheme="minorHAnsi"/>
          <w:sz w:val="24"/>
          <w:szCs w:val="24"/>
        </w:rPr>
        <w:t xml:space="preserve"> and it is with great sadness that </w:t>
      </w:r>
      <w:r w:rsidR="00A565BF">
        <w:rPr>
          <w:rFonts w:asciiTheme="minorHAnsi" w:hAnsiTheme="minorHAnsi" w:cstheme="minorHAnsi"/>
          <w:sz w:val="24"/>
          <w:szCs w:val="24"/>
        </w:rPr>
        <w:t xml:space="preserve">we </w:t>
      </w:r>
      <w:r w:rsidR="009E327D">
        <w:rPr>
          <w:rFonts w:asciiTheme="minorHAnsi" w:hAnsiTheme="minorHAnsi" w:cstheme="minorHAnsi"/>
          <w:sz w:val="24"/>
          <w:szCs w:val="24"/>
        </w:rPr>
        <w:t>witness</w:t>
      </w:r>
      <w:r w:rsidR="0083262D">
        <w:rPr>
          <w:rFonts w:asciiTheme="minorHAnsi" w:hAnsiTheme="minorHAnsi" w:cstheme="minorHAnsi"/>
          <w:sz w:val="24"/>
          <w:szCs w:val="24"/>
        </w:rPr>
        <w:t xml:space="preserve"> the demise of some children and young people in our communities.  Finally, as a mature student, the author can look back and laugh at the freedoms enjoyed and risks taken as a teenager in the 1970s and wonder if a well-informed youth worker could have predicted the author’s own risky behaviours at </w:t>
      </w:r>
      <w:r w:rsidR="00A565BF">
        <w:rPr>
          <w:rFonts w:asciiTheme="minorHAnsi" w:hAnsiTheme="minorHAnsi" w:cstheme="minorHAnsi"/>
          <w:sz w:val="24"/>
          <w:szCs w:val="24"/>
        </w:rPr>
        <w:t>that time.</w:t>
      </w:r>
    </w:p>
    <w:p w14:paraId="2EFD65D8" w14:textId="0FD08FD2" w:rsidR="00F91581" w:rsidRDefault="00AD340B" w:rsidP="002C5E71">
      <w:pPr>
        <w:spacing w:line="480" w:lineRule="auto"/>
        <w:jc w:val="both"/>
        <w:rPr>
          <w:rFonts w:asciiTheme="majorHAnsi" w:eastAsiaTheme="majorEastAsia" w:hAnsiTheme="majorHAnsi" w:cstheme="majorBidi"/>
          <w:b/>
          <w:bCs/>
          <w:color w:val="2F5496" w:themeColor="accent1" w:themeShade="BF"/>
          <w:sz w:val="32"/>
          <w:szCs w:val="32"/>
        </w:rPr>
      </w:pPr>
      <w:r>
        <w:rPr>
          <w:rFonts w:asciiTheme="minorHAnsi" w:hAnsiTheme="minorHAnsi" w:cstheme="minorHAnsi"/>
          <w:sz w:val="24"/>
          <w:szCs w:val="24"/>
        </w:rPr>
        <w:t>Finally, t</w:t>
      </w:r>
      <w:r w:rsidR="0083262D">
        <w:rPr>
          <w:rFonts w:asciiTheme="minorHAnsi" w:hAnsiTheme="minorHAnsi" w:cstheme="minorHAnsi"/>
          <w:sz w:val="24"/>
          <w:szCs w:val="24"/>
        </w:rPr>
        <w:t xml:space="preserve">he intention of this study is not to dwell too much on harm, disease and death; rather it </w:t>
      </w:r>
      <w:r w:rsidR="00246636">
        <w:rPr>
          <w:rFonts w:asciiTheme="minorHAnsi" w:hAnsiTheme="minorHAnsi" w:cstheme="minorHAnsi"/>
          <w:sz w:val="24"/>
          <w:szCs w:val="24"/>
        </w:rPr>
        <w:t xml:space="preserve">optimistically </w:t>
      </w:r>
      <w:r w:rsidR="0083262D">
        <w:rPr>
          <w:rFonts w:asciiTheme="minorHAnsi" w:hAnsiTheme="minorHAnsi" w:cstheme="minorHAnsi"/>
          <w:sz w:val="24"/>
          <w:szCs w:val="24"/>
        </w:rPr>
        <w:t>aims to equip youth workers with fresh suggestions for improved practice that will protect the potential, safety and wellbeing of young people, especially the most vulnerable.</w:t>
      </w:r>
      <w:r w:rsidR="000B1F1B">
        <w:rPr>
          <w:rFonts w:asciiTheme="minorHAnsi" w:hAnsiTheme="minorHAnsi" w:cstheme="minorHAnsi"/>
          <w:sz w:val="24"/>
          <w:szCs w:val="24"/>
        </w:rPr>
        <w:t xml:space="preserve">  The next chapter will provide an in-depth literature review focussing on four key themes to support the author’s research question</w:t>
      </w:r>
      <w:r w:rsidR="00A565C5">
        <w:rPr>
          <w:rFonts w:asciiTheme="minorHAnsi" w:hAnsiTheme="minorHAnsi" w:cstheme="minorHAnsi"/>
          <w:sz w:val="24"/>
          <w:szCs w:val="24"/>
        </w:rPr>
        <w:t>,</w:t>
      </w:r>
      <w:r w:rsidR="0083262D">
        <w:rPr>
          <w:rFonts w:asciiTheme="minorHAnsi" w:hAnsiTheme="minorHAnsi" w:cstheme="minorHAnsi"/>
          <w:sz w:val="24"/>
          <w:szCs w:val="24"/>
        </w:rPr>
        <w:t xml:space="preserve"> </w:t>
      </w:r>
      <w:r w:rsidR="000B1F1B" w:rsidRPr="000B1F1B">
        <w:rPr>
          <w:i/>
          <w:iCs/>
          <w:sz w:val="24"/>
          <w:szCs w:val="24"/>
        </w:rPr>
        <w:t>‘</w:t>
      </w:r>
      <w:r w:rsidR="00A565C5" w:rsidRPr="00A565C5">
        <w:rPr>
          <w:i/>
          <w:iCs/>
          <w:sz w:val="24"/>
          <w:szCs w:val="24"/>
        </w:rPr>
        <w:t>To what extent do cognitive development, puberty, mental health and peers influence children and young people’s risk-taking behaviours, and how can the conclusions drawn be used to inform youth work practice?</w:t>
      </w:r>
      <w:r w:rsidR="000B1F1B" w:rsidRPr="000B1F1B">
        <w:rPr>
          <w:i/>
          <w:iCs/>
          <w:sz w:val="24"/>
          <w:szCs w:val="24"/>
        </w:rPr>
        <w:t>’.</w:t>
      </w:r>
      <w:r w:rsidR="00F91581">
        <w:rPr>
          <w:b/>
          <w:bCs/>
        </w:rPr>
        <w:br w:type="page"/>
      </w:r>
    </w:p>
    <w:p w14:paraId="5BFA7E20" w14:textId="04A4527E" w:rsidR="00F91581" w:rsidRPr="00F91581" w:rsidRDefault="00F91581" w:rsidP="00F91581">
      <w:pPr>
        <w:pStyle w:val="Heading1"/>
        <w:rPr>
          <w:b/>
          <w:bCs/>
        </w:rPr>
      </w:pPr>
      <w:bookmarkStart w:id="6" w:name="_Toc76631138"/>
      <w:r w:rsidRPr="00F91581">
        <w:rPr>
          <w:b/>
          <w:bCs/>
        </w:rPr>
        <w:lastRenderedPageBreak/>
        <w:t>2.0 Literature Review</w:t>
      </w:r>
      <w:bookmarkEnd w:id="6"/>
    </w:p>
    <w:p w14:paraId="33C56B3E" w14:textId="77777777" w:rsidR="00F91581" w:rsidRDefault="00F91581" w:rsidP="00F91581">
      <w:pPr>
        <w:pStyle w:val="Heading2"/>
      </w:pPr>
      <w:bookmarkStart w:id="7" w:name="_Toc76631139"/>
      <w:r>
        <w:t>2.1 Introduction</w:t>
      </w:r>
      <w:bookmarkEnd w:id="7"/>
    </w:p>
    <w:p w14:paraId="37AFE64B" w14:textId="02BD6CDE" w:rsidR="00F91581" w:rsidRPr="002533F2" w:rsidRDefault="00F91581" w:rsidP="00F91581">
      <w:pPr>
        <w:spacing w:line="480" w:lineRule="auto"/>
        <w:jc w:val="both"/>
        <w:rPr>
          <w:sz w:val="24"/>
          <w:szCs w:val="24"/>
        </w:rPr>
      </w:pPr>
      <w:r w:rsidRPr="002533F2">
        <w:rPr>
          <w:sz w:val="24"/>
          <w:szCs w:val="24"/>
        </w:rPr>
        <w:t>What drives some young people to take more dangerous risks than others?  There are many facets of young people’s lives that can be explored for clues.  There are indicators at community level: socioeconomic disadvantage, crime, violence, being homeless or a refugee, racism or lack of services (NSW Government, 2014, p83).  There are clues in a young person’s home life: family breakdown, conflict, lack of or harsh discipline, abuse, neglect, lack of warmth, poor relationships and negative values (ibid.).  There can be answers at school: bullying, lack of friends, poor attainment, learning difficulties and deviant peers (ibid.).  Of course, there are in-person clues too: poor social skills, low self-esteem, lack of empathy, poor problem-solving skills or experience of trauma or other adverse childhood experiences (ibid.).  It is not possible to examine and assess all factors in depth simultaneously, although working with you</w:t>
      </w:r>
      <w:r>
        <w:rPr>
          <w:sz w:val="24"/>
          <w:szCs w:val="24"/>
        </w:rPr>
        <w:t>ng people</w:t>
      </w:r>
      <w:r w:rsidRPr="002533F2">
        <w:rPr>
          <w:sz w:val="24"/>
          <w:szCs w:val="24"/>
        </w:rPr>
        <w:t xml:space="preserve"> does demand a holistic approach (CLD, 2019), therefore this literature review focuses on four areas of key influence that can contribute to understanding why some young people have an increased propensity for risk-taking with harmful outcomes than others.  </w:t>
      </w:r>
    </w:p>
    <w:p w14:paraId="72228AA2" w14:textId="77777777" w:rsidR="00F91581" w:rsidRPr="002533F2" w:rsidRDefault="00F91581" w:rsidP="00F91581">
      <w:pPr>
        <w:spacing w:line="480" w:lineRule="auto"/>
        <w:jc w:val="both"/>
        <w:rPr>
          <w:sz w:val="24"/>
          <w:szCs w:val="24"/>
        </w:rPr>
      </w:pPr>
      <w:r w:rsidRPr="002533F2">
        <w:rPr>
          <w:sz w:val="24"/>
          <w:szCs w:val="24"/>
        </w:rPr>
        <w:t xml:space="preserve">The range of academic literature that investigates these four subject areas is vast and includes research into adolescence, adolescent health, developmental cognitive neuroscience, psychology, psychiatry, education, public health and even economics, demonstrating without any doubt the intense focus across disciplines on nurturing our adolescents and protecting them from harm.   </w:t>
      </w:r>
    </w:p>
    <w:p w14:paraId="322D5C51" w14:textId="5431F9AA" w:rsidR="00F91581" w:rsidRPr="002533F2" w:rsidRDefault="00F91581" w:rsidP="00F91581">
      <w:pPr>
        <w:spacing w:line="480" w:lineRule="auto"/>
        <w:jc w:val="both"/>
        <w:rPr>
          <w:sz w:val="24"/>
          <w:szCs w:val="24"/>
        </w:rPr>
      </w:pPr>
      <w:r w:rsidRPr="002533F2">
        <w:rPr>
          <w:sz w:val="24"/>
          <w:szCs w:val="24"/>
        </w:rPr>
        <w:lastRenderedPageBreak/>
        <w:t xml:space="preserve">The latest peer-reviewed research has been sought and considered in the context of risk-taking behaviours.  A mixture of qualitative and quantitative research has been reviewed.  A critical approach has been employed (Bryman, 2001, p496), such that authors’ findings are not simply accepted at face value, rather similarities and differences between research findings are identified and considered.  Personal interpretations are included too.  All resources used </w:t>
      </w:r>
      <w:proofErr w:type="gramStart"/>
      <w:r w:rsidRPr="002533F2">
        <w:rPr>
          <w:sz w:val="24"/>
          <w:szCs w:val="24"/>
        </w:rPr>
        <w:t>are considered to be</w:t>
      </w:r>
      <w:proofErr w:type="gramEnd"/>
      <w:r w:rsidRPr="002533F2">
        <w:rPr>
          <w:sz w:val="24"/>
          <w:szCs w:val="24"/>
        </w:rPr>
        <w:t xml:space="preserve"> authentic, credible and reliable (Bryman, 2001, p379) and </w:t>
      </w:r>
      <w:r w:rsidR="008B6F2E">
        <w:rPr>
          <w:sz w:val="24"/>
          <w:szCs w:val="24"/>
        </w:rPr>
        <w:t>were</w:t>
      </w:r>
      <w:r w:rsidRPr="002533F2">
        <w:rPr>
          <w:sz w:val="24"/>
          <w:szCs w:val="24"/>
        </w:rPr>
        <w:t xml:space="preserve"> written in an objective scientific context (ibid., p383).  An eye is kept open for inconsistencies.  Where research is scant, this is noted.  Connections are considered where areas of research start to overlap.</w:t>
      </w:r>
    </w:p>
    <w:p w14:paraId="113B65D2" w14:textId="05FF795C" w:rsidR="00F91581" w:rsidRPr="002533F2" w:rsidRDefault="00F91581" w:rsidP="00F91581">
      <w:pPr>
        <w:spacing w:line="480" w:lineRule="auto"/>
        <w:jc w:val="both"/>
        <w:rPr>
          <w:sz w:val="24"/>
          <w:szCs w:val="24"/>
        </w:rPr>
      </w:pPr>
      <w:r w:rsidRPr="002533F2">
        <w:rPr>
          <w:sz w:val="24"/>
          <w:szCs w:val="24"/>
        </w:rPr>
        <w:t>Research articles whose sample sizes</w:t>
      </w:r>
      <w:r w:rsidR="008B6F2E">
        <w:rPr>
          <w:sz w:val="24"/>
          <w:szCs w:val="24"/>
        </w:rPr>
        <w:t xml:space="preserve"> were</w:t>
      </w:r>
      <w:r w:rsidRPr="002533F2">
        <w:rPr>
          <w:sz w:val="24"/>
          <w:szCs w:val="24"/>
        </w:rPr>
        <w:t xml:space="preserve"> small have been largely disregarded as being potentially unreliable.  Preference has been given to large longitudinal studies such as the UK’s Avon Longitudinal Study of Parents and Children (ALSPAC)</w:t>
      </w:r>
      <w:r>
        <w:rPr>
          <w:sz w:val="24"/>
          <w:szCs w:val="24"/>
        </w:rPr>
        <w:t xml:space="preserve"> (University of Bristol, 2021)</w:t>
      </w:r>
      <w:r w:rsidRPr="002533F2">
        <w:rPr>
          <w:sz w:val="24"/>
          <w:szCs w:val="24"/>
        </w:rPr>
        <w:t>, the UK Millennium Cohort Study</w:t>
      </w:r>
      <w:r w:rsidR="00026A71">
        <w:rPr>
          <w:sz w:val="24"/>
          <w:szCs w:val="24"/>
        </w:rPr>
        <w:t xml:space="preserve"> (University College London, 2021) </w:t>
      </w:r>
      <w:r w:rsidRPr="002533F2">
        <w:rPr>
          <w:sz w:val="24"/>
          <w:szCs w:val="24"/>
        </w:rPr>
        <w:t xml:space="preserve">and the USA’s biennial Youth Risk </w:t>
      </w:r>
      <w:proofErr w:type="spellStart"/>
      <w:r w:rsidRPr="002533F2">
        <w:rPr>
          <w:sz w:val="24"/>
          <w:szCs w:val="24"/>
        </w:rPr>
        <w:t>Behavior</w:t>
      </w:r>
      <w:proofErr w:type="spellEnd"/>
      <w:r w:rsidRPr="002533F2">
        <w:rPr>
          <w:sz w:val="24"/>
          <w:szCs w:val="24"/>
        </w:rPr>
        <w:t xml:space="preserve"> Survey</w:t>
      </w:r>
      <w:r>
        <w:rPr>
          <w:sz w:val="24"/>
          <w:szCs w:val="24"/>
        </w:rPr>
        <w:t xml:space="preserve"> (CDC, 2021)</w:t>
      </w:r>
      <w:r w:rsidRPr="002533F2">
        <w:rPr>
          <w:sz w:val="24"/>
          <w:szCs w:val="24"/>
        </w:rPr>
        <w:t xml:space="preserve">.  Research with weak findings or tenuous links to risky behaviour have likewise been left aside. </w:t>
      </w:r>
    </w:p>
    <w:p w14:paraId="7A50C6E8" w14:textId="079EFA01" w:rsidR="00CD3DEE" w:rsidRDefault="00F91581" w:rsidP="007F23A0">
      <w:pPr>
        <w:spacing w:line="480" w:lineRule="auto"/>
        <w:jc w:val="both"/>
        <w:rPr>
          <w:rFonts w:asciiTheme="majorHAnsi" w:eastAsiaTheme="majorEastAsia" w:hAnsiTheme="majorHAnsi" w:cstheme="majorBidi"/>
          <w:color w:val="2F5496" w:themeColor="accent1" w:themeShade="BF"/>
          <w:sz w:val="26"/>
          <w:szCs w:val="26"/>
        </w:rPr>
      </w:pPr>
      <w:bookmarkStart w:id="8" w:name="_Hlk76634522"/>
      <w:r w:rsidRPr="002533F2">
        <w:rPr>
          <w:sz w:val="24"/>
          <w:szCs w:val="24"/>
        </w:rPr>
        <w:t xml:space="preserve">Ideas and experiments with interventions and prevention programmes </w:t>
      </w:r>
      <w:bookmarkEnd w:id="8"/>
      <w:r w:rsidRPr="002533F2">
        <w:rPr>
          <w:sz w:val="24"/>
          <w:szCs w:val="24"/>
        </w:rPr>
        <w:t xml:space="preserve">have been gathered </w:t>
      </w:r>
      <w:proofErr w:type="gramStart"/>
      <w:r w:rsidRPr="002533F2">
        <w:rPr>
          <w:sz w:val="24"/>
          <w:szCs w:val="24"/>
        </w:rPr>
        <w:t>during the course of</w:t>
      </w:r>
      <w:proofErr w:type="gramEnd"/>
      <w:r w:rsidRPr="002533F2">
        <w:rPr>
          <w:sz w:val="24"/>
          <w:szCs w:val="24"/>
        </w:rPr>
        <w:t xml:space="preserve"> th</w:t>
      </w:r>
      <w:r w:rsidR="0015383B">
        <w:rPr>
          <w:sz w:val="24"/>
          <w:szCs w:val="24"/>
        </w:rPr>
        <w:t>is study</w:t>
      </w:r>
      <w:r w:rsidRPr="002533F2">
        <w:rPr>
          <w:sz w:val="24"/>
          <w:szCs w:val="24"/>
        </w:rPr>
        <w:t>.  These will help to formulate strategies and plans for trial and implementation in youth work practice.</w:t>
      </w:r>
      <w:bookmarkStart w:id="9" w:name="_Toc76631140"/>
    </w:p>
    <w:p w14:paraId="4746604B" w14:textId="3391C574" w:rsidR="00F91581" w:rsidRDefault="00F91581" w:rsidP="00F91581">
      <w:pPr>
        <w:pStyle w:val="Heading2"/>
      </w:pPr>
      <w:r>
        <w:t>2.2 Cognitive Development</w:t>
      </w:r>
      <w:bookmarkEnd w:id="9"/>
    </w:p>
    <w:p w14:paraId="71E90099" w14:textId="695E3B70" w:rsidR="00F91581" w:rsidRDefault="00F91581" w:rsidP="00F91581">
      <w:pPr>
        <w:spacing w:line="480" w:lineRule="auto"/>
        <w:jc w:val="both"/>
        <w:rPr>
          <w:sz w:val="24"/>
          <w:szCs w:val="24"/>
        </w:rPr>
      </w:pPr>
      <w:r>
        <w:rPr>
          <w:sz w:val="24"/>
          <w:szCs w:val="24"/>
        </w:rPr>
        <w:t>Since the mid-1990s there has been a marked increase in research into the social neuroscience of adolescence (</w:t>
      </w:r>
      <w:proofErr w:type="spellStart"/>
      <w:r>
        <w:rPr>
          <w:sz w:val="24"/>
          <w:szCs w:val="24"/>
        </w:rPr>
        <w:t>Segalowitz</w:t>
      </w:r>
      <w:proofErr w:type="spellEnd"/>
      <w:r>
        <w:rPr>
          <w:sz w:val="24"/>
          <w:szCs w:val="24"/>
        </w:rPr>
        <w:t xml:space="preserve"> and Luciana, 2014) and studies into brain </w:t>
      </w:r>
      <w:r>
        <w:rPr>
          <w:sz w:val="24"/>
          <w:szCs w:val="24"/>
        </w:rPr>
        <w:lastRenderedPageBreak/>
        <w:t xml:space="preserve">development, alongside biological and sociological research, provide insights that are pertinent to risk-taking behaviour </w:t>
      </w:r>
      <w:r w:rsidR="00DE1306">
        <w:rPr>
          <w:sz w:val="24"/>
          <w:szCs w:val="24"/>
        </w:rPr>
        <w:t>in adolescence.</w:t>
      </w:r>
    </w:p>
    <w:p w14:paraId="12C8E83E" w14:textId="592F1CC3" w:rsidR="00F91581" w:rsidRDefault="00F91581" w:rsidP="00F91581">
      <w:pPr>
        <w:spacing w:line="480" w:lineRule="auto"/>
        <w:jc w:val="both"/>
        <w:rPr>
          <w:sz w:val="24"/>
          <w:szCs w:val="24"/>
        </w:rPr>
      </w:pPr>
      <w:r>
        <w:rPr>
          <w:sz w:val="24"/>
          <w:szCs w:val="24"/>
        </w:rPr>
        <w:t xml:space="preserve">The developing </w:t>
      </w:r>
      <w:r w:rsidR="00DE1306">
        <w:rPr>
          <w:sz w:val="24"/>
          <w:szCs w:val="24"/>
        </w:rPr>
        <w:t xml:space="preserve">pre-teenage </w:t>
      </w:r>
      <w:r>
        <w:rPr>
          <w:sz w:val="24"/>
          <w:szCs w:val="24"/>
        </w:rPr>
        <w:t xml:space="preserve">brain initiates the biological imperative to reduce familial dependency, enabling the mixing of the gene pool (White and </w:t>
      </w:r>
      <w:proofErr w:type="spellStart"/>
      <w:r>
        <w:rPr>
          <w:sz w:val="24"/>
          <w:szCs w:val="24"/>
        </w:rPr>
        <w:t>Swartzwelder</w:t>
      </w:r>
      <w:proofErr w:type="spellEnd"/>
      <w:r>
        <w:rPr>
          <w:sz w:val="24"/>
          <w:szCs w:val="24"/>
        </w:rPr>
        <w:t>, 2013).  This need for independence drives adolescents to explore the world around them, to try new experiences and to challenge established rules (ibid.).  This exploration involves taking risks, but it takes place at a time when adolescent brains are learning rapidly (ibid.).</w:t>
      </w:r>
    </w:p>
    <w:p w14:paraId="40825356" w14:textId="0CB47640" w:rsidR="00F91581" w:rsidRDefault="00F91581" w:rsidP="00F91581">
      <w:pPr>
        <w:spacing w:line="480" w:lineRule="auto"/>
        <w:jc w:val="both"/>
        <w:rPr>
          <w:sz w:val="24"/>
          <w:szCs w:val="24"/>
        </w:rPr>
      </w:pPr>
      <w:r>
        <w:rPr>
          <w:sz w:val="24"/>
          <w:szCs w:val="24"/>
        </w:rPr>
        <w:t>During adolescence young people develop ‘adult-like’ cognitive styles that are recognisably different from childhood, but their brains’ prefrontal and frontal cortices are not fully formed or as rapidly accessible as they are in adults (</w:t>
      </w:r>
      <w:proofErr w:type="spellStart"/>
      <w:r>
        <w:rPr>
          <w:sz w:val="24"/>
          <w:szCs w:val="24"/>
        </w:rPr>
        <w:t>Zarrabi</w:t>
      </w:r>
      <w:proofErr w:type="spellEnd"/>
      <w:r>
        <w:rPr>
          <w:sz w:val="24"/>
          <w:szCs w:val="24"/>
        </w:rPr>
        <w:t xml:space="preserve">, 2020). As these areas of the brain are central to judgement and problem-solving and not yet fully connected to the limbic system and amygdala, adolescents have immature capability for emotional learning and self-regulation (Harvard Health Publishing, 2011).     </w:t>
      </w:r>
    </w:p>
    <w:p w14:paraId="62C3E8A6" w14:textId="77777777" w:rsidR="00F91581" w:rsidRDefault="00F91581" w:rsidP="00F91581">
      <w:pPr>
        <w:spacing w:line="480" w:lineRule="auto"/>
        <w:jc w:val="both"/>
        <w:rPr>
          <w:sz w:val="24"/>
          <w:szCs w:val="24"/>
        </w:rPr>
      </w:pPr>
      <w:r>
        <w:rPr>
          <w:sz w:val="24"/>
          <w:szCs w:val="24"/>
        </w:rPr>
        <w:t xml:space="preserve">This does not, however, mean that young people are intellectually immature, as many studies have shown that when posed with hypothetical questions about risks and rewards, teens usually answer in the same way as adults (ibid.).  However, in real life situations, adolescents have more trouble thinking before they act, stopping something that is already happening or deciding between safe and risky choices (ibid., Salvia, </w:t>
      </w:r>
      <w:proofErr w:type="spellStart"/>
      <w:r>
        <w:rPr>
          <w:sz w:val="24"/>
          <w:szCs w:val="24"/>
        </w:rPr>
        <w:t>Aite</w:t>
      </w:r>
      <w:proofErr w:type="spellEnd"/>
      <w:r>
        <w:rPr>
          <w:sz w:val="24"/>
          <w:szCs w:val="24"/>
        </w:rPr>
        <w:t>, Vidal and Borst et al., 2021).  Thus, they might say that they would not do something risky, but in practice, depending on their social and emotional circumstances, they might act differently (Reyna and Farley, 2006).</w:t>
      </w:r>
    </w:p>
    <w:p w14:paraId="10C1236A" w14:textId="186064AB" w:rsidR="00F91581" w:rsidRDefault="00F91581" w:rsidP="00F91581">
      <w:pPr>
        <w:spacing w:line="480" w:lineRule="auto"/>
        <w:jc w:val="both"/>
        <w:rPr>
          <w:sz w:val="24"/>
          <w:szCs w:val="24"/>
        </w:rPr>
      </w:pPr>
      <w:r>
        <w:rPr>
          <w:sz w:val="24"/>
          <w:szCs w:val="24"/>
        </w:rPr>
        <w:lastRenderedPageBreak/>
        <w:t>It seems to follow that providing adolescents with reliable information in advance can help them to make more informed decisions, but behavioural decision research recognises that decision-making competence varies by individual and that decisions are derived from both cognitive and non-cognitive processes (</w:t>
      </w:r>
      <w:proofErr w:type="spellStart"/>
      <w:r>
        <w:rPr>
          <w:sz w:val="24"/>
          <w:szCs w:val="24"/>
        </w:rPr>
        <w:t>Fischhoff</w:t>
      </w:r>
      <w:proofErr w:type="spellEnd"/>
      <w:r>
        <w:rPr>
          <w:sz w:val="24"/>
          <w:szCs w:val="24"/>
        </w:rPr>
        <w:t>, 2007).  Even primed with relevant information (</w:t>
      </w:r>
      <w:proofErr w:type="gramStart"/>
      <w:r>
        <w:rPr>
          <w:sz w:val="24"/>
          <w:szCs w:val="24"/>
        </w:rPr>
        <w:t>e.g.</w:t>
      </w:r>
      <w:proofErr w:type="gramEnd"/>
      <w:r>
        <w:rPr>
          <w:sz w:val="24"/>
          <w:szCs w:val="24"/>
        </w:rPr>
        <w:t xml:space="preserve"> sex education) teenagers might not change their decisions</w:t>
      </w:r>
      <w:r w:rsidR="00094C23">
        <w:rPr>
          <w:sz w:val="24"/>
          <w:szCs w:val="24"/>
        </w:rPr>
        <w:t>.  However</w:t>
      </w:r>
      <w:r>
        <w:rPr>
          <w:sz w:val="24"/>
          <w:szCs w:val="24"/>
        </w:rPr>
        <w:t>, they should not be stereotyped as universally incompetent decision-makers</w:t>
      </w:r>
      <w:r w:rsidR="00094C23">
        <w:rPr>
          <w:sz w:val="24"/>
          <w:szCs w:val="24"/>
        </w:rPr>
        <w:t>,</w:t>
      </w:r>
      <w:r>
        <w:rPr>
          <w:sz w:val="24"/>
          <w:szCs w:val="24"/>
        </w:rPr>
        <w:t xml:space="preserve"> as this would be unfair </w:t>
      </w:r>
      <w:proofErr w:type="gramStart"/>
      <w:r>
        <w:rPr>
          <w:sz w:val="24"/>
          <w:szCs w:val="24"/>
        </w:rPr>
        <w:t>in light of</w:t>
      </w:r>
      <w:proofErr w:type="gramEnd"/>
      <w:r>
        <w:rPr>
          <w:sz w:val="24"/>
          <w:szCs w:val="24"/>
        </w:rPr>
        <w:t xml:space="preserve"> the </w:t>
      </w:r>
      <w:r w:rsidR="00094C23">
        <w:rPr>
          <w:sz w:val="24"/>
          <w:szCs w:val="24"/>
        </w:rPr>
        <w:t>many</w:t>
      </w:r>
      <w:r>
        <w:rPr>
          <w:sz w:val="24"/>
          <w:szCs w:val="24"/>
        </w:rPr>
        <w:t xml:space="preserve"> decisions they have to make regarding identity, friends, fashion, substances, driving, jobs, money etc., at a time when they are still learning (ibid.).</w:t>
      </w:r>
    </w:p>
    <w:p w14:paraId="5C785DB1" w14:textId="77777777" w:rsidR="00F91581" w:rsidRDefault="00F91581" w:rsidP="00F91581">
      <w:pPr>
        <w:spacing w:line="480" w:lineRule="auto"/>
        <w:jc w:val="both"/>
        <w:rPr>
          <w:sz w:val="24"/>
          <w:szCs w:val="24"/>
        </w:rPr>
      </w:pPr>
      <w:r>
        <w:rPr>
          <w:sz w:val="24"/>
          <w:szCs w:val="24"/>
        </w:rPr>
        <w:t xml:space="preserve">Learning, that is taking up, thinking about and understanding new information, requires cognitive effort, and adolescents’ willingness to invest this effort has been shown to relate to how motivated they are to engage in cognitively challenging tasks (Kramer, Van </w:t>
      </w:r>
      <w:proofErr w:type="spellStart"/>
      <w:r>
        <w:rPr>
          <w:sz w:val="24"/>
          <w:szCs w:val="24"/>
        </w:rPr>
        <w:t>Duijvenvoorde</w:t>
      </w:r>
      <w:proofErr w:type="spellEnd"/>
      <w:r>
        <w:rPr>
          <w:sz w:val="24"/>
          <w:szCs w:val="24"/>
        </w:rPr>
        <w:t xml:space="preserve">, </w:t>
      </w:r>
      <w:proofErr w:type="spellStart"/>
      <w:r>
        <w:rPr>
          <w:sz w:val="24"/>
          <w:szCs w:val="24"/>
        </w:rPr>
        <w:t>Krabbendam</w:t>
      </w:r>
      <w:proofErr w:type="spellEnd"/>
      <w:r>
        <w:rPr>
          <w:sz w:val="24"/>
          <w:szCs w:val="24"/>
        </w:rPr>
        <w:t xml:space="preserve"> and Huizenga, 2021).  In order to increase their willingness to invest cognitive effort, it is essential to make learning enjoyable (ibid.).</w:t>
      </w:r>
    </w:p>
    <w:p w14:paraId="10AF3462" w14:textId="0995C878" w:rsidR="00F91581" w:rsidRDefault="00F91581" w:rsidP="00F91581">
      <w:pPr>
        <w:spacing w:line="480" w:lineRule="auto"/>
        <w:jc w:val="both"/>
        <w:rPr>
          <w:sz w:val="24"/>
          <w:szCs w:val="24"/>
        </w:rPr>
      </w:pPr>
      <w:r>
        <w:rPr>
          <w:sz w:val="24"/>
          <w:szCs w:val="24"/>
        </w:rPr>
        <w:t xml:space="preserve">Using </w:t>
      </w:r>
      <w:r w:rsidR="00DE1306">
        <w:rPr>
          <w:sz w:val="24"/>
          <w:szCs w:val="24"/>
        </w:rPr>
        <w:t xml:space="preserve">learning </w:t>
      </w:r>
      <w:r>
        <w:rPr>
          <w:sz w:val="24"/>
          <w:szCs w:val="24"/>
        </w:rPr>
        <w:t xml:space="preserve">to moderate risky choices also requires self-control.  Self-control, that is, inhibiting automatic response, is an ability that develops linearly from childhood </w:t>
      </w:r>
      <w:r w:rsidR="00094C23">
        <w:rPr>
          <w:sz w:val="24"/>
          <w:szCs w:val="24"/>
        </w:rPr>
        <w:t>onwards</w:t>
      </w:r>
      <w:r>
        <w:rPr>
          <w:sz w:val="24"/>
          <w:szCs w:val="24"/>
        </w:rPr>
        <w:t xml:space="preserve">, but it is also dependent upon how affectively charged the context is (Salvia et al, 2021).  Think, for example, how it feels to resist a hug during the pandemic.  Adolescents are thought to have ‘specific difficulties resisting pre-potent responses’ in emotionally charged contexts, probably linked to cognitive and emotional imbalance (ibid., para.17), which makes them more likely to take risks.  </w:t>
      </w:r>
    </w:p>
    <w:p w14:paraId="2C79485A" w14:textId="62BA56AF" w:rsidR="00F91581" w:rsidRDefault="00F91581" w:rsidP="00F91581">
      <w:pPr>
        <w:spacing w:line="480" w:lineRule="auto"/>
        <w:jc w:val="both"/>
        <w:rPr>
          <w:sz w:val="24"/>
          <w:szCs w:val="24"/>
        </w:rPr>
      </w:pPr>
      <w:r>
        <w:rPr>
          <w:sz w:val="24"/>
          <w:szCs w:val="24"/>
        </w:rPr>
        <w:t xml:space="preserve">Functional magnetic resonance imaging (fMRI) of the brain has shown how and where information is processed when performing tasks, thinking certain thoughts and experiencing </w:t>
      </w:r>
      <w:r>
        <w:rPr>
          <w:sz w:val="24"/>
          <w:szCs w:val="24"/>
        </w:rPr>
        <w:lastRenderedPageBreak/>
        <w:t xml:space="preserve">different feelings (White and </w:t>
      </w:r>
      <w:proofErr w:type="spellStart"/>
      <w:r>
        <w:rPr>
          <w:sz w:val="24"/>
          <w:szCs w:val="24"/>
        </w:rPr>
        <w:t>Swartzwelder</w:t>
      </w:r>
      <w:proofErr w:type="spellEnd"/>
      <w:r>
        <w:rPr>
          <w:sz w:val="24"/>
          <w:szCs w:val="24"/>
        </w:rPr>
        <w:t xml:space="preserve">, 2013).  It has also shown how brain structure changes during adolescence and how responses change with age.  When used with young people who are developing normally it shows that they take risks because their motivational drive and their behavioural control mechanisms are </w:t>
      </w:r>
      <w:r w:rsidR="00DE1306">
        <w:rPr>
          <w:sz w:val="24"/>
          <w:szCs w:val="24"/>
        </w:rPr>
        <w:t>imbalanced</w:t>
      </w:r>
      <w:r>
        <w:rPr>
          <w:sz w:val="24"/>
          <w:szCs w:val="24"/>
        </w:rPr>
        <w:t xml:space="preserve">, and particularly so in mid-adolescence (Bjork and </w:t>
      </w:r>
      <w:proofErr w:type="spellStart"/>
      <w:r>
        <w:rPr>
          <w:sz w:val="24"/>
          <w:szCs w:val="24"/>
        </w:rPr>
        <w:t>Pardini</w:t>
      </w:r>
      <w:proofErr w:type="spellEnd"/>
      <w:r>
        <w:rPr>
          <w:sz w:val="24"/>
          <w:szCs w:val="24"/>
        </w:rPr>
        <w:t xml:space="preserve">, 2014).    </w:t>
      </w:r>
    </w:p>
    <w:p w14:paraId="43D979BD" w14:textId="6B994E58" w:rsidR="00F91581" w:rsidRDefault="00F91581" w:rsidP="00F91581">
      <w:pPr>
        <w:spacing w:line="480" w:lineRule="auto"/>
        <w:jc w:val="both"/>
        <w:rPr>
          <w:sz w:val="24"/>
          <w:szCs w:val="24"/>
        </w:rPr>
      </w:pPr>
      <w:r>
        <w:rPr>
          <w:sz w:val="24"/>
          <w:szCs w:val="24"/>
        </w:rPr>
        <w:t>However, mortality and morbidity associated with high</w:t>
      </w:r>
      <w:r w:rsidR="00094C23">
        <w:rPr>
          <w:sz w:val="24"/>
          <w:szCs w:val="24"/>
        </w:rPr>
        <w:t>-</w:t>
      </w:r>
      <w:r>
        <w:rPr>
          <w:sz w:val="24"/>
          <w:szCs w:val="24"/>
        </w:rPr>
        <w:t>risk behaviours is strongly attributed to non-neurotypical adolescents, such as those with conduct disorder</w:t>
      </w:r>
      <w:r w:rsidR="00DE1306">
        <w:rPr>
          <w:sz w:val="24"/>
          <w:szCs w:val="24"/>
        </w:rPr>
        <w:t xml:space="preserve"> (CD)</w:t>
      </w:r>
      <w:r>
        <w:rPr>
          <w:sz w:val="24"/>
          <w:szCs w:val="24"/>
        </w:rPr>
        <w:t>, oppositional-defiant disorder</w:t>
      </w:r>
      <w:r w:rsidR="00DE1306">
        <w:rPr>
          <w:sz w:val="24"/>
          <w:szCs w:val="24"/>
        </w:rPr>
        <w:t xml:space="preserve"> (ODD)</w:t>
      </w:r>
      <w:r>
        <w:rPr>
          <w:sz w:val="24"/>
          <w:szCs w:val="24"/>
        </w:rPr>
        <w:t xml:space="preserve"> and attention-deficit hyperactivity disorder (ADHD), and so individual differences in childhood behaviour history need to be </w:t>
      </w:r>
      <w:proofErr w:type="gramStart"/>
      <w:r>
        <w:rPr>
          <w:sz w:val="24"/>
          <w:szCs w:val="24"/>
        </w:rPr>
        <w:t>taken into account</w:t>
      </w:r>
      <w:proofErr w:type="gramEnd"/>
      <w:r>
        <w:rPr>
          <w:sz w:val="24"/>
          <w:szCs w:val="24"/>
        </w:rPr>
        <w:t xml:space="preserve"> when considering the likelihood of adolescent risk-taking behaviour </w:t>
      </w:r>
      <w:bookmarkStart w:id="10" w:name="_Hlk71463282"/>
      <w:r>
        <w:rPr>
          <w:sz w:val="24"/>
          <w:szCs w:val="24"/>
        </w:rPr>
        <w:t xml:space="preserve">(Bjork and </w:t>
      </w:r>
      <w:proofErr w:type="spellStart"/>
      <w:r>
        <w:rPr>
          <w:sz w:val="24"/>
          <w:szCs w:val="24"/>
        </w:rPr>
        <w:t>Pardini</w:t>
      </w:r>
      <w:proofErr w:type="spellEnd"/>
      <w:r>
        <w:rPr>
          <w:sz w:val="24"/>
          <w:szCs w:val="24"/>
        </w:rPr>
        <w:t>, 2014)</w:t>
      </w:r>
      <w:bookmarkEnd w:id="10"/>
      <w:r>
        <w:rPr>
          <w:sz w:val="24"/>
          <w:szCs w:val="24"/>
        </w:rPr>
        <w:t>.</w:t>
      </w:r>
    </w:p>
    <w:p w14:paraId="092027B9" w14:textId="01C7B614" w:rsidR="00F91581" w:rsidRDefault="00F91581" w:rsidP="00F91581">
      <w:pPr>
        <w:spacing w:line="480" w:lineRule="auto"/>
        <w:jc w:val="both"/>
        <w:rPr>
          <w:sz w:val="24"/>
          <w:szCs w:val="24"/>
        </w:rPr>
      </w:pPr>
      <w:r>
        <w:rPr>
          <w:sz w:val="24"/>
          <w:szCs w:val="24"/>
        </w:rPr>
        <w:t>ADHD is a</w:t>
      </w:r>
      <w:r w:rsidR="00F5769D">
        <w:rPr>
          <w:sz w:val="24"/>
          <w:szCs w:val="24"/>
        </w:rPr>
        <w:t>n inherited</w:t>
      </w:r>
      <w:r>
        <w:rPr>
          <w:sz w:val="24"/>
          <w:szCs w:val="24"/>
        </w:rPr>
        <w:t xml:space="preserve"> developmental disorder characterised by differences in</w:t>
      </w:r>
      <w:r w:rsidR="00094C23">
        <w:rPr>
          <w:sz w:val="24"/>
          <w:szCs w:val="24"/>
        </w:rPr>
        <w:t xml:space="preserve"> </w:t>
      </w:r>
      <w:r>
        <w:rPr>
          <w:sz w:val="24"/>
          <w:szCs w:val="24"/>
        </w:rPr>
        <w:t>brain structure and function (NHS, 2018).  It is also considered a mental health condition (ADHD UK, 2021) whose symptoms include inattention, hyperactivity and impulsiveness, meaning that some young people with ADHD have little or no sense of danger and can act without thinking (NHS, 2018), which places them more at risk</w:t>
      </w:r>
      <w:r w:rsidR="00F5769D">
        <w:rPr>
          <w:sz w:val="24"/>
          <w:szCs w:val="24"/>
        </w:rPr>
        <w:t>.  However,</w:t>
      </w:r>
      <w:r>
        <w:rPr>
          <w:sz w:val="24"/>
          <w:szCs w:val="24"/>
        </w:rPr>
        <w:t xml:space="preserve"> Roberts, Alderson, Betancourt and Bullard (2021) found that ADHD was only associated with moderate risk-taking.  It is considered that approximately 5% of the population globally is afflicted with ADHD (ADHD UK, 2021), although Biederman, DiSalvo, </w:t>
      </w:r>
      <w:proofErr w:type="spellStart"/>
      <w:r>
        <w:rPr>
          <w:sz w:val="24"/>
          <w:szCs w:val="24"/>
        </w:rPr>
        <w:t>Vaudreuil</w:t>
      </w:r>
      <w:proofErr w:type="spellEnd"/>
      <w:r>
        <w:rPr>
          <w:sz w:val="24"/>
          <w:szCs w:val="24"/>
        </w:rPr>
        <w:t xml:space="preserve">, Wozniak, Uchida, Woodworth, Green, Farrell and </w:t>
      </w:r>
      <w:proofErr w:type="spellStart"/>
      <w:r>
        <w:rPr>
          <w:sz w:val="24"/>
          <w:szCs w:val="24"/>
        </w:rPr>
        <w:t>Faraone</w:t>
      </w:r>
      <w:proofErr w:type="spellEnd"/>
      <w:r>
        <w:rPr>
          <w:sz w:val="24"/>
          <w:szCs w:val="24"/>
        </w:rPr>
        <w:t xml:space="preserve"> (2021) refer to an estimation of up to 11% in the USA.</w:t>
      </w:r>
    </w:p>
    <w:p w14:paraId="31A09270" w14:textId="150CB142" w:rsidR="00F91581" w:rsidRDefault="00F91581" w:rsidP="00F91581">
      <w:pPr>
        <w:spacing w:line="480" w:lineRule="auto"/>
        <w:jc w:val="both"/>
        <w:rPr>
          <w:sz w:val="24"/>
          <w:szCs w:val="24"/>
        </w:rPr>
      </w:pPr>
      <w:r>
        <w:rPr>
          <w:sz w:val="24"/>
          <w:szCs w:val="24"/>
        </w:rPr>
        <w:t xml:space="preserve">Further, ADHD is strongly associated with other conditions (NHS, 2021).  </w:t>
      </w:r>
      <w:proofErr w:type="spellStart"/>
      <w:r>
        <w:rPr>
          <w:sz w:val="24"/>
          <w:szCs w:val="24"/>
        </w:rPr>
        <w:t>Biedermann</w:t>
      </w:r>
      <w:proofErr w:type="spellEnd"/>
      <w:r>
        <w:rPr>
          <w:sz w:val="24"/>
          <w:szCs w:val="24"/>
        </w:rPr>
        <w:t xml:space="preserve"> et al. (2021) found that 76% of children and young people with ADHD also had other psychopathological conditions, and that for 44% of those studied it was the latter conditions </w:t>
      </w:r>
      <w:r>
        <w:rPr>
          <w:sz w:val="24"/>
          <w:szCs w:val="24"/>
        </w:rPr>
        <w:lastRenderedPageBreak/>
        <w:t>that were more severe than their ADHD</w:t>
      </w:r>
      <w:r w:rsidR="00F5769D">
        <w:rPr>
          <w:sz w:val="24"/>
          <w:szCs w:val="24"/>
        </w:rPr>
        <w:t>;</w:t>
      </w:r>
      <w:r>
        <w:rPr>
          <w:sz w:val="24"/>
          <w:szCs w:val="24"/>
        </w:rPr>
        <w:t xml:space="preserve"> these conditions manifested as aggressive behaviour, oppositional defiance, rule-breaking, anxiety and depression (ibid.). </w:t>
      </w:r>
    </w:p>
    <w:p w14:paraId="781EAF4C" w14:textId="77777777" w:rsidR="00F91581" w:rsidRDefault="00F91581" w:rsidP="00F91581">
      <w:pPr>
        <w:spacing w:line="480" w:lineRule="auto"/>
        <w:jc w:val="both"/>
        <w:rPr>
          <w:sz w:val="24"/>
          <w:szCs w:val="24"/>
        </w:rPr>
      </w:pPr>
      <w:r>
        <w:rPr>
          <w:sz w:val="24"/>
          <w:szCs w:val="24"/>
        </w:rPr>
        <w:t xml:space="preserve">Interestingly, ADHD, as well as autistic spectrum disorders, anxiety and mood disorders and allergies, asthma and immune disorders, have also been strongly linked with high intelligence (Karpinski, Kolb, Tetreault and Borowski, 2017).  High cognitive ability comes with a significantly higher chance of these psychological and physiological disorders relative to the rest of the population (ibid.).  Citing Gere, Capps, Mitchell and Grubbs (2009), Karpinski et al. (2017, p9) state that gifted children showed ‘significantly heightened emotional and behavioural responses to their environment’.  Thus, high cognitive ability (hyper brain) is linked with heightened psychological and physiological responses (hyper body) (ibid.). </w:t>
      </w:r>
    </w:p>
    <w:p w14:paraId="4C37E3EE" w14:textId="77777777" w:rsidR="00F91581" w:rsidRDefault="00F91581" w:rsidP="00F91581">
      <w:pPr>
        <w:spacing w:line="480" w:lineRule="auto"/>
        <w:jc w:val="both"/>
        <w:rPr>
          <w:sz w:val="24"/>
          <w:szCs w:val="24"/>
        </w:rPr>
      </w:pPr>
      <w:bookmarkStart w:id="11" w:name="_Hlk76386095"/>
      <w:r w:rsidRPr="00683BF5">
        <w:rPr>
          <w:sz w:val="24"/>
          <w:szCs w:val="24"/>
        </w:rPr>
        <w:t>Karpinski et al. (2017</w:t>
      </w:r>
      <w:r>
        <w:rPr>
          <w:sz w:val="24"/>
          <w:szCs w:val="24"/>
        </w:rPr>
        <w:t>, p20</w:t>
      </w:r>
      <w:r w:rsidRPr="00683BF5">
        <w:rPr>
          <w:sz w:val="24"/>
          <w:szCs w:val="24"/>
        </w:rPr>
        <w:t xml:space="preserve">) </w:t>
      </w:r>
      <w:bookmarkEnd w:id="11"/>
      <w:r w:rsidRPr="00683BF5">
        <w:rPr>
          <w:sz w:val="24"/>
          <w:szCs w:val="24"/>
        </w:rPr>
        <w:t>make references to the famous geniuses, artists, scientists and poets who were also debilitated with anxiety and depression and say</w:t>
      </w:r>
      <w:r>
        <w:rPr>
          <w:sz w:val="24"/>
          <w:szCs w:val="24"/>
        </w:rPr>
        <w:t>,</w:t>
      </w:r>
      <w:r w:rsidRPr="00683BF5">
        <w:rPr>
          <w:sz w:val="24"/>
          <w:szCs w:val="24"/>
        </w:rPr>
        <w:t xml:space="preserve"> </w:t>
      </w:r>
    </w:p>
    <w:p w14:paraId="172FFBE7" w14:textId="77777777" w:rsidR="00F91581" w:rsidRDefault="00F91581" w:rsidP="00F91581">
      <w:pPr>
        <w:spacing w:line="240" w:lineRule="auto"/>
        <w:ind w:left="284" w:right="284"/>
        <w:jc w:val="both"/>
        <w:rPr>
          <w:sz w:val="24"/>
          <w:szCs w:val="24"/>
        </w:rPr>
      </w:pPr>
      <w:r w:rsidRPr="00683BF5">
        <w:rPr>
          <w:sz w:val="24"/>
          <w:szCs w:val="24"/>
        </w:rPr>
        <w:t xml:space="preserve">Intelligence research most often focuses on the flashes of lightning seen in [highly intelligent </w:t>
      </w:r>
      <w:proofErr w:type="gramStart"/>
      <w:r w:rsidRPr="00683BF5">
        <w:rPr>
          <w:sz w:val="24"/>
          <w:szCs w:val="24"/>
        </w:rPr>
        <w:t>people]…</w:t>
      </w:r>
      <w:proofErr w:type="gramEnd"/>
      <w:r w:rsidRPr="00683BF5">
        <w:rPr>
          <w:sz w:val="24"/>
          <w:szCs w:val="24"/>
        </w:rPr>
        <w:t xml:space="preserve"> [but] we must not neglect to acknowledge the rumbles of thunder that follow in the wake of their brilliance</w:t>
      </w:r>
      <w:r>
        <w:rPr>
          <w:sz w:val="24"/>
          <w:szCs w:val="24"/>
        </w:rPr>
        <w:t xml:space="preserve">. </w:t>
      </w:r>
    </w:p>
    <w:p w14:paraId="26DF899D" w14:textId="77777777" w:rsidR="00F91581" w:rsidRDefault="00F91581" w:rsidP="00F91581">
      <w:pPr>
        <w:spacing w:line="480" w:lineRule="auto"/>
        <w:jc w:val="right"/>
        <w:rPr>
          <w:sz w:val="24"/>
          <w:szCs w:val="24"/>
        </w:rPr>
      </w:pPr>
      <w:r w:rsidRPr="00683BF5">
        <w:rPr>
          <w:sz w:val="24"/>
          <w:szCs w:val="24"/>
        </w:rPr>
        <w:t>Karpinski et al. (2017</w:t>
      </w:r>
      <w:r>
        <w:rPr>
          <w:sz w:val="24"/>
          <w:szCs w:val="24"/>
        </w:rPr>
        <w:t>, p20</w:t>
      </w:r>
      <w:r w:rsidRPr="00683BF5">
        <w:rPr>
          <w:sz w:val="24"/>
          <w:szCs w:val="24"/>
        </w:rPr>
        <w:t>)</w:t>
      </w:r>
    </w:p>
    <w:p w14:paraId="68AF0474" w14:textId="77777777" w:rsidR="00F91581" w:rsidRDefault="00F91581" w:rsidP="00F91581">
      <w:pPr>
        <w:spacing w:line="480" w:lineRule="auto"/>
        <w:jc w:val="both"/>
        <w:rPr>
          <w:sz w:val="24"/>
          <w:szCs w:val="24"/>
        </w:rPr>
      </w:pPr>
      <w:r>
        <w:rPr>
          <w:sz w:val="24"/>
          <w:szCs w:val="24"/>
        </w:rPr>
        <w:t xml:space="preserve">It is worth considering, therefore, that if high intelligence is linked with mental disorders such as ADHD, Asperger’s Syndrome and depression (Karpinski et al., 2017), and with those non-neurotypical disorders being linked with higher mortality and morbidity in adolescence (Bjork and </w:t>
      </w:r>
      <w:proofErr w:type="spellStart"/>
      <w:r>
        <w:rPr>
          <w:sz w:val="24"/>
          <w:szCs w:val="24"/>
        </w:rPr>
        <w:t>Pardini</w:t>
      </w:r>
      <w:proofErr w:type="spellEnd"/>
      <w:r>
        <w:rPr>
          <w:sz w:val="24"/>
          <w:szCs w:val="24"/>
        </w:rPr>
        <w:t>, 2014), whether intelligence can be a predictor of adolescent risk-taking behaviour.</w:t>
      </w:r>
    </w:p>
    <w:p w14:paraId="1D4ACDBB" w14:textId="77777777" w:rsidR="00F91581" w:rsidRDefault="00F91581" w:rsidP="00F91581">
      <w:pPr>
        <w:spacing w:line="480" w:lineRule="auto"/>
        <w:jc w:val="both"/>
        <w:rPr>
          <w:sz w:val="24"/>
          <w:szCs w:val="24"/>
        </w:rPr>
      </w:pPr>
      <w:r>
        <w:rPr>
          <w:sz w:val="24"/>
          <w:szCs w:val="24"/>
        </w:rPr>
        <w:lastRenderedPageBreak/>
        <w:t xml:space="preserve">Emotional intelligence is also worth consideration.  Lower emotional intelligence, and particularly lower self-awareness and a disconnect between thoughts and feelings, has been significantly associated with higher levels of adolescent substance abuse and involvement in fighting and vandalism (Chong, Lee, </w:t>
      </w:r>
      <w:proofErr w:type="spellStart"/>
      <w:r>
        <w:rPr>
          <w:sz w:val="24"/>
          <w:szCs w:val="24"/>
        </w:rPr>
        <w:t>Roslan</w:t>
      </w:r>
      <w:proofErr w:type="spellEnd"/>
      <w:r>
        <w:rPr>
          <w:sz w:val="24"/>
          <w:szCs w:val="24"/>
        </w:rPr>
        <w:t xml:space="preserve"> and Baba, 2015, p2).  However, the students being studied, described by the authors as ‘delinquent’, were also found to be motivated, innovative and initiators of change, so perhaps the label ‘delinquent’ should be dropped (ibid., p7).  Thus, rather than punishing or excluding them, the cognitive development of these adolescents could potentially be supported better with help in understanding and managing emotions (ibid., p6).</w:t>
      </w:r>
    </w:p>
    <w:p w14:paraId="59C32E83" w14:textId="77777777" w:rsidR="00F91581" w:rsidRDefault="00F91581" w:rsidP="00F91581">
      <w:pPr>
        <w:spacing w:line="480" w:lineRule="auto"/>
        <w:jc w:val="both"/>
        <w:rPr>
          <w:sz w:val="24"/>
          <w:szCs w:val="24"/>
        </w:rPr>
      </w:pPr>
      <w:r>
        <w:rPr>
          <w:sz w:val="24"/>
          <w:szCs w:val="24"/>
        </w:rPr>
        <w:t>Managing our own emotions (intrapersonal emotion regulation) is a skill that develops, and is taught, from early childhood and good emotional self-regulation is associated with positive social relationships and academic achievement (</w:t>
      </w:r>
      <w:proofErr w:type="spellStart"/>
      <w:r>
        <w:rPr>
          <w:sz w:val="24"/>
          <w:szCs w:val="24"/>
        </w:rPr>
        <w:t>Gummerum</w:t>
      </w:r>
      <w:proofErr w:type="spellEnd"/>
      <w:r>
        <w:rPr>
          <w:sz w:val="24"/>
          <w:szCs w:val="24"/>
        </w:rPr>
        <w:t xml:space="preserve"> and Lopez-Perez, 2020).  Managing others’ emotions (interpersonal emotion regulation), however, is learned during adolescence and can be used to improve or worsen another’s feelings (ibid.).  Adolescents with maladaptive social development in this regard, selecting to hurt or insult others rather than trying to improve another’s emotions, can be seen to be putting both themselves and others at risk. </w:t>
      </w:r>
    </w:p>
    <w:p w14:paraId="2FDC3E8B" w14:textId="77777777" w:rsidR="00F91581" w:rsidRDefault="00F91581" w:rsidP="00F91581">
      <w:pPr>
        <w:spacing w:line="480" w:lineRule="auto"/>
        <w:jc w:val="both"/>
        <w:rPr>
          <w:sz w:val="24"/>
          <w:szCs w:val="24"/>
        </w:rPr>
      </w:pPr>
      <w:r>
        <w:rPr>
          <w:sz w:val="24"/>
          <w:szCs w:val="24"/>
        </w:rPr>
        <w:t>Social cognition, the way we think and feel about, and interpret ourselves and others in social situations, also continues to develop during adolescence alongside general cognitive skills such as memory and attention (Meinhardt-</w:t>
      </w:r>
      <w:proofErr w:type="spellStart"/>
      <w:r>
        <w:rPr>
          <w:sz w:val="24"/>
          <w:szCs w:val="24"/>
        </w:rPr>
        <w:t>Injac</w:t>
      </w:r>
      <w:proofErr w:type="spellEnd"/>
      <w:r>
        <w:rPr>
          <w:sz w:val="24"/>
          <w:szCs w:val="24"/>
        </w:rPr>
        <w:t xml:space="preserve">, </w:t>
      </w:r>
      <w:proofErr w:type="spellStart"/>
      <w:r>
        <w:rPr>
          <w:sz w:val="24"/>
          <w:szCs w:val="24"/>
        </w:rPr>
        <w:t>Kurbel</w:t>
      </w:r>
      <w:proofErr w:type="spellEnd"/>
      <w:r>
        <w:rPr>
          <w:sz w:val="24"/>
          <w:szCs w:val="24"/>
        </w:rPr>
        <w:t xml:space="preserve"> and Meinhardt, 2020).  The social transition from childhood to adulthood requires the ability to understand the mental and emotional states of others, but during adolescence it is still developing.  It has been shown, </w:t>
      </w:r>
      <w:r>
        <w:rPr>
          <w:sz w:val="24"/>
          <w:szCs w:val="24"/>
        </w:rPr>
        <w:lastRenderedPageBreak/>
        <w:t>using the Glasgow Face Matching Test developed in 2010, that by the age of 16 we reach full competence in recognising faces (Meinhardt-</w:t>
      </w:r>
      <w:proofErr w:type="spellStart"/>
      <w:r>
        <w:rPr>
          <w:sz w:val="24"/>
          <w:szCs w:val="24"/>
        </w:rPr>
        <w:t>Injac</w:t>
      </w:r>
      <w:proofErr w:type="spellEnd"/>
      <w:r>
        <w:rPr>
          <w:sz w:val="24"/>
          <w:szCs w:val="24"/>
        </w:rPr>
        <w:t xml:space="preserve"> et al., 2020), but our ability to recognise others’ emotions takes longer to develop and does not complete until we are well into young adulthood (aged 20-24) (ibid.).  Thus, it is likely that in social situations where adolescents are making decisions and choices, there will be some misinterpretation of others’ emotions that could confound that decision or choice.</w:t>
      </w:r>
    </w:p>
    <w:p w14:paraId="2F582401" w14:textId="77777777" w:rsidR="00F91581" w:rsidRDefault="00F91581" w:rsidP="00F91581">
      <w:pPr>
        <w:spacing w:line="480" w:lineRule="auto"/>
        <w:jc w:val="both"/>
        <w:rPr>
          <w:sz w:val="24"/>
          <w:szCs w:val="24"/>
        </w:rPr>
      </w:pPr>
      <w:r>
        <w:rPr>
          <w:sz w:val="24"/>
          <w:szCs w:val="24"/>
        </w:rPr>
        <w:t>Finally, it has been shown that adolescents who are given more freedom to learn in the way that they wish to learn, learn better (</w:t>
      </w:r>
      <w:proofErr w:type="spellStart"/>
      <w:r>
        <w:rPr>
          <w:sz w:val="24"/>
          <w:szCs w:val="24"/>
        </w:rPr>
        <w:t>Modrek</w:t>
      </w:r>
      <w:proofErr w:type="spellEnd"/>
      <w:r>
        <w:rPr>
          <w:sz w:val="24"/>
          <w:szCs w:val="24"/>
        </w:rPr>
        <w:t xml:space="preserve"> and Sandoval, 2020).  When weighing up the possible outcomes of a situation, adolescents need to understand cause and effect (causal reasoning) and consider other things that may influence the outcome (multivariable reasoning).  These skills are improved by giving adolescents autonomy, especially younger adolescents aged 11-13 (ibid.).</w:t>
      </w:r>
    </w:p>
    <w:p w14:paraId="43214111" w14:textId="77777777" w:rsidR="007F23A0" w:rsidRDefault="00F91581" w:rsidP="007F23A0">
      <w:pPr>
        <w:spacing w:line="480" w:lineRule="auto"/>
        <w:jc w:val="both"/>
        <w:rPr>
          <w:sz w:val="24"/>
          <w:szCs w:val="24"/>
        </w:rPr>
      </w:pPr>
      <w:r>
        <w:rPr>
          <w:sz w:val="24"/>
          <w:szCs w:val="24"/>
        </w:rPr>
        <w:t xml:space="preserve">To summarise, the many facets of cognition during adolescence, such as the ability to solve problems, make decisions, understand and regulate emotions and control impulsivity, are all skills that are in development simultaneously and at different rates.  Many decisions must be </w:t>
      </w:r>
      <w:proofErr w:type="gramStart"/>
      <w:r>
        <w:rPr>
          <w:sz w:val="24"/>
          <w:szCs w:val="24"/>
        </w:rPr>
        <w:t>made</w:t>
      </w:r>
      <w:proofErr w:type="gramEnd"/>
      <w:r>
        <w:rPr>
          <w:sz w:val="24"/>
          <w:szCs w:val="24"/>
        </w:rPr>
        <w:t xml:space="preserve"> and it is inevitable that teenagers will make mistakes.  Reasoning about risky behaviours requires effort that may not be invested in highly charged situations.  Individual differences, personal traits, intelligence and psychology are all influencers too.  Youth workers need to develop innovative and engaging interactive activities that support young people’s learning about risks, emotions and relationships.</w:t>
      </w:r>
      <w:bookmarkStart w:id="12" w:name="_Toc76631141"/>
    </w:p>
    <w:p w14:paraId="72ECF63B" w14:textId="604145D7" w:rsidR="00F91581" w:rsidRDefault="00F91581" w:rsidP="007F23A0">
      <w:pPr>
        <w:pStyle w:val="Heading2"/>
      </w:pPr>
      <w:r>
        <w:lastRenderedPageBreak/>
        <w:t>2.3 Puberty</w:t>
      </w:r>
      <w:bookmarkEnd w:id="12"/>
    </w:p>
    <w:p w14:paraId="07AF2515" w14:textId="07EBB556" w:rsidR="00F91581" w:rsidRDefault="00F91581" w:rsidP="00F91581">
      <w:pPr>
        <w:spacing w:line="480" w:lineRule="auto"/>
        <w:jc w:val="both"/>
        <w:rPr>
          <w:sz w:val="24"/>
          <w:szCs w:val="24"/>
        </w:rPr>
      </w:pPr>
      <w:r>
        <w:rPr>
          <w:sz w:val="24"/>
          <w:szCs w:val="24"/>
        </w:rPr>
        <w:t xml:space="preserve">Literature with titles such as ‘What are they Thinking?!’ (White and </w:t>
      </w:r>
      <w:proofErr w:type="spellStart"/>
      <w:r>
        <w:rPr>
          <w:sz w:val="24"/>
          <w:szCs w:val="24"/>
        </w:rPr>
        <w:t>Swartzwelder</w:t>
      </w:r>
      <w:proofErr w:type="spellEnd"/>
      <w:r>
        <w:rPr>
          <w:sz w:val="24"/>
          <w:szCs w:val="24"/>
        </w:rPr>
        <w:t>, 2013) perpetuate</w:t>
      </w:r>
      <w:r w:rsidR="00CD3DEE">
        <w:rPr>
          <w:sz w:val="24"/>
          <w:szCs w:val="24"/>
        </w:rPr>
        <w:t>s</w:t>
      </w:r>
      <w:r>
        <w:rPr>
          <w:sz w:val="24"/>
          <w:szCs w:val="24"/>
        </w:rPr>
        <w:t xml:space="preserve"> the notion that adolescents are debilitated by their raging hormones and unable to suppress risky impulses.  This theme looks specifically at puberty and attempts to unravel some of the associations between pubertal development and risky behaviours.</w:t>
      </w:r>
    </w:p>
    <w:p w14:paraId="652E3C9E" w14:textId="27893051" w:rsidR="00F91581" w:rsidRDefault="00F91581" w:rsidP="00F91581">
      <w:pPr>
        <w:spacing w:line="480" w:lineRule="auto"/>
        <w:jc w:val="both"/>
        <w:rPr>
          <w:sz w:val="24"/>
          <w:szCs w:val="24"/>
        </w:rPr>
      </w:pPr>
      <w:r>
        <w:rPr>
          <w:sz w:val="24"/>
          <w:szCs w:val="24"/>
        </w:rPr>
        <w:t xml:space="preserve">Puberty normally begins between </w:t>
      </w:r>
      <w:r w:rsidR="00CD3DEE">
        <w:rPr>
          <w:sz w:val="24"/>
          <w:szCs w:val="24"/>
        </w:rPr>
        <w:t xml:space="preserve">age </w:t>
      </w:r>
      <w:r>
        <w:rPr>
          <w:sz w:val="24"/>
          <w:szCs w:val="24"/>
        </w:rPr>
        <w:t>8 and 14, on average starting at 11 for girls and 12 for boys</w:t>
      </w:r>
      <w:r w:rsidRPr="008A718C">
        <w:rPr>
          <w:sz w:val="24"/>
          <w:szCs w:val="24"/>
        </w:rPr>
        <w:t xml:space="preserve"> </w:t>
      </w:r>
      <w:r>
        <w:rPr>
          <w:sz w:val="24"/>
          <w:szCs w:val="24"/>
        </w:rPr>
        <w:t xml:space="preserve">(NHS, 2018).  </w:t>
      </w:r>
      <w:proofErr w:type="spellStart"/>
      <w:r>
        <w:rPr>
          <w:sz w:val="24"/>
          <w:szCs w:val="24"/>
        </w:rPr>
        <w:t>Laube</w:t>
      </w:r>
      <w:proofErr w:type="spellEnd"/>
      <w:r>
        <w:rPr>
          <w:sz w:val="24"/>
          <w:szCs w:val="24"/>
        </w:rPr>
        <w:t xml:space="preserve"> and Fuhrmann (2020), however, state that this has now declined to well below age 10 for girls worldwide, with a less marked decline for boys.  Triggered by the release of gonadotrophins from the brain, sexual maturity is reached </w:t>
      </w:r>
      <w:r w:rsidR="00CD3DEE">
        <w:rPr>
          <w:sz w:val="24"/>
          <w:szCs w:val="24"/>
        </w:rPr>
        <w:t>2 to 5</w:t>
      </w:r>
      <w:r>
        <w:rPr>
          <w:sz w:val="24"/>
          <w:szCs w:val="24"/>
        </w:rPr>
        <w:t xml:space="preserve"> years after the first apparent signs of development (BMJ Best Practice, 2021).  </w:t>
      </w:r>
    </w:p>
    <w:p w14:paraId="39D856C3" w14:textId="77777777" w:rsidR="00F91581" w:rsidRDefault="00F91581" w:rsidP="00F91581">
      <w:pPr>
        <w:spacing w:line="480" w:lineRule="auto"/>
        <w:jc w:val="both"/>
        <w:rPr>
          <w:sz w:val="24"/>
          <w:szCs w:val="24"/>
        </w:rPr>
      </w:pPr>
      <w:r>
        <w:rPr>
          <w:sz w:val="24"/>
          <w:szCs w:val="24"/>
        </w:rPr>
        <w:t xml:space="preserve">In a study to demonstrate the link between puberty and risk taking, </w:t>
      </w:r>
      <w:proofErr w:type="spellStart"/>
      <w:r>
        <w:rPr>
          <w:sz w:val="24"/>
          <w:szCs w:val="24"/>
        </w:rPr>
        <w:t>Collado</w:t>
      </w:r>
      <w:proofErr w:type="spellEnd"/>
      <w:r>
        <w:rPr>
          <w:sz w:val="24"/>
          <w:szCs w:val="24"/>
        </w:rPr>
        <w:t xml:space="preserve">, MacPherson, </w:t>
      </w:r>
      <w:proofErr w:type="spellStart"/>
      <w:r>
        <w:rPr>
          <w:sz w:val="24"/>
          <w:szCs w:val="24"/>
        </w:rPr>
        <w:t>Kurdziel</w:t>
      </w:r>
      <w:proofErr w:type="spellEnd"/>
      <w:r>
        <w:rPr>
          <w:sz w:val="24"/>
          <w:szCs w:val="24"/>
        </w:rPr>
        <w:t xml:space="preserve">, Rosenberg and </w:t>
      </w:r>
      <w:proofErr w:type="spellStart"/>
      <w:r>
        <w:rPr>
          <w:sz w:val="24"/>
          <w:szCs w:val="24"/>
        </w:rPr>
        <w:t>Lejuez</w:t>
      </w:r>
      <w:proofErr w:type="spellEnd"/>
      <w:r>
        <w:rPr>
          <w:sz w:val="24"/>
          <w:szCs w:val="24"/>
        </w:rPr>
        <w:t xml:space="preserve"> (2014) showed that both self-reported risk taking and results from undertaking the Balloon Analogue Risk Task for Youth (BART-Y) (</w:t>
      </w:r>
      <w:proofErr w:type="spellStart"/>
      <w:r w:rsidRPr="009E542C">
        <w:rPr>
          <w:rStyle w:val="surname"/>
          <w:rFonts w:asciiTheme="minorHAnsi" w:hAnsiTheme="minorHAnsi" w:cstheme="minorHAnsi"/>
          <w:color w:val="333333"/>
          <w:sz w:val="24"/>
          <w:szCs w:val="24"/>
          <w:bdr w:val="none" w:sz="0" w:space="0" w:color="auto" w:frame="1"/>
          <w:shd w:val="clear" w:color="auto" w:fill="FFFFFF"/>
        </w:rPr>
        <w:t>Lejuez</w:t>
      </w:r>
      <w:proofErr w:type="spellEnd"/>
      <w:r w:rsidRPr="009E542C">
        <w:rPr>
          <w:rStyle w:val="name"/>
          <w:rFonts w:asciiTheme="minorHAnsi" w:hAnsiTheme="minorHAnsi" w:cstheme="minorHAnsi"/>
          <w:color w:val="333333"/>
          <w:sz w:val="24"/>
          <w:szCs w:val="24"/>
          <w:bdr w:val="none" w:sz="0" w:space="0" w:color="auto" w:frame="1"/>
          <w:shd w:val="clear" w:color="auto" w:fill="FFFFFF"/>
        </w:rPr>
        <w:t>, </w:t>
      </w:r>
      <w:proofErr w:type="spellStart"/>
      <w:r w:rsidRPr="009E542C">
        <w:rPr>
          <w:rStyle w:val="surname"/>
          <w:rFonts w:asciiTheme="minorHAnsi" w:hAnsiTheme="minorHAnsi" w:cstheme="minorHAnsi"/>
          <w:color w:val="333333"/>
          <w:sz w:val="24"/>
          <w:szCs w:val="24"/>
          <w:bdr w:val="none" w:sz="0" w:space="0" w:color="auto" w:frame="1"/>
          <w:shd w:val="clear" w:color="auto" w:fill="FFFFFF"/>
        </w:rPr>
        <w:t>Aklin</w:t>
      </w:r>
      <w:proofErr w:type="spellEnd"/>
      <w:r w:rsidRPr="009E542C">
        <w:rPr>
          <w:rStyle w:val="name"/>
          <w:rFonts w:asciiTheme="minorHAnsi" w:hAnsiTheme="minorHAnsi" w:cstheme="minorHAnsi"/>
          <w:color w:val="333333"/>
          <w:sz w:val="24"/>
          <w:szCs w:val="24"/>
          <w:bdr w:val="none" w:sz="0" w:space="0" w:color="auto" w:frame="1"/>
          <w:shd w:val="clear" w:color="auto" w:fill="FFFFFF"/>
        </w:rPr>
        <w:t>, </w:t>
      </w:r>
      <w:r w:rsidRPr="009E542C">
        <w:rPr>
          <w:rStyle w:val="surname"/>
          <w:rFonts w:asciiTheme="minorHAnsi" w:hAnsiTheme="minorHAnsi" w:cstheme="minorHAnsi"/>
          <w:color w:val="333333"/>
          <w:sz w:val="24"/>
          <w:szCs w:val="24"/>
          <w:bdr w:val="none" w:sz="0" w:space="0" w:color="auto" w:frame="1"/>
          <w:shd w:val="clear" w:color="auto" w:fill="FFFFFF"/>
        </w:rPr>
        <w:t>Daughters</w:t>
      </w:r>
      <w:r w:rsidRPr="009E542C">
        <w:rPr>
          <w:rStyle w:val="name"/>
          <w:rFonts w:asciiTheme="minorHAnsi" w:hAnsiTheme="minorHAnsi" w:cstheme="minorHAnsi"/>
          <w:color w:val="333333"/>
          <w:sz w:val="24"/>
          <w:szCs w:val="24"/>
          <w:bdr w:val="none" w:sz="0" w:space="0" w:color="auto" w:frame="1"/>
          <w:shd w:val="clear" w:color="auto" w:fill="FFFFFF"/>
        </w:rPr>
        <w:t>, </w:t>
      </w:r>
      <w:proofErr w:type="spellStart"/>
      <w:r w:rsidRPr="009E542C">
        <w:rPr>
          <w:rStyle w:val="surname"/>
          <w:rFonts w:asciiTheme="minorHAnsi" w:hAnsiTheme="minorHAnsi" w:cstheme="minorHAnsi"/>
          <w:color w:val="333333"/>
          <w:sz w:val="24"/>
          <w:szCs w:val="24"/>
          <w:bdr w:val="none" w:sz="0" w:space="0" w:color="auto" w:frame="1"/>
          <w:shd w:val="clear" w:color="auto" w:fill="FFFFFF"/>
        </w:rPr>
        <w:t>Zvolensky</w:t>
      </w:r>
      <w:proofErr w:type="spellEnd"/>
      <w:r w:rsidRPr="009E542C">
        <w:rPr>
          <w:rStyle w:val="name"/>
          <w:rFonts w:asciiTheme="minorHAnsi" w:hAnsiTheme="minorHAnsi" w:cstheme="minorHAnsi"/>
          <w:color w:val="333333"/>
          <w:sz w:val="24"/>
          <w:szCs w:val="24"/>
          <w:bdr w:val="none" w:sz="0" w:space="0" w:color="auto" w:frame="1"/>
          <w:shd w:val="clear" w:color="auto" w:fill="FFFFFF"/>
        </w:rPr>
        <w:t>, </w:t>
      </w:r>
      <w:r w:rsidRPr="009E542C">
        <w:rPr>
          <w:rStyle w:val="surname"/>
          <w:rFonts w:asciiTheme="minorHAnsi" w:hAnsiTheme="minorHAnsi" w:cstheme="minorHAnsi"/>
          <w:color w:val="333333"/>
          <w:sz w:val="24"/>
          <w:szCs w:val="24"/>
          <w:bdr w:val="none" w:sz="0" w:space="0" w:color="auto" w:frame="1"/>
          <w:shd w:val="clear" w:color="auto" w:fill="FFFFFF"/>
        </w:rPr>
        <w:t>Kahler</w:t>
      </w:r>
      <w:r w:rsidRPr="009E542C">
        <w:rPr>
          <w:rStyle w:val="name"/>
          <w:rFonts w:asciiTheme="minorHAnsi" w:hAnsiTheme="minorHAnsi" w:cstheme="minorHAnsi"/>
          <w:color w:val="333333"/>
          <w:sz w:val="24"/>
          <w:szCs w:val="24"/>
          <w:bdr w:val="none" w:sz="0" w:space="0" w:color="auto" w:frame="1"/>
          <w:shd w:val="clear" w:color="auto" w:fill="FFFFFF"/>
        </w:rPr>
        <w:t>, </w:t>
      </w:r>
      <w:r>
        <w:rPr>
          <w:rStyle w:val="name"/>
          <w:rFonts w:asciiTheme="minorHAnsi" w:hAnsiTheme="minorHAnsi" w:cstheme="minorHAnsi"/>
          <w:color w:val="333333"/>
          <w:sz w:val="24"/>
          <w:szCs w:val="24"/>
          <w:bdr w:val="none" w:sz="0" w:space="0" w:color="auto" w:frame="1"/>
          <w:shd w:val="clear" w:color="auto" w:fill="FFFFFF"/>
        </w:rPr>
        <w:t>a</w:t>
      </w:r>
      <w:r>
        <w:rPr>
          <w:rStyle w:val="given-names"/>
          <w:rFonts w:asciiTheme="minorHAnsi" w:hAnsiTheme="minorHAnsi" w:cstheme="minorHAnsi"/>
          <w:color w:val="333333"/>
          <w:sz w:val="24"/>
          <w:szCs w:val="24"/>
          <w:bdr w:val="none" w:sz="0" w:space="0" w:color="auto" w:frame="1"/>
          <w:shd w:val="clear" w:color="auto" w:fill="FFFFFF"/>
        </w:rPr>
        <w:t xml:space="preserve">nd </w:t>
      </w:r>
      <w:proofErr w:type="spellStart"/>
      <w:r w:rsidRPr="009E542C">
        <w:rPr>
          <w:rStyle w:val="surname"/>
          <w:rFonts w:asciiTheme="minorHAnsi" w:hAnsiTheme="minorHAnsi" w:cstheme="minorHAnsi"/>
          <w:color w:val="333333"/>
          <w:sz w:val="24"/>
          <w:szCs w:val="24"/>
          <w:bdr w:val="none" w:sz="0" w:space="0" w:color="auto" w:frame="1"/>
          <w:shd w:val="clear" w:color="auto" w:fill="FFFFFF"/>
        </w:rPr>
        <w:t>Gwadz</w:t>
      </w:r>
      <w:proofErr w:type="spellEnd"/>
      <w:r w:rsidRPr="009E542C">
        <w:rPr>
          <w:rStyle w:val="name"/>
          <w:rFonts w:asciiTheme="minorHAnsi" w:hAnsiTheme="minorHAnsi" w:cstheme="minorHAnsi"/>
          <w:color w:val="333333"/>
          <w:sz w:val="24"/>
          <w:szCs w:val="24"/>
          <w:bdr w:val="none" w:sz="0" w:space="0" w:color="auto" w:frame="1"/>
          <w:shd w:val="clear" w:color="auto" w:fill="FFFFFF"/>
        </w:rPr>
        <w:t>, </w:t>
      </w:r>
      <w:r w:rsidRPr="009E542C">
        <w:rPr>
          <w:rStyle w:val="year"/>
          <w:rFonts w:asciiTheme="minorHAnsi" w:hAnsiTheme="minorHAnsi" w:cstheme="minorHAnsi"/>
          <w:color w:val="333333"/>
          <w:sz w:val="24"/>
          <w:szCs w:val="24"/>
          <w:bdr w:val="none" w:sz="0" w:space="0" w:color="auto" w:frame="1"/>
          <w:shd w:val="clear" w:color="auto" w:fill="FFFFFF"/>
        </w:rPr>
        <w:t>2007</w:t>
      </w:r>
      <w:r w:rsidRPr="009E542C">
        <w:rPr>
          <w:rFonts w:asciiTheme="minorHAnsi" w:hAnsiTheme="minorHAnsi" w:cstheme="minorHAnsi"/>
          <w:color w:val="333333"/>
          <w:sz w:val="24"/>
          <w:szCs w:val="24"/>
          <w:shd w:val="clear" w:color="auto" w:fill="FFFFFF"/>
        </w:rPr>
        <w:t>)</w:t>
      </w:r>
      <w:r>
        <w:rPr>
          <w:rFonts w:asciiTheme="minorHAnsi" w:hAnsiTheme="minorHAnsi" w:cstheme="minorHAnsi"/>
          <w:color w:val="333333"/>
          <w:sz w:val="24"/>
          <w:szCs w:val="24"/>
          <w:shd w:val="clear" w:color="auto" w:fill="FFFFFF"/>
        </w:rPr>
        <w:t xml:space="preserve"> </w:t>
      </w:r>
      <w:r>
        <w:rPr>
          <w:sz w:val="24"/>
          <w:szCs w:val="24"/>
        </w:rPr>
        <w:t xml:space="preserve">in the laboratory, were significantly correlated with self-reported stage of puberty.  </w:t>
      </w:r>
      <w:proofErr w:type="spellStart"/>
      <w:r>
        <w:rPr>
          <w:sz w:val="24"/>
          <w:szCs w:val="24"/>
        </w:rPr>
        <w:t>Collado</w:t>
      </w:r>
      <w:proofErr w:type="spellEnd"/>
      <w:r>
        <w:rPr>
          <w:sz w:val="24"/>
          <w:szCs w:val="24"/>
        </w:rPr>
        <w:t xml:space="preserve"> et al. (2014) also reference previous studies suggesting that advanced pubertal status, regardless of age, is correlated with the higher likelihood of risk behaviours such as substance abuse in real world situations.  </w:t>
      </w:r>
    </w:p>
    <w:p w14:paraId="3B8536C1" w14:textId="77777777" w:rsidR="00F91581" w:rsidRDefault="00F91581" w:rsidP="00F91581">
      <w:pPr>
        <w:spacing w:line="480" w:lineRule="auto"/>
        <w:jc w:val="both"/>
        <w:rPr>
          <w:sz w:val="24"/>
          <w:szCs w:val="24"/>
        </w:rPr>
      </w:pPr>
      <w:r>
        <w:rPr>
          <w:sz w:val="24"/>
          <w:szCs w:val="24"/>
        </w:rPr>
        <w:t>The timing of the onset of puberty has been shown to be influenced by factors such as obesity and socioeconomic status (Downing and Bellis, 2009).  Likewise, the tempo of puberty has been shown to have negative mental health and risk behaviour consequences for some adolescents (</w:t>
      </w:r>
      <w:bookmarkStart w:id="13" w:name="_Hlk74217232"/>
      <w:r>
        <w:rPr>
          <w:sz w:val="24"/>
          <w:szCs w:val="24"/>
        </w:rPr>
        <w:t xml:space="preserve">Kowalski, Addo, Kramer, Martorell, Norris, </w:t>
      </w:r>
      <w:proofErr w:type="spellStart"/>
      <w:r>
        <w:rPr>
          <w:sz w:val="24"/>
          <w:szCs w:val="24"/>
        </w:rPr>
        <w:t>Waford</w:t>
      </w:r>
      <w:proofErr w:type="spellEnd"/>
      <w:r>
        <w:rPr>
          <w:sz w:val="24"/>
          <w:szCs w:val="24"/>
        </w:rPr>
        <w:t xml:space="preserve">, Richter, and Stein, 2020, </w:t>
      </w:r>
      <w:r>
        <w:rPr>
          <w:sz w:val="24"/>
          <w:szCs w:val="24"/>
        </w:rPr>
        <w:lastRenderedPageBreak/>
        <w:t xml:space="preserve">Deardorff, Marceau, Johnson, Reeves, Biro, Kubo, Greenspan, Laurent, Windham, </w:t>
      </w:r>
      <w:proofErr w:type="spellStart"/>
      <w:r>
        <w:rPr>
          <w:sz w:val="24"/>
          <w:szCs w:val="24"/>
        </w:rPr>
        <w:t>Pinney</w:t>
      </w:r>
      <w:proofErr w:type="spellEnd"/>
      <w:r>
        <w:rPr>
          <w:sz w:val="24"/>
          <w:szCs w:val="24"/>
        </w:rPr>
        <w:t xml:space="preserve">, </w:t>
      </w:r>
      <w:proofErr w:type="spellStart"/>
      <w:r>
        <w:rPr>
          <w:sz w:val="24"/>
          <w:szCs w:val="24"/>
        </w:rPr>
        <w:t>Kushi</w:t>
      </w:r>
      <w:proofErr w:type="spellEnd"/>
      <w:r>
        <w:rPr>
          <w:sz w:val="24"/>
          <w:szCs w:val="24"/>
        </w:rPr>
        <w:t xml:space="preserve">, and Hiatt, </w:t>
      </w:r>
      <w:bookmarkEnd w:id="13"/>
      <w:r>
        <w:rPr>
          <w:sz w:val="24"/>
          <w:szCs w:val="24"/>
        </w:rPr>
        <w:t>2021).</w:t>
      </w:r>
    </w:p>
    <w:p w14:paraId="009261A2" w14:textId="7AD9FB95" w:rsidR="00F91581" w:rsidRDefault="00F91581" w:rsidP="00F91581">
      <w:pPr>
        <w:spacing w:line="480" w:lineRule="auto"/>
        <w:jc w:val="both"/>
        <w:rPr>
          <w:sz w:val="24"/>
          <w:szCs w:val="24"/>
        </w:rPr>
      </w:pPr>
      <w:r>
        <w:rPr>
          <w:sz w:val="24"/>
          <w:szCs w:val="24"/>
        </w:rPr>
        <w:t xml:space="preserve">Much of the research exploring the links between puberty and risky behaviour focuses on early puberty as an indicator or predictor of higher risk-taking in adolescence.  However, much of this literature fails to distinguish between early puberty in the normal range given above (NHS, 2018) and precocious puberty, defined by the appearance of secondary sexual characteristics in girls before age </w:t>
      </w:r>
      <w:r w:rsidR="00BD2641">
        <w:rPr>
          <w:sz w:val="24"/>
          <w:szCs w:val="24"/>
        </w:rPr>
        <w:t>8</w:t>
      </w:r>
      <w:r>
        <w:rPr>
          <w:sz w:val="24"/>
          <w:szCs w:val="24"/>
        </w:rPr>
        <w:t xml:space="preserve"> and boys younger than </w:t>
      </w:r>
      <w:r w:rsidR="00BD2641">
        <w:rPr>
          <w:sz w:val="24"/>
          <w:szCs w:val="24"/>
        </w:rPr>
        <w:t>9</w:t>
      </w:r>
      <w:r>
        <w:rPr>
          <w:sz w:val="24"/>
          <w:szCs w:val="24"/>
        </w:rPr>
        <w:t xml:space="preserve"> (BMJ, 2021).  Further, some research uses early onset of puberty as a baseline, whereas others use early menarche.  For the purposes of this literature review, research references to ‘early puberty’, where not explicit, are taken to refer to early onset of puberty at the lower ages of </w:t>
      </w:r>
      <w:r w:rsidR="00BD2641">
        <w:rPr>
          <w:sz w:val="24"/>
          <w:szCs w:val="24"/>
        </w:rPr>
        <w:t>8</w:t>
      </w:r>
      <w:r>
        <w:rPr>
          <w:sz w:val="24"/>
          <w:szCs w:val="24"/>
        </w:rPr>
        <w:t xml:space="preserve"> and </w:t>
      </w:r>
      <w:r w:rsidR="00BD2641">
        <w:rPr>
          <w:sz w:val="24"/>
          <w:szCs w:val="24"/>
        </w:rPr>
        <w:t>9</w:t>
      </w:r>
      <w:r>
        <w:rPr>
          <w:sz w:val="24"/>
          <w:szCs w:val="24"/>
        </w:rPr>
        <w:t xml:space="preserve"> in the normal range.</w:t>
      </w:r>
    </w:p>
    <w:p w14:paraId="0AB83D53" w14:textId="5B66A1DF" w:rsidR="00F91581" w:rsidRDefault="00F91581" w:rsidP="00F91581">
      <w:pPr>
        <w:spacing w:line="480" w:lineRule="auto"/>
        <w:jc w:val="both"/>
        <w:rPr>
          <w:sz w:val="24"/>
          <w:szCs w:val="24"/>
        </w:rPr>
      </w:pPr>
      <w:r>
        <w:rPr>
          <w:sz w:val="24"/>
          <w:szCs w:val="24"/>
        </w:rPr>
        <w:t xml:space="preserve">In their synthesis of prior research on the detrimental outcomes associated with earlier maturation of girls, </w:t>
      </w:r>
      <w:proofErr w:type="spellStart"/>
      <w:r>
        <w:rPr>
          <w:sz w:val="24"/>
          <w:szCs w:val="24"/>
        </w:rPr>
        <w:t>Mendle</w:t>
      </w:r>
      <w:proofErr w:type="spellEnd"/>
      <w:r>
        <w:rPr>
          <w:sz w:val="24"/>
          <w:szCs w:val="24"/>
        </w:rPr>
        <w:t xml:space="preserve">, </w:t>
      </w:r>
      <w:proofErr w:type="spellStart"/>
      <w:r>
        <w:rPr>
          <w:sz w:val="24"/>
          <w:szCs w:val="24"/>
        </w:rPr>
        <w:t>Turkheimer</w:t>
      </w:r>
      <w:proofErr w:type="spellEnd"/>
      <w:r>
        <w:rPr>
          <w:sz w:val="24"/>
          <w:szCs w:val="24"/>
        </w:rPr>
        <w:t xml:space="preserve"> and Emery (2006) categorised these outcomes as psychosocial, biological and selection effects.  Psychosocial outcomes are dependent on the social context in which early maturing girls find themselves and how well they cope with the reactions and responses of others to their physical development (ibid.).  Biological outcomes include excessive emotionality and/or disproportionate responses to negative situations due to the heightened imbalance between pubertal hormones and cognitive development (judgement and self-regulation) (ibid.).  Selection effect outcomes include choosing to socialise with peers who are equally physically mature, because early maturing girls find it difficult to maintain friendships with slower </w:t>
      </w:r>
      <w:proofErr w:type="spellStart"/>
      <w:r>
        <w:rPr>
          <w:sz w:val="24"/>
          <w:szCs w:val="24"/>
        </w:rPr>
        <w:t>maturers</w:t>
      </w:r>
      <w:proofErr w:type="spellEnd"/>
      <w:r>
        <w:rPr>
          <w:sz w:val="24"/>
          <w:szCs w:val="24"/>
        </w:rPr>
        <w:t xml:space="preserve"> or being attracted to older boys (ibid.).  The negative outcomes and associated risk behaviours that are correlated within these </w:t>
      </w:r>
      <w:r>
        <w:rPr>
          <w:sz w:val="24"/>
          <w:szCs w:val="24"/>
        </w:rPr>
        <w:lastRenderedPageBreak/>
        <w:t>categories include depression, substance abuse, eating disorders, problems with body image, externalising behaviours, risky sexual behaviour and its sequelae and poorer academic achievement (ibid.).</w:t>
      </w:r>
    </w:p>
    <w:p w14:paraId="591558D7" w14:textId="614BE997" w:rsidR="00F91581" w:rsidRDefault="00F91581" w:rsidP="00F91581">
      <w:pPr>
        <w:spacing w:line="480" w:lineRule="auto"/>
        <w:jc w:val="both"/>
        <w:rPr>
          <w:sz w:val="24"/>
          <w:szCs w:val="24"/>
        </w:rPr>
      </w:pPr>
      <w:r>
        <w:rPr>
          <w:sz w:val="24"/>
          <w:szCs w:val="24"/>
        </w:rPr>
        <w:t xml:space="preserve">In 2012 </w:t>
      </w:r>
      <w:proofErr w:type="spellStart"/>
      <w:r>
        <w:rPr>
          <w:sz w:val="24"/>
          <w:szCs w:val="24"/>
        </w:rPr>
        <w:t>Mendle</w:t>
      </w:r>
      <w:proofErr w:type="spellEnd"/>
      <w:r>
        <w:rPr>
          <w:sz w:val="24"/>
          <w:szCs w:val="24"/>
        </w:rPr>
        <w:t xml:space="preserve"> and Ferrero </w:t>
      </w:r>
      <w:r w:rsidR="008A7DD1">
        <w:rPr>
          <w:sz w:val="24"/>
          <w:szCs w:val="24"/>
        </w:rPr>
        <w:t>f</w:t>
      </w:r>
      <w:r>
        <w:rPr>
          <w:sz w:val="24"/>
          <w:szCs w:val="24"/>
        </w:rPr>
        <w:t xml:space="preserve">ollowed the above </w:t>
      </w:r>
      <w:r w:rsidR="008A7DD1">
        <w:rPr>
          <w:sz w:val="24"/>
          <w:szCs w:val="24"/>
        </w:rPr>
        <w:t>study</w:t>
      </w:r>
      <w:r>
        <w:rPr>
          <w:sz w:val="24"/>
          <w:szCs w:val="24"/>
        </w:rPr>
        <w:t xml:space="preserve"> with another, focussed on boys.  They identified that early puberty, despite the belief that this </w:t>
      </w:r>
      <w:r w:rsidR="008A7DD1">
        <w:rPr>
          <w:sz w:val="24"/>
          <w:szCs w:val="24"/>
        </w:rPr>
        <w:t>is</w:t>
      </w:r>
      <w:r>
        <w:rPr>
          <w:sz w:val="24"/>
          <w:szCs w:val="24"/>
        </w:rPr>
        <w:t xml:space="preserve"> advantageous for boys, was instead predictive of negative consequences, as for girls.  </w:t>
      </w:r>
      <w:r w:rsidR="008A7DD1">
        <w:rPr>
          <w:sz w:val="24"/>
          <w:szCs w:val="24"/>
        </w:rPr>
        <w:t xml:space="preserve">This was again </w:t>
      </w:r>
      <w:r w:rsidRPr="00683BF5">
        <w:rPr>
          <w:sz w:val="24"/>
          <w:szCs w:val="24"/>
        </w:rPr>
        <w:t xml:space="preserve">found to </w:t>
      </w:r>
      <w:proofErr w:type="spellStart"/>
      <w:r w:rsidR="008A7DD1">
        <w:rPr>
          <w:sz w:val="24"/>
          <w:szCs w:val="24"/>
        </w:rPr>
        <w:t>relae</w:t>
      </w:r>
      <w:proofErr w:type="spellEnd"/>
      <w:r w:rsidRPr="00683BF5">
        <w:rPr>
          <w:sz w:val="24"/>
          <w:szCs w:val="24"/>
        </w:rPr>
        <w:t xml:space="preserve"> to the disparity between biological and social maturity (ibid.), manifesting as both internalising symptoms (anxiety and depression)</w:t>
      </w:r>
      <w:r w:rsidR="008A7DD1">
        <w:rPr>
          <w:sz w:val="24"/>
          <w:szCs w:val="24"/>
        </w:rPr>
        <w:t xml:space="preserve"> and</w:t>
      </w:r>
      <w:r w:rsidRPr="00683BF5">
        <w:rPr>
          <w:sz w:val="24"/>
          <w:szCs w:val="24"/>
        </w:rPr>
        <w:t xml:space="preserve"> externalising behaviours (attention deficit, oppositional defiance, conduct disorder, hostility, aggression and greater risk-taking)</w:t>
      </w:r>
      <w:r>
        <w:rPr>
          <w:sz w:val="24"/>
          <w:szCs w:val="24"/>
        </w:rPr>
        <w:t xml:space="preserve"> (ibid.).  Early puberty in boys was also associated </w:t>
      </w:r>
      <w:r w:rsidRPr="00683BF5">
        <w:rPr>
          <w:sz w:val="24"/>
          <w:szCs w:val="24"/>
        </w:rPr>
        <w:t>with substance abuse, becoming a victim of violence or becoming offensive, provocative or belligerent, acquiring eating disorders, and engaging in earlier and riskier sexual behaviour</w:t>
      </w:r>
      <w:r>
        <w:rPr>
          <w:sz w:val="24"/>
          <w:szCs w:val="24"/>
        </w:rPr>
        <w:t xml:space="preserve"> (ibid.).  However,</w:t>
      </w:r>
      <w:r w:rsidRPr="00683BF5">
        <w:rPr>
          <w:sz w:val="24"/>
          <w:szCs w:val="24"/>
        </w:rPr>
        <w:t xml:space="preserve"> no significant correlation was found between early puberty in boys and better or worse academic achievement (ibid.).</w:t>
      </w:r>
    </w:p>
    <w:p w14:paraId="22FE2495" w14:textId="77777777" w:rsidR="00F91581" w:rsidRDefault="00F91581" w:rsidP="00F91581">
      <w:pPr>
        <w:spacing w:line="480" w:lineRule="auto"/>
        <w:jc w:val="both"/>
        <w:rPr>
          <w:sz w:val="24"/>
          <w:szCs w:val="24"/>
        </w:rPr>
      </w:pPr>
      <w:r>
        <w:rPr>
          <w:sz w:val="24"/>
          <w:szCs w:val="24"/>
        </w:rPr>
        <w:t>An interesting point to note here is that very recent research (</w:t>
      </w:r>
      <w:proofErr w:type="spellStart"/>
      <w:r>
        <w:rPr>
          <w:sz w:val="24"/>
          <w:szCs w:val="24"/>
        </w:rPr>
        <w:t>Torvik</w:t>
      </w:r>
      <w:proofErr w:type="spellEnd"/>
      <w:r>
        <w:rPr>
          <w:sz w:val="24"/>
          <w:szCs w:val="24"/>
        </w:rPr>
        <w:t xml:space="preserve">, </w:t>
      </w:r>
      <w:proofErr w:type="spellStart"/>
      <w:r>
        <w:rPr>
          <w:sz w:val="24"/>
          <w:szCs w:val="24"/>
        </w:rPr>
        <w:t>Flato</w:t>
      </w:r>
      <w:proofErr w:type="spellEnd"/>
      <w:r>
        <w:rPr>
          <w:sz w:val="24"/>
          <w:szCs w:val="24"/>
        </w:rPr>
        <w:t xml:space="preserve">, McAdams, Colman, </w:t>
      </w:r>
      <w:proofErr w:type="spellStart"/>
      <w:r>
        <w:rPr>
          <w:sz w:val="24"/>
          <w:szCs w:val="24"/>
        </w:rPr>
        <w:t>Silventoinen</w:t>
      </w:r>
      <w:proofErr w:type="spellEnd"/>
      <w:r>
        <w:rPr>
          <w:sz w:val="24"/>
          <w:szCs w:val="24"/>
        </w:rPr>
        <w:t xml:space="preserve"> and Stoltenberg, 2021) indicates that early puberty is associated with higher academic achievement in both boys and girls, contradicting the findings of </w:t>
      </w:r>
      <w:proofErr w:type="spellStart"/>
      <w:r>
        <w:rPr>
          <w:sz w:val="24"/>
          <w:szCs w:val="24"/>
        </w:rPr>
        <w:t>Mendle</w:t>
      </w:r>
      <w:proofErr w:type="spellEnd"/>
      <w:r>
        <w:rPr>
          <w:sz w:val="24"/>
          <w:szCs w:val="24"/>
        </w:rPr>
        <w:t xml:space="preserve"> et al. (2006, 2012).</w:t>
      </w:r>
    </w:p>
    <w:p w14:paraId="0ACE3CA7" w14:textId="734C08AB" w:rsidR="00F91581" w:rsidRDefault="00F91581" w:rsidP="00F91581">
      <w:pPr>
        <w:spacing w:line="480" w:lineRule="auto"/>
        <w:jc w:val="both"/>
        <w:rPr>
          <w:sz w:val="24"/>
          <w:szCs w:val="24"/>
        </w:rPr>
      </w:pPr>
      <w:r>
        <w:rPr>
          <w:sz w:val="24"/>
          <w:szCs w:val="24"/>
        </w:rPr>
        <w:t xml:space="preserve">Although mental health, depression and anxiety, and their links to risk-taking behaviour, are explored specifically in the next theme, it is important to </w:t>
      </w:r>
      <w:r w:rsidR="00715E2C">
        <w:rPr>
          <w:sz w:val="24"/>
          <w:szCs w:val="24"/>
        </w:rPr>
        <w:t>add</w:t>
      </w:r>
      <w:r>
        <w:rPr>
          <w:sz w:val="24"/>
          <w:szCs w:val="24"/>
        </w:rPr>
        <w:t xml:space="preserve"> here that early puberty is strongly linked to depressive symptomatology (Alcala-Herrera and </w:t>
      </w:r>
      <w:proofErr w:type="spellStart"/>
      <w:r>
        <w:rPr>
          <w:sz w:val="24"/>
          <w:szCs w:val="24"/>
        </w:rPr>
        <w:t>Marvan</w:t>
      </w:r>
      <w:proofErr w:type="spellEnd"/>
      <w:r>
        <w:rPr>
          <w:sz w:val="24"/>
          <w:szCs w:val="24"/>
        </w:rPr>
        <w:t xml:space="preserve">, 2014) but that early maturing girls are </w:t>
      </w:r>
      <w:r w:rsidRPr="00BC0B73">
        <w:rPr>
          <w:i/>
          <w:iCs/>
          <w:sz w:val="24"/>
          <w:szCs w:val="24"/>
        </w:rPr>
        <w:t>less</w:t>
      </w:r>
      <w:r>
        <w:rPr>
          <w:sz w:val="24"/>
          <w:szCs w:val="24"/>
        </w:rPr>
        <w:t xml:space="preserve"> likely to use non-productive coping strategies such as aggressive behaviour than their later maturing peers, because they have to learn how to cope at a </w:t>
      </w:r>
      <w:r>
        <w:rPr>
          <w:sz w:val="24"/>
          <w:szCs w:val="24"/>
        </w:rPr>
        <w:lastRenderedPageBreak/>
        <w:t xml:space="preserve">younger age (ibid.).  Deardorff et al. (2021) </w:t>
      </w:r>
      <w:proofErr w:type="spellStart"/>
      <w:r w:rsidR="00715E2C">
        <w:rPr>
          <w:sz w:val="24"/>
          <w:szCs w:val="24"/>
        </w:rPr>
        <w:t>suport</w:t>
      </w:r>
      <w:proofErr w:type="spellEnd"/>
      <w:r>
        <w:rPr>
          <w:sz w:val="24"/>
          <w:szCs w:val="24"/>
        </w:rPr>
        <w:t xml:space="preserve"> the link between early puberty and depression, noting also that there are racial and/or cultural variations.  Roberts, Fraser, Gunnell, </w:t>
      </w:r>
      <w:proofErr w:type="spellStart"/>
      <w:r>
        <w:rPr>
          <w:sz w:val="24"/>
          <w:szCs w:val="24"/>
        </w:rPr>
        <w:t>Joinson</w:t>
      </w:r>
      <w:proofErr w:type="spellEnd"/>
      <w:r>
        <w:rPr>
          <w:sz w:val="24"/>
          <w:szCs w:val="24"/>
        </w:rPr>
        <w:t xml:space="preserve"> and Mars (2019) link early menarche with increased risk of self-harm.  Kowalski et al. (2020) showed that such associations are also present in lower income countries, with earlier and faster puberty in girls being linked to internalising and externalising problems in mid-adolescence and eating disorders in early and late adolescence; and with earlier and faster puberty in boys linked to externalising problems in early adolescence and oppositional defiance in mid-adolescence.  </w:t>
      </w:r>
      <w:proofErr w:type="spellStart"/>
      <w:r>
        <w:rPr>
          <w:sz w:val="24"/>
          <w:szCs w:val="24"/>
        </w:rPr>
        <w:t>Ullsperger</w:t>
      </w:r>
      <w:proofErr w:type="spellEnd"/>
      <w:r>
        <w:rPr>
          <w:sz w:val="24"/>
          <w:szCs w:val="24"/>
        </w:rPr>
        <w:t xml:space="preserve"> and Nikolas (2017, p903) also note that there are ‘robust early pubertal timing effects’ for both boys and girls across all domains of psychopathology.  </w:t>
      </w:r>
    </w:p>
    <w:p w14:paraId="24F981F3" w14:textId="77777777" w:rsidR="00F91581" w:rsidRDefault="00F91581" w:rsidP="00F91581">
      <w:pPr>
        <w:spacing w:line="480" w:lineRule="auto"/>
        <w:jc w:val="both"/>
        <w:rPr>
          <w:sz w:val="24"/>
          <w:szCs w:val="24"/>
        </w:rPr>
      </w:pPr>
      <w:r>
        <w:rPr>
          <w:sz w:val="24"/>
          <w:szCs w:val="24"/>
        </w:rPr>
        <w:t>Early puberty is associated with significantly greater anxiety and eating disorders (binge eating, dieting, bulimic behaviour and eating, weight and shape concerns) for both males and females (</w:t>
      </w:r>
      <w:proofErr w:type="spellStart"/>
      <w:r>
        <w:rPr>
          <w:sz w:val="24"/>
          <w:szCs w:val="24"/>
        </w:rPr>
        <w:t>Zehr</w:t>
      </w:r>
      <w:proofErr w:type="spellEnd"/>
      <w:r>
        <w:rPr>
          <w:sz w:val="24"/>
          <w:szCs w:val="24"/>
        </w:rPr>
        <w:t xml:space="preserve">, </w:t>
      </w:r>
      <w:proofErr w:type="spellStart"/>
      <w:r>
        <w:rPr>
          <w:sz w:val="24"/>
          <w:szCs w:val="24"/>
        </w:rPr>
        <w:t>Culbert</w:t>
      </w:r>
      <w:proofErr w:type="spellEnd"/>
      <w:r>
        <w:rPr>
          <w:sz w:val="24"/>
          <w:szCs w:val="24"/>
        </w:rPr>
        <w:t xml:space="preserve">, Sisk and </w:t>
      </w:r>
      <w:proofErr w:type="spellStart"/>
      <w:r>
        <w:rPr>
          <w:sz w:val="24"/>
          <w:szCs w:val="24"/>
        </w:rPr>
        <w:t>Klump</w:t>
      </w:r>
      <w:proofErr w:type="spellEnd"/>
      <w:r>
        <w:rPr>
          <w:sz w:val="24"/>
          <w:szCs w:val="24"/>
        </w:rPr>
        <w:t>, 2007).  It is also considered that the earlier release of steroid hormones relative to brain maturation causes long-term organisational effects that result in differences in adult psychology and behaviour (ibid.).</w:t>
      </w:r>
    </w:p>
    <w:p w14:paraId="12FB125C" w14:textId="178598A7" w:rsidR="00F91581" w:rsidRDefault="00F91581" w:rsidP="00F91581">
      <w:pPr>
        <w:spacing w:line="480" w:lineRule="auto"/>
        <w:jc w:val="both"/>
        <w:rPr>
          <w:sz w:val="24"/>
          <w:szCs w:val="24"/>
        </w:rPr>
      </w:pPr>
      <w:r>
        <w:rPr>
          <w:sz w:val="24"/>
          <w:szCs w:val="24"/>
        </w:rPr>
        <w:t xml:space="preserve">Acknowledging that early puberty does increase the risk of eating disorders for both boys and girls, </w:t>
      </w:r>
      <w:proofErr w:type="spellStart"/>
      <w:r>
        <w:rPr>
          <w:sz w:val="24"/>
          <w:szCs w:val="24"/>
        </w:rPr>
        <w:t>Klump</w:t>
      </w:r>
      <w:proofErr w:type="spellEnd"/>
      <w:r>
        <w:rPr>
          <w:sz w:val="24"/>
          <w:szCs w:val="24"/>
        </w:rPr>
        <w:t xml:space="preserve"> (2013) later indicates that the correlation is much weaker for boys, that many studies have conflicting or mixed results, that early puberty can be positively associated with body image in boys, and that perhaps other factors such as psychosocial influences are more significant catalysts of eating disorders for </w:t>
      </w:r>
      <w:r w:rsidR="00715E2C">
        <w:rPr>
          <w:sz w:val="24"/>
          <w:szCs w:val="24"/>
        </w:rPr>
        <w:t>boys.</w:t>
      </w:r>
      <w:r>
        <w:rPr>
          <w:sz w:val="24"/>
          <w:szCs w:val="24"/>
        </w:rPr>
        <w:t xml:space="preserve">  Twin studies and animal studies have also suggested that oestrogen production at puberty can in part explain the higher risk of eating disorders in adolescent girls (ibid.).</w:t>
      </w:r>
    </w:p>
    <w:p w14:paraId="44FC070C" w14:textId="44209B2B" w:rsidR="00F91581" w:rsidRDefault="00F91581" w:rsidP="00F91581">
      <w:pPr>
        <w:spacing w:line="480" w:lineRule="auto"/>
        <w:jc w:val="both"/>
        <w:rPr>
          <w:sz w:val="24"/>
          <w:szCs w:val="24"/>
        </w:rPr>
      </w:pPr>
      <w:proofErr w:type="spellStart"/>
      <w:r>
        <w:rPr>
          <w:sz w:val="24"/>
          <w:szCs w:val="24"/>
        </w:rPr>
        <w:lastRenderedPageBreak/>
        <w:t>Dowing</w:t>
      </w:r>
      <w:proofErr w:type="spellEnd"/>
      <w:r>
        <w:rPr>
          <w:sz w:val="24"/>
          <w:szCs w:val="24"/>
        </w:rPr>
        <w:t xml:space="preserve"> and Bellis (2009) found that early puberty was </w:t>
      </w:r>
      <w:r w:rsidR="00715E2C">
        <w:rPr>
          <w:sz w:val="24"/>
          <w:szCs w:val="24"/>
        </w:rPr>
        <w:t>linked to</w:t>
      </w:r>
      <w:r>
        <w:rPr>
          <w:sz w:val="24"/>
          <w:szCs w:val="24"/>
        </w:rPr>
        <w:t xml:space="preserve"> childhood obesity and lower economic status, and that it predicted having drunk alcohol, been drunk, smoked and used drugs at less than </w:t>
      </w:r>
      <w:r w:rsidR="00D451CD">
        <w:rPr>
          <w:sz w:val="24"/>
          <w:szCs w:val="24"/>
        </w:rPr>
        <w:t>14</w:t>
      </w:r>
      <w:r>
        <w:rPr>
          <w:sz w:val="24"/>
          <w:szCs w:val="24"/>
        </w:rPr>
        <w:t xml:space="preserve"> years of age for both boys and girls.  It also predicted having had sex, including unprotected sex before age </w:t>
      </w:r>
      <w:r w:rsidR="00BD2641">
        <w:rPr>
          <w:sz w:val="24"/>
          <w:szCs w:val="24"/>
        </w:rPr>
        <w:t>16</w:t>
      </w:r>
      <w:r>
        <w:rPr>
          <w:sz w:val="24"/>
          <w:szCs w:val="24"/>
        </w:rPr>
        <w:t xml:space="preserve"> in both sexes (ibid.).  Further, earlier maturing boys were more likely to report having been involved in fighting or responding aggressively to emotional situations in adolescence, and early maturing girls were more likely to have been bullied and taken more time off school (ibid.).  Given that obesity is of increasing concern with respect to children and that it is linked to early puberty, the gap between physical and social maturity warns of increased adolescent health risk behaviours in deprived communities that need to be tackled (ibid.).</w:t>
      </w:r>
    </w:p>
    <w:p w14:paraId="13A736F9" w14:textId="68BE4C7F" w:rsidR="00F91581" w:rsidRDefault="00F91581" w:rsidP="00F91581">
      <w:pPr>
        <w:spacing w:line="480" w:lineRule="auto"/>
        <w:jc w:val="both"/>
        <w:rPr>
          <w:sz w:val="24"/>
          <w:szCs w:val="24"/>
        </w:rPr>
      </w:pPr>
      <w:r>
        <w:rPr>
          <w:sz w:val="24"/>
          <w:szCs w:val="24"/>
        </w:rPr>
        <w:t xml:space="preserve">Early puberty was found to be a significant predictor of adolescent externalising behaviours such as social deviancy, delinquency, classroom disruption and aggression in a meta-analysis </w:t>
      </w:r>
      <w:r w:rsidR="00715E2C">
        <w:rPr>
          <w:sz w:val="24"/>
          <w:szCs w:val="24"/>
        </w:rPr>
        <w:t>conducted</w:t>
      </w:r>
      <w:r>
        <w:rPr>
          <w:sz w:val="24"/>
          <w:szCs w:val="24"/>
        </w:rPr>
        <w:t xml:space="preserve"> by </w:t>
      </w:r>
      <w:proofErr w:type="spellStart"/>
      <w:r>
        <w:rPr>
          <w:sz w:val="24"/>
          <w:szCs w:val="24"/>
        </w:rPr>
        <w:t>Dimler</w:t>
      </w:r>
      <w:proofErr w:type="spellEnd"/>
      <w:r>
        <w:rPr>
          <w:sz w:val="24"/>
          <w:szCs w:val="24"/>
        </w:rPr>
        <w:t xml:space="preserve"> and </w:t>
      </w:r>
      <w:proofErr w:type="spellStart"/>
      <w:r>
        <w:rPr>
          <w:sz w:val="24"/>
          <w:szCs w:val="24"/>
        </w:rPr>
        <w:t>Natsuaki</w:t>
      </w:r>
      <w:proofErr w:type="spellEnd"/>
      <w:r>
        <w:rPr>
          <w:sz w:val="24"/>
          <w:szCs w:val="24"/>
        </w:rPr>
        <w:t xml:space="preserve"> (2015), who also found no significant difference between the sexes.  This effect of early puberty on externalising behaviours was found to be most apparent during adolescence, but not afterwards (ibid.).</w:t>
      </w:r>
    </w:p>
    <w:p w14:paraId="10F4993F" w14:textId="219814EF" w:rsidR="00F91581" w:rsidRDefault="00F91581" w:rsidP="00F91581">
      <w:pPr>
        <w:spacing w:line="480" w:lineRule="auto"/>
        <w:jc w:val="both"/>
        <w:rPr>
          <w:sz w:val="24"/>
          <w:szCs w:val="24"/>
        </w:rPr>
      </w:pPr>
      <w:r>
        <w:rPr>
          <w:sz w:val="24"/>
          <w:szCs w:val="24"/>
        </w:rPr>
        <w:t>Th</w:t>
      </w:r>
      <w:r w:rsidR="00715E2C">
        <w:rPr>
          <w:sz w:val="24"/>
          <w:szCs w:val="24"/>
        </w:rPr>
        <w:t>e</w:t>
      </w:r>
      <w:r>
        <w:rPr>
          <w:sz w:val="24"/>
          <w:szCs w:val="24"/>
        </w:rPr>
        <w:t xml:space="preserve"> latter finding </w:t>
      </w:r>
      <w:r w:rsidR="00B57CEF">
        <w:rPr>
          <w:sz w:val="24"/>
          <w:szCs w:val="24"/>
        </w:rPr>
        <w:t xml:space="preserve">for boys </w:t>
      </w:r>
      <w:r>
        <w:rPr>
          <w:sz w:val="24"/>
          <w:szCs w:val="24"/>
        </w:rPr>
        <w:t xml:space="preserve">was </w:t>
      </w:r>
      <w:r w:rsidR="00B57CEF">
        <w:rPr>
          <w:sz w:val="24"/>
          <w:szCs w:val="24"/>
        </w:rPr>
        <w:t xml:space="preserve">reconfirmed </w:t>
      </w:r>
      <w:r>
        <w:rPr>
          <w:sz w:val="24"/>
          <w:szCs w:val="24"/>
        </w:rPr>
        <w:t xml:space="preserve">by </w:t>
      </w:r>
      <w:proofErr w:type="spellStart"/>
      <w:r>
        <w:rPr>
          <w:sz w:val="24"/>
          <w:szCs w:val="24"/>
        </w:rPr>
        <w:t>Dimler</w:t>
      </w:r>
      <w:proofErr w:type="spellEnd"/>
      <w:r>
        <w:rPr>
          <w:sz w:val="24"/>
          <w:szCs w:val="24"/>
        </w:rPr>
        <w:t xml:space="preserve"> and </w:t>
      </w:r>
      <w:proofErr w:type="spellStart"/>
      <w:r>
        <w:rPr>
          <w:sz w:val="24"/>
          <w:szCs w:val="24"/>
        </w:rPr>
        <w:t>Natsuaki</w:t>
      </w:r>
      <w:proofErr w:type="spellEnd"/>
      <w:r>
        <w:rPr>
          <w:sz w:val="24"/>
          <w:szCs w:val="24"/>
        </w:rPr>
        <w:t xml:space="preserve"> in 2020, who </w:t>
      </w:r>
      <w:r w:rsidR="00B57CEF">
        <w:rPr>
          <w:sz w:val="24"/>
          <w:szCs w:val="24"/>
        </w:rPr>
        <w:t xml:space="preserve">then also showed that </w:t>
      </w:r>
      <w:r>
        <w:rPr>
          <w:sz w:val="24"/>
          <w:szCs w:val="24"/>
        </w:rPr>
        <w:t xml:space="preserve">early maturing girls showed higher levels of non-violent and externalising behaviours, but not violence, during adolescence, which dissipated upon early adulthood (ibid.).  </w:t>
      </w:r>
    </w:p>
    <w:p w14:paraId="12A7AE80" w14:textId="20E49EAD" w:rsidR="00F91581" w:rsidRDefault="00F91581" w:rsidP="00F91581">
      <w:pPr>
        <w:spacing w:line="480" w:lineRule="auto"/>
        <w:jc w:val="both"/>
        <w:rPr>
          <w:sz w:val="24"/>
          <w:szCs w:val="24"/>
        </w:rPr>
      </w:pPr>
      <w:r>
        <w:rPr>
          <w:sz w:val="24"/>
          <w:szCs w:val="24"/>
        </w:rPr>
        <w:t xml:space="preserve">Early adrenarche, the release of hormones marking the first transition towards puberty that typically occurs between the ages of </w:t>
      </w:r>
      <w:r w:rsidR="00BD2641">
        <w:rPr>
          <w:sz w:val="24"/>
          <w:szCs w:val="24"/>
        </w:rPr>
        <w:t>6</w:t>
      </w:r>
      <w:r>
        <w:rPr>
          <w:sz w:val="24"/>
          <w:szCs w:val="24"/>
        </w:rPr>
        <w:t xml:space="preserve"> and </w:t>
      </w:r>
      <w:r w:rsidR="00BD2641">
        <w:rPr>
          <w:sz w:val="24"/>
          <w:szCs w:val="24"/>
        </w:rPr>
        <w:t>9</w:t>
      </w:r>
      <w:r>
        <w:rPr>
          <w:sz w:val="24"/>
          <w:szCs w:val="24"/>
        </w:rPr>
        <w:t xml:space="preserve">, has tentatively been found to have an </w:t>
      </w:r>
      <w:r>
        <w:rPr>
          <w:sz w:val="24"/>
          <w:szCs w:val="24"/>
        </w:rPr>
        <w:lastRenderedPageBreak/>
        <w:t>association with antisocial behaviour in girls (</w:t>
      </w:r>
      <w:proofErr w:type="spellStart"/>
      <w:r>
        <w:rPr>
          <w:sz w:val="24"/>
          <w:szCs w:val="24"/>
        </w:rPr>
        <w:t>Michielsen</w:t>
      </w:r>
      <w:proofErr w:type="spellEnd"/>
      <w:r>
        <w:rPr>
          <w:sz w:val="24"/>
          <w:szCs w:val="24"/>
        </w:rPr>
        <w:t xml:space="preserve">, </w:t>
      </w:r>
      <w:proofErr w:type="spellStart"/>
      <w:r>
        <w:rPr>
          <w:sz w:val="24"/>
          <w:szCs w:val="24"/>
        </w:rPr>
        <w:t>Roza</w:t>
      </w:r>
      <w:proofErr w:type="spellEnd"/>
      <w:r>
        <w:rPr>
          <w:sz w:val="24"/>
          <w:szCs w:val="24"/>
        </w:rPr>
        <w:t xml:space="preserve"> and van </w:t>
      </w:r>
      <w:proofErr w:type="spellStart"/>
      <w:r>
        <w:rPr>
          <w:sz w:val="24"/>
          <w:szCs w:val="24"/>
        </w:rPr>
        <w:t>Marle</w:t>
      </w:r>
      <w:proofErr w:type="spellEnd"/>
      <w:r>
        <w:rPr>
          <w:sz w:val="24"/>
          <w:szCs w:val="24"/>
        </w:rPr>
        <w:t xml:space="preserve">, 2020) and in boys when adrenarche is relatively late (ibid.), although further studies are suggested.    </w:t>
      </w:r>
    </w:p>
    <w:p w14:paraId="45DE2936" w14:textId="6FF23A75" w:rsidR="00F91581" w:rsidRDefault="00F91581" w:rsidP="00F91581">
      <w:pPr>
        <w:spacing w:line="480" w:lineRule="auto"/>
        <w:jc w:val="both"/>
        <w:rPr>
          <w:sz w:val="24"/>
          <w:szCs w:val="24"/>
        </w:rPr>
      </w:pPr>
      <w:r>
        <w:rPr>
          <w:sz w:val="24"/>
          <w:szCs w:val="24"/>
        </w:rPr>
        <w:t xml:space="preserve">Earlier puberty has been linked to earlier and more sexual behaviour and risky sexual behaviour, especially for girls and especially for younger adolescents (Baams, </w:t>
      </w:r>
      <w:proofErr w:type="spellStart"/>
      <w:r>
        <w:rPr>
          <w:sz w:val="24"/>
          <w:szCs w:val="24"/>
        </w:rPr>
        <w:t>Dubas</w:t>
      </w:r>
      <w:proofErr w:type="spellEnd"/>
      <w:r>
        <w:rPr>
          <w:sz w:val="24"/>
          <w:szCs w:val="24"/>
        </w:rPr>
        <w:t xml:space="preserve">, </w:t>
      </w:r>
      <w:proofErr w:type="spellStart"/>
      <w:r>
        <w:rPr>
          <w:sz w:val="24"/>
          <w:szCs w:val="24"/>
        </w:rPr>
        <w:t>Overbeek</w:t>
      </w:r>
      <w:proofErr w:type="spellEnd"/>
      <w:r>
        <w:rPr>
          <w:sz w:val="24"/>
          <w:szCs w:val="24"/>
        </w:rPr>
        <w:t xml:space="preserve"> and van </w:t>
      </w:r>
      <w:proofErr w:type="spellStart"/>
      <w:r>
        <w:rPr>
          <w:sz w:val="24"/>
          <w:szCs w:val="24"/>
        </w:rPr>
        <w:t>Aken</w:t>
      </w:r>
      <w:proofErr w:type="spellEnd"/>
      <w:r>
        <w:rPr>
          <w:sz w:val="24"/>
          <w:szCs w:val="24"/>
        </w:rPr>
        <w:t xml:space="preserve">, 2015).  As younger adolescents are less able to handle risky situations and their cognitive control is immature, this has clear implications for sexual health interventions with young adolescents (ibid.). </w:t>
      </w:r>
    </w:p>
    <w:p w14:paraId="76DFC5BF" w14:textId="77777777" w:rsidR="00F91581" w:rsidRDefault="00F91581" w:rsidP="00F91581">
      <w:pPr>
        <w:spacing w:line="480" w:lineRule="auto"/>
        <w:jc w:val="both"/>
        <w:rPr>
          <w:sz w:val="24"/>
          <w:szCs w:val="24"/>
        </w:rPr>
      </w:pPr>
      <w:r>
        <w:rPr>
          <w:sz w:val="24"/>
          <w:szCs w:val="24"/>
        </w:rPr>
        <w:t xml:space="preserve">Thus, the impact of pubertal hormones on risky behaviours is widely seen to be greater in early </w:t>
      </w:r>
      <w:proofErr w:type="spellStart"/>
      <w:r>
        <w:rPr>
          <w:sz w:val="24"/>
          <w:szCs w:val="24"/>
        </w:rPr>
        <w:t>maturers</w:t>
      </w:r>
      <w:proofErr w:type="spellEnd"/>
      <w:r>
        <w:rPr>
          <w:sz w:val="24"/>
          <w:szCs w:val="24"/>
        </w:rPr>
        <w:t xml:space="preserve"> because their impact occurs at an earlier age when self-regulation and decision-making are immature (Smith, </w:t>
      </w:r>
      <w:proofErr w:type="spellStart"/>
      <w:r>
        <w:rPr>
          <w:sz w:val="24"/>
          <w:szCs w:val="24"/>
        </w:rPr>
        <w:t>Chein</w:t>
      </w:r>
      <w:proofErr w:type="spellEnd"/>
      <w:r>
        <w:rPr>
          <w:sz w:val="24"/>
          <w:szCs w:val="24"/>
        </w:rPr>
        <w:t xml:space="preserve"> and Steinberg, 2013).  However, rebellious, delinquent, non-violent behaviours, such as underage drinking, stealing and running away are used by adolescents to affirm independence, and as the need to do this decreases with age and attainment of adulthood, such risky behaviours fade (</w:t>
      </w:r>
      <w:proofErr w:type="spellStart"/>
      <w:r>
        <w:rPr>
          <w:sz w:val="24"/>
          <w:szCs w:val="24"/>
        </w:rPr>
        <w:t>Dimler</w:t>
      </w:r>
      <w:proofErr w:type="spellEnd"/>
      <w:r>
        <w:rPr>
          <w:sz w:val="24"/>
          <w:szCs w:val="24"/>
        </w:rPr>
        <w:t xml:space="preserve"> and </w:t>
      </w:r>
      <w:proofErr w:type="spellStart"/>
      <w:r>
        <w:rPr>
          <w:sz w:val="24"/>
          <w:szCs w:val="24"/>
        </w:rPr>
        <w:t>Natsuaki</w:t>
      </w:r>
      <w:proofErr w:type="spellEnd"/>
      <w:r>
        <w:rPr>
          <w:sz w:val="24"/>
          <w:szCs w:val="24"/>
        </w:rPr>
        <w:t xml:space="preserve">, 2020).  It is the harmful risk behaviours of adolescence that need to be of concern, especially those displayed by early maturing adolescents who have not yet developed the self-regulatory or decision-making skills that will protect them: substance misuse, sex, violence and self-harm, including disordered eating.  It is therefore essential that youth work begins at the earliest possible opportunity to educate and support the youngest adolescents. </w:t>
      </w:r>
    </w:p>
    <w:p w14:paraId="01B21505" w14:textId="77777777" w:rsidR="00F91581" w:rsidRDefault="00F91581" w:rsidP="00F91581">
      <w:pPr>
        <w:pStyle w:val="Heading2"/>
      </w:pPr>
      <w:bookmarkStart w:id="14" w:name="_Toc76631142"/>
      <w:r>
        <w:rPr>
          <w:sz w:val="24"/>
          <w:szCs w:val="24"/>
        </w:rPr>
        <w:t xml:space="preserve">2.4 </w:t>
      </w:r>
      <w:r>
        <w:t>Mental Health</w:t>
      </w:r>
      <w:bookmarkEnd w:id="14"/>
    </w:p>
    <w:p w14:paraId="27DD1232" w14:textId="35F7D1EB" w:rsidR="00F91581" w:rsidRDefault="00F91581" w:rsidP="00F91581">
      <w:pPr>
        <w:spacing w:line="480" w:lineRule="auto"/>
        <w:jc w:val="both"/>
        <w:rPr>
          <w:sz w:val="24"/>
          <w:szCs w:val="24"/>
        </w:rPr>
      </w:pPr>
      <w:r>
        <w:rPr>
          <w:sz w:val="24"/>
          <w:szCs w:val="24"/>
        </w:rPr>
        <w:t xml:space="preserve">This theme examines areas of concern in adolescence such as activity online, issues experienced by those in sexual minorities, anxiety, self-esteem and other factors that influence risk taking and mental health. </w:t>
      </w:r>
    </w:p>
    <w:p w14:paraId="670FD68A" w14:textId="77777777" w:rsidR="00F91581" w:rsidRDefault="00F91581" w:rsidP="00F91581">
      <w:pPr>
        <w:spacing w:line="480" w:lineRule="auto"/>
        <w:jc w:val="both"/>
        <w:rPr>
          <w:sz w:val="24"/>
          <w:szCs w:val="24"/>
        </w:rPr>
      </w:pPr>
      <w:r>
        <w:rPr>
          <w:sz w:val="24"/>
          <w:szCs w:val="24"/>
        </w:rPr>
        <w:lastRenderedPageBreak/>
        <w:t>The bi-directional nature of the relationship between risky behaviours and mental health was confirmed in a large study of adolescents aged 11 to 19 in 2020 by Escobar, Noll, de Jesus and Noll, who showed that those with symptoms of poor mental health (feeling alone, lacking friends and having trouble sleeping due to worry) were involved in risky behaviours such as drug use and unsafe sex, and that higher frequency of these behaviours elevated their mental health symptoms.  For instance, not having more than one close friend was linked to adolescents’ higher use of alcohol, and higher frequency of alcohol use was directly associated with increased mental health problems (ibid.).</w:t>
      </w:r>
    </w:p>
    <w:p w14:paraId="65A65CD3" w14:textId="77777777" w:rsidR="00F91581" w:rsidRDefault="00F91581" w:rsidP="00F91581">
      <w:pPr>
        <w:spacing w:line="480" w:lineRule="auto"/>
        <w:jc w:val="both"/>
        <w:rPr>
          <w:sz w:val="24"/>
          <w:szCs w:val="24"/>
        </w:rPr>
      </w:pPr>
      <w:r>
        <w:rPr>
          <w:sz w:val="24"/>
          <w:szCs w:val="24"/>
        </w:rPr>
        <w:t>Alcohol misuse has also been shown to be linked to problematic online activity (gaming, internet use and social media) and more pronounced antisocial behaviour (</w:t>
      </w:r>
      <w:proofErr w:type="spellStart"/>
      <w:r>
        <w:rPr>
          <w:sz w:val="24"/>
          <w:szCs w:val="24"/>
        </w:rPr>
        <w:t>Wartberg</w:t>
      </w:r>
      <w:proofErr w:type="spellEnd"/>
      <w:r>
        <w:rPr>
          <w:sz w:val="24"/>
          <w:szCs w:val="24"/>
        </w:rPr>
        <w:t xml:space="preserve"> and </w:t>
      </w:r>
      <w:proofErr w:type="spellStart"/>
      <w:r>
        <w:rPr>
          <w:sz w:val="24"/>
          <w:szCs w:val="24"/>
        </w:rPr>
        <w:t>Kammerl</w:t>
      </w:r>
      <w:proofErr w:type="spellEnd"/>
      <w:r>
        <w:rPr>
          <w:sz w:val="24"/>
          <w:szCs w:val="24"/>
        </w:rPr>
        <w:t xml:space="preserve">, 2020).  However, mental health issues such as emotional distress, problems with self-esteem and hyperactivity or inattention were associated with problematic online behaviours but not with problem drinking (ibid.).   </w:t>
      </w:r>
    </w:p>
    <w:p w14:paraId="3A43EBAF" w14:textId="7BB082DD" w:rsidR="00F91581" w:rsidRDefault="00F91581" w:rsidP="00F91581">
      <w:pPr>
        <w:spacing w:line="480" w:lineRule="auto"/>
        <w:jc w:val="both"/>
        <w:rPr>
          <w:sz w:val="24"/>
          <w:szCs w:val="24"/>
        </w:rPr>
      </w:pPr>
      <w:r>
        <w:rPr>
          <w:sz w:val="24"/>
          <w:szCs w:val="24"/>
        </w:rPr>
        <w:t xml:space="preserve">Young people’s extensive use of social media has prompted growing concern for their mental health as they increasingly </w:t>
      </w:r>
      <w:r w:rsidR="00400C8B">
        <w:rPr>
          <w:sz w:val="24"/>
          <w:szCs w:val="24"/>
        </w:rPr>
        <w:t>interact</w:t>
      </w:r>
      <w:r>
        <w:rPr>
          <w:sz w:val="24"/>
          <w:szCs w:val="24"/>
        </w:rPr>
        <w:t xml:space="preserve"> other than in person, yet a large study of American students found that daily use of social media was not a significant risk factor for depressive symptoms (</w:t>
      </w:r>
      <w:proofErr w:type="spellStart"/>
      <w:r>
        <w:rPr>
          <w:sz w:val="24"/>
          <w:szCs w:val="24"/>
        </w:rPr>
        <w:t>Kreski</w:t>
      </w:r>
      <w:proofErr w:type="spellEnd"/>
      <w:r>
        <w:rPr>
          <w:sz w:val="24"/>
          <w:szCs w:val="24"/>
        </w:rPr>
        <w:t xml:space="preserve">, Platt, Rutherford, </w:t>
      </w:r>
      <w:proofErr w:type="spellStart"/>
      <w:r>
        <w:rPr>
          <w:sz w:val="24"/>
          <w:szCs w:val="24"/>
        </w:rPr>
        <w:t>Olfsen</w:t>
      </w:r>
      <w:proofErr w:type="spellEnd"/>
      <w:r>
        <w:rPr>
          <w:sz w:val="24"/>
          <w:szCs w:val="24"/>
        </w:rPr>
        <w:t xml:space="preserve">, Odgers, </w:t>
      </w:r>
      <w:proofErr w:type="spellStart"/>
      <w:r>
        <w:rPr>
          <w:sz w:val="24"/>
          <w:szCs w:val="24"/>
        </w:rPr>
        <w:t>Schulenbert</w:t>
      </w:r>
      <w:proofErr w:type="spellEnd"/>
      <w:r>
        <w:rPr>
          <w:sz w:val="24"/>
          <w:szCs w:val="24"/>
        </w:rPr>
        <w:t xml:space="preserve"> and Keyes, 2021).  Complementing this, a Swedish study (</w:t>
      </w:r>
      <w:proofErr w:type="spellStart"/>
      <w:r>
        <w:rPr>
          <w:sz w:val="24"/>
          <w:szCs w:val="24"/>
        </w:rPr>
        <w:t>Beeres</w:t>
      </w:r>
      <w:proofErr w:type="spellEnd"/>
      <w:r>
        <w:rPr>
          <w:sz w:val="24"/>
          <w:szCs w:val="24"/>
        </w:rPr>
        <w:t xml:space="preserve">, Andersson, </w:t>
      </w:r>
      <w:proofErr w:type="spellStart"/>
      <w:r>
        <w:rPr>
          <w:sz w:val="24"/>
          <w:szCs w:val="24"/>
        </w:rPr>
        <w:t>Vossen</w:t>
      </w:r>
      <w:proofErr w:type="spellEnd"/>
      <w:r>
        <w:rPr>
          <w:sz w:val="24"/>
          <w:szCs w:val="24"/>
        </w:rPr>
        <w:t xml:space="preserve"> and </w:t>
      </w:r>
      <w:proofErr w:type="spellStart"/>
      <w:r>
        <w:rPr>
          <w:sz w:val="24"/>
          <w:szCs w:val="24"/>
        </w:rPr>
        <w:t>Galanti</w:t>
      </w:r>
      <w:proofErr w:type="spellEnd"/>
      <w:r>
        <w:rPr>
          <w:sz w:val="24"/>
          <w:szCs w:val="24"/>
        </w:rPr>
        <w:t xml:space="preserve">, 2020) reported that adolescents with higher use of social media </w:t>
      </w:r>
      <w:r w:rsidRPr="00E35462">
        <w:rPr>
          <w:i/>
          <w:iCs/>
          <w:sz w:val="24"/>
          <w:szCs w:val="24"/>
        </w:rPr>
        <w:t>did</w:t>
      </w:r>
      <w:r>
        <w:rPr>
          <w:sz w:val="24"/>
          <w:szCs w:val="24"/>
        </w:rPr>
        <w:t xml:space="preserve"> report more symptoms of poor mental health, but because there was no longitudinal association between the two, the conclusion was drawn that rather than social media being a risk factor for future mental health issues, it was more likely to be an indicator of poorer mental health.</w:t>
      </w:r>
    </w:p>
    <w:p w14:paraId="5AB57B07" w14:textId="77777777" w:rsidR="00F91581" w:rsidRDefault="00F91581" w:rsidP="00F91581">
      <w:pPr>
        <w:spacing w:line="480" w:lineRule="auto"/>
        <w:jc w:val="both"/>
        <w:rPr>
          <w:sz w:val="24"/>
          <w:szCs w:val="24"/>
        </w:rPr>
      </w:pPr>
      <w:r>
        <w:rPr>
          <w:sz w:val="24"/>
          <w:szCs w:val="24"/>
        </w:rPr>
        <w:lastRenderedPageBreak/>
        <w:t xml:space="preserve">Of note with respect to poor adolescent mental health is the fact that those who self-harm </w:t>
      </w:r>
      <w:proofErr w:type="gramStart"/>
      <w:r>
        <w:rPr>
          <w:sz w:val="24"/>
          <w:szCs w:val="24"/>
        </w:rPr>
        <w:t>use</w:t>
      </w:r>
      <w:proofErr w:type="gramEnd"/>
      <w:r>
        <w:rPr>
          <w:sz w:val="24"/>
          <w:szCs w:val="24"/>
        </w:rPr>
        <w:t xml:space="preserve"> the internet to find information and support (Pritchard, Lewis and </w:t>
      </w:r>
      <w:proofErr w:type="spellStart"/>
      <w:r>
        <w:rPr>
          <w:sz w:val="24"/>
          <w:szCs w:val="24"/>
        </w:rPr>
        <w:t>Marcincinova</w:t>
      </w:r>
      <w:proofErr w:type="spellEnd"/>
      <w:r>
        <w:rPr>
          <w:sz w:val="24"/>
          <w:szCs w:val="24"/>
        </w:rPr>
        <w:t xml:space="preserve">, 2020), either by preference or due to barriers to finding help offline.  By analysing the </w:t>
      </w:r>
      <w:proofErr w:type="spellStart"/>
      <w:r>
        <w:rPr>
          <w:sz w:val="24"/>
          <w:szCs w:val="24"/>
        </w:rPr>
        <w:t>TalkLife</w:t>
      </w:r>
      <w:proofErr w:type="spellEnd"/>
      <w:r>
        <w:rPr>
          <w:sz w:val="24"/>
          <w:szCs w:val="24"/>
        </w:rPr>
        <w:t xml:space="preserve"> app it was found that these young people were recording problems with their emotions and relationships, feeling isolated and misunderstood as well as posting about suicidal ideation and behaviours, most often just before midnight, which has clear implications for the provision of crisis support for young people at night (ibid.).</w:t>
      </w:r>
    </w:p>
    <w:p w14:paraId="7F3DAF4E" w14:textId="71CD76FC" w:rsidR="00F91581" w:rsidRDefault="00F91581" w:rsidP="00F91581">
      <w:pPr>
        <w:spacing w:line="480" w:lineRule="auto"/>
        <w:jc w:val="both"/>
        <w:rPr>
          <w:sz w:val="24"/>
          <w:szCs w:val="24"/>
        </w:rPr>
      </w:pPr>
      <w:r>
        <w:rPr>
          <w:sz w:val="24"/>
          <w:szCs w:val="24"/>
        </w:rPr>
        <w:t xml:space="preserve">Adolescents in a sexual minority may also prefer to seek support online or find it easier to access that way.  This theory is supported by a recent study into disordered eating behaviours and body image dissatisfaction in a large cross-section of young people, of whom 5% identified as </w:t>
      </w:r>
      <w:r w:rsidR="00400C8B">
        <w:rPr>
          <w:sz w:val="24"/>
          <w:szCs w:val="24"/>
        </w:rPr>
        <w:t xml:space="preserve">in a </w:t>
      </w:r>
      <w:r>
        <w:rPr>
          <w:sz w:val="24"/>
          <w:szCs w:val="24"/>
        </w:rPr>
        <w:t xml:space="preserve">sexual minority (Parmar, Alabaster, Vance Jr., Weintraub and Lau, 2021).  These young people were found to be twice as likely to have disordered eating behaviours and nearly four times more likely to have body image dissatisfaction, but they were no more likely than the rest of the population studied to access specialised mental </w:t>
      </w:r>
      <w:r w:rsidR="00400C8B">
        <w:rPr>
          <w:sz w:val="24"/>
          <w:szCs w:val="24"/>
        </w:rPr>
        <w:t xml:space="preserve">health </w:t>
      </w:r>
      <w:r>
        <w:rPr>
          <w:sz w:val="24"/>
          <w:szCs w:val="24"/>
        </w:rPr>
        <w:t xml:space="preserve">services (ibid.). </w:t>
      </w:r>
    </w:p>
    <w:p w14:paraId="7C7B3586" w14:textId="67892AC4" w:rsidR="00F91581" w:rsidRDefault="00F91581" w:rsidP="00F91581">
      <w:pPr>
        <w:spacing w:line="480" w:lineRule="auto"/>
        <w:jc w:val="both"/>
        <w:rPr>
          <w:sz w:val="24"/>
          <w:szCs w:val="24"/>
        </w:rPr>
      </w:pPr>
      <w:r>
        <w:rPr>
          <w:sz w:val="24"/>
          <w:szCs w:val="24"/>
        </w:rPr>
        <w:t xml:space="preserve">Looking specifically at bisexual adolescents, Smith, Reidy and Norris (2020) found that they were at higher risk of both teen dating violence (physical, emotional and psychological aggression in their relationships) and suicide than their peers, including their gay/lesbian peers, and that bisexual girls are more at risk than bisexual males.  Young bisexuals are also at increased risk of mental health problems because of the stigma surrounding their bisexuality and the fact that </w:t>
      </w:r>
      <w:r w:rsidR="00400C8B">
        <w:rPr>
          <w:sz w:val="24"/>
          <w:szCs w:val="24"/>
        </w:rPr>
        <w:t>bisexuals</w:t>
      </w:r>
      <w:r>
        <w:rPr>
          <w:sz w:val="24"/>
          <w:szCs w:val="24"/>
        </w:rPr>
        <w:t xml:space="preserve"> are less accepted as part of the sexual minority community (ibid.).</w:t>
      </w:r>
    </w:p>
    <w:p w14:paraId="1DC14EFE" w14:textId="77777777" w:rsidR="00F91581" w:rsidRDefault="00F91581" w:rsidP="00F91581">
      <w:pPr>
        <w:spacing w:line="480" w:lineRule="auto"/>
        <w:jc w:val="both"/>
        <w:rPr>
          <w:sz w:val="24"/>
          <w:szCs w:val="24"/>
        </w:rPr>
      </w:pPr>
      <w:r>
        <w:rPr>
          <w:sz w:val="24"/>
          <w:szCs w:val="24"/>
        </w:rPr>
        <w:lastRenderedPageBreak/>
        <w:t xml:space="preserve">Poor mental health such as anxiety, depression, personal distress and suicidality can also result from sexual harassment and homophobic name calling (Rinehart, </w:t>
      </w:r>
      <w:proofErr w:type="spellStart"/>
      <w:r>
        <w:rPr>
          <w:sz w:val="24"/>
          <w:szCs w:val="24"/>
        </w:rPr>
        <w:t>Espelage</w:t>
      </w:r>
      <w:proofErr w:type="spellEnd"/>
      <w:r>
        <w:rPr>
          <w:sz w:val="24"/>
          <w:szCs w:val="24"/>
        </w:rPr>
        <w:t xml:space="preserve"> and Bub, 2017).  Studying both perpetrators and victims at age 13 and again at 17, it was found that there were negative mental health outcomes for both, regardless of their sex; that is, if they had been a victim or perpetrator of any kind of gendered harassment between the age of 13 and 17, they were also more likely to have depressive symptoms and use drugs/alcohol at age 17 (ibid.).</w:t>
      </w:r>
    </w:p>
    <w:p w14:paraId="1C001CC0" w14:textId="2E5FEE7F" w:rsidR="00F91581" w:rsidRDefault="00F91581" w:rsidP="00F91581">
      <w:pPr>
        <w:spacing w:line="480" w:lineRule="auto"/>
        <w:jc w:val="both"/>
        <w:rPr>
          <w:sz w:val="24"/>
          <w:szCs w:val="24"/>
        </w:rPr>
      </w:pPr>
      <w:r>
        <w:rPr>
          <w:sz w:val="24"/>
          <w:szCs w:val="24"/>
        </w:rPr>
        <w:t>Anxiety is often associated with risk avoidance, and studies exist that make this link apparent, but there is also evidence from research that shows that adolescents use risky behaviours to alleviate the effects of their anxiety, and that this is particularly so for boys (</w:t>
      </w:r>
      <w:proofErr w:type="spellStart"/>
      <w:r>
        <w:rPr>
          <w:sz w:val="24"/>
          <w:szCs w:val="24"/>
        </w:rPr>
        <w:t>Auerback</w:t>
      </w:r>
      <w:proofErr w:type="spellEnd"/>
      <w:r>
        <w:rPr>
          <w:sz w:val="24"/>
          <w:szCs w:val="24"/>
        </w:rPr>
        <w:t xml:space="preserve">, </w:t>
      </w:r>
      <w:proofErr w:type="spellStart"/>
      <w:r>
        <w:rPr>
          <w:sz w:val="24"/>
          <w:szCs w:val="24"/>
        </w:rPr>
        <w:t>Kertz</w:t>
      </w:r>
      <w:proofErr w:type="spellEnd"/>
      <w:r>
        <w:rPr>
          <w:sz w:val="24"/>
          <w:szCs w:val="24"/>
        </w:rPr>
        <w:t xml:space="preserve"> and Gardiner, 2012).  It has also been found for boys that ruminating on negative experiences can strengthen the link between stress and anxiety and lead to a greater involvement in risky behaviours, whereas for girls, it seemed that self-reflection was more protective in that it reduced impulsivity and became a coping mechanism (ibid.).</w:t>
      </w:r>
    </w:p>
    <w:p w14:paraId="4B5BA740" w14:textId="505A1C00" w:rsidR="00F91581" w:rsidRDefault="00F91581" w:rsidP="00F91581">
      <w:pPr>
        <w:spacing w:line="480" w:lineRule="auto"/>
        <w:jc w:val="both"/>
        <w:rPr>
          <w:sz w:val="24"/>
          <w:szCs w:val="24"/>
        </w:rPr>
      </w:pPr>
      <w:r>
        <w:rPr>
          <w:sz w:val="24"/>
          <w:szCs w:val="24"/>
        </w:rPr>
        <w:t xml:space="preserve">High anxiety in adolescents leads them towards high-risk behaviour and this has been shown to be related to their enhanced sensitivity to reward, whereby they are likely to </w:t>
      </w:r>
      <w:r w:rsidR="00400C8B">
        <w:rPr>
          <w:sz w:val="24"/>
          <w:szCs w:val="24"/>
        </w:rPr>
        <w:t>increase r</w:t>
      </w:r>
      <w:r>
        <w:rPr>
          <w:sz w:val="24"/>
          <w:szCs w:val="24"/>
        </w:rPr>
        <w:t>isk</w:t>
      </w:r>
      <w:r w:rsidR="00400C8B">
        <w:rPr>
          <w:sz w:val="24"/>
          <w:szCs w:val="24"/>
        </w:rPr>
        <w:t>-</w:t>
      </w:r>
      <w:r>
        <w:rPr>
          <w:sz w:val="24"/>
          <w:szCs w:val="24"/>
        </w:rPr>
        <w:t>taking as potential outcomes shift from negative to positive (Peris and Galvan, 2020).  Anxiety and the decision-making behind risky behaviour (substance use, unprotected sex and impulsive decisions) are also influenced by individual and situational factors and key developmental processes such as sleep (ibid.).</w:t>
      </w:r>
    </w:p>
    <w:p w14:paraId="162C1041" w14:textId="77777777" w:rsidR="00F91581" w:rsidRDefault="00F91581" w:rsidP="00F91581">
      <w:pPr>
        <w:spacing w:line="480" w:lineRule="auto"/>
        <w:jc w:val="both"/>
        <w:rPr>
          <w:sz w:val="24"/>
          <w:szCs w:val="24"/>
        </w:rPr>
      </w:pPr>
      <w:r>
        <w:rPr>
          <w:sz w:val="24"/>
          <w:szCs w:val="24"/>
        </w:rPr>
        <w:t xml:space="preserve">Adolescence is also seen to be characterised by anxiety and avoidance behaviour </w:t>
      </w:r>
      <w:r w:rsidRPr="006D42FD">
        <w:rPr>
          <w:i/>
          <w:iCs/>
          <w:sz w:val="24"/>
          <w:szCs w:val="24"/>
        </w:rPr>
        <w:t>as well as</w:t>
      </w:r>
      <w:r>
        <w:rPr>
          <w:sz w:val="24"/>
          <w:szCs w:val="24"/>
        </w:rPr>
        <w:t xml:space="preserve"> an increase in risk taking or ‘approach behaviours’ by Baker and Galvan (2020, para.2), who </w:t>
      </w:r>
      <w:r>
        <w:rPr>
          <w:sz w:val="24"/>
          <w:szCs w:val="24"/>
        </w:rPr>
        <w:lastRenderedPageBreak/>
        <w:t>note that risking danger might be ‘uniquely thrilling’ (ibid., para.19) in adolescence compared to other times of life.  They call for a longitudinal study into young people at risk of anxiety that tracks their approach and avoidance motivations, their risk taking and changes in their mental health, in order to understand better how to help young people with clinical anxiety (ibid.).</w:t>
      </w:r>
    </w:p>
    <w:p w14:paraId="33784476" w14:textId="27BEAC65" w:rsidR="00F91581" w:rsidRDefault="00F91581" w:rsidP="00F91581">
      <w:pPr>
        <w:spacing w:line="480" w:lineRule="auto"/>
        <w:jc w:val="both"/>
        <w:rPr>
          <w:sz w:val="24"/>
          <w:szCs w:val="24"/>
        </w:rPr>
      </w:pPr>
      <w:r>
        <w:rPr>
          <w:sz w:val="24"/>
          <w:szCs w:val="24"/>
        </w:rPr>
        <w:t>It has been argued that anxiety and depression are more prevalent in early maturing boys (</w:t>
      </w:r>
      <w:proofErr w:type="spellStart"/>
      <w:r>
        <w:rPr>
          <w:sz w:val="24"/>
          <w:szCs w:val="24"/>
        </w:rPr>
        <w:t>Mendle</w:t>
      </w:r>
      <w:proofErr w:type="spellEnd"/>
      <w:r>
        <w:rPr>
          <w:sz w:val="24"/>
          <w:szCs w:val="24"/>
        </w:rPr>
        <w:t xml:space="preserve">, 2012, p52) and that this is exacerbated when their mothers have moderate to high levels of depression or when there are high levels of adversity or stress in their household (ibid.).  This is echoed by </w:t>
      </w:r>
      <w:proofErr w:type="spellStart"/>
      <w:r>
        <w:rPr>
          <w:sz w:val="24"/>
          <w:szCs w:val="24"/>
        </w:rPr>
        <w:t>Bozzini</w:t>
      </w:r>
      <w:proofErr w:type="spellEnd"/>
      <w:r>
        <w:rPr>
          <w:sz w:val="24"/>
          <w:szCs w:val="24"/>
        </w:rPr>
        <w:t xml:space="preserve">, Maruyama, </w:t>
      </w:r>
      <w:proofErr w:type="spellStart"/>
      <w:r>
        <w:rPr>
          <w:sz w:val="24"/>
          <w:szCs w:val="24"/>
        </w:rPr>
        <w:t>Munhoz</w:t>
      </w:r>
      <w:proofErr w:type="spellEnd"/>
      <w:r>
        <w:rPr>
          <w:sz w:val="24"/>
          <w:szCs w:val="24"/>
        </w:rPr>
        <w:t xml:space="preserve">, Barros, Barros, Santos and </w:t>
      </w:r>
      <w:proofErr w:type="spellStart"/>
      <w:r>
        <w:rPr>
          <w:sz w:val="24"/>
          <w:szCs w:val="24"/>
        </w:rPr>
        <w:t>Matijasevich</w:t>
      </w:r>
      <w:proofErr w:type="spellEnd"/>
      <w:r>
        <w:rPr>
          <w:sz w:val="24"/>
          <w:szCs w:val="24"/>
        </w:rPr>
        <w:t xml:space="preserve"> (2021) who refer to evidence that adolescents with depressed mothers are at more risk of behavioural inhibition, emotional problems, violent behaviours, externalising problems and psychiatric disorders.  However, after studying the link between maternal depression and risk taking in a cohort of </w:t>
      </w:r>
      <w:proofErr w:type="gramStart"/>
      <w:r>
        <w:rPr>
          <w:sz w:val="24"/>
          <w:szCs w:val="24"/>
        </w:rPr>
        <w:t>11 year</w:t>
      </w:r>
      <w:r w:rsidR="00400C8B">
        <w:rPr>
          <w:sz w:val="24"/>
          <w:szCs w:val="24"/>
        </w:rPr>
        <w:t xml:space="preserve"> </w:t>
      </w:r>
      <w:r>
        <w:rPr>
          <w:sz w:val="24"/>
          <w:szCs w:val="24"/>
        </w:rPr>
        <w:t>olds</w:t>
      </w:r>
      <w:proofErr w:type="gramEnd"/>
      <w:r>
        <w:rPr>
          <w:sz w:val="24"/>
          <w:szCs w:val="24"/>
        </w:rPr>
        <w:t>, they concluded that there was no significant link between maternal depression and alcohol use or fighting at age 11 (ibid).  However, this study was limited as it did not extend beyond early adolescence.</w:t>
      </w:r>
    </w:p>
    <w:p w14:paraId="27E73B36" w14:textId="7E6D8BE2" w:rsidR="00F91581" w:rsidRDefault="00F91581" w:rsidP="00F91581">
      <w:pPr>
        <w:spacing w:line="480" w:lineRule="auto"/>
        <w:jc w:val="both"/>
        <w:rPr>
          <w:sz w:val="24"/>
          <w:szCs w:val="24"/>
        </w:rPr>
      </w:pPr>
      <w:r>
        <w:rPr>
          <w:sz w:val="24"/>
          <w:szCs w:val="24"/>
        </w:rPr>
        <w:t>The environment in which we grow up has clear implications for adolescent mental health, and it has been demonstrated that adolescent emotional wellbeing and risk</w:t>
      </w:r>
      <w:r w:rsidR="00D451CD">
        <w:rPr>
          <w:sz w:val="24"/>
          <w:szCs w:val="24"/>
        </w:rPr>
        <w:t>-</w:t>
      </w:r>
      <w:r>
        <w:rPr>
          <w:sz w:val="24"/>
          <w:szCs w:val="24"/>
        </w:rPr>
        <w:t>taking behaviours can be influenced by, and can influence, the perceived level of safety in the local neighbourhood (</w:t>
      </w:r>
      <w:proofErr w:type="spellStart"/>
      <w:r>
        <w:rPr>
          <w:sz w:val="24"/>
          <w:szCs w:val="24"/>
        </w:rPr>
        <w:t>Midouhas</w:t>
      </w:r>
      <w:proofErr w:type="spellEnd"/>
      <w:r>
        <w:rPr>
          <w:sz w:val="24"/>
          <w:szCs w:val="24"/>
        </w:rPr>
        <w:t xml:space="preserve">, </w:t>
      </w:r>
      <w:proofErr w:type="spellStart"/>
      <w:r>
        <w:rPr>
          <w:sz w:val="24"/>
          <w:szCs w:val="24"/>
        </w:rPr>
        <w:t>Sifaki</w:t>
      </w:r>
      <w:proofErr w:type="spellEnd"/>
      <w:r>
        <w:rPr>
          <w:sz w:val="24"/>
          <w:szCs w:val="24"/>
        </w:rPr>
        <w:t xml:space="preserve">, Lai and </w:t>
      </w:r>
      <w:proofErr w:type="spellStart"/>
      <w:r>
        <w:rPr>
          <w:sz w:val="24"/>
          <w:szCs w:val="24"/>
        </w:rPr>
        <w:t>Flouri</w:t>
      </w:r>
      <w:proofErr w:type="spellEnd"/>
      <w:r>
        <w:rPr>
          <w:sz w:val="24"/>
          <w:szCs w:val="24"/>
        </w:rPr>
        <w:t xml:space="preserve">, 2021) and that it is the perception of how violent, disordered or unsafe the neighbourhood is that is more impactful on adolescent mental health than the actual objective measures of neighbourhood safety (ibid.).  This is particularly evident in socioeconomically disadvantaged areas, and it has been shown that </w:t>
      </w:r>
      <w:r>
        <w:rPr>
          <w:sz w:val="24"/>
          <w:szCs w:val="24"/>
        </w:rPr>
        <w:lastRenderedPageBreak/>
        <w:t>adolescents who think their neighbourhood is unsafe are about two and a half times more likely to experience severe psychological effects (ibid.).</w:t>
      </w:r>
    </w:p>
    <w:p w14:paraId="6CD74003" w14:textId="58E874A2" w:rsidR="00F91581" w:rsidRDefault="00F91581" w:rsidP="00F91581">
      <w:pPr>
        <w:spacing w:line="480" w:lineRule="auto"/>
        <w:jc w:val="both"/>
        <w:rPr>
          <w:sz w:val="24"/>
          <w:szCs w:val="24"/>
        </w:rPr>
      </w:pPr>
      <w:r>
        <w:rPr>
          <w:sz w:val="24"/>
          <w:szCs w:val="24"/>
        </w:rPr>
        <w:t>Another set of factors that influence</w:t>
      </w:r>
      <w:r w:rsidR="00400C8B">
        <w:rPr>
          <w:sz w:val="24"/>
          <w:szCs w:val="24"/>
        </w:rPr>
        <w:t>s</w:t>
      </w:r>
      <w:r>
        <w:rPr>
          <w:sz w:val="24"/>
          <w:szCs w:val="24"/>
        </w:rPr>
        <w:t xml:space="preserve"> adolescent mental health are poor diet, lack of physical exercise and obesity, and the latter is strongly associated with adolescent depression (</w:t>
      </w:r>
      <w:proofErr w:type="spellStart"/>
      <w:r>
        <w:rPr>
          <w:sz w:val="24"/>
          <w:szCs w:val="24"/>
        </w:rPr>
        <w:t>Monzonis-Carda</w:t>
      </w:r>
      <w:proofErr w:type="spellEnd"/>
      <w:r>
        <w:rPr>
          <w:sz w:val="24"/>
          <w:szCs w:val="24"/>
        </w:rPr>
        <w:t>, Adelantado-</w:t>
      </w:r>
      <w:proofErr w:type="spellStart"/>
      <w:r>
        <w:rPr>
          <w:sz w:val="24"/>
          <w:szCs w:val="24"/>
        </w:rPr>
        <w:t>Renau</w:t>
      </w:r>
      <w:proofErr w:type="spellEnd"/>
      <w:r>
        <w:rPr>
          <w:sz w:val="24"/>
          <w:szCs w:val="24"/>
        </w:rPr>
        <w:t xml:space="preserve">, Beltran-Valls and </w:t>
      </w:r>
      <w:proofErr w:type="spellStart"/>
      <w:r>
        <w:rPr>
          <w:sz w:val="24"/>
          <w:szCs w:val="24"/>
        </w:rPr>
        <w:t>Moliner-Urdiales</w:t>
      </w:r>
      <w:proofErr w:type="spellEnd"/>
      <w:r>
        <w:rPr>
          <w:sz w:val="24"/>
          <w:szCs w:val="24"/>
        </w:rPr>
        <w:t>, 2021).  As adolescent depression is also strongly associated with poorer academic performance, there are clear reasons for policy makers and educators to address health risk behaviours and root causes (ibid.).</w:t>
      </w:r>
    </w:p>
    <w:p w14:paraId="18BF922D" w14:textId="77777777" w:rsidR="00F91581" w:rsidRDefault="00F91581" w:rsidP="00F91581">
      <w:pPr>
        <w:spacing w:line="480" w:lineRule="auto"/>
        <w:jc w:val="both"/>
        <w:rPr>
          <w:sz w:val="24"/>
          <w:szCs w:val="24"/>
        </w:rPr>
      </w:pPr>
      <w:r>
        <w:rPr>
          <w:sz w:val="24"/>
          <w:szCs w:val="24"/>
        </w:rPr>
        <w:t>Self-esteem is said to be labile, or fluctuating, throughout adolescence for most young people, but it can be strongly influenced by engagement in risky behaviours (Auerbach and Gardiner, 2012).  Young people who are more impulsive than others or who have poor coping strategies are particularly vulnerable to participating in risky activities such as precocious sex, substance use, self-harm and rule-breaking, and when these activities are at odds with their core values, these young people can become critical of themselves and evaluate themselves harshly, leading to lower self-esteem (ibid.).</w:t>
      </w:r>
    </w:p>
    <w:p w14:paraId="08578F29" w14:textId="77777777" w:rsidR="00F91581" w:rsidRDefault="00F91581" w:rsidP="00F91581">
      <w:pPr>
        <w:spacing w:line="480" w:lineRule="auto"/>
        <w:jc w:val="both"/>
        <w:rPr>
          <w:sz w:val="24"/>
          <w:szCs w:val="24"/>
        </w:rPr>
      </w:pPr>
      <w:r>
        <w:rPr>
          <w:sz w:val="24"/>
          <w:szCs w:val="24"/>
        </w:rPr>
        <w:t>Mental health competence in early adolescence has been shown to have a preventive effect against risky behaviours, and thus a protective effect for mental health in mid-adolescence (</w:t>
      </w:r>
      <w:proofErr w:type="spellStart"/>
      <w:r>
        <w:rPr>
          <w:sz w:val="24"/>
          <w:szCs w:val="24"/>
        </w:rPr>
        <w:t>Rougeaux</w:t>
      </w:r>
      <w:proofErr w:type="spellEnd"/>
      <w:r>
        <w:rPr>
          <w:sz w:val="24"/>
          <w:szCs w:val="24"/>
        </w:rPr>
        <w:t>, Hope, Viner, Deighton, Law and Pearce, 2020).  Using UK Millennium Cohort Study data from young people at ages 11 and 14, it was shown that compared to those with high mental health competence (prosocial behaviours and learning skills) at 11, the remainder were one and a half times more likely to binge drink at age 14 and more than twice as likely to have tried smoking cigarettes or taking drugs (ibid.).</w:t>
      </w:r>
    </w:p>
    <w:p w14:paraId="221BBDF6" w14:textId="66AABE3A" w:rsidR="00F91581" w:rsidRDefault="00F91581" w:rsidP="00F91581">
      <w:pPr>
        <w:spacing w:line="480" w:lineRule="auto"/>
        <w:jc w:val="both"/>
        <w:rPr>
          <w:sz w:val="24"/>
          <w:szCs w:val="24"/>
        </w:rPr>
      </w:pPr>
      <w:r>
        <w:rPr>
          <w:sz w:val="24"/>
          <w:szCs w:val="24"/>
        </w:rPr>
        <w:lastRenderedPageBreak/>
        <w:t xml:space="preserve">The same cohort data has been used to test whether depression, self-harm, trouble with the police and drug use at age </w:t>
      </w:r>
      <w:r w:rsidR="00D451CD">
        <w:rPr>
          <w:sz w:val="24"/>
          <w:szCs w:val="24"/>
        </w:rPr>
        <w:t>14</w:t>
      </w:r>
      <w:r>
        <w:rPr>
          <w:sz w:val="24"/>
          <w:szCs w:val="24"/>
        </w:rPr>
        <w:t xml:space="preserve"> could be predicted by monitoring children for internalising and externalising problems at ages 3, 5, 7 and 11 (</w:t>
      </w:r>
      <w:proofErr w:type="spellStart"/>
      <w:r>
        <w:rPr>
          <w:sz w:val="24"/>
          <w:szCs w:val="24"/>
        </w:rPr>
        <w:t>Papachristou</w:t>
      </w:r>
      <w:proofErr w:type="spellEnd"/>
      <w:r>
        <w:rPr>
          <w:sz w:val="24"/>
          <w:szCs w:val="24"/>
        </w:rPr>
        <w:t xml:space="preserve"> and </w:t>
      </w:r>
      <w:proofErr w:type="spellStart"/>
      <w:r>
        <w:rPr>
          <w:sz w:val="24"/>
          <w:szCs w:val="24"/>
        </w:rPr>
        <w:t>Flouri</w:t>
      </w:r>
      <w:proofErr w:type="spellEnd"/>
      <w:r>
        <w:rPr>
          <w:sz w:val="24"/>
          <w:szCs w:val="24"/>
        </w:rPr>
        <w:t xml:space="preserve">, 2020).  Results indicate that depression in mid-adolescence could be predicted for those with increasing internalising or externalising behaviours (ibid.) and that increasing internalising symptoms over time was shown to be associated with self-harm and drug use in early adolescence (ibid.).  The </w:t>
      </w:r>
      <w:r w:rsidR="00C13AE5">
        <w:rPr>
          <w:sz w:val="24"/>
          <w:szCs w:val="24"/>
        </w:rPr>
        <w:t xml:space="preserve">key </w:t>
      </w:r>
      <w:r>
        <w:rPr>
          <w:sz w:val="24"/>
          <w:szCs w:val="24"/>
        </w:rPr>
        <w:t>point to be made is that efforts to prevent depression, self-harm and drug use in adolescence need to be made before the age of 11 (ibid.).</w:t>
      </w:r>
    </w:p>
    <w:p w14:paraId="1D534456" w14:textId="5502D855" w:rsidR="00F91581" w:rsidRDefault="00F91581" w:rsidP="00F91581">
      <w:pPr>
        <w:spacing w:line="480" w:lineRule="auto"/>
        <w:jc w:val="both"/>
        <w:rPr>
          <w:sz w:val="24"/>
          <w:szCs w:val="24"/>
        </w:rPr>
      </w:pPr>
      <w:r>
        <w:rPr>
          <w:sz w:val="24"/>
          <w:szCs w:val="24"/>
        </w:rPr>
        <w:t>Adolescents’ levels of anxiety and depression have increased as a result of the global pandemic (</w:t>
      </w:r>
      <w:proofErr w:type="spellStart"/>
      <w:r>
        <w:rPr>
          <w:sz w:val="24"/>
          <w:szCs w:val="24"/>
        </w:rPr>
        <w:t>Magson</w:t>
      </w:r>
      <w:proofErr w:type="spellEnd"/>
      <w:r>
        <w:rPr>
          <w:sz w:val="24"/>
          <w:szCs w:val="24"/>
        </w:rPr>
        <w:t xml:space="preserve">, Freeman, </w:t>
      </w:r>
      <w:proofErr w:type="spellStart"/>
      <w:r>
        <w:rPr>
          <w:sz w:val="24"/>
          <w:szCs w:val="24"/>
        </w:rPr>
        <w:t>Rapee</w:t>
      </w:r>
      <w:proofErr w:type="spellEnd"/>
      <w:r>
        <w:rPr>
          <w:sz w:val="24"/>
          <w:szCs w:val="24"/>
        </w:rPr>
        <w:t xml:space="preserve">, Richardson, Oar and </w:t>
      </w:r>
      <w:proofErr w:type="spellStart"/>
      <w:r>
        <w:rPr>
          <w:sz w:val="24"/>
          <w:szCs w:val="24"/>
        </w:rPr>
        <w:t>Fardouly</w:t>
      </w:r>
      <w:proofErr w:type="spellEnd"/>
      <w:r>
        <w:rPr>
          <w:sz w:val="24"/>
          <w:szCs w:val="24"/>
        </w:rPr>
        <w:t>, 2021) and urgent attention needs to be paid to their mental health.  Recent research has highlighted the links between social isolation, loneliness and depression in adolescents and shows that talking directly to others, even by digital means, is essential to protect mental wellbeing, whereas indirect communication (</w:t>
      </w:r>
      <w:proofErr w:type="spellStart"/>
      <w:r>
        <w:rPr>
          <w:sz w:val="24"/>
          <w:szCs w:val="24"/>
        </w:rPr>
        <w:t>ie</w:t>
      </w:r>
      <w:proofErr w:type="spellEnd"/>
      <w:r>
        <w:rPr>
          <w:sz w:val="24"/>
          <w:szCs w:val="24"/>
        </w:rPr>
        <w:t xml:space="preserve">. text messaging) is detrimental (Cooper, </w:t>
      </w:r>
      <w:proofErr w:type="spellStart"/>
      <w:r>
        <w:rPr>
          <w:sz w:val="24"/>
          <w:szCs w:val="24"/>
        </w:rPr>
        <w:t>Hards</w:t>
      </w:r>
      <w:proofErr w:type="spellEnd"/>
      <w:r>
        <w:rPr>
          <w:sz w:val="24"/>
          <w:szCs w:val="24"/>
        </w:rPr>
        <w:t xml:space="preserve">, </w:t>
      </w:r>
      <w:proofErr w:type="spellStart"/>
      <w:r>
        <w:rPr>
          <w:sz w:val="24"/>
          <w:szCs w:val="24"/>
        </w:rPr>
        <w:t>Moltrecht</w:t>
      </w:r>
      <w:proofErr w:type="spellEnd"/>
      <w:r>
        <w:rPr>
          <w:sz w:val="24"/>
          <w:szCs w:val="24"/>
        </w:rPr>
        <w:t xml:space="preserve">, Reynolds, Sum, McElroy and Loades, 2021).  Overuse of digital technology, such as the 75% increase in online gaming seen amongst </w:t>
      </w:r>
      <w:proofErr w:type="gramStart"/>
      <w:r>
        <w:rPr>
          <w:sz w:val="24"/>
          <w:szCs w:val="24"/>
        </w:rPr>
        <w:t>10 to 17 year olds</w:t>
      </w:r>
      <w:proofErr w:type="gramEnd"/>
      <w:r>
        <w:rPr>
          <w:sz w:val="24"/>
          <w:szCs w:val="24"/>
        </w:rPr>
        <w:t xml:space="preserve"> in Germany during the pandemic, is a direct result of depriving children and young people of their </w:t>
      </w:r>
      <w:r w:rsidR="00C13AE5">
        <w:rPr>
          <w:sz w:val="24"/>
          <w:szCs w:val="24"/>
        </w:rPr>
        <w:t>inherent</w:t>
      </w:r>
      <w:r>
        <w:rPr>
          <w:sz w:val="24"/>
          <w:szCs w:val="24"/>
        </w:rPr>
        <w:t xml:space="preserve"> need to play and explore, especially at a time when adults are fearful and anxious (Montag and </w:t>
      </w:r>
      <w:proofErr w:type="spellStart"/>
      <w:r>
        <w:rPr>
          <w:sz w:val="24"/>
          <w:szCs w:val="24"/>
        </w:rPr>
        <w:t>Elhai</w:t>
      </w:r>
      <w:proofErr w:type="spellEnd"/>
      <w:r>
        <w:rPr>
          <w:sz w:val="24"/>
          <w:szCs w:val="24"/>
        </w:rPr>
        <w:t xml:space="preserve">, 2020) and the long term effects of this on young people’s mental health are yet to be seen.  The mental health of children and young people </w:t>
      </w:r>
      <w:proofErr w:type="gramStart"/>
      <w:r>
        <w:rPr>
          <w:sz w:val="24"/>
          <w:szCs w:val="24"/>
        </w:rPr>
        <w:t>has</w:t>
      </w:r>
      <w:proofErr w:type="gramEnd"/>
      <w:r>
        <w:rPr>
          <w:sz w:val="24"/>
          <w:szCs w:val="24"/>
        </w:rPr>
        <w:t xml:space="preserve"> always been a priority in youth work, and now more than ever it needs to be firmly in focus as an element of safeguarding.</w:t>
      </w:r>
    </w:p>
    <w:p w14:paraId="1E71530A" w14:textId="77777777" w:rsidR="00F91581" w:rsidRDefault="00F91581" w:rsidP="00F91581">
      <w:pPr>
        <w:pStyle w:val="Heading2"/>
      </w:pPr>
      <w:bookmarkStart w:id="15" w:name="_Toc76631143"/>
      <w:r>
        <w:lastRenderedPageBreak/>
        <w:t>2.5 Peer Influence</w:t>
      </w:r>
      <w:bookmarkEnd w:id="15"/>
    </w:p>
    <w:p w14:paraId="7C8B5828" w14:textId="77777777" w:rsidR="00F91581" w:rsidRDefault="00F91581" w:rsidP="00F91581">
      <w:pPr>
        <w:spacing w:line="480" w:lineRule="auto"/>
        <w:jc w:val="both"/>
        <w:rPr>
          <w:sz w:val="24"/>
          <w:szCs w:val="24"/>
        </w:rPr>
      </w:pPr>
      <w:r>
        <w:rPr>
          <w:sz w:val="24"/>
          <w:szCs w:val="24"/>
        </w:rPr>
        <w:t xml:space="preserve">It has been recognised for some time that adolescents’ decision-making and behaviour are influenced by their peers, whether through direct encouragement, subtle influencing or unconsciously (Brown and </w:t>
      </w:r>
      <w:proofErr w:type="spellStart"/>
      <w:r>
        <w:rPr>
          <w:sz w:val="24"/>
          <w:szCs w:val="24"/>
        </w:rPr>
        <w:t>Anistranski</w:t>
      </w:r>
      <w:proofErr w:type="spellEnd"/>
      <w:r>
        <w:rPr>
          <w:sz w:val="24"/>
          <w:szCs w:val="24"/>
        </w:rPr>
        <w:t xml:space="preserve"> Jr., 2020), and whereas peer influence has largely been explored in relation to detrimental behaviours, there are increasing numbers of studies that look at positive peer influence too (ibid., Maxwell, 2002).</w:t>
      </w:r>
    </w:p>
    <w:p w14:paraId="08C1F936" w14:textId="444D1DE9" w:rsidR="00F91581" w:rsidRDefault="00F91581" w:rsidP="00F91581">
      <w:pPr>
        <w:spacing w:line="480" w:lineRule="auto"/>
        <w:jc w:val="both"/>
        <w:rPr>
          <w:sz w:val="24"/>
          <w:szCs w:val="24"/>
        </w:rPr>
      </w:pPr>
      <w:r>
        <w:rPr>
          <w:sz w:val="24"/>
          <w:szCs w:val="24"/>
        </w:rPr>
        <w:t>Active peer influencing, or peer pressure, is when one young person takes an active role in changing another’s behaviour, whereas passive peer encouragement does not involve effort to effect the change and usually involves modelling or imitating behaviour that the peer then chooses to copy (</w:t>
      </w:r>
      <w:proofErr w:type="spellStart"/>
      <w:r>
        <w:rPr>
          <w:sz w:val="24"/>
          <w:szCs w:val="24"/>
        </w:rPr>
        <w:t>Harakeh</w:t>
      </w:r>
      <w:proofErr w:type="spellEnd"/>
      <w:r>
        <w:rPr>
          <w:sz w:val="24"/>
          <w:szCs w:val="24"/>
        </w:rPr>
        <w:t xml:space="preserve"> and de Boer, 2019).  Passive peer encouragement has been shown to have more influence over peers’ risk taking than active encouragement, and this applies to both boys and girls (ibid.).</w:t>
      </w:r>
    </w:p>
    <w:p w14:paraId="148237B4" w14:textId="77777777" w:rsidR="00F91581" w:rsidRDefault="00F91581" w:rsidP="00F91581">
      <w:pPr>
        <w:spacing w:line="480" w:lineRule="auto"/>
        <w:jc w:val="both"/>
        <w:rPr>
          <w:sz w:val="24"/>
          <w:szCs w:val="24"/>
        </w:rPr>
      </w:pPr>
      <w:r>
        <w:rPr>
          <w:sz w:val="24"/>
          <w:szCs w:val="24"/>
        </w:rPr>
        <w:t>A relatively small Japanese study has recently revealed that if a young person believes that their own risk-taking activity might be disclosed to a peer, and they are told that peer is more risk-oriented than they are, there is a ‘peer effect’ that causes them to take a greater risk (</w:t>
      </w:r>
      <w:proofErr w:type="spellStart"/>
      <w:r>
        <w:rPr>
          <w:sz w:val="24"/>
          <w:szCs w:val="24"/>
        </w:rPr>
        <w:t>Moriizumi</w:t>
      </w:r>
      <w:proofErr w:type="spellEnd"/>
      <w:r>
        <w:rPr>
          <w:sz w:val="24"/>
          <w:szCs w:val="24"/>
        </w:rPr>
        <w:t xml:space="preserve"> and Usui, 2020, p131).  However, </w:t>
      </w:r>
      <w:proofErr w:type="spellStart"/>
      <w:r>
        <w:rPr>
          <w:sz w:val="24"/>
          <w:szCs w:val="24"/>
        </w:rPr>
        <w:t>Tymula</w:t>
      </w:r>
      <w:proofErr w:type="spellEnd"/>
      <w:r>
        <w:rPr>
          <w:sz w:val="24"/>
          <w:szCs w:val="24"/>
        </w:rPr>
        <w:t xml:space="preserve"> (2019) argues that observation by peers alters neither the underlying attitudes that young people have towards risk nor their risk-taking behaviour, rather it causes them to become more impatient and inconsistent, which leads to poorer decision making.</w:t>
      </w:r>
    </w:p>
    <w:p w14:paraId="629FB8E0" w14:textId="338DF752" w:rsidR="00F91581" w:rsidRDefault="00F91581" w:rsidP="00F91581">
      <w:pPr>
        <w:spacing w:line="480" w:lineRule="auto"/>
        <w:jc w:val="both"/>
        <w:rPr>
          <w:sz w:val="24"/>
          <w:szCs w:val="24"/>
        </w:rPr>
      </w:pPr>
      <w:r>
        <w:rPr>
          <w:sz w:val="24"/>
          <w:szCs w:val="24"/>
        </w:rPr>
        <w:t xml:space="preserve">Examining peer selection and socialisation and substance use among adolescents, Kim-Spoon, </w:t>
      </w:r>
      <w:proofErr w:type="spellStart"/>
      <w:r>
        <w:rPr>
          <w:sz w:val="24"/>
          <w:szCs w:val="24"/>
        </w:rPr>
        <w:t>Deater</w:t>
      </w:r>
      <w:proofErr w:type="spellEnd"/>
      <w:r>
        <w:rPr>
          <w:sz w:val="24"/>
          <w:szCs w:val="24"/>
        </w:rPr>
        <w:t xml:space="preserve">-Deckard, </w:t>
      </w:r>
      <w:proofErr w:type="spellStart"/>
      <w:r>
        <w:rPr>
          <w:sz w:val="24"/>
          <w:szCs w:val="24"/>
        </w:rPr>
        <w:t>Brieant</w:t>
      </w:r>
      <w:proofErr w:type="spellEnd"/>
      <w:r>
        <w:rPr>
          <w:sz w:val="24"/>
          <w:szCs w:val="24"/>
        </w:rPr>
        <w:t xml:space="preserve">, </w:t>
      </w:r>
      <w:proofErr w:type="spellStart"/>
      <w:r>
        <w:rPr>
          <w:sz w:val="24"/>
          <w:szCs w:val="24"/>
        </w:rPr>
        <w:t>Lauharatanahirun</w:t>
      </w:r>
      <w:proofErr w:type="spellEnd"/>
      <w:r>
        <w:rPr>
          <w:sz w:val="24"/>
          <w:szCs w:val="24"/>
        </w:rPr>
        <w:t xml:space="preserve">, Lee and King-Casas (2019) point to a specific brain-behaviour mechanism that could be a biomarker for identifying young people who are </w:t>
      </w:r>
      <w:r>
        <w:rPr>
          <w:sz w:val="24"/>
          <w:szCs w:val="24"/>
        </w:rPr>
        <w:lastRenderedPageBreak/>
        <w:t>especially susceptible to unhealthy peer influence.  This is described as ‘peer contagion’ (ibid., p1661), whereby a young person is influenced by a peer to their own detriment.  Even knowledge of a peer’s risky behaviour without observing it can predispose young people to take harmful risks, as is shown by Syed, Kingsbury, Bennett, Manion and Colman (2020) who studied the contagion effect of knowing that a friend had self-harmed</w:t>
      </w:r>
      <w:r w:rsidR="00C13AE5">
        <w:rPr>
          <w:sz w:val="24"/>
          <w:szCs w:val="24"/>
        </w:rPr>
        <w:t>.  T</w:t>
      </w:r>
      <w:r>
        <w:rPr>
          <w:sz w:val="24"/>
          <w:szCs w:val="24"/>
        </w:rPr>
        <w:t>hey showed that this was associated with subsequent self-harm by the young person who was told, as well as suicidal ideation and attempt, and refer to the fact that 38% of young people who reported self-harm in an earlier study had got the idea from a self-harming peer.</w:t>
      </w:r>
    </w:p>
    <w:p w14:paraId="248443F7" w14:textId="4AF4191D" w:rsidR="00F91581" w:rsidRDefault="00F91581" w:rsidP="00F91581">
      <w:pPr>
        <w:spacing w:line="480" w:lineRule="auto"/>
        <w:jc w:val="both"/>
        <w:rPr>
          <w:sz w:val="24"/>
          <w:szCs w:val="24"/>
        </w:rPr>
      </w:pPr>
      <w:r>
        <w:rPr>
          <w:sz w:val="24"/>
          <w:szCs w:val="24"/>
        </w:rPr>
        <w:t xml:space="preserve">Peer selection, or choosing who to be friends with, may not be a conscious decision, but it is seen that groups of friends often share similar characteristics and attitudes as well as vulnerabilities, and this is the ‘theory of assortative relating’ (Syed et al., p370) whereby we instinctively seek out friends who are like ourselves, and this can mean that vulnerable or risk-taking young people can form friendship groups (ibid.).  In their study into substance use in adolescence, </w:t>
      </w:r>
      <w:proofErr w:type="spellStart"/>
      <w:r>
        <w:rPr>
          <w:sz w:val="24"/>
          <w:szCs w:val="24"/>
        </w:rPr>
        <w:t>Henneberger</w:t>
      </w:r>
      <w:proofErr w:type="spellEnd"/>
      <w:r>
        <w:rPr>
          <w:sz w:val="24"/>
          <w:szCs w:val="24"/>
        </w:rPr>
        <w:t xml:space="preserve"> and </w:t>
      </w:r>
      <w:proofErr w:type="spellStart"/>
      <w:r>
        <w:rPr>
          <w:sz w:val="24"/>
          <w:szCs w:val="24"/>
        </w:rPr>
        <w:t>Mushonga</w:t>
      </w:r>
      <w:proofErr w:type="spellEnd"/>
      <w:r>
        <w:rPr>
          <w:sz w:val="24"/>
          <w:szCs w:val="24"/>
        </w:rPr>
        <w:t xml:space="preserve"> (2021) note that peer socialisation, the way in which friends influence each other’s behaviour, can lead to individuals taking up the risky behaviours of their friends in order to gain or retain approval and remain </w:t>
      </w:r>
      <w:r w:rsidR="00C13AE5">
        <w:rPr>
          <w:sz w:val="24"/>
          <w:szCs w:val="24"/>
        </w:rPr>
        <w:t>in</w:t>
      </w:r>
      <w:r>
        <w:rPr>
          <w:sz w:val="24"/>
          <w:szCs w:val="24"/>
        </w:rPr>
        <w:t xml:space="preserve"> the group.  They also note that ‘peer selection plays a unique role in the development of substance use during adolescence’ (ibid., para.22) and that it is usually based on behavioural similarity, although sometimes on popularity.  Programmes designed to prevent young people from using substances are most effective when they target peer selection, are interactive and encourage young people to reflect on and discuss, for example, how they select their friends, what makes a good friend, how friends and groups behave and the consequences of different behaviours (ibid.).</w:t>
      </w:r>
    </w:p>
    <w:p w14:paraId="0130255D" w14:textId="77777777" w:rsidR="00F91581" w:rsidRDefault="00F91581" w:rsidP="00F91581">
      <w:pPr>
        <w:spacing w:line="480" w:lineRule="auto"/>
        <w:jc w:val="both"/>
        <w:rPr>
          <w:sz w:val="24"/>
          <w:szCs w:val="24"/>
        </w:rPr>
      </w:pPr>
      <w:r>
        <w:rPr>
          <w:sz w:val="24"/>
          <w:szCs w:val="24"/>
        </w:rPr>
        <w:lastRenderedPageBreak/>
        <w:t xml:space="preserve">Even peer presence can alter behaviour.  In an fMRI study of risky driving amongst male adolescents, </w:t>
      </w:r>
      <w:proofErr w:type="spellStart"/>
      <w:r>
        <w:rPr>
          <w:sz w:val="24"/>
          <w:szCs w:val="24"/>
        </w:rPr>
        <w:t>Vorobyev</w:t>
      </w:r>
      <w:proofErr w:type="spellEnd"/>
      <w:r>
        <w:rPr>
          <w:sz w:val="24"/>
          <w:szCs w:val="24"/>
        </w:rPr>
        <w:t xml:space="preserve">, Kwon, Moe, </w:t>
      </w:r>
      <w:proofErr w:type="spellStart"/>
      <w:r>
        <w:rPr>
          <w:sz w:val="24"/>
          <w:szCs w:val="24"/>
        </w:rPr>
        <w:t>Parkkola</w:t>
      </w:r>
      <w:proofErr w:type="spellEnd"/>
      <w:r>
        <w:rPr>
          <w:sz w:val="24"/>
          <w:szCs w:val="24"/>
        </w:rPr>
        <w:t xml:space="preserve"> and </w:t>
      </w:r>
      <w:proofErr w:type="spellStart"/>
      <w:r>
        <w:rPr>
          <w:sz w:val="24"/>
          <w:szCs w:val="24"/>
        </w:rPr>
        <w:t>Hamalainen</w:t>
      </w:r>
      <w:proofErr w:type="spellEnd"/>
      <w:r>
        <w:rPr>
          <w:sz w:val="24"/>
          <w:szCs w:val="24"/>
        </w:rPr>
        <w:t xml:space="preserve"> (2015) identified brain areas that were activated during risky (stop or go) decisions at simulated crossroads with traffic lights and observed increased reward processing when subjects were competing in the risky driving simulation against their peers.  A similar ‘stoplight’ test was used by Defoe, </w:t>
      </w:r>
      <w:proofErr w:type="spellStart"/>
      <w:r>
        <w:rPr>
          <w:sz w:val="24"/>
          <w:szCs w:val="24"/>
        </w:rPr>
        <w:t>Dubas</w:t>
      </w:r>
      <w:proofErr w:type="spellEnd"/>
      <w:r>
        <w:rPr>
          <w:sz w:val="24"/>
          <w:szCs w:val="24"/>
        </w:rPr>
        <w:t xml:space="preserve">, </w:t>
      </w:r>
      <w:proofErr w:type="spellStart"/>
      <w:r>
        <w:rPr>
          <w:sz w:val="24"/>
          <w:szCs w:val="24"/>
        </w:rPr>
        <w:t>Dalmaijer</w:t>
      </w:r>
      <w:proofErr w:type="spellEnd"/>
      <w:r>
        <w:rPr>
          <w:sz w:val="24"/>
          <w:szCs w:val="24"/>
        </w:rPr>
        <w:t xml:space="preserve"> and van </w:t>
      </w:r>
      <w:proofErr w:type="spellStart"/>
      <w:r>
        <w:rPr>
          <w:sz w:val="24"/>
          <w:szCs w:val="24"/>
        </w:rPr>
        <w:t>Aken</w:t>
      </w:r>
      <w:proofErr w:type="spellEnd"/>
      <w:r>
        <w:rPr>
          <w:sz w:val="24"/>
          <w:szCs w:val="24"/>
        </w:rPr>
        <w:t xml:space="preserve"> (2020) to assess risk-taking by gender and stage of adolescence.  They found that the stage of adolescence had no association with risk-taking, that boys and girls took equal risks, but that boys (only) took more risks when in the presence of two male peers and that this aligned with boys’ self-reported real world risk-taking in driving, alcohol use and delinquency, validating the laboratory task as a predictor of risky behaviour (ibid.).</w:t>
      </w:r>
    </w:p>
    <w:p w14:paraId="2F1610F7" w14:textId="3860FF5D" w:rsidR="00F91581" w:rsidRDefault="00F91581" w:rsidP="00F91581">
      <w:pPr>
        <w:spacing w:line="480" w:lineRule="auto"/>
        <w:jc w:val="both"/>
        <w:rPr>
          <w:sz w:val="24"/>
          <w:szCs w:val="24"/>
        </w:rPr>
      </w:pPr>
      <w:r>
        <w:rPr>
          <w:sz w:val="24"/>
          <w:szCs w:val="24"/>
        </w:rPr>
        <w:t xml:space="preserve">Thus, peer selection and socialisation lead to some peer groups being more risk-oriented or more deviant than others.  Although not all young people who associate with risk-taking peers will experience negative outcomes, it has been shown that the earlier a young person is involved with a deviant group, and the more severe the deviance of that group, the more likely the young person is to experience substance use disorder as an outcome (Price, </w:t>
      </w:r>
      <w:proofErr w:type="spellStart"/>
      <w:r>
        <w:rPr>
          <w:sz w:val="24"/>
          <w:szCs w:val="24"/>
        </w:rPr>
        <w:t>Drabick</w:t>
      </w:r>
      <w:proofErr w:type="spellEnd"/>
      <w:r>
        <w:rPr>
          <w:sz w:val="24"/>
          <w:szCs w:val="24"/>
        </w:rPr>
        <w:t xml:space="preserve"> and Ridenour, 2019).  Problematic drug and alcohol use has also been linked with peer delinquency by </w:t>
      </w:r>
      <w:proofErr w:type="spellStart"/>
      <w:r>
        <w:rPr>
          <w:sz w:val="24"/>
          <w:szCs w:val="24"/>
        </w:rPr>
        <w:t>Prins</w:t>
      </w:r>
      <w:proofErr w:type="spellEnd"/>
      <w:r>
        <w:rPr>
          <w:sz w:val="24"/>
          <w:szCs w:val="24"/>
        </w:rPr>
        <w:t xml:space="preserve">, </w:t>
      </w:r>
      <w:proofErr w:type="spellStart"/>
      <w:r>
        <w:rPr>
          <w:sz w:val="24"/>
          <w:szCs w:val="24"/>
        </w:rPr>
        <w:t>Kajeepeta</w:t>
      </w:r>
      <w:proofErr w:type="spellEnd"/>
      <w:r>
        <w:rPr>
          <w:sz w:val="24"/>
          <w:szCs w:val="24"/>
        </w:rPr>
        <w:t xml:space="preserve">, Pearce, </w:t>
      </w:r>
      <w:proofErr w:type="spellStart"/>
      <w:r>
        <w:rPr>
          <w:sz w:val="24"/>
          <w:szCs w:val="24"/>
        </w:rPr>
        <w:t>Beardslee</w:t>
      </w:r>
      <w:proofErr w:type="spellEnd"/>
      <w:r>
        <w:rPr>
          <w:sz w:val="24"/>
          <w:szCs w:val="24"/>
        </w:rPr>
        <w:t xml:space="preserve">, </w:t>
      </w:r>
      <w:proofErr w:type="spellStart"/>
      <w:r>
        <w:rPr>
          <w:sz w:val="24"/>
          <w:szCs w:val="24"/>
        </w:rPr>
        <w:t>Pardini</w:t>
      </w:r>
      <w:proofErr w:type="spellEnd"/>
      <w:r>
        <w:rPr>
          <w:sz w:val="24"/>
          <w:szCs w:val="24"/>
        </w:rPr>
        <w:t xml:space="preserve"> and Cerda (2021) who reinforce the need to prevent or mitigate these risks in early adolescence, also noting that reduced supervision by parents and parental stress can exacerbate problems, that the strongest association between these risk factors occurs at ages 14-15, but that this does dissipate later.</w:t>
      </w:r>
    </w:p>
    <w:p w14:paraId="7C95A5B3" w14:textId="78229C5E" w:rsidR="00F91581" w:rsidRDefault="00F91581" w:rsidP="00F91581">
      <w:pPr>
        <w:spacing w:line="480" w:lineRule="auto"/>
        <w:jc w:val="both"/>
        <w:rPr>
          <w:sz w:val="24"/>
          <w:szCs w:val="24"/>
        </w:rPr>
      </w:pPr>
      <w:r>
        <w:rPr>
          <w:sz w:val="24"/>
          <w:szCs w:val="24"/>
        </w:rPr>
        <w:t>Echoing this are the results of a longitudinal study of young people aged 11-18 (</w:t>
      </w:r>
      <w:proofErr w:type="spellStart"/>
      <w:r>
        <w:rPr>
          <w:sz w:val="24"/>
          <w:szCs w:val="24"/>
        </w:rPr>
        <w:t>Mak</w:t>
      </w:r>
      <w:proofErr w:type="spellEnd"/>
      <w:r>
        <w:rPr>
          <w:sz w:val="24"/>
          <w:szCs w:val="24"/>
        </w:rPr>
        <w:t xml:space="preserve">, Russell, Lanza, Feinberg and </w:t>
      </w:r>
      <w:proofErr w:type="spellStart"/>
      <w:r>
        <w:rPr>
          <w:sz w:val="24"/>
          <w:szCs w:val="24"/>
        </w:rPr>
        <w:t>Fosco</w:t>
      </w:r>
      <w:proofErr w:type="spellEnd"/>
      <w:r>
        <w:rPr>
          <w:sz w:val="24"/>
          <w:szCs w:val="24"/>
        </w:rPr>
        <w:t xml:space="preserve">, 2020) which found that lower parental supervision and </w:t>
      </w:r>
      <w:r>
        <w:rPr>
          <w:sz w:val="24"/>
          <w:szCs w:val="24"/>
        </w:rPr>
        <w:lastRenderedPageBreak/>
        <w:t>engagement with antisocial peers were associated with adolescent smoking, drunkenness and drug use, again showing that risk factors did reduce over time, but that the association between antisocial peers and drug use did not.  Parent and peer interventions during early adolescence are once more emphasised (ibid.).</w:t>
      </w:r>
    </w:p>
    <w:p w14:paraId="1402C4CB" w14:textId="77777777" w:rsidR="00F91581" w:rsidRDefault="00F91581" w:rsidP="00F91581">
      <w:pPr>
        <w:spacing w:line="480" w:lineRule="auto"/>
        <w:jc w:val="both"/>
        <w:rPr>
          <w:sz w:val="24"/>
          <w:szCs w:val="24"/>
        </w:rPr>
      </w:pPr>
      <w:r>
        <w:rPr>
          <w:sz w:val="24"/>
          <w:szCs w:val="24"/>
        </w:rPr>
        <w:t xml:space="preserve">Young people who are depressed engage in more substance use than others and do this with their peers (Mason, </w:t>
      </w:r>
      <w:proofErr w:type="spellStart"/>
      <w:r>
        <w:rPr>
          <w:sz w:val="24"/>
          <w:szCs w:val="24"/>
        </w:rPr>
        <w:t>Mennis</w:t>
      </w:r>
      <w:proofErr w:type="spellEnd"/>
      <w:r>
        <w:rPr>
          <w:sz w:val="24"/>
          <w:szCs w:val="24"/>
        </w:rPr>
        <w:t>, Russell, Moore and Brown, 2019).  The likelihood of them using substances increases fourfold if their peers do the same (ibid.).  However, a healthy peer group where friends help each other and talk through problems is protective and can reduce the risk for substance use by three times (ibid.).  The ability to resist peer pressure to drink is also protective, and this is related to self-confidence when interacting with peers, being able to understand alternative points of view and empathy, all of which should be addressed early in adolescence (</w:t>
      </w:r>
      <w:proofErr w:type="spellStart"/>
      <w:r>
        <w:rPr>
          <w:sz w:val="24"/>
          <w:szCs w:val="24"/>
        </w:rPr>
        <w:t>Laghi</w:t>
      </w:r>
      <w:proofErr w:type="spellEnd"/>
      <w:r>
        <w:rPr>
          <w:sz w:val="24"/>
          <w:szCs w:val="24"/>
        </w:rPr>
        <w:t xml:space="preserve">, Bianchi, </w:t>
      </w:r>
      <w:proofErr w:type="spellStart"/>
      <w:r>
        <w:rPr>
          <w:sz w:val="24"/>
          <w:szCs w:val="24"/>
        </w:rPr>
        <w:t>Pompili</w:t>
      </w:r>
      <w:proofErr w:type="spellEnd"/>
      <w:r>
        <w:rPr>
          <w:sz w:val="24"/>
          <w:szCs w:val="24"/>
        </w:rPr>
        <w:t xml:space="preserve">, </w:t>
      </w:r>
      <w:proofErr w:type="spellStart"/>
      <w:r>
        <w:rPr>
          <w:sz w:val="24"/>
          <w:szCs w:val="24"/>
        </w:rPr>
        <w:t>Lonigro</w:t>
      </w:r>
      <w:proofErr w:type="spellEnd"/>
      <w:r>
        <w:rPr>
          <w:sz w:val="24"/>
          <w:szCs w:val="24"/>
        </w:rPr>
        <w:t xml:space="preserve"> and Baiocco, 2019).</w:t>
      </w:r>
    </w:p>
    <w:p w14:paraId="49446C3F" w14:textId="77777777" w:rsidR="00F91581" w:rsidRDefault="00F91581" w:rsidP="00F91581">
      <w:pPr>
        <w:spacing w:line="480" w:lineRule="auto"/>
        <w:jc w:val="both"/>
        <w:rPr>
          <w:sz w:val="24"/>
          <w:szCs w:val="24"/>
        </w:rPr>
      </w:pPr>
      <w:r>
        <w:rPr>
          <w:sz w:val="24"/>
          <w:szCs w:val="24"/>
        </w:rPr>
        <w:t xml:space="preserve">Other risky and harmful behaviours such as bullying and peer victimisation need examination as they have a bi-directional relationship with adolescent anxiety and depression (Forbes, Fitzpatrick, </w:t>
      </w:r>
      <w:proofErr w:type="spellStart"/>
      <w:r>
        <w:rPr>
          <w:sz w:val="24"/>
          <w:szCs w:val="24"/>
        </w:rPr>
        <w:t>Magson</w:t>
      </w:r>
      <w:proofErr w:type="spellEnd"/>
      <w:r>
        <w:rPr>
          <w:sz w:val="24"/>
          <w:szCs w:val="24"/>
        </w:rPr>
        <w:t xml:space="preserve"> and </w:t>
      </w:r>
      <w:proofErr w:type="spellStart"/>
      <w:r>
        <w:rPr>
          <w:sz w:val="24"/>
          <w:szCs w:val="24"/>
        </w:rPr>
        <w:t>Rapee</w:t>
      </w:r>
      <w:proofErr w:type="spellEnd"/>
      <w:r>
        <w:rPr>
          <w:sz w:val="24"/>
          <w:szCs w:val="24"/>
        </w:rPr>
        <w:t>, 2019).  Bullying is seen to peak in early adolescence at ages 11-14, coinciding with the formation of new friendship groups following school transition, and internalising symptoms are both antecedents and consequences of it (ibid.).  Peer victimisation also has long term consequences for victims, with 15% of them having a diagnosis of depression at age 18 (Armitage, Wang, Davis, Bowes and Haworth, 2021) and experiencing significantly worse wellbeing at age 23 (ibid.).  Mental health support for victims is called for as is research into why some adolescents are more resilient in the face of bullying than others (ibid.).</w:t>
      </w:r>
    </w:p>
    <w:p w14:paraId="60F9982F" w14:textId="22EB22A3" w:rsidR="00F91581" w:rsidRDefault="00F91581" w:rsidP="00F91581">
      <w:pPr>
        <w:spacing w:line="480" w:lineRule="auto"/>
        <w:jc w:val="both"/>
        <w:rPr>
          <w:sz w:val="24"/>
          <w:szCs w:val="24"/>
        </w:rPr>
      </w:pPr>
      <w:r>
        <w:rPr>
          <w:sz w:val="24"/>
          <w:szCs w:val="24"/>
        </w:rPr>
        <w:lastRenderedPageBreak/>
        <w:t>It seems that bullies of both sexes are more risk-oriented than their non-bullying peers and that they are either more sensitive to reward or less sensitive to punishment too (</w:t>
      </w:r>
      <w:proofErr w:type="spellStart"/>
      <w:r>
        <w:rPr>
          <w:sz w:val="24"/>
          <w:szCs w:val="24"/>
        </w:rPr>
        <w:t>Flouri</w:t>
      </w:r>
      <w:proofErr w:type="spellEnd"/>
      <w:r>
        <w:rPr>
          <w:sz w:val="24"/>
          <w:szCs w:val="24"/>
        </w:rPr>
        <w:t xml:space="preserve"> and </w:t>
      </w:r>
      <w:proofErr w:type="spellStart"/>
      <w:r>
        <w:rPr>
          <w:sz w:val="24"/>
          <w:szCs w:val="24"/>
        </w:rPr>
        <w:t>Papachristou</w:t>
      </w:r>
      <w:proofErr w:type="spellEnd"/>
      <w:r>
        <w:rPr>
          <w:sz w:val="24"/>
          <w:szCs w:val="24"/>
        </w:rPr>
        <w:t xml:space="preserve">, 2019).  Bullying can be seen as strategic behaviour, in that taking opportunities to dominate victims must be balanced against the potential loss of important friends, and of note is the fact that male bullies, but not female bullies, improve their strategic decision-making </w:t>
      </w:r>
      <w:r w:rsidR="001A0289">
        <w:rPr>
          <w:sz w:val="24"/>
          <w:szCs w:val="24"/>
        </w:rPr>
        <w:t xml:space="preserve">skill </w:t>
      </w:r>
      <w:r>
        <w:rPr>
          <w:sz w:val="24"/>
          <w:szCs w:val="24"/>
        </w:rPr>
        <w:t>over time (ibid.).</w:t>
      </w:r>
    </w:p>
    <w:p w14:paraId="6250211C" w14:textId="77777777" w:rsidR="00F91581" w:rsidRDefault="00F91581" w:rsidP="00F91581">
      <w:pPr>
        <w:spacing w:line="480" w:lineRule="auto"/>
        <w:jc w:val="both"/>
        <w:rPr>
          <w:sz w:val="24"/>
          <w:szCs w:val="24"/>
        </w:rPr>
      </w:pPr>
      <w:r>
        <w:rPr>
          <w:sz w:val="24"/>
          <w:szCs w:val="24"/>
        </w:rPr>
        <w:t>Peer aggression also takes place online and it has been shown that adolescent victims of cyber-bullying are also likely to be bullied in person, although not all victims of traditional bullying are also bullied online (</w:t>
      </w:r>
      <w:proofErr w:type="spellStart"/>
      <w:r>
        <w:rPr>
          <w:sz w:val="24"/>
          <w:szCs w:val="24"/>
        </w:rPr>
        <w:t>Viau</w:t>
      </w:r>
      <w:proofErr w:type="spellEnd"/>
      <w:r>
        <w:rPr>
          <w:sz w:val="24"/>
          <w:szCs w:val="24"/>
        </w:rPr>
        <w:t xml:space="preserve">, </w:t>
      </w:r>
      <w:proofErr w:type="spellStart"/>
      <w:r>
        <w:rPr>
          <w:sz w:val="24"/>
          <w:szCs w:val="24"/>
        </w:rPr>
        <w:t>Denault</w:t>
      </w:r>
      <w:proofErr w:type="spellEnd"/>
      <w:r>
        <w:rPr>
          <w:sz w:val="24"/>
          <w:szCs w:val="24"/>
        </w:rPr>
        <w:t xml:space="preserve">, Dionne, </w:t>
      </w:r>
      <w:proofErr w:type="spellStart"/>
      <w:r>
        <w:rPr>
          <w:sz w:val="24"/>
          <w:szCs w:val="24"/>
        </w:rPr>
        <w:t>Brendgen</w:t>
      </w:r>
      <w:proofErr w:type="spellEnd"/>
      <w:r>
        <w:rPr>
          <w:sz w:val="24"/>
          <w:szCs w:val="24"/>
        </w:rPr>
        <w:t xml:space="preserve">, Geoffroy, Cote, Larose, </w:t>
      </w:r>
      <w:proofErr w:type="spellStart"/>
      <w:r>
        <w:rPr>
          <w:sz w:val="24"/>
          <w:szCs w:val="24"/>
        </w:rPr>
        <w:t>Vitaro</w:t>
      </w:r>
      <w:proofErr w:type="spellEnd"/>
      <w:r>
        <w:rPr>
          <w:sz w:val="24"/>
          <w:szCs w:val="24"/>
        </w:rPr>
        <w:t xml:space="preserve">, Tremblay and Boivin, 2020).  Although cyber-victimisation is less common than traditional bullying (estimated at 15% versus 36%), the two do tend to co-occur, and even though online victimisation tends to decrease over time, in person bullying tends to remain moderate but chronic for some teenagers and the consequences of both can be devastating (ibid.).  Being male, having both internalising and externalising problems, having a poor relationship with parents and a negative view of school all increase the likelihood of being a victim of peer aggression (ibid.). </w:t>
      </w:r>
    </w:p>
    <w:p w14:paraId="37130770" w14:textId="319C7BBE" w:rsidR="00F91581" w:rsidRDefault="00F91581" w:rsidP="00F91581">
      <w:pPr>
        <w:spacing w:line="480" w:lineRule="auto"/>
        <w:jc w:val="both"/>
        <w:rPr>
          <w:sz w:val="24"/>
          <w:szCs w:val="24"/>
        </w:rPr>
      </w:pPr>
      <w:r>
        <w:rPr>
          <w:sz w:val="24"/>
          <w:szCs w:val="24"/>
        </w:rPr>
        <w:t xml:space="preserve">There is a huge body of research into peer influence on risky adolescent behaviours; this ranges from crossing the road safely alone compared to with friends (O’Neal, Jian, Brown, Kearney and </w:t>
      </w:r>
      <w:proofErr w:type="spellStart"/>
      <w:r>
        <w:rPr>
          <w:sz w:val="24"/>
          <w:szCs w:val="24"/>
        </w:rPr>
        <w:t>Plumert</w:t>
      </w:r>
      <w:proofErr w:type="spellEnd"/>
      <w:r>
        <w:rPr>
          <w:sz w:val="24"/>
          <w:szCs w:val="24"/>
        </w:rPr>
        <w:t xml:space="preserve">, 2019, </w:t>
      </w:r>
      <w:proofErr w:type="spellStart"/>
      <w:r>
        <w:rPr>
          <w:sz w:val="24"/>
          <w:szCs w:val="24"/>
        </w:rPr>
        <w:t>Baltruschat</w:t>
      </w:r>
      <w:proofErr w:type="spellEnd"/>
      <w:r>
        <w:rPr>
          <w:sz w:val="24"/>
          <w:szCs w:val="24"/>
        </w:rPr>
        <w:t xml:space="preserve">, </w:t>
      </w:r>
      <w:proofErr w:type="spellStart"/>
      <w:r>
        <w:rPr>
          <w:sz w:val="24"/>
          <w:szCs w:val="24"/>
        </w:rPr>
        <w:t>Megias</w:t>
      </w:r>
      <w:proofErr w:type="spellEnd"/>
      <w:r>
        <w:rPr>
          <w:sz w:val="24"/>
          <w:szCs w:val="24"/>
        </w:rPr>
        <w:t>-Robles, Candido, Maldonado and Catena, 2021) to early sexual behaviour (</w:t>
      </w:r>
      <w:proofErr w:type="spellStart"/>
      <w:r>
        <w:rPr>
          <w:sz w:val="24"/>
          <w:szCs w:val="24"/>
        </w:rPr>
        <w:t>Wesche</w:t>
      </w:r>
      <w:proofErr w:type="spellEnd"/>
      <w:r>
        <w:rPr>
          <w:sz w:val="24"/>
          <w:szCs w:val="24"/>
        </w:rPr>
        <w:t xml:space="preserve">, </w:t>
      </w:r>
      <w:proofErr w:type="spellStart"/>
      <w:r>
        <w:rPr>
          <w:sz w:val="24"/>
          <w:szCs w:val="24"/>
        </w:rPr>
        <w:t>Kreager</w:t>
      </w:r>
      <w:proofErr w:type="spellEnd"/>
      <w:r>
        <w:rPr>
          <w:sz w:val="24"/>
          <w:szCs w:val="24"/>
        </w:rPr>
        <w:t xml:space="preserve">, Feinberg and Lefkowitz, 2019), how adverse childhood experiences can lead to selecting antisocial peers (Trinidad, 2021) and subsequently to developing antisocial personality disorder (Wojciechowski, 2019), to </w:t>
      </w:r>
      <w:proofErr w:type="spellStart"/>
      <w:r>
        <w:rPr>
          <w:sz w:val="24"/>
          <w:szCs w:val="24"/>
        </w:rPr>
        <w:lastRenderedPageBreak/>
        <w:t>facebook</w:t>
      </w:r>
      <w:proofErr w:type="spellEnd"/>
      <w:r>
        <w:rPr>
          <w:sz w:val="24"/>
          <w:szCs w:val="24"/>
        </w:rPr>
        <w:t xml:space="preserve"> addiction (</w:t>
      </w:r>
      <w:proofErr w:type="spellStart"/>
      <w:r>
        <w:rPr>
          <w:sz w:val="24"/>
          <w:szCs w:val="24"/>
        </w:rPr>
        <w:t>Badenes</w:t>
      </w:r>
      <w:proofErr w:type="spellEnd"/>
      <w:r>
        <w:rPr>
          <w:sz w:val="24"/>
          <w:szCs w:val="24"/>
        </w:rPr>
        <w:t xml:space="preserve">-Ribera, </w:t>
      </w:r>
      <w:proofErr w:type="spellStart"/>
      <w:r>
        <w:rPr>
          <w:sz w:val="24"/>
          <w:szCs w:val="24"/>
        </w:rPr>
        <w:t>Fabris</w:t>
      </w:r>
      <w:proofErr w:type="spellEnd"/>
      <w:r>
        <w:rPr>
          <w:sz w:val="24"/>
          <w:szCs w:val="24"/>
        </w:rPr>
        <w:t xml:space="preserve">, Gastaldi, </w:t>
      </w:r>
      <w:proofErr w:type="spellStart"/>
      <w:r>
        <w:rPr>
          <w:sz w:val="24"/>
          <w:szCs w:val="24"/>
        </w:rPr>
        <w:t>Prino</w:t>
      </w:r>
      <w:proofErr w:type="spellEnd"/>
      <w:r>
        <w:rPr>
          <w:sz w:val="24"/>
          <w:szCs w:val="24"/>
        </w:rPr>
        <w:t xml:space="preserve"> and </w:t>
      </w:r>
      <w:proofErr w:type="spellStart"/>
      <w:r>
        <w:rPr>
          <w:sz w:val="24"/>
          <w:szCs w:val="24"/>
        </w:rPr>
        <w:t>Longobardi</w:t>
      </w:r>
      <w:proofErr w:type="spellEnd"/>
      <w:r>
        <w:rPr>
          <w:sz w:val="24"/>
          <w:szCs w:val="24"/>
        </w:rPr>
        <w:t xml:space="preserve">, 2019) and more.  Much of the research points to the need for risk prevention and intervention very early in adolescence, and much of it highlights the importance of </w:t>
      </w:r>
      <w:proofErr w:type="gramStart"/>
      <w:r>
        <w:rPr>
          <w:sz w:val="24"/>
          <w:szCs w:val="24"/>
        </w:rPr>
        <w:t>high quality</w:t>
      </w:r>
      <w:proofErr w:type="gramEnd"/>
      <w:r>
        <w:rPr>
          <w:sz w:val="24"/>
          <w:szCs w:val="24"/>
        </w:rPr>
        <w:t xml:space="preserve"> peer and parental, relationships (McMahon, </w:t>
      </w:r>
      <w:proofErr w:type="spellStart"/>
      <w:r>
        <w:rPr>
          <w:sz w:val="24"/>
          <w:szCs w:val="24"/>
        </w:rPr>
        <w:t>Creaven</w:t>
      </w:r>
      <w:proofErr w:type="spellEnd"/>
      <w:r>
        <w:rPr>
          <w:sz w:val="24"/>
          <w:szCs w:val="24"/>
        </w:rPr>
        <w:t xml:space="preserve"> and Gallagher, 2020, Dorrell, </w:t>
      </w:r>
      <w:proofErr w:type="spellStart"/>
      <w:r>
        <w:rPr>
          <w:sz w:val="24"/>
          <w:szCs w:val="24"/>
        </w:rPr>
        <w:t>Berona</w:t>
      </w:r>
      <w:proofErr w:type="spellEnd"/>
      <w:r>
        <w:rPr>
          <w:sz w:val="24"/>
          <w:szCs w:val="24"/>
        </w:rPr>
        <w:t xml:space="preserve">, </w:t>
      </w:r>
      <w:proofErr w:type="spellStart"/>
      <w:r>
        <w:rPr>
          <w:sz w:val="24"/>
          <w:szCs w:val="24"/>
        </w:rPr>
        <w:t>Hipwell</w:t>
      </w:r>
      <w:proofErr w:type="spellEnd"/>
      <w:r>
        <w:rPr>
          <w:sz w:val="24"/>
          <w:szCs w:val="24"/>
        </w:rPr>
        <w:t xml:space="preserve"> and Keenan, 2021) and the need to encourage the development of prosocial behaviour (Son and Padilla-Walker, 2020).  There are clear implications for youth work here, where peer relationships and interactions can be observed and shaped into healthy elements of young people’s lives. </w:t>
      </w:r>
    </w:p>
    <w:p w14:paraId="70112C7A" w14:textId="77777777" w:rsidR="00F91581" w:rsidRDefault="00F91581" w:rsidP="00F91581">
      <w:pPr>
        <w:pStyle w:val="Heading2"/>
      </w:pPr>
      <w:bookmarkStart w:id="16" w:name="_Toc76631144"/>
      <w:r>
        <w:t>2.6 Conclusion</w:t>
      </w:r>
      <w:bookmarkEnd w:id="16"/>
    </w:p>
    <w:p w14:paraId="5DE42786" w14:textId="77777777" w:rsidR="00F91581" w:rsidRDefault="00F91581" w:rsidP="00F91581">
      <w:pPr>
        <w:spacing w:line="480" w:lineRule="auto"/>
        <w:jc w:val="both"/>
        <w:rPr>
          <w:sz w:val="24"/>
          <w:szCs w:val="24"/>
        </w:rPr>
      </w:pPr>
      <w:r>
        <w:rPr>
          <w:sz w:val="24"/>
          <w:szCs w:val="24"/>
        </w:rPr>
        <w:t>A wide review of recent literature on four themes of adolescent development in the context of risk-taking behaviour has been undertaken.  This has incorporated laboratory-based experiment and research, population-based surveys and data, meta-analyses of multiple similar studies and large-scale longitudinal research.</w:t>
      </w:r>
    </w:p>
    <w:p w14:paraId="14CD2C67" w14:textId="77777777" w:rsidR="00F91581" w:rsidRDefault="00F91581" w:rsidP="00F91581">
      <w:pPr>
        <w:spacing w:line="480" w:lineRule="auto"/>
        <w:jc w:val="both"/>
        <w:rPr>
          <w:sz w:val="24"/>
          <w:szCs w:val="24"/>
        </w:rPr>
      </w:pPr>
      <w:proofErr w:type="gramStart"/>
      <w:r>
        <w:rPr>
          <w:sz w:val="24"/>
          <w:szCs w:val="24"/>
        </w:rPr>
        <w:t>It is clear that, as well as</w:t>
      </w:r>
      <w:proofErr w:type="gramEnd"/>
      <w:r>
        <w:rPr>
          <w:sz w:val="24"/>
          <w:szCs w:val="24"/>
        </w:rPr>
        <w:t xml:space="preserve"> having an influence on and being influenced by risk-taking behaviour, there are c</w:t>
      </w:r>
      <w:r w:rsidRPr="00005499">
        <w:rPr>
          <w:sz w:val="24"/>
          <w:szCs w:val="24"/>
        </w:rPr>
        <w:t>orrelations between</w:t>
      </w:r>
      <w:r>
        <w:rPr>
          <w:sz w:val="24"/>
          <w:szCs w:val="24"/>
        </w:rPr>
        <w:t xml:space="preserve"> the themes themselves.  For instance, early puberty can influence mental health, as can peer relationships.  There are also observations and findings that occur regularly across all themes, such as the emphasis on early intervention.</w:t>
      </w:r>
    </w:p>
    <w:p w14:paraId="1E2D3467" w14:textId="77777777" w:rsidR="00F91581" w:rsidRDefault="00F91581" w:rsidP="00F91581">
      <w:pPr>
        <w:spacing w:line="480" w:lineRule="auto"/>
        <w:jc w:val="both"/>
        <w:rPr>
          <w:sz w:val="24"/>
          <w:szCs w:val="24"/>
        </w:rPr>
      </w:pPr>
      <w:r>
        <w:rPr>
          <w:sz w:val="24"/>
          <w:szCs w:val="24"/>
        </w:rPr>
        <w:t xml:space="preserve">It must be remembered that this literature review has only focussed on four aspects of adolescence amongst many that can influence risk-taking behaviour.  Other themes could have been reviewed too, such as the role played by gender, </w:t>
      </w:r>
      <w:r w:rsidRPr="00005499">
        <w:rPr>
          <w:sz w:val="24"/>
          <w:szCs w:val="24"/>
        </w:rPr>
        <w:t>‘girls having higher engagement in tobacco smoking, self</w:t>
      </w:r>
      <w:r>
        <w:rPr>
          <w:sz w:val="24"/>
          <w:szCs w:val="24"/>
        </w:rPr>
        <w:t>-</w:t>
      </w:r>
      <w:r w:rsidRPr="00005499">
        <w:rPr>
          <w:sz w:val="24"/>
          <w:szCs w:val="24"/>
        </w:rPr>
        <w:t>harm and a lack of physical activity’ (Kipping et al., 2012</w:t>
      </w:r>
      <w:r>
        <w:rPr>
          <w:sz w:val="24"/>
          <w:szCs w:val="24"/>
        </w:rPr>
        <w:t>, pi1</w:t>
      </w:r>
      <w:r w:rsidRPr="00005499">
        <w:rPr>
          <w:sz w:val="24"/>
          <w:szCs w:val="24"/>
        </w:rPr>
        <w:t>) and boys more involved in ‘anti-social and criminal behaviours, cannabis use and vehicle-related risk behaviours’ (ibid.</w:t>
      </w:r>
      <w:r>
        <w:rPr>
          <w:sz w:val="24"/>
          <w:szCs w:val="24"/>
        </w:rPr>
        <w:t>, pi1</w:t>
      </w:r>
      <w:r w:rsidRPr="00005499">
        <w:rPr>
          <w:sz w:val="24"/>
          <w:szCs w:val="24"/>
        </w:rPr>
        <w:t>)</w:t>
      </w:r>
      <w:r>
        <w:rPr>
          <w:sz w:val="24"/>
          <w:szCs w:val="24"/>
        </w:rPr>
        <w:t>.</w:t>
      </w:r>
      <w:r w:rsidRPr="00005499">
        <w:rPr>
          <w:sz w:val="24"/>
          <w:szCs w:val="24"/>
        </w:rPr>
        <w:t xml:space="preserve">  </w:t>
      </w:r>
    </w:p>
    <w:p w14:paraId="474003BF" w14:textId="1428504C" w:rsidR="00F91581" w:rsidRDefault="00F91581" w:rsidP="00F91581">
      <w:pPr>
        <w:spacing w:line="480" w:lineRule="auto"/>
        <w:jc w:val="both"/>
        <w:rPr>
          <w:sz w:val="24"/>
          <w:szCs w:val="24"/>
        </w:rPr>
      </w:pPr>
      <w:r>
        <w:rPr>
          <w:sz w:val="24"/>
          <w:szCs w:val="24"/>
        </w:rPr>
        <w:lastRenderedPageBreak/>
        <w:t xml:space="preserve">However, the next chapter will discuss the significance of the four themes studied, cognitive development, puberty, mental health and peer influence, and this will be framed in a youth work and social education context. </w:t>
      </w:r>
    </w:p>
    <w:p w14:paraId="02DF294D" w14:textId="77777777" w:rsidR="00696D1F" w:rsidRDefault="00696D1F">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4CDA49B3" w14:textId="06A8555B" w:rsidR="00696D1F" w:rsidRPr="00345F04" w:rsidRDefault="00696D1F" w:rsidP="00696D1F">
      <w:pPr>
        <w:keepNext/>
        <w:keepLines/>
        <w:spacing w:before="240" w:after="0"/>
        <w:outlineLvl w:val="0"/>
        <w:rPr>
          <w:rFonts w:asciiTheme="majorHAnsi" w:eastAsiaTheme="majorEastAsia" w:hAnsiTheme="majorHAnsi" w:cstheme="majorBidi"/>
          <w:b/>
          <w:bCs/>
          <w:color w:val="2F5496" w:themeColor="accent1" w:themeShade="BF"/>
          <w:sz w:val="32"/>
          <w:szCs w:val="32"/>
        </w:rPr>
      </w:pPr>
      <w:bookmarkStart w:id="17" w:name="_Toc76631145"/>
      <w:r w:rsidRPr="00345F04">
        <w:rPr>
          <w:rFonts w:asciiTheme="majorHAnsi" w:eastAsiaTheme="majorEastAsia" w:hAnsiTheme="majorHAnsi" w:cstheme="majorBidi"/>
          <w:b/>
          <w:bCs/>
          <w:color w:val="2F5496" w:themeColor="accent1" w:themeShade="BF"/>
          <w:sz w:val="32"/>
          <w:szCs w:val="32"/>
        </w:rPr>
        <w:lastRenderedPageBreak/>
        <w:t>3.0 Discussion</w:t>
      </w:r>
      <w:bookmarkEnd w:id="17"/>
    </w:p>
    <w:p w14:paraId="7620D9A5" w14:textId="77777777" w:rsidR="00A565C5" w:rsidRPr="00A565C5" w:rsidRDefault="00696D1F" w:rsidP="00A565C5">
      <w:pPr>
        <w:spacing w:line="480" w:lineRule="auto"/>
        <w:jc w:val="both"/>
        <w:rPr>
          <w:i/>
          <w:iCs/>
          <w:sz w:val="24"/>
          <w:szCs w:val="24"/>
        </w:rPr>
      </w:pPr>
      <w:r w:rsidRPr="00696D1F">
        <w:rPr>
          <w:sz w:val="24"/>
          <w:szCs w:val="24"/>
        </w:rPr>
        <w:t>The literature review in Chapter 2 focussed on four elements of adolescent development that influence risk-taking behaviour, the aim being to identify potential predictors of hazardous behaviour to support the author’s study question, ‘</w:t>
      </w:r>
      <w:r w:rsidR="00A565C5" w:rsidRPr="00A565C5">
        <w:rPr>
          <w:i/>
          <w:iCs/>
          <w:sz w:val="24"/>
          <w:szCs w:val="24"/>
        </w:rPr>
        <w:t xml:space="preserve">To what extent do cognitive development, puberty, mental health and peers influence children and young people’s risk-taking behaviours, and how can the conclusions drawn be used to inform youth work practice? </w:t>
      </w:r>
    </w:p>
    <w:p w14:paraId="6D4A2C05" w14:textId="5BB23E66" w:rsidR="00696D1F" w:rsidRPr="00696D1F" w:rsidRDefault="00696D1F" w:rsidP="00696D1F">
      <w:pPr>
        <w:spacing w:line="480" w:lineRule="auto"/>
        <w:jc w:val="both"/>
        <w:rPr>
          <w:sz w:val="24"/>
          <w:szCs w:val="24"/>
        </w:rPr>
      </w:pPr>
      <w:r w:rsidRPr="00696D1F">
        <w:rPr>
          <w:sz w:val="24"/>
          <w:szCs w:val="24"/>
        </w:rPr>
        <w:t>It could with equal validity have approached the topic by taking high risk behaviours themselves as themes, perhaps unsafe sex, smoking and self-harm, and examined them for connections with adolescent development.  However, the author now draws the salient points from the research undertaken around the themes of cognition, puberty, mental health and peer influence.</w:t>
      </w:r>
    </w:p>
    <w:p w14:paraId="5187AD68" w14:textId="1E7A4EF8" w:rsidR="00696D1F" w:rsidRPr="00696D1F" w:rsidRDefault="00696D1F" w:rsidP="00696D1F">
      <w:pPr>
        <w:spacing w:line="480" w:lineRule="auto"/>
        <w:jc w:val="both"/>
        <w:rPr>
          <w:sz w:val="24"/>
          <w:szCs w:val="24"/>
        </w:rPr>
      </w:pPr>
      <w:r w:rsidRPr="00696D1F">
        <w:rPr>
          <w:sz w:val="24"/>
          <w:szCs w:val="24"/>
        </w:rPr>
        <w:t>The developing adolescent brain leads to a physical imbalance between areas of the brain responsible for judgement and decision making versus impulses and emotions, and this means that adolescent cognition is markedly different from both that of childhood and that of adulthood.  Self-control is not easy for adolescents, nor are emotional self-regulation, interpersonal emotion regulation and social cognition, the ability to understand others.  These developmental vulnerabilities can lead to risky decision</w:t>
      </w:r>
      <w:r w:rsidR="002439DD">
        <w:rPr>
          <w:sz w:val="24"/>
          <w:szCs w:val="24"/>
        </w:rPr>
        <w:t xml:space="preserve">s </w:t>
      </w:r>
      <w:r w:rsidRPr="00696D1F">
        <w:rPr>
          <w:sz w:val="24"/>
          <w:szCs w:val="24"/>
        </w:rPr>
        <w:t>and potentially harmful behaviour, which can be seen to peak at around ages 14 to 15 (</w:t>
      </w:r>
      <w:proofErr w:type="spellStart"/>
      <w:r w:rsidRPr="00696D1F">
        <w:rPr>
          <w:sz w:val="24"/>
          <w:szCs w:val="24"/>
        </w:rPr>
        <w:t>Prins</w:t>
      </w:r>
      <w:proofErr w:type="spellEnd"/>
      <w:r w:rsidRPr="00696D1F">
        <w:rPr>
          <w:sz w:val="24"/>
          <w:szCs w:val="24"/>
        </w:rPr>
        <w:t xml:space="preserve"> et al., 2021).  Young people with non-neurotypical disorders such as </w:t>
      </w:r>
      <w:r w:rsidR="00DE1306">
        <w:rPr>
          <w:sz w:val="24"/>
          <w:szCs w:val="24"/>
        </w:rPr>
        <w:t>CD</w:t>
      </w:r>
      <w:r w:rsidRPr="00696D1F">
        <w:rPr>
          <w:sz w:val="24"/>
          <w:szCs w:val="24"/>
        </w:rPr>
        <w:t>,</w:t>
      </w:r>
      <w:r w:rsidR="00DE1306">
        <w:rPr>
          <w:sz w:val="24"/>
          <w:szCs w:val="24"/>
        </w:rPr>
        <w:t xml:space="preserve"> ODD</w:t>
      </w:r>
      <w:r w:rsidRPr="00696D1F">
        <w:rPr>
          <w:sz w:val="24"/>
          <w:szCs w:val="24"/>
        </w:rPr>
        <w:t xml:space="preserve"> or </w:t>
      </w:r>
      <w:r w:rsidR="002439DD">
        <w:rPr>
          <w:sz w:val="24"/>
          <w:szCs w:val="24"/>
        </w:rPr>
        <w:t>ADHD</w:t>
      </w:r>
      <w:r w:rsidRPr="00696D1F">
        <w:rPr>
          <w:sz w:val="24"/>
          <w:szCs w:val="24"/>
        </w:rPr>
        <w:t xml:space="preserve"> are particularly vulnerable.   ADHD-afflicted young people are more than twice as likely to display physical aggression and three times as likely to be expelled from school, to drink problematically and to attempt suicide (Sultan, Liu, Hacker and </w:t>
      </w:r>
      <w:proofErr w:type="spellStart"/>
      <w:r w:rsidRPr="00696D1F">
        <w:rPr>
          <w:sz w:val="24"/>
          <w:szCs w:val="24"/>
        </w:rPr>
        <w:t>Olfson</w:t>
      </w:r>
      <w:proofErr w:type="spellEnd"/>
      <w:r w:rsidRPr="00696D1F">
        <w:rPr>
          <w:sz w:val="24"/>
          <w:szCs w:val="24"/>
        </w:rPr>
        <w:t>, 2021).</w:t>
      </w:r>
    </w:p>
    <w:p w14:paraId="5D1456B5" w14:textId="77777777" w:rsidR="00696D1F" w:rsidRPr="00696D1F" w:rsidRDefault="00696D1F" w:rsidP="00696D1F">
      <w:pPr>
        <w:spacing w:line="480" w:lineRule="auto"/>
        <w:jc w:val="both"/>
        <w:rPr>
          <w:sz w:val="24"/>
          <w:szCs w:val="24"/>
        </w:rPr>
      </w:pPr>
      <w:r w:rsidRPr="00696D1F">
        <w:rPr>
          <w:sz w:val="24"/>
          <w:szCs w:val="24"/>
        </w:rPr>
        <w:lastRenderedPageBreak/>
        <w:t>Puberty is starting earlier worldwide, noticeably for girls, and early puberty is associated with negative mental health and harmful behaviours.  The risky decisions and impulsivity linked to immature cognition elevate the risk of potentially harmful behaviour when combined with early puberty.</w:t>
      </w:r>
    </w:p>
    <w:p w14:paraId="704F351E" w14:textId="1F478803" w:rsidR="00696D1F" w:rsidRPr="00696D1F" w:rsidRDefault="00696D1F" w:rsidP="00696D1F">
      <w:pPr>
        <w:spacing w:line="480" w:lineRule="auto"/>
        <w:jc w:val="both"/>
        <w:rPr>
          <w:sz w:val="24"/>
          <w:szCs w:val="24"/>
        </w:rPr>
      </w:pPr>
      <w:r w:rsidRPr="00696D1F">
        <w:rPr>
          <w:sz w:val="24"/>
          <w:szCs w:val="24"/>
        </w:rPr>
        <w:t xml:space="preserve">There is a bi-directional relationship between risk-taking behaviour and poorer mental health, each potentially </w:t>
      </w:r>
      <w:r w:rsidR="002439DD">
        <w:rPr>
          <w:sz w:val="24"/>
          <w:szCs w:val="24"/>
        </w:rPr>
        <w:t>escalating</w:t>
      </w:r>
      <w:r w:rsidRPr="00696D1F">
        <w:rPr>
          <w:sz w:val="24"/>
          <w:szCs w:val="24"/>
        </w:rPr>
        <w:t xml:space="preserve"> the other.  Earlier intervention and prevention are emphasised for pre-adolescents with symptoms of adverse mental health.  Particular attention needs to be paid to those young people who are in sexual minorities or underprivileged communities.  There are still conflicting findings regarding the role of social media in adolescent mental health, but the scale of its significance in their lives demands further attention. </w:t>
      </w:r>
    </w:p>
    <w:p w14:paraId="29B5B829" w14:textId="1742AD12" w:rsidR="00696D1F" w:rsidRPr="00696D1F" w:rsidRDefault="00696D1F" w:rsidP="00696D1F">
      <w:pPr>
        <w:spacing w:line="480" w:lineRule="auto"/>
        <w:jc w:val="both"/>
        <w:rPr>
          <w:sz w:val="24"/>
          <w:szCs w:val="24"/>
        </w:rPr>
      </w:pPr>
      <w:r w:rsidRPr="00696D1F">
        <w:rPr>
          <w:sz w:val="24"/>
          <w:szCs w:val="24"/>
        </w:rPr>
        <w:t>Peer influences can be both negative and positive, active or passive, and passive peer influence has a greater effect on both boys and girls.  Adolescent risky behaviours can be contagious through observation, expectation, knowledge or presence of peers, and so peer selection is an important area</w:t>
      </w:r>
      <w:r w:rsidR="002439DD">
        <w:rPr>
          <w:sz w:val="24"/>
          <w:szCs w:val="24"/>
        </w:rPr>
        <w:t xml:space="preserve"> </w:t>
      </w:r>
      <w:r w:rsidRPr="00696D1F">
        <w:rPr>
          <w:sz w:val="24"/>
          <w:szCs w:val="24"/>
        </w:rPr>
        <w:t>to focus on.  Negative peer interactions such as bullying and name calling, online and off, continue to jeopardise adolescent mental health and wellbeing outcomes and remain as key items for prevention in work with children and young people.</w:t>
      </w:r>
    </w:p>
    <w:p w14:paraId="3B66C4E7" w14:textId="0025FD5F" w:rsidR="00696D1F" w:rsidRPr="00696D1F" w:rsidRDefault="00696D1F" w:rsidP="00696D1F">
      <w:pPr>
        <w:spacing w:line="480" w:lineRule="auto"/>
        <w:jc w:val="both"/>
        <w:rPr>
          <w:sz w:val="24"/>
          <w:szCs w:val="24"/>
        </w:rPr>
      </w:pPr>
      <w:r w:rsidRPr="00696D1F">
        <w:rPr>
          <w:sz w:val="24"/>
          <w:szCs w:val="24"/>
        </w:rPr>
        <w:t>With the above key points in mind, how then can youth workers identify those children and young people who are most likely to engage in harmful risk behaviours?  Youth centres are not equipped with fMRI scanners to examine brain activity, nor with laboratories within which risk-taking experiments can be undertaken.  Nor might questionnaire-based risk assessments such as the Risky Behaviour Questionnaire for Adolescents</w:t>
      </w:r>
      <w:r w:rsidR="00DB10F0">
        <w:rPr>
          <w:sz w:val="24"/>
          <w:szCs w:val="24"/>
        </w:rPr>
        <w:t xml:space="preserve"> (RBQ-A)</w:t>
      </w:r>
      <w:r w:rsidRPr="00696D1F">
        <w:rPr>
          <w:sz w:val="24"/>
          <w:szCs w:val="24"/>
        </w:rPr>
        <w:t xml:space="preserve"> (Auerbach and Gardiner, 2012), provided in </w:t>
      </w:r>
      <w:r w:rsidRPr="00F202AC">
        <w:rPr>
          <w:color w:val="auto"/>
          <w:sz w:val="24"/>
          <w:szCs w:val="24"/>
        </w:rPr>
        <w:t xml:space="preserve">Appendix </w:t>
      </w:r>
      <w:r w:rsidR="00F202AC">
        <w:rPr>
          <w:color w:val="auto"/>
          <w:sz w:val="24"/>
          <w:szCs w:val="24"/>
        </w:rPr>
        <w:t>2</w:t>
      </w:r>
      <w:r w:rsidRPr="00F202AC">
        <w:rPr>
          <w:color w:val="auto"/>
          <w:sz w:val="24"/>
          <w:szCs w:val="24"/>
        </w:rPr>
        <w:t xml:space="preserve">, </w:t>
      </w:r>
      <w:r w:rsidRPr="00696D1F">
        <w:rPr>
          <w:sz w:val="24"/>
          <w:szCs w:val="24"/>
        </w:rPr>
        <w:t xml:space="preserve">or psychosocial screening be appropriate.  Everything points </w:t>
      </w:r>
      <w:r w:rsidRPr="00696D1F">
        <w:rPr>
          <w:sz w:val="24"/>
          <w:szCs w:val="24"/>
        </w:rPr>
        <w:lastRenderedPageBreak/>
        <w:t>to the youth workers’ relationships with young people: knowing them well, knowing about their family life, understanding their school experiences, their friendship groups and more.  Sufficient trust must be built for young people to share all of this, and the principles of voluntary engagement, empowerment, equality and inclusion (YWWRG, 2018) are essential to build this.</w:t>
      </w:r>
    </w:p>
    <w:p w14:paraId="709C9ABF" w14:textId="77777777" w:rsidR="00696D1F" w:rsidRPr="00696D1F" w:rsidRDefault="00696D1F" w:rsidP="00696D1F">
      <w:pPr>
        <w:spacing w:line="480" w:lineRule="auto"/>
        <w:jc w:val="both"/>
        <w:rPr>
          <w:sz w:val="24"/>
          <w:szCs w:val="24"/>
        </w:rPr>
      </w:pPr>
      <w:r w:rsidRPr="00696D1F">
        <w:rPr>
          <w:sz w:val="24"/>
          <w:szCs w:val="24"/>
        </w:rPr>
        <w:t>However, in order to identify those children and young people who are potentially going to become high risk takers, youth workers need to allocate time for reflection and thought, to think about what is known about the young person against the backdrop of significant points drawn from recent research.  Does the young person have a diagnosis of a disorder such as ADHD?  What is known of their behaviour to date? Are they highly intelligent?  Perhaps an early developer?  Do they exhibit externalising or internalising behaviours of concern?  It might be too early to know, but are they in a sexual minority?  How does their peer group behave?  How is their home life and how positive is their relationship with their parent(s)?  Do you know of any adverse childhood experiences they may have suffered?</w:t>
      </w:r>
    </w:p>
    <w:p w14:paraId="42E98081" w14:textId="77777777" w:rsidR="00696D1F" w:rsidRPr="00696D1F" w:rsidRDefault="00696D1F" w:rsidP="00696D1F">
      <w:pPr>
        <w:spacing w:line="480" w:lineRule="auto"/>
        <w:jc w:val="both"/>
        <w:rPr>
          <w:sz w:val="24"/>
          <w:szCs w:val="24"/>
        </w:rPr>
      </w:pPr>
      <w:r w:rsidRPr="00696D1F">
        <w:rPr>
          <w:sz w:val="24"/>
          <w:szCs w:val="24"/>
        </w:rPr>
        <w:t>Like a mental risk assessment, the aim is to identify the hazards (predictors) from the list and to see how many there are in co-existence, then to assess the weight of these against protective factors you are aware of.  These might include good family communication and school connectedness (</w:t>
      </w:r>
      <w:proofErr w:type="spellStart"/>
      <w:r w:rsidRPr="00696D1F">
        <w:rPr>
          <w:sz w:val="24"/>
          <w:szCs w:val="24"/>
        </w:rPr>
        <w:t>Lensch</w:t>
      </w:r>
      <w:proofErr w:type="spellEnd"/>
      <w:r w:rsidRPr="00696D1F">
        <w:rPr>
          <w:sz w:val="24"/>
          <w:szCs w:val="24"/>
        </w:rPr>
        <w:t xml:space="preserve">, Clements-Nolle, Oman, Evans, </w:t>
      </w:r>
      <w:proofErr w:type="spellStart"/>
      <w:r w:rsidRPr="00696D1F">
        <w:rPr>
          <w:sz w:val="24"/>
          <w:szCs w:val="24"/>
        </w:rPr>
        <w:t>Minggen</w:t>
      </w:r>
      <w:proofErr w:type="spellEnd"/>
      <w:r w:rsidRPr="00696D1F">
        <w:rPr>
          <w:sz w:val="24"/>
          <w:szCs w:val="24"/>
        </w:rPr>
        <w:t xml:space="preserve"> and Yang, 2020) and participation in positive leisure activities and social networks (</w:t>
      </w:r>
      <w:proofErr w:type="spellStart"/>
      <w:r w:rsidRPr="00696D1F">
        <w:rPr>
          <w:sz w:val="24"/>
          <w:szCs w:val="24"/>
        </w:rPr>
        <w:t>Ati</w:t>
      </w:r>
      <w:proofErr w:type="spellEnd"/>
      <w:r w:rsidRPr="00696D1F">
        <w:rPr>
          <w:sz w:val="24"/>
          <w:szCs w:val="24"/>
        </w:rPr>
        <w:t xml:space="preserve">, </w:t>
      </w:r>
      <w:proofErr w:type="spellStart"/>
      <w:r w:rsidRPr="00696D1F">
        <w:rPr>
          <w:sz w:val="24"/>
          <w:szCs w:val="24"/>
        </w:rPr>
        <w:t>Paraswati</w:t>
      </w:r>
      <w:proofErr w:type="spellEnd"/>
      <w:r w:rsidRPr="00696D1F">
        <w:rPr>
          <w:sz w:val="24"/>
          <w:szCs w:val="24"/>
        </w:rPr>
        <w:t xml:space="preserve"> and </w:t>
      </w:r>
      <w:proofErr w:type="spellStart"/>
      <w:r w:rsidRPr="00696D1F">
        <w:rPr>
          <w:sz w:val="24"/>
          <w:szCs w:val="24"/>
        </w:rPr>
        <w:t>Windarwati</w:t>
      </w:r>
      <w:proofErr w:type="spellEnd"/>
      <w:r w:rsidRPr="00696D1F">
        <w:rPr>
          <w:sz w:val="24"/>
          <w:szCs w:val="24"/>
        </w:rPr>
        <w:t xml:space="preserve">, 2020).  So long as you have plenty of knowledge of the young person to think about, the result should be a balanced view of how likely that young person is to make a poor choice, take a </w:t>
      </w:r>
      <w:r w:rsidRPr="00696D1F">
        <w:rPr>
          <w:sz w:val="24"/>
          <w:szCs w:val="24"/>
        </w:rPr>
        <w:lastRenderedPageBreak/>
        <w:t>silly risk or put themself and/or others in harm’s way.  Then you need to consider whether and how to intervene.</w:t>
      </w:r>
    </w:p>
    <w:p w14:paraId="12F3BD17" w14:textId="77777777" w:rsidR="00696D1F" w:rsidRPr="00696D1F" w:rsidRDefault="00696D1F" w:rsidP="00696D1F">
      <w:pPr>
        <w:spacing w:line="480" w:lineRule="auto"/>
        <w:jc w:val="both"/>
        <w:rPr>
          <w:sz w:val="24"/>
          <w:szCs w:val="24"/>
        </w:rPr>
      </w:pPr>
      <w:r w:rsidRPr="00696D1F">
        <w:rPr>
          <w:sz w:val="24"/>
          <w:szCs w:val="24"/>
        </w:rPr>
        <w:t>There will, of course, be many other predictors that have not been drawn from this literature review that could help with building a complete picture.   For instance, if parental influence had been chosen as a theme for this review, then additional predictors could have been added.  For example, elder daughters of socially deviant fathers, with whom they live, can be predicted to engage in substance use and risky sexual behaviour in adolescence (</w:t>
      </w:r>
      <w:proofErr w:type="spellStart"/>
      <w:r w:rsidRPr="00696D1F">
        <w:rPr>
          <w:sz w:val="24"/>
          <w:szCs w:val="24"/>
        </w:rPr>
        <w:t>DelPriore</w:t>
      </w:r>
      <w:proofErr w:type="spellEnd"/>
      <w:r w:rsidRPr="00696D1F">
        <w:rPr>
          <w:sz w:val="24"/>
          <w:szCs w:val="24"/>
        </w:rPr>
        <w:t xml:space="preserve">, </w:t>
      </w:r>
      <w:proofErr w:type="spellStart"/>
      <w:r w:rsidRPr="00696D1F">
        <w:rPr>
          <w:sz w:val="24"/>
          <w:szCs w:val="24"/>
        </w:rPr>
        <w:t>Brener</w:t>
      </w:r>
      <w:proofErr w:type="spellEnd"/>
      <w:r w:rsidRPr="00696D1F">
        <w:rPr>
          <w:sz w:val="24"/>
          <w:szCs w:val="24"/>
        </w:rPr>
        <w:t>, Hill and Ellis, 2020), and pre-adolescents under age 13 who have a diagnosed depressive disorder as well as mood disordered parents are three times more likely to engage in suicidal behaviour (</w:t>
      </w:r>
      <w:proofErr w:type="spellStart"/>
      <w:r w:rsidRPr="00696D1F">
        <w:rPr>
          <w:sz w:val="24"/>
          <w:szCs w:val="24"/>
        </w:rPr>
        <w:t>Zelazny</w:t>
      </w:r>
      <w:proofErr w:type="spellEnd"/>
      <w:r w:rsidRPr="00696D1F">
        <w:rPr>
          <w:sz w:val="24"/>
          <w:szCs w:val="24"/>
        </w:rPr>
        <w:t xml:space="preserve">, Stanley, Porta, Mann, Oquendo, </w:t>
      </w:r>
      <w:proofErr w:type="spellStart"/>
      <w:r w:rsidRPr="00696D1F">
        <w:rPr>
          <w:sz w:val="24"/>
          <w:szCs w:val="24"/>
        </w:rPr>
        <w:t>Birmaher</w:t>
      </w:r>
      <w:proofErr w:type="spellEnd"/>
      <w:r w:rsidRPr="00696D1F">
        <w:rPr>
          <w:sz w:val="24"/>
          <w:szCs w:val="24"/>
        </w:rPr>
        <w:t xml:space="preserve">, </w:t>
      </w:r>
      <w:proofErr w:type="spellStart"/>
      <w:r w:rsidRPr="00696D1F">
        <w:rPr>
          <w:sz w:val="24"/>
          <w:szCs w:val="24"/>
        </w:rPr>
        <w:t>Melhem</w:t>
      </w:r>
      <w:proofErr w:type="spellEnd"/>
      <w:r w:rsidRPr="00696D1F">
        <w:rPr>
          <w:sz w:val="24"/>
          <w:szCs w:val="24"/>
        </w:rPr>
        <w:t xml:space="preserve"> and Brent, 2021).  Emerging research in the USA is considering the use of the electronic health records of mothers and their children to predict their child(ren)’s later adolescent drug and alcohol use (Chi, </w:t>
      </w:r>
      <w:proofErr w:type="spellStart"/>
      <w:r w:rsidRPr="00696D1F">
        <w:rPr>
          <w:sz w:val="24"/>
          <w:szCs w:val="24"/>
        </w:rPr>
        <w:t>Alexeeff</w:t>
      </w:r>
      <w:proofErr w:type="spellEnd"/>
      <w:r w:rsidRPr="00696D1F">
        <w:rPr>
          <w:sz w:val="24"/>
          <w:szCs w:val="24"/>
        </w:rPr>
        <w:t xml:space="preserve">, </w:t>
      </w:r>
      <w:proofErr w:type="spellStart"/>
      <w:r w:rsidRPr="00696D1F">
        <w:rPr>
          <w:sz w:val="24"/>
          <w:szCs w:val="24"/>
        </w:rPr>
        <w:t>Ahmedani</w:t>
      </w:r>
      <w:proofErr w:type="spellEnd"/>
      <w:r w:rsidRPr="00696D1F">
        <w:rPr>
          <w:sz w:val="24"/>
          <w:szCs w:val="24"/>
        </w:rPr>
        <w:t xml:space="preserve">, </w:t>
      </w:r>
      <w:proofErr w:type="spellStart"/>
      <w:r w:rsidRPr="00696D1F">
        <w:rPr>
          <w:sz w:val="24"/>
          <w:szCs w:val="24"/>
        </w:rPr>
        <w:t>Boscarino</w:t>
      </w:r>
      <w:proofErr w:type="spellEnd"/>
      <w:r w:rsidRPr="00696D1F">
        <w:rPr>
          <w:sz w:val="24"/>
          <w:szCs w:val="24"/>
        </w:rPr>
        <w:t xml:space="preserve">, </w:t>
      </w:r>
      <w:proofErr w:type="spellStart"/>
      <w:r w:rsidRPr="00696D1F">
        <w:rPr>
          <w:sz w:val="24"/>
          <w:szCs w:val="24"/>
        </w:rPr>
        <w:t>Waitzfelder</w:t>
      </w:r>
      <w:proofErr w:type="spellEnd"/>
      <w:r w:rsidRPr="00696D1F">
        <w:rPr>
          <w:sz w:val="24"/>
          <w:szCs w:val="24"/>
        </w:rPr>
        <w:t>, Dugan, Frankland, Hu, Loree and Sterling, 2021).</w:t>
      </w:r>
    </w:p>
    <w:p w14:paraId="2BA9E83C" w14:textId="77777777" w:rsidR="00696D1F" w:rsidRPr="00696D1F" w:rsidRDefault="00696D1F" w:rsidP="00696D1F">
      <w:pPr>
        <w:spacing w:line="480" w:lineRule="auto"/>
        <w:jc w:val="both"/>
        <w:rPr>
          <w:sz w:val="24"/>
          <w:szCs w:val="24"/>
        </w:rPr>
      </w:pPr>
      <w:r w:rsidRPr="00696D1F">
        <w:rPr>
          <w:sz w:val="24"/>
          <w:szCs w:val="24"/>
        </w:rPr>
        <w:t xml:space="preserve">Experienced youth workers might at this point ask, ‘What are you telling me that I didn’t already know?’, having benefitted from lots of experience working with young people and having developed a keen instinct for spotting potential delinquency.  The point to be made is that broader and deeper research is being produced constantly, new cohorts of young people are being recruited into research, new global databases are being populated with data and new insights can be surprising, so it is worth keeping up to date.  Trainee youth workers might find the information and predictors provided here useful to inform their developing practice.  </w:t>
      </w:r>
      <w:r w:rsidRPr="00696D1F">
        <w:rPr>
          <w:sz w:val="24"/>
          <w:szCs w:val="24"/>
        </w:rPr>
        <w:lastRenderedPageBreak/>
        <w:t>Those with no youth work knowledge or experience might be fascinated by some of the findings and gain a better understanding and acceptance of adolescent risk-taking behaviours.</w:t>
      </w:r>
    </w:p>
    <w:p w14:paraId="303F0736" w14:textId="77777777" w:rsidR="00696D1F" w:rsidRPr="00696D1F" w:rsidRDefault="00696D1F" w:rsidP="00696D1F">
      <w:pPr>
        <w:spacing w:line="480" w:lineRule="auto"/>
        <w:jc w:val="both"/>
        <w:rPr>
          <w:sz w:val="24"/>
          <w:szCs w:val="24"/>
        </w:rPr>
      </w:pPr>
      <w:r w:rsidRPr="00696D1F">
        <w:rPr>
          <w:sz w:val="24"/>
          <w:szCs w:val="24"/>
        </w:rPr>
        <w:t xml:space="preserve">It has been stated that ‘Common predictors of risky behaviours include being male, living in a single headed household, parental substance use, and having reached puberty’ (Fitzsimons, Jackman, </w:t>
      </w:r>
      <w:proofErr w:type="spellStart"/>
      <w:r w:rsidRPr="00696D1F">
        <w:rPr>
          <w:sz w:val="24"/>
          <w:szCs w:val="24"/>
        </w:rPr>
        <w:t>Kyprianides</w:t>
      </w:r>
      <w:proofErr w:type="spellEnd"/>
      <w:r w:rsidRPr="00696D1F">
        <w:rPr>
          <w:sz w:val="24"/>
          <w:szCs w:val="24"/>
        </w:rPr>
        <w:t xml:space="preserve"> and </w:t>
      </w:r>
      <w:proofErr w:type="spellStart"/>
      <w:r w:rsidRPr="00696D1F">
        <w:rPr>
          <w:sz w:val="24"/>
          <w:szCs w:val="24"/>
        </w:rPr>
        <w:t>Villadsen</w:t>
      </w:r>
      <w:proofErr w:type="spellEnd"/>
      <w:r w:rsidRPr="00696D1F">
        <w:rPr>
          <w:sz w:val="24"/>
          <w:szCs w:val="24"/>
        </w:rPr>
        <w:t>, 2018, p51).  The author considers this to be a bold statement that produces a rather black and white profile of the type of young person to look out for.  It almost encourages a ‘Where’s Wally?’ approach to youth work.  While the indicators do indeed line up with the predictors identified in this literature review, it could be very distracting from good youth work to be constantly seeking out the boy wearing the red and white striped top.  What about the other boys, and what about the girls?</w:t>
      </w:r>
    </w:p>
    <w:p w14:paraId="162706C4" w14:textId="77777777" w:rsidR="00A565C5" w:rsidRPr="00A565C5" w:rsidRDefault="00696D1F" w:rsidP="00A565C5">
      <w:pPr>
        <w:spacing w:line="480" w:lineRule="auto"/>
        <w:jc w:val="both"/>
        <w:rPr>
          <w:i/>
          <w:iCs/>
          <w:sz w:val="24"/>
          <w:szCs w:val="24"/>
        </w:rPr>
      </w:pPr>
      <w:r w:rsidRPr="00696D1F">
        <w:rPr>
          <w:sz w:val="24"/>
          <w:szCs w:val="24"/>
        </w:rPr>
        <w:t>The final chapter of this dissertations draws conclusions regarding the research question posed and the literature review undertaken and makes recommendations for youth work practice that have been gleaned from this study, which was ‘</w:t>
      </w:r>
      <w:r w:rsidR="00A565C5" w:rsidRPr="00A565C5">
        <w:rPr>
          <w:i/>
          <w:iCs/>
          <w:sz w:val="24"/>
          <w:szCs w:val="24"/>
        </w:rPr>
        <w:t xml:space="preserve">To what extent do cognitive development, puberty, mental health and peers influence children and young people’s risk-taking behaviours, and how can the conclusions drawn be used to inform youth work practice? </w:t>
      </w:r>
    </w:p>
    <w:p w14:paraId="7D046C0B" w14:textId="723B5548" w:rsidR="00696D1F" w:rsidRPr="00696D1F" w:rsidRDefault="00696D1F" w:rsidP="00696D1F">
      <w:pPr>
        <w:spacing w:line="480" w:lineRule="auto"/>
        <w:jc w:val="both"/>
      </w:pPr>
    </w:p>
    <w:p w14:paraId="483BD087" w14:textId="77777777" w:rsidR="00356E1A" w:rsidRDefault="00356E1A">
      <w:pPr>
        <w:rPr>
          <w:rFonts w:asciiTheme="majorHAnsi" w:eastAsiaTheme="majorEastAsia" w:hAnsiTheme="majorHAnsi" w:cstheme="majorBidi"/>
          <w:color w:val="2F5496" w:themeColor="accent1" w:themeShade="BF"/>
          <w:sz w:val="32"/>
          <w:szCs w:val="32"/>
        </w:rPr>
      </w:pPr>
      <w:r>
        <w:br w:type="page"/>
      </w:r>
    </w:p>
    <w:p w14:paraId="4C3885D1" w14:textId="1F6030C6" w:rsidR="00356E1A" w:rsidRPr="00356E1A" w:rsidRDefault="00356E1A" w:rsidP="00356E1A">
      <w:pPr>
        <w:pStyle w:val="Heading1"/>
        <w:rPr>
          <w:b/>
          <w:bCs/>
        </w:rPr>
      </w:pPr>
      <w:bookmarkStart w:id="18" w:name="_Toc76631146"/>
      <w:r w:rsidRPr="00356E1A">
        <w:rPr>
          <w:b/>
          <w:bCs/>
        </w:rPr>
        <w:lastRenderedPageBreak/>
        <w:t>4.0 Conclusions and Recommendations for Practice</w:t>
      </w:r>
      <w:bookmarkEnd w:id="18"/>
    </w:p>
    <w:p w14:paraId="793EDC68" w14:textId="5B13522A" w:rsidR="00A565C5" w:rsidRPr="00A565C5" w:rsidRDefault="00356E1A" w:rsidP="00A565C5">
      <w:pPr>
        <w:spacing w:line="480" w:lineRule="auto"/>
        <w:jc w:val="both"/>
        <w:rPr>
          <w:i/>
          <w:iCs/>
          <w:sz w:val="24"/>
          <w:szCs w:val="24"/>
        </w:rPr>
      </w:pPr>
      <w:r>
        <w:rPr>
          <w:sz w:val="24"/>
          <w:szCs w:val="24"/>
        </w:rPr>
        <w:t xml:space="preserve">The research question posed for this study was </w:t>
      </w:r>
      <w:r w:rsidR="00A565C5">
        <w:rPr>
          <w:sz w:val="24"/>
          <w:szCs w:val="24"/>
        </w:rPr>
        <w:t>‘</w:t>
      </w:r>
      <w:r w:rsidR="00A565C5" w:rsidRPr="00A565C5">
        <w:rPr>
          <w:i/>
          <w:iCs/>
          <w:sz w:val="24"/>
          <w:szCs w:val="24"/>
        </w:rPr>
        <w:t>To what extent do cognitive development, puberty, mental health and peers influence children and young people’s risk-taking behaviours, and how can the conclusions drawn be used to inform youth work practice?</w:t>
      </w:r>
      <w:r w:rsidR="00A565C5">
        <w:rPr>
          <w:i/>
          <w:iCs/>
          <w:sz w:val="24"/>
          <w:szCs w:val="24"/>
        </w:rPr>
        <w:t>’.</w:t>
      </w:r>
      <w:r w:rsidR="00A565C5" w:rsidRPr="00A565C5">
        <w:rPr>
          <w:i/>
          <w:iCs/>
          <w:sz w:val="24"/>
          <w:szCs w:val="24"/>
        </w:rPr>
        <w:t xml:space="preserve"> </w:t>
      </w:r>
    </w:p>
    <w:p w14:paraId="5676D962" w14:textId="7AA783B7" w:rsidR="00356E1A" w:rsidRDefault="00356E1A" w:rsidP="00356E1A">
      <w:pPr>
        <w:spacing w:line="480" w:lineRule="auto"/>
        <w:jc w:val="both"/>
        <w:rPr>
          <w:sz w:val="24"/>
          <w:szCs w:val="24"/>
        </w:rPr>
      </w:pPr>
      <w:r>
        <w:rPr>
          <w:sz w:val="24"/>
          <w:szCs w:val="24"/>
        </w:rPr>
        <w:t xml:space="preserve">A broad literature review on the themes of adolescent cognition, puberty, mental health and peer influence has </w:t>
      </w:r>
      <w:r w:rsidR="00734101">
        <w:rPr>
          <w:sz w:val="24"/>
          <w:szCs w:val="24"/>
        </w:rPr>
        <w:t xml:space="preserve">shown that they all influence young people’s behaviour to a high degree.  </w:t>
      </w:r>
      <w:r w:rsidR="00775204">
        <w:rPr>
          <w:sz w:val="24"/>
          <w:szCs w:val="24"/>
        </w:rPr>
        <w:t xml:space="preserve">The study </w:t>
      </w:r>
      <w:r>
        <w:rPr>
          <w:sz w:val="24"/>
          <w:szCs w:val="24"/>
        </w:rPr>
        <w:t xml:space="preserve">is limited </w:t>
      </w:r>
      <w:r w:rsidR="00775204">
        <w:rPr>
          <w:sz w:val="24"/>
          <w:szCs w:val="24"/>
        </w:rPr>
        <w:t>due to</w:t>
      </w:r>
      <w:r>
        <w:rPr>
          <w:sz w:val="24"/>
          <w:szCs w:val="24"/>
        </w:rPr>
        <w:t xml:space="preserve"> the vast range of risky behaviours and other themes that could </w:t>
      </w:r>
      <w:r w:rsidR="00734101">
        <w:rPr>
          <w:sz w:val="24"/>
          <w:szCs w:val="24"/>
        </w:rPr>
        <w:t>have been</w:t>
      </w:r>
      <w:r>
        <w:rPr>
          <w:sz w:val="24"/>
          <w:szCs w:val="24"/>
        </w:rPr>
        <w:t xml:space="preserve"> examined.  N</w:t>
      </w:r>
      <w:r w:rsidR="00775204">
        <w:rPr>
          <w:sz w:val="24"/>
          <w:szCs w:val="24"/>
        </w:rPr>
        <w:t>ever</w:t>
      </w:r>
      <w:r>
        <w:rPr>
          <w:sz w:val="24"/>
          <w:szCs w:val="24"/>
        </w:rPr>
        <w:t>theless, the large number of research studies that have been and continue to be undertaken on this topic demonstrate</w:t>
      </w:r>
      <w:r w:rsidR="00775204">
        <w:rPr>
          <w:sz w:val="24"/>
          <w:szCs w:val="24"/>
        </w:rPr>
        <w:t>s</w:t>
      </w:r>
      <w:r>
        <w:rPr>
          <w:sz w:val="24"/>
          <w:szCs w:val="24"/>
        </w:rPr>
        <w:t xml:space="preserve"> the continued and increasing concern for adolescent health and wellbeing, validating this research study.</w:t>
      </w:r>
    </w:p>
    <w:p w14:paraId="287E61D0" w14:textId="433B1AC6" w:rsidR="00356E1A" w:rsidRDefault="00356E1A" w:rsidP="00356E1A">
      <w:pPr>
        <w:spacing w:line="480" w:lineRule="auto"/>
        <w:jc w:val="both"/>
        <w:rPr>
          <w:sz w:val="24"/>
          <w:szCs w:val="24"/>
        </w:rPr>
      </w:pPr>
      <w:r>
        <w:rPr>
          <w:sz w:val="24"/>
          <w:szCs w:val="24"/>
        </w:rPr>
        <w:t>The themes chosen for the purposes of this study do indeed offer predictors of risk-taking behaviour, and this is supported across a wide range of research.  The purpose of providing youth workers with these predictors is to enable prevention and intervention activities or programmes that could be targeted towards those most vulnerable to harmful risks.</w:t>
      </w:r>
    </w:p>
    <w:p w14:paraId="137B40E8" w14:textId="77777777" w:rsidR="00356E1A" w:rsidRDefault="00356E1A" w:rsidP="00356E1A">
      <w:pPr>
        <w:spacing w:line="480" w:lineRule="auto"/>
        <w:jc w:val="both"/>
        <w:rPr>
          <w:sz w:val="24"/>
          <w:szCs w:val="24"/>
        </w:rPr>
      </w:pPr>
      <w:r>
        <w:rPr>
          <w:sz w:val="24"/>
          <w:szCs w:val="24"/>
        </w:rPr>
        <w:t>However, since youth work strategy is focussed on ages 11 to 25 (Welsh Government, 2019), the prevention of future adolescent health problems due to risk-taking behaviour falls firmly into the domain of schools and social care rather than youth work.  Based on the strong evidence revealed by this and previous studies it is very apparent that early interventions are required at primary school age and possibly earlier.</w:t>
      </w:r>
    </w:p>
    <w:p w14:paraId="7A75BDAC" w14:textId="77777777" w:rsidR="00356E1A" w:rsidRDefault="00356E1A" w:rsidP="00356E1A">
      <w:pPr>
        <w:spacing w:line="480" w:lineRule="auto"/>
        <w:jc w:val="both"/>
        <w:rPr>
          <w:sz w:val="24"/>
          <w:szCs w:val="24"/>
        </w:rPr>
      </w:pPr>
      <w:r>
        <w:rPr>
          <w:sz w:val="24"/>
          <w:szCs w:val="24"/>
        </w:rPr>
        <w:t xml:space="preserve">This leaves youth work with the opportunity to provide supplementary education to reinforce the positive life skills that young people have hopefully already learned and to mitigate </w:t>
      </w:r>
      <w:r>
        <w:rPr>
          <w:sz w:val="24"/>
          <w:szCs w:val="24"/>
        </w:rPr>
        <w:lastRenderedPageBreak/>
        <w:t>against or stop the harmful risk behaviours that have not been prevented.  Thus, the emphasis is on education and intervention rather than prevention.</w:t>
      </w:r>
    </w:p>
    <w:p w14:paraId="11FA74EF" w14:textId="4DF58F07" w:rsidR="00356E1A" w:rsidRDefault="00356E1A" w:rsidP="00356E1A">
      <w:pPr>
        <w:spacing w:line="480" w:lineRule="auto"/>
        <w:jc w:val="both"/>
        <w:rPr>
          <w:color w:val="auto"/>
          <w:sz w:val="24"/>
          <w:szCs w:val="24"/>
        </w:rPr>
      </w:pPr>
      <w:r>
        <w:rPr>
          <w:sz w:val="24"/>
          <w:szCs w:val="24"/>
        </w:rPr>
        <w:t xml:space="preserve">The activities and interventions to be planned should focus on building children and young people’s developmental assets (Search Institute, 2021).  Some examples of these are provided in </w:t>
      </w:r>
      <w:r w:rsidRPr="00F202AC">
        <w:rPr>
          <w:color w:val="auto"/>
          <w:sz w:val="24"/>
          <w:szCs w:val="24"/>
        </w:rPr>
        <w:t xml:space="preserve">Appendix </w:t>
      </w:r>
      <w:r w:rsidR="00F202AC">
        <w:rPr>
          <w:color w:val="auto"/>
          <w:sz w:val="24"/>
          <w:szCs w:val="24"/>
        </w:rPr>
        <w:t>3</w:t>
      </w:r>
      <w:r w:rsidRPr="00F202AC">
        <w:rPr>
          <w:color w:val="auto"/>
          <w:sz w:val="24"/>
          <w:szCs w:val="24"/>
        </w:rPr>
        <w:t xml:space="preserve"> </w:t>
      </w:r>
      <w:r>
        <w:rPr>
          <w:color w:val="auto"/>
          <w:sz w:val="24"/>
          <w:szCs w:val="24"/>
        </w:rPr>
        <w:t>offering useful age-appropriate checklists to help identify where children and young people might need additional help and support.</w:t>
      </w:r>
    </w:p>
    <w:p w14:paraId="5064BBA1" w14:textId="77777777" w:rsidR="00356E1A" w:rsidRDefault="00356E1A" w:rsidP="00356E1A">
      <w:pPr>
        <w:spacing w:line="480" w:lineRule="auto"/>
        <w:jc w:val="both"/>
        <w:rPr>
          <w:color w:val="auto"/>
          <w:sz w:val="24"/>
          <w:szCs w:val="24"/>
        </w:rPr>
      </w:pPr>
      <w:r>
        <w:rPr>
          <w:color w:val="auto"/>
          <w:sz w:val="24"/>
          <w:szCs w:val="24"/>
        </w:rPr>
        <w:t xml:space="preserve">The workshops, games or activities should, the author suggests, be organised around the following five P’s: </w:t>
      </w:r>
    </w:p>
    <w:p w14:paraId="437F0247" w14:textId="236B3364" w:rsidR="00356E1A" w:rsidRPr="00CC39AB" w:rsidRDefault="00356E1A" w:rsidP="00AE0BC5">
      <w:pPr>
        <w:pStyle w:val="Caption"/>
        <w:numPr>
          <w:ilvl w:val="0"/>
          <w:numId w:val="1"/>
        </w:numPr>
        <w:spacing w:line="480" w:lineRule="auto"/>
        <w:jc w:val="both"/>
        <w:rPr>
          <w:i w:val="0"/>
          <w:iCs w:val="0"/>
          <w:color w:val="auto"/>
        </w:rPr>
      </w:pPr>
      <w:r w:rsidRPr="00CC39AB">
        <w:rPr>
          <w:i w:val="0"/>
          <w:iCs w:val="0"/>
          <w:color w:val="auto"/>
        </w:rPr>
        <w:t>Physical and mental wellbeing – Physical activity, screen-time and sleep (</w:t>
      </w:r>
      <w:proofErr w:type="spellStart"/>
      <w:r w:rsidRPr="00CC39AB">
        <w:rPr>
          <w:i w:val="0"/>
          <w:iCs w:val="0"/>
          <w:color w:val="auto"/>
        </w:rPr>
        <w:t>Sampasa</w:t>
      </w:r>
      <w:r w:rsidR="00FC3228" w:rsidRPr="00CC39AB">
        <w:rPr>
          <w:i w:val="0"/>
          <w:iCs w:val="0"/>
          <w:color w:val="auto"/>
        </w:rPr>
        <w:t>-Kanyinga</w:t>
      </w:r>
      <w:proofErr w:type="spellEnd"/>
      <w:r w:rsidR="00FC3228" w:rsidRPr="00CC39AB">
        <w:rPr>
          <w:i w:val="0"/>
          <w:iCs w:val="0"/>
          <w:color w:val="auto"/>
        </w:rPr>
        <w:t xml:space="preserve">, Colman, Goldfield, Janssen, Wang, Tremblay, Barnes, Walsh and </w:t>
      </w:r>
      <w:proofErr w:type="spellStart"/>
      <w:r w:rsidR="00FC3228" w:rsidRPr="00CC39AB">
        <w:rPr>
          <w:i w:val="0"/>
          <w:iCs w:val="0"/>
          <w:color w:val="auto"/>
        </w:rPr>
        <w:t>Chaput</w:t>
      </w:r>
      <w:proofErr w:type="spellEnd"/>
      <w:r w:rsidRPr="00CC39AB">
        <w:rPr>
          <w:i w:val="0"/>
          <w:iCs w:val="0"/>
          <w:color w:val="auto"/>
        </w:rPr>
        <w:t xml:space="preserve">, 2020) and healthy eating, managing emotions and coping strategies (Alcala-Herrera and </w:t>
      </w:r>
      <w:proofErr w:type="spellStart"/>
      <w:r w:rsidRPr="00CC39AB">
        <w:rPr>
          <w:i w:val="0"/>
          <w:iCs w:val="0"/>
          <w:color w:val="auto"/>
        </w:rPr>
        <w:t>Marvan</w:t>
      </w:r>
      <w:proofErr w:type="spellEnd"/>
      <w:r w:rsidRPr="00CC39AB">
        <w:rPr>
          <w:i w:val="0"/>
          <w:iCs w:val="0"/>
          <w:color w:val="auto"/>
        </w:rPr>
        <w:t xml:space="preserve">, 2014).  Keeping harmful health behaviours as a subset here, within which risks, danger and legal implications can be discussed versus young people’s core values, </w:t>
      </w:r>
    </w:p>
    <w:p w14:paraId="7A87421E" w14:textId="77777777" w:rsidR="00356E1A" w:rsidRPr="00CC39AB" w:rsidRDefault="00356E1A" w:rsidP="00AE0BC5">
      <w:pPr>
        <w:pStyle w:val="Caption"/>
        <w:numPr>
          <w:ilvl w:val="0"/>
          <w:numId w:val="1"/>
        </w:numPr>
        <w:spacing w:line="480" w:lineRule="auto"/>
        <w:jc w:val="both"/>
        <w:rPr>
          <w:i w:val="0"/>
          <w:iCs w:val="0"/>
          <w:color w:val="auto"/>
        </w:rPr>
      </w:pPr>
      <w:r w:rsidRPr="00CC39AB">
        <w:rPr>
          <w:i w:val="0"/>
          <w:iCs w:val="0"/>
          <w:color w:val="auto"/>
        </w:rPr>
        <w:t>Prosocial behaviour – Being considerate, sharing, being helpful and being kind (Connell, N., 2020),</w:t>
      </w:r>
    </w:p>
    <w:p w14:paraId="3200816B" w14:textId="77777777" w:rsidR="00356E1A" w:rsidRPr="00CC39AB" w:rsidRDefault="00356E1A" w:rsidP="00AE0BC5">
      <w:pPr>
        <w:pStyle w:val="Caption"/>
        <w:numPr>
          <w:ilvl w:val="0"/>
          <w:numId w:val="1"/>
        </w:numPr>
        <w:spacing w:line="480" w:lineRule="auto"/>
        <w:jc w:val="both"/>
        <w:rPr>
          <w:i w:val="0"/>
          <w:iCs w:val="0"/>
          <w:color w:val="auto"/>
        </w:rPr>
      </w:pPr>
      <w:r w:rsidRPr="00CC39AB">
        <w:rPr>
          <w:i w:val="0"/>
          <w:iCs w:val="0"/>
          <w:color w:val="auto"/>
        </w:rPr>
        <w:t>Participation – Young people having their voices heard, getting involved as co-producers in issues that matter to them such as climate change and their own health priorities (</w:t>
      </w:r>
      <w:proofErr w:type="spellStart"/>
      <w:r w:rsidRPr="00CC39AB">
        <w:rPr>
          <w:i w:val="0"/>
          <w:iCs w:val="0"/>
          <w:color w:val="auto"/>
        </w:rPr>
        <w:t>Oketah</w:t>
      </w:r>
      <w:proofErr w:type="spellEnd"/>
      <w:r w:rsidRPr="00CC39AB">
        <w:rPr>
          <w:i w:val="0"/>
          <w:iCs w:val="0"/>
          <w:color w:val="auto"/>
        </w:rPr>
        <w:t xml:space="preserve">, </w:t>
      </w:r>
      <w:proofErr w:type="spellStart"/>
      <w:r w:rsidRPr="00CC39AB">
        <w:rPr>
          <w:i w:val="0"/>
          <w:iCs w:val="0"/>
          <w:color w:val="auto"/>
        </w:rPr>
        <w:t>Wokoma</w:t>
      </w:r>
      <w:proofErr w:type="spellEnd"/>
      <w:r w:rsidRPr="00CC39AB">
        <w:rPr>
          <w:i w:val="0"/>
          <w:iCs w:val="0"/>
          <w:color w:val="auto"/>
        </w:rPr>
        <w:t xml:space="preserve">, Klein, </w:t>
      </w:r>
      <w:proofErr w:type="spellStart"/>
      <w:r w:rsidRPr="00CC39AB">
        <w:rPr>
          <w:i w:val="0"/>
          <w:iCs w:val="0"/>
          <w:color w:val="auto"/>
        </w:rPr>
        <w:t>Galagali</w:t>
      </w:r>
      <w:proofErr w:type="spellEnd"/>
      <w:r w:rsidRPr="00CC39AB">
        <w:rPr>
          <w:i w:val="0"/>
          <w:iCs w:val="0"/>
          <w:color w:val="auto"/>
        </w:rPr>
        <w:t xml:space="preserve">, Simpson and Offutt, 2021, YWWRG, 2018, </w:t>
      </w:r>
      <w:proofErr w:type="spellStart"/>
      <w:r w:rsidRPr="00CC39AB">
        <w:rPr>
          <w:i w:val="0"/>
          <w:iCs w:val="0"/>
          <w:color w:val="auto"/>
        </w:rPr>
        <w:t>Unicef</w:t>
      </w:r>
      <w:proofErr w:type="spellEnd"/>
      <w:r w:rsidRPr="00CC39AB">
        <w:rPr>
          <w:i w:val="0"/>
          <w:iCs w:val="0"/>
          <w:color w:val="auto"/>
        </w:rPr>
        <w:t xml:space="preserve">, 2019), </w:t>
      </w:r>
    </w:p>
    <w:p w14:paraId="5871BDE9" w14:textId="77777777" w:rsidR="00356E1A" w:rsidRPr="00CC39AB" w:rsidRDefault="00356E1A" w:rsidP="00AE0BC5">
      <w:pPr>
        <w:pStyle w:val="Caption"/>
        <w:numPr>
          <w:ilvl w:val="0"/>
          <w:numId w:val="1"/>
        </w:numPr>
        <w:spacing w:line="480" w:lineRule="auto"/>
        <w:jc w:val="both"/>
        <w:rPr>
          <w:i w:val="0"/>
          <w:iCs w:val="0"/>
          <w:color w:val="auto"/>
        </w:rPr>
      </w:pPr>
      <w:r w:rsidRPr="00CC39AB">
        <w:rPr>
          <w:i w:val="0"/>
          <w:iCs w:val="0"/>
          <w:color w:val="auto"/>
        </w:rPr>
        <w:lastRenderedPageBreak/>
        <w:t>Positive risk-taking – trying something new that extends young people’s current boundaries, and</w:t>
      </w:r>
    </w:p>
    <w:p w14:paraId="1E8F7DE5" w14:textId="77777777" w:rsidR="00356E1A" w:rsidRPr="00CC39AB" w:rsidRDefault="00356E1A" w:rsidP="00AE0BC5">
      <w:pPr>
        <w:pStyle w:val="Caption"/>
        <w:numPr>
          <w:ilvl w:val="0"/>
          <w:numId w:val="1"/>
        </w:numPr>
        <w:spacing w:line="480" w:lineRule="auto"/>
        <w:jc w:val="both"/>
        <w:rPr>
          <w:i w:val="0"/>
          <w:iCs w:val="0"/>
          <w:color w:val="auto"/>
        </w:rPr>
      </w:pPr>
      <w:r w:rsidRPr="00CC39AB">
        <w:rPr>
          <w:i w:val="0"/>
          <w:iCs w:val="0"/>
          <w:color w:val="auto"/>
        </w:rPr>
        <w:t xml:space="preserve">Peers – running activities with peer groups, exploring peer selection, using volunteering to create role models and to encourage positive yet passive peer influence.  </w:t>
      </w:r>
    </w:p>
    <w:p w14:paraId="01DD8367" w14:textId="580FA420" w:rsidR="00356E1A" w:rsidRPr="00F202AC" w:rsidRDefault="008B6F2E" w:rsidP="00356E1A">
      <w:pPr>
        <w:spacing w:line="480" w:lineRule="auto"/>
        <w:jc w:val="both"/>
        <w:rPr>
          <w:color w:val="auto"/>
          <w:sz w:val="24"/>
          <w:szCs w:val="24"/>
        </w:rPr>
      </w:pPr>
      <w:r>
        <w:rPr>
          <w:sz w:val="24"/>
          <w:szCs w:val="24"/>
        </w:rPr>
        <w:t>Much of the research reviewed for this dissertation includes i</w:t>
      </w:r>
      <w:r w:rsidRPr="002533F2">
        <w:rPr>
          <w:sz w:val="24"/>
          <w:szCs w:val="24"/>
        </w:rPr>
        <w:t>deas and experiments with interventions and prevention programmes</w:t>
      </w:r>
      <w:r>
        <w:rPr>
          <w:sz w:val="24"/>
          <w:szCs w:val="24"/>
        </w:rPr>
        <w:t xml:space="preserve">, and these can be found in both the referenced literature and </w:t>
      </w:r>
      <w:r w:rsidR="00734101">
        <w:rPr>
          <w:sz w:val="24"/>
          <w:szCs w:val="24"/>
        </w:rPr>
        <w:t>via</w:t>
      </w:r>
      <w:r>
        <w:rPr>
          <w:sz w:val="24"/>
          <w:szCs w:val="24"/>
        </w:rPr>
        <w:t xml:space="preserve"> th</w:t>
      </w:r>
      <w:r w:rsidR="00A2089C">
        <w:rPr>
          <w:color w:val="auto"/>
          <w:sz w:val="24"/>
          <w:szCs w:val="24"/>
        </w:rPr>
        <w:t>e Bibliography</w:t>
      </w:r>
      <w:r w:rsidR="00356E1A" w:rsidRPr="00F202AC">
        <w:rPr>
          <w:color w:val="auto"/>
          <w:sz w:val="24"/>
          <w:szCs w:val="24"/>
        </w:rPr>
        <w:t xml:space="preserve">.   </w:t>
      </w:r>
    </w:p>
    <w:p w14:paraId="2A06A54A" w14:textId="77777777" w:rsidR="00356E1A" w:rsidRDefault="00356E1A" w:rsidP="00356E1A">
      <w:pPr>
        <w:spacing w:line="480" w:lineRule="auto"/>
        <w:jc w:val="both"/>
        <w:rPr>
          <w:sz w:val="24"/>
          <w:szCs w:val="24"/>
        </w:rPr>
      </w:pPr>
      <w:r>
        <w:rPr>
          <w:sz w:val="24"/>
          <w:szCs w:val="24"/>
        </w:rPr>
        <w:t xml:space="preserve">The author’s recommendations for youth work practice include: </w:t>
      </w:r>
    </w:p>
    <w:p w14:paraId="5BFFDB6E" w14:textId="77777777" w:rsidR="00356E1A" w:rsidRPr="00CC39AB" w:rsidRDefault="00356E1A" w:rsidP="00AE0BC5">
      <w:pPr>
        <w:pStyle w:val="Caption"/>
        <w:numPr>
          <w:ilvl w:val="0"/>
          <w:numId w:val="2"/>
        </w:numPr>
        <w:spacing w:line="480" w:lineRule="auto"/>
        <w:jc w:val="both"/>
        <w:rPr>
          <w:i w:val="0"/>
          <w:iCs w:val="0"/>
        </w:rPr>
      </w:pPr>
      <w:proofErr w:type="gramStart"/>
      <w:r w:rsidRPr="00CC39AB">
        <w:rPr>
          <w:i w:val="0"/>
          <w:iCs w:val="0"/>
        </w:rPr>
        <w:t>Making a contribution</w:t>
      </w:r>
      <w:proofErr w:type="gramEnd"/>
      <w:r w:rsidRPr="00CC39AB">
        <w:rPr>
          <w:i w:val="0"/>
          <w:iCs w:val="0"/>
        </w:rPr>
        <w:t xml:space="preserve"> to work on early intervention and prevention in primary schools, should this be requested and funded.  Local authority youth services and the voluntary sector have an opportunity to form partnerships with primary schools in this regard and can provide complementary services.  Challenging youth work strategy and policy makers to enable youth work to be inclusive of children younger than age 11. </w:t>
      </w:r>
    </w:p>
    <w:p w14:paraId="0191E9C0" w14:textId="54CE2EA1" w:rsidR="00356E1A" w:rsidRPr="00CC39AB" w:rsidRDefault="00356E1A" w:rsidP="00AE0BC5">
      <w:pPr>
        <w:pStyle w:val="Caption"/>
        <w:numPr>
          <w:ilvl w:val="0"/>
          <w:numId w:val="2"/>
        </w:numPr>
        <w:spacing w:line="480" w:lineRule="auto"/>
        <w:jc w:val="both"/>
        <w:rPr>
          <w:i w:val="0"/>
          <w:iCs w:val="0"/>
        </w:rPr>
      </w:pPr>
      <w:r w:rsidRPr="00CC39AB">
        <w:rPr>
          <w:i w:val="0"/>
          <w:iCs w:val="0"/>
        </w:rPr>
        <w:t xml:space="preserve">Providing a wide range of enjoyable, interactive and autonomous learning opportunities for young people, especially younger adolescents, that do not focus on harmful behaviours but that build on and emphasise their personal strengths, encourage positive risk-taking, prosocial behaviour, positive peer selection and protective mechanisms.  </w:t>
      </w:r>
    </w:p>
    <w:p w14:paraId="55C1159C" w14:textId="77777777" w:rsidR="00356E1A" w:rsidRPr="00CC39AB" w:rsidRDefault="00356E1A" w:rsidP="00AE0BC5">
      <w:pPr>
        <w:pStyle w:val="Caption"/>
        <w:numPr>
          <w:ilvl w:val="0"/>
          <w:numId w:val="2"/>
        </w:numPr>
        <w:spacing w:line="480" w:lineRule="auto"/>
        <w:jc w:val="both"/>
        <w:rPr>
          <w:i w:val="0"/>
          <w:iCs w:val="0"/>
        </w:rPr>
      </w:pPr>
      <w:r w:rsidRPr="00CC39AB">
        <w:rPr>
          <w:i w:val="0"/>
          <w:iCs w:val="0"/>
        </w:rPr>
        <w:lastRenderedPageBreak/>
        <w:t>Providing mental health support throughout adolescence using a variety of methods and a range of platforms, tools and partners, as we have learned to do during the Covid-19 pandemic.</w:t>
      </w:r>
    </w:p>
    <w:p w14:paraId="6B66D79D" w14:textId="77777777" w:rsidR="00356E1A" w:rsidRPr="00CC39AB" w:rsidRDefault="00356E1A" w:rsidP="00AE0BC5">
      <w:pPr>
        <w:pStyle w:val="Caption"/>
        <w:numPr>
          <w:ilvl w:val="0"/>
          <w:numId w:val="2"/>
        </w:numPr>
        <w:spacing w:line="480" w:lineRule="auto"/>
        <w:jc w:val="both"/>
        <w:rPr>
          <w:i w:val="0"/>
          <w:iCs w:val="0"/>
        </w:rPr>
      </w:pPr>
      <w:r w:rsidRPr="00CC39AB">
        <w:rPr>
          <w:i w:val="0"/>
          <w:iCs w:val="0"/>
        </w:rPr>
        <w:t xml:space="preserve">Building strong relationships with young people.  Dedicating time to reflect on the youngest adolescents and how the predictors of risk-taking behaviour relate to them.  Identifying Wally if he is present, but also his friends and his siblings, and reflecting on them too.  Remembering that every child and young person is unique.  </w:t>
      </w:r>
    </w:p>
    <w:p w14:paraId="5DEBD3F1" w14:textId="77777777" w:rsidR="004E4C12" w:rsidRDefault="00356E1A" w:rsidP="00356E1A">
      <w:pPr>
        <w:spacing w:line="480" w:lineRule="auto"/>
        <w:jc w:val="both"/>
        <w:rPr>
          <w:sz w:val="24"/>
          <w:szCs w:val="24"/>
        </w:rPr>
      </w:pPr>
      <w:r>
        <w:rPr>
          <w:sz w:val="24"/>
          <w:szCs w:val="24"/>
        </w:rPr>
        <w:t xml:space="preserve">Finally, fresh research findings are emerging now regarding the effects of the global pandemic on children and young people and the way they think, feel and behave.  In a world where young people have lost confidence in adults’ ability to protect them from harms such as Covid-19, taking them out of school and isolating them from friends, where they are also faced with the global climate emergency, there are bound to be repercussions for young people’s wellbeing for years to come.  Risk-taking is an essential and inevitable part of growing up and whether on impulse or by intent, young people will continue to make decisions that lead to harmful risk-taking behaviours and youth work will still have an important role to play to keep young people safe and happy. </w:t>
      </w:r>
    </w:p>
    <w:bookmarkEnd w:id="5"/>
    <w:p w14:paraId="16DFB5E3" w14:textId="77777777" w:rsidR="00F222F7" w:rsidRDefault="00F222F7">
      <w:pPr>
        <w:rPr>
          <w:rFonts w:asciiTheme="majorHAnsi" w:eastAsiaTheme="majorEastAsia" w:hAnsiTheme="majorHAnsi" w:cstheme="majorBidi"/>
          <w:color w:val="2F5496" w:themeColor="accent1" w:themeShade="BF"/>
          <w:sz w:val="32"/>
          <w:szCs w:val="32"/>
        </w:rPr>
      </w:pPr>
      <w:r>
        <w:br w:type="page"/>
      </w:r>
    </w:p>
    <w:p w14:paraId="394746B7" w14:textId="12AD2135" w:rsidR="00F222F7" w:rsidRPr="00AD050F" w:rsidRDefault="00F222F7" w:rsidP="00F222F7">
      <w:pPr>
        <w:pStyle w:val="Heading1"/>
        <w:jc w:val="both"/>
      </w:pPr>
      <w:bookmarkStart w:id="19" w:name="_Toc76631147"/>
      <w:r>
        <w:lastRenderedPageBreak/>
        <w:t xml:space="preserve">5.0 </w:t>
      </w:r>
      <w:r w:rsidRPr="00AD050F">
        <w:t>Reference List</w:t>
      </w:r>
      <w:bookmarkEnd w:id="19"/>
    </w:p>
    <w:p w14:paraId="4588D68A" w14:textId="77777777" w:rsidR="00F222F7" w:rsidRPr="00AD050F" w:rsidRDefault="00F222F7" w:rsidP="00F222F7">
      <w:pPr>
        <w:jc w:val="both"/>
        <w:rPr>
          <w:rFonts w:asciiTheme="minorHAnsi" w:hAnsiTheme="minorHAnsi" w:cstheme="minorHAnsi"/>
          <w:sz w:val="24"/>
          <w:szCs w:val="24"/>
        </w:rPr>
      </w:pPr>
      <w:bookmarkStart w:id="20" w:name="_Hlk76378472"/>
      <w:r w:rsidRPr="00AD050F">
        <w:rPr>
          <w:rFonts w:asciiTheme="minorHAnsi" w:hAnsiTheme="minorHAnsi" w:cstheme="minorHAnsi"/>
          <w:sz w:val="24"/>
          <w:szCs w:val="24"/>
        </w:rPr>
        <w:t xml:space="preserve">ADHD UK (2021) </w:t>
      </w:r>
      <w:r w:rsidRPr="00AD050F">
        <w:rPr>
          <w:rFonts w:asciiTheme="minorHAnsi" w:hAnsiTheme="minorHAnsi" w:cstheme="minorHAnsi"/>
          <w:i/>
          <w:iCs/>
          <w:sz w:val="24"/>
          <w:szCs w:val="24"/>
        </w:rPr>
        <w:t xml:space="preserve">About ADHD. </w:t>
      </w:r>
      <w:r w:rsidRPr="00AD050F">
        <w:rPr>
          <w:rFonts w:asciiTheme="minorHAnsi" w:hAnsiTheme="minorHAnsi" w:cstheme="minorHAnsi"/>
          <w:sz w:val="24"/>
          <w:szCs w:val="24"/>
        </w:rPr>
        <w:t xml:space="preserve">Available at: </w:t>
      </w:r>
      <w:r w:rsidRPr="00AD050F">
        <w:rPr>
          <w:rFonts w:asciiTheme="minorHAnsi" w:hAnsiTheme="minorHAnsi" w:cstheme="minorHAnsi"/>
          <w:i/>
          <w:iCs/>
          <w:sz w:val="24"/>
          <w:szCs w:val="24"/>
        </w:rPr>
        <w:t xml:space="preserve"> </w:t>
      </w:r>
      <w:hyperlink r:id="rId9" w:history="1">
        <w:r w:rsidRPr="00AD050F">
          <w:rPr>
            <w:rFonts w:asciiTheme="minorHAnsi" w:hAnsiTheme="minorHAnsi" w:cstheme="minorHAnsi"/>
            <w:color w:val="0000FF"/>
            <w:sz w:val="24"/>
            <w:szCs w:val="24"/>
            <w:u w:val="single"/>
          </w:rPr>
          <w:t>About ADHD | ADHD UK</w:t>
        </w:r>
      </w:hyperlink>
      <w:r w:rsidRPr="00AD050F">
        <w:rPr>
          <w:rFonts w:asciiTheme="minorHAnsi" w:hAnsiTheme="minorHAnsi" w:cstheme="minorHAnsi"/>
          <w:sz w:val="24"/>
          <w:szCs w:val="24"/>
        </w:rPr>
        <w:t xml:space="preserve"> (Accessed: 1</w:t>
      </w:r>
      <w:r w:rsidRPr="00AD050F">
        <w:rPr>
          <w:rFonts w:asciiTheme="minorHAnsi" w:hAnsiTheme="minorHAnsi" w:cstheme="minorHAnsi"/>
          <w:sz w:val="24"/>
          <w:szCs w:val="24"/>
          <w:vertAlign w:val="superscript"/>
        </w:rPr>
        <w:t>st</w:t>
      </w:r>
      <w:r w:rsidRPr="00AD050F">
        <w:rPr>
          <w:rFonts w:asciiTheme="minorHAnsi" w:hAnsiTheme="minorHAnsi" w:cstheme="minorHAnsi"/>
          <w:sz w:val="24"/>
          <w:szCs w:val="24"/>
        </w:rPr>
        <w:t xml:space="preserve"> May 2021)</w:t>
      </w:r>
    </w:p>
    <w:bookmarkEnd w:id="20"/>
    <w:p w14:paraId="2D9B35CA" w14:textId="77777777" w:rsidR="00F222F7" w:rsidRPr="00AD050F" w:rsidRDefault="00F222F7" w:rsidP="00F222F7">
      <w:pPr>
        <w:jc w:val="both"/>
        <w:rPr>
          <w:rFonts w:asciiTheme="minorHAnsi" w:hAnsiTheme="minorHAnsi" w:cstheme="minorHAnsi"/>
          <w:sz w:val="24"/>
          <w:szCs w:val="24"/>
        </w:rPr>
      </w:pPr>
      <w:r w:rsidRPr="00AD050F">
        <w:rPr>
          <w:rFonts w:asciiTheme="minorHAnsi" w:hAnsiTheme="minorHAnsi" w:cstheme="minorHAnsi"/>
          <w:sz w:val="24"/>
          <w:szCs w:val="24"/>
        </w:rPr>
        <w:t xml:space="preserve">Alcala-Herrera, V. and </w:t>
      </w:r>
      <w:proofErr w:type="spellStart"/>
      <w:r w:rsidRPr="00AD050F">
        <w:rPr>
          <w:rFonts w:asciiTheme="minorHAnsi" w:hAnsiTheme="minorHAnsi" w:cstheme="minorHAnsi"/>
          <w:sz w:val="24"/>
          <w:szCs w:val="24"/>
        </w:rPr>
        <w:t>Marvan</w:t>
      </w:r>
      <w:proofErr w:type="spellEnd"/>
      <w:r w:rsidRPr="00AD050F">
        <w:rPr>
          <w:rFonts w:asciiTheme="minorHAnsi" w:hAnsiTheme="minorHAnsi" w:cstheme="minorHAnsi"/>
          <w:sz w:val="24"/>
          <w:szCs w:val="24"/>
        </w:rPr>
        <w:t xml:space="preserve">, M. (2014) ‘Early menarche, depressive symptoms, and coping strategies’, </w:t>
      </w:r>
      <w:r w:rsidRPr="00AD050F">
        <w:rPr>
          <w:rFonts w:asciiTheme="minorHAnsi" w:hAnsiTheme="minorHAnsi" w:cstheme="minorHAnsi"/>
          <w:i/>
          <w:iCs/>
          <w:sz w:val="24"/>
          <w:szCs w:val="24"/>
        </w:rPr>
        <w:t>Journal of Adolescence, Vol. 37, pp905-913.</w:t>
      </w:r>
      <w:r w:rsidRPr="00AD050F">
        <w:rPr>
          <w:rFonts w:asciiTheme="minorHAnsi" w:hAnsiTheme="minorHAnsi" w:cstheme="minorHAnsi"/>
          <w:sz w:val="24"/>
          <w:szCs w:val="24"/>
        </w:rPr>
        <w:t xml:space="preserve"> [Online].  Available at: </w:t>
      </w:r>
      <w:hyperlink r:id="rId10" w:history="1">
        <w:r w:rsidRPr="00AD050F">
          <w:rPr>
            <w:rFonts w:asciiTheme="minorHAnsi" w:hAnsiTheme="minorHAnsi" w:cstheme="minorHAnsi"/>
            <w:color w:val="0000FF"/>
            <w:sz w:val="24"/>
            <w:szCs w:val="24"/>
            <w:u w:val="single"/>
          </w:rPr>
          <w:t>Early menarche, depressive symptoms, and coping strategies | Elsevier Enhanced Reader</w:t>
        </w:r>
      </w:hyperlink>
      <w:r w:rsidRPr="00AD050F">
        <w:rPr>
          <w:rFonts w:asciiTheme="minorHAnsi" w:hAnsiTheme="minorHAnsi" w:cstheme="minorHAnsi"/>
          <w:sz w:val="24"/>
          <w:szCs w:val="24"/>
        </w:rPr>
        <w:t xml:space="preserve"> (Accessed: 17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March 2021)</w:t>
      </w:r>
    </w:p>
    <w:p w14:paraId="366B4F10" w14:textId="77777777" w:rsidR="00F222F7" w:rsidRPr="00AD050F" w:rsidRDefault="00F222F7" w:rsidP="00F222F7">
      <w:pPr>
        <w:jc w:val="both"/>
        <w:rPr>
          <w:sz w:val="24"/>
          <w:szCs w:val="24"/>
        </w:rPr>
      </w:pPr>
      <w:r w:rsidRPr="00AD050F">
        <w:rPr>
          <w:rFonts w:asciiTheme="minorHAnsi" w:hAnsiTheme="minorHAnsi" w:cstheme="minorHAnsi"/>
          <w:sz w:val="24"/>
          <w:szCs w:val="24"/>
        </w:rPr>
        <w:t xml:space="preserve">Armitage, J., Wang, R., Davis, O., Bowes, L. and Haworth, C. (2021) ‘Peer </w:t>
      </w:r>
      <w:proofErr w:type="spellStart"/>
      <w:r w:rsidRPr="00AD050F">
        <w:rPr>
          <w:rFonts w:asciiTheme="minorHAnsi" w:hAnsiTheme="minorHAnsi" w:cstheme="minorHAnsi"/>
          <w:sz w:val="24"/>
          <w:szCs w:val="24"/>
        </w:rPr>
        <w:t>vicitimisation</w:t>
      </w:r>
      <w:proofErr w:type="spellEnd"/>
      <w:r w:rsidRPr="00AD050F">
        <w:rPr>
          <w:rFonts w:asciiTheme="minorHAnsi" w:hAnsiTheme="minorHAnsi" w:cstheme="minorHAnsi"/>
          <w:sz w:val="24"/>
          <w:szCs w:val="24"/>
        </w:rPr>
        <w:t xml:space="preserve"> during adolescence and its impact on wellbeing in adulthood: a prospective cohort study’, </w:t>
      </w:r>
      <w:r w:rsidRPr="00AD050F">
        <w:rPr>
          <w:rFonts w:asciiTheme="minorHAnsi" w:hAnsiTheme="minorHAnsi" w:cstheme="minorHAnsi"/>
          <w:i/>
          <w:iCs/>
          <w:sz w:val="24"/>
          <w:szCs w:val="24"/>
        </w:rPr>
        <w:t xml:space="preserve">BMC Public Health, Vol. 21. </w:t>
      </w:r>
      <w:r w:rsidRPr="00AD050F">
        <w:rPr>
          <w:rFonts w:asciiTheme="minorHAnsi" w:hAnsiTheme="minorHAnsi" w:cstheme="minorHAnsi"/>
          <w:sz w:val="24"/>
          <w:szCs w:val="24"/>
        </w:rPr>
        <w:t xml:space="preserve">[Online]. Available at: </w:t>
      </w:r>
      <w:hyperlink r:id="rId11" w:history="1">
        <w:r w:rsidRPr="00AD050F">
          <w:rPr>
            <w:color w:val="0000FF"/>
            <w:sz w:val="24"/>
            <w:szCs w:val="24"/>
            <w:u w:val="single"/>
          </w:rPr>
          <w:t>Peer victimisation during adolescence and its impact on wellbeing in adulthood: a prospective cohort study | BMC Public Health | Full Text (biomedcentral.com)</w:t>
        </w:r>
      </w:hyperlink>
      <w:r w:rsidRPr="00AD050F">
        <w:rPr>
          <w:sz w:val="24"/>
          <w:szCs w:val="24"/>
        </w:rPr>
        <w:t xml:space="preserve"> (Accessed: 17</w:t>
      </w:r>
      <w:r w:rsidRPr="00AD050F">
        <w:rPr>
          <w:sz w:val="24"/>
          <w:szCs w:val="24"/>
          <w:vertAlign w:val="superscript"/>
        </w:rPr>
        <w:t>th</w:t>
      </w:r>
      <w:r w:rsidRPr="00AD050F">
        <w:rPr>
          <w:sz w:val="24"/>
          <w:szCs w:val="24"/>
        </w:rPr>
        <w:t xml:space="preserve"> April 2021)</w:t>
      </w:r>
    </w:p>
    <w:p w14:paraId="4DC4F9FE" w14:textId="77777777" w:rsidR="00F222F7" w:rsidRPr="00AD050F" w:rsidRDefault="00F222F7" w:rsidP="00F222F7">
      <w:pPr>
        <w:jc w:val="both"/>
        <w:rPr>
          <w:sz w:val="24"/>
          <w:szCs w:val="24"/>
        </w:rPr>
      </w:pPr>
      <w:proofErr w:type="spellStart"/>
      <w:r w:rsidRPr="00AD050F">
        <w:rPr>
          <w:sz w:val="24"/>
          <w:szCs w:val="24"/>
        </w:rPr>
        <w:t>Ati</w:t>
      </w:r>
      <w:proofErr w:type="spellEnd"/>
      <w:r w:rsidRPr="00AD050F">
        <w:rPr>
          <w:sz w:val="24"/>
          <w:szCs w:val="24"/>
        </w:rPr>
        <w:t xml:space="preserve">, N., </w:t>
      </w:r>
      <w:proofErr w:type="spellStart"/>
      <w:r w:rsidRPr="00AD050F">
        <w:rPr>
          <w:sz w:val="24"/>
          <w:szCs w:val="24"/>
        </w:rPr>
        <w:t>Paraswati</w:t>
      </w:r>
      <w:proofErr w:type="spellEnd"/>
      <w:r w:rsidRPr="00AD050F">
        <w:rPr>
          <w:sz w:val="24"/>
          <w:szCs w:val="24"/>
        </w:rPr>
        <w:t xml:space="preserve">, M. and </w:t>
      </w:r>
      <w:proofErr w:type="spellStart"/>
      <w:r w:rsidRPr="00AD050F">
        <w:rPr>
          <w:sz w:val="24"/>
          <w:szCs w:val="24"/>
        </w:rPr>
        <w:t>Windarwati</w:t>
      </w:r>
      <w:proofErr w:type="spellEnd"/>
      <w:r w:rsidRPr="00AD050F">
        <w:rPr>
          <w:sz w:val="24"/>
          <w:szCs w:val="24"/>
        </w:rPr>
        <w:t xml:space="preserve">, H. (2020) ‘What are the risk factors and protective factors of suicidal behaviour in adolescents?  A systematic review’, </w:t>
      </w:r>
      <w:r w:rsidRPr="00AD050F">
        <w:rPr>
          <w:i/>
          <w:iCs/>
          <w:sz w:val="24"/>
          <w:szCs w:val="24"/>
        </w:rPr>
        <w:t xml:space="preserve">Journal of Child and Adolescent Psychiatric Nursing, Vol. 34, pp7-18. </w:t>
      </w:r>
      <w:r w:rsidRPr="00AD050F">
        <w:rPr>
          <w:sz w:val="24"/>
          <w:szCs w:val="24"/>
        </w:rPr>
        <w:t xml:space="preserve">[Online]. Available at: </w:t>
      </w:r>
      <w:hyperlink r:id="rId12" w:history="1">
        <w:r w:rsidRPr="00AD050F">
          <w:rPr>
            <w:color w:val="0000FF"/>
            <w:sz w:val="24"/>
            <w:szCs w:val="24"/>
            <w:u w:val="single"/>
          </w:rPr>
          <w:t xml:space="preserve">What are the risk factors and protective factors of suicidal </w:t>
        </w:r>
        <w:proofErr w:type="spellStart"/>
        <w:r w:rsidRPr="00AD050F">
          <w:rPr>
            <w:color w:val="0000FF"/>
            <w:sz w:val="24"/>
            <w:szCs w:val="24"/>
            <w:u w:val="single"/>
          </w:rPr>
          <w:t>behavior</w:t>
        </w:r>
        <w:proofErr w:type="spellEnd"/>
        <w:r w:rsidRPr="00AD050F">
          <w:rPr>
            <w:color w:val="0000FF"/>
            <w:sz w:val="24"/>
            <w:szCs w:val="24"/>
            <w:u w:val="single"/>
          </w:rPr>
          <w:t xml:space="preserve"> in adolescents? A systematic review (wiley.com)</w:t>
        </w:r>
      </w:hyperlink>
      <w:r w:rsidRPr="00AD050F">
        <w:rPr>
          <w:sz w:val="24"/>
          <w:szCs w:val="24"/>
        </w:rPr>
        <w:t xml:space="preserve"> (Accessed 17</w:t>
      </w:r>
      <w:r w:rsidRPr="00AD050F">
        <w:rPr>
          <w:sz w:val="24"/>
          <w:szCs w:val="24"/>
          <w:vertAlign w:val="superscript"/>
        </w:rPr>
        <w:t>th</w:t>
      </w:r>
      <w:r w:rsidRPr="00AD050F">
        <w:rPr>
          <w:sz w:val="24"/>
          <w:szCs w:val="24"/>
        </w:rPr>
        <w:t xml:space="preserve"> May 2021)</w:t>
      </w:r>
    </w:p>
    <w:p w14:paraId="18B775AB" w14:textId="77777777" w:rsidR="00F222F7" w:rsidRPr="00AD050F" w:rsidRDefault="00F222F7" w:rsidP="00F222F7">
      <w:pPr>
        <w:jc w:val="both"/>
        <w:rPr>
          <w:rFonts w:asciiTheme="minorHAnsi" w:hAnsiTheme="minorHAnsi" w:cstheme="minorHAnsi"/>
          <w:sz w:val="24"/>
          <w:szCs w:val="24"/>
        </w:rPr>
      </w:pPr>
      <w:r w:rsidRPr="00AD050F">
        <w:rPr>
          <w:rFonts w:asciiTheme="minorHAnsi" w:hAnsiTheme="minorHAnsi" w:cstheme="minorHAnsi"/>
          <w:sz w:val="24"/>
          <w:szCs w:val="24"/>
        </w:rPr>
        <w:t xml:space="preserve">Auerbach, R. and Gardiner, C. (2012) ‘Moving beyond the trait conceptualization of self-esteem: The prospective effect of impulsiveness, coping, and risky </w:t>
      </w:r>
      <w:proofErr w:type="spellStart"/>
      <w:r w:rsidRPr="00AD050F">
        <w:rPr>
          <w:rFonts w:asciiTheme="minorHAnsi" w:hAnsiTheme="minorHAnsi" w:cstheme="minorHAnsi"/>
          <w:sz w:val="24"/>
          <w:szCs w:val="24"/>
        </w:rPr>
        <w:t>behavior</w:t>
      </w:r>
      <w:proofErr w:type="spellEnd"/>
      <w:r w:rsidRPr="00AD050F">
        <w:rPr>
          <w:rFonts w:asciiTheme="minorHAnsi" w:hAnsiTheme="minorHAnsi" w:cstheme="minorHAnsi"/>
          <w:sz w:val="24"/>
          <w:szCs w:val="24"/>
        </w:rPr>
        <w:t xml:space="preserve"> engagement’, </w:t>
      </w:r>
      <w:r w:rsidRPr="00AD050F">
        <w:rPr>
          <w:rFonts w:asciiTheme="minorHAnsi" w:hAnsiTheme="minorHAnsi" w:cstheme="minorHAnsi"/>
          <w:i/>
          <w:iCs/>
          <w:sz w:val="24"/>
          <w:szCs w:val="24"/>
        </w:rPr>
        <w:t xml:space="preserve">Behaviour Research and Therapy, Vol. 50, pp596-603. </w:t>
      </w:r>
      <w:r w:rsidRPr="00AD050F">
        <w:rPr>
          <w:rFonts w:asciiTheme="minorHAnsi" w:hAnsiTheme="minorHAnsi" w:cstheme="minorHAnsi"/>
          <w:sz w:val="24"/>
          <w:szCs w:val="24"/>
        </w:rPr>
        <w:t xml:space="preserve">[Online]. Available at: </w:t>
      </w:r>
      <w:hyperlink r:id="rId13" w:history="1">
        <w:r w:rsidRPr="00AD050F">
          <w:rPr>
            <w:color w:val="0000FF"/>
            <w:sz w:val="24"/>
            <w:szCs w:val="24"/>
            <w:u w:val="single"/>
          </w:rPr>
          <w:t xml:space="preserve">Moving beyond the trait conceptualization of self-esteem: The prospective effect of impulsiveness, coping, and risky </w:t>
        </w:r>
        <w:proofErr w:type="spellStart"/>
        <w:r w:rsidRPr="00AD050F">
          <w:rPr>
            <w:color w:val="0000FF"/>
            <w:sz w:val="24"/>
            <w:szCs w:val="24"/>
            <w:u w:val="single"/>
          </w:rPr>
          <w:t>behavior</w:t>
        </w:r>
        <w:proofErr w:type="spellEnd"/>
        <w:r w:rsidRPr="00AD050F">
          <w:rPr>
            <w:color w:val="0000FF"/>
            <w:sz w:val="24"/>
            <w:szCs w:val="24"/>
            <w:u w:val="single"/>
          </w:rPr>
          <w:t xml:space="preserve"> engagement - ScienceDirect</w:t>
        </w:r>
      </w:hyperlink>
      <w:r w:rsidRPr="00AD050F">
        <w:rPr>
          <w:rFonts w:asciiTheme="minorHAnsi" w:hAnsiTheme="minorHAnsi" w:cstheme="minorHAnsi"/>
          <w:sz w:val="24"/>
          <w:szCs w:val="24"/>
        </w:rPr>
        <w:t xml:space="preserve"> (Accessed: 30</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November 2020) </w:t>
      </w:r>
    </w:p>
    <w:p w14:paraId="5129E647" w14:textId="77777777" w:rsidR="00F222F7" w:rsidRPr="00AD050F" w:rsidRDefault="00F222F7" w:rsidP="00F222F7">
      <w:pPr>
        <w:jc w:val="both"/>
        <w:rPr>
          <w:rFonts w:asciiTheme="minorHAnsi" w:hAnsiTheme="minorHAnsi" w:cstheme="minorHAnsi"/>
          <w:sz w:val="24"/>
          <w:szCs w:val="24"/>
        </w:rPr>
      </w:pPr>
      <w:r w:rsidRPr="00AD050F">
        <w:rPr>
          <w:rFonts w:asciiTheme="minorHAnsi" w:hAnsiTheme="minorHAnsi" w:cstheme="minorHAnsi"/>
          <w:sz w:val="24"/>
          <w:szCs w:val="24"/>
        </w:rPr>
        <w:t xml:space="preserve">Auerbach, R., </w:t>
      </w:r>
      <w:proofErr w:type="spellStart"/>
      <w:r w:rsidRPr="00AD050F">
        <w:rPr>
          <w:rFonts w:asciiTheme="minorHAnsi" w:hAnsiTheme="minorHAnsi" w:cstheme="minorHAnsi"/>
          <w:sz w:val="24"/>
          <w:szCs w:val="24"/>
        </w:rPr>
        <w:t>Kertz</w:t>
      </w:r>
      <w:proofErr w:type="spellEnd"/>
      <w:r w:rsidRPr="00AD050F">
        <w:rPr>
          <w:rFonts w:asciiTheme="minorHAnsi" w:hAnsiTheme="minorHAnsi" w:cstheme="minorHAnsi"/>
          <w:sz w:val="24"/>
          <w:szCs w:val="24"/>
        </w:rPr>
        <w:t xml:space="preserve">, S. and Gardiner, C. (2012) ‘Predicting Adolescent Risky </w:t>
      </w:r>
      <w:proofErr w:type="spellStart"/>
      <w:r w:rsidRPr="00AD050F">
        <w:rPr>
          <w:rFonts w:asciiTheme="minorHAnsi" w:hAnsiTheme="minorHAnsi" w:cstheme="minorHAnsi"/>
          <w:sz w:val="24"/>
          <w:szCs w:val="24"/>
        </w:rPr>
        <w:t>Behavior</w:t>
      </w:r>
      <w:proofErr w:type="spellEnd"/>
      <w:r w:rsidRPr="00AD050F">
        <w:rPr>
          <w:rFonts w:asciiTheme="minorHAnsi" w:hAnsiTheme="minorHAnsi" w:cstheme="minorHAnsi"/>
          <w:sz w:val="24"/>
          <w:szCs w:val="24"/>
        </w:rPr>
        <w:t xml:space="preserve"> Engagement: The Role of Cognitive Vulnerability an Anxiety’, </w:t>
      </w:r>
      <w:r w:rsidRPr="00AD050F">
        <w:rPr>
          <w:rFonts w:asciiTheme="minorHAnsi" w:hAnsiTheme="minorHAnsi" w:cstheme="minorHAnsi"/>
          <w:i/>
          <w:iCs/>
          <w:sz w:val="24"/>
          <w:szCs w:val="24"/>
        </w:rPr>
        <w:t xml:space="preserve">International Journal of Cognitive Therapy, Vol. 5, pp300-315. </w:t>
      </w:r>
      <w:r w:rsidRPr="00AD050F">
        <w:rPr>
          <w:rFonts w:asciiTheme="minorHAnsi" w:hAnsiTheme="minorHAnsi" w:cstheme="minorHAnsi"/>
          <w:sz w:val="24"/>
          <w:szCs w:val="24"/>
        </w:rPr>
        <w:t xml:space="preserve">[Online]. Available at: </w:t>
      </w:r>
      <w:hyperlink r:id="rId14" w:history="1">
        <w:r w:rsidRPr="00AD050F">
          <w:rPr>
            <w:rFonts w:asciiTheme="minorHAnsi" w:hAnsiTheme="minorHAnsi" w:cstheme="minorHAnsi"/>
            <w:color w:val="0000FF"/>
            <w:sz w:val="24"/>
            <w:szCs w:val="24"/>
            <w:u w:val="single"/>
          </w:rPr>
          <w:t>Auerbach_2012_Predicting_adolescent_risky_behavior.pdf (harvard.edu)</w:t>
        </w:r>
      </w:hyperlink>
      <w:r w:rsidRPr="00AD050F">
        <w:rPr>
          <w:rFonts w:asciiTheme="minorHAnsi" w:hAnsiTheme="minorHAnsi" w:cstheme="minorHAnsi"/>
          <w:sz w:val="24"/>
          <w:szCs w:val="24"/>
        </w:rPr>
        <w:t xml:space="preserve"> (Accessed: 30</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November 2020) </w:t>
      </w:r>
    </w:p>
    <w:p w14:paraId="4F7424BB" w14:textId="77777777" w:rsidR="00F222F7" w:rsidRPr="00AD050F" w:rsidRDefault="00F222F7" w:rsidP="00F222F7">
      <w:pPr>
        <w:jc w:val="both"/>
        <w:rPr>
          <w:rFonts w:asciiTheme="minorHAnsi" w:hAnsiTheme="minorHAnsi" w:cstheme="minorHAnsi"/>
          <w:sz w:val="24"/>
          <w:szCs w:val="24"/>
        </w:rPr>
      </w:pPr>
      <w:r w:rsidRPr="00AD050F">
        <w:rPr>
          <w:rFonts w:asciiTheme="minorHAnsi" w:hAnsiTheme="minorHAnsi" w:cstheme="minorHAnsi"/>
          <w:sz w:val="24"/>
          <w:szCs w:val="24"/>
        </w:rPr>
        <w:t xml:space="preserve">Baams, L., </w:t>
      </w:r>
      <w:proofErr w:type="spellStart"/>
      <w:r w:rsidRPr="00AD050F">
        <w:rPr>
          <w:rFonts w:asciiTheme="minorHAnsi" w:hAnsiTheme="minorHAnsi" w:cstheme="minorHAnsi"/>
          <w:sz w:val="24"/>
          <w:szCs w:val="24"/>
        </w:rPr>
        <w:t>Dubas</w:t>
      </w:r>
      <w:proofErr w:type="spellEnd"/>
      <w:r w:rsidRPr="00AD050F">
        <w:rPr>
          <w:rFonts w:asciiTheme="minorHAnsi" w:hAnsiTheme="minorHAnsi" w:cstheme="minorHAnsi"/>
          <w:sz w:val="24"/>
          <w:szCs w:val="24"/>
        </w:rPr>
        <w:t xml:space="preserve">, J., </w:t>
      </w:r>
      <w:proofErr w:type="spellStart"/>
      <w:r w:rsidRPr="00AD050F">
        <w:rPr>
          <w:rFonts w:asciiTheme="minorHAnsi" w:hAnsiTheme="minorHAnsi" w:cstheme="minorHAnsi"/>
          <w:sz w:val="24"/>
          <w:szCs w:val="24"/>
        </w:rPr>
        <w:t>Overbeek</w:t>
      </w:r>
      <w:proofErr w:type="spellEnd"/>
      <w:r w:rsidRPr="00AD050F">
        <w:rPr>
          <w:rFonts w:asciiTheme="minorHAnsi" w:hAnsiTheme="minorHAnsi" w:cstheme="minorHAnsi"/>
          <w:sz w:val="24"/>
          <w:szCs w:val="24"/>
        </w:rPr>
        <w:t xml:space="preserve">, G and van </w:t>
      </w:r>
      <w:proofErr w:type="spellStart"/>
      <w:r w:rsidRPr="00AD050F">
        <w:rPr>
          <w:rFonts w:asciiTheme="minorHAnsi" w:hAnsiTheme="minorHAnsi" w:cstheme="minorHAnsi"/>
          <w:sz w:val="24"/>
          <w:szCs w:val="24"/>
        </w:rPr>
        <w:t>Aken</w:t>
      </w:r>
      <w:proofErr w:type="spellEnd"/>
      <w:r w:rsidRPr="00AD050F">
        <w:rPr>
          <w:rFonts w:asciiTheme="minorHAnsi" w:hAnsiTheme="minorHAnsi" w:cstheme="minorHAnsi"/>
          <w:sz w:val="24"/>
          <w:szCs w:val="24"/>
        </w:rPr>
        <w:t xml:space="preserve">, M. (2015) ‘Transitions in Body and </w:t>
      </w:r>
      <w:proofErr w:type="spellStart"/>
      <w:r w:rsidRPr="00AD050F">
        <w:rPr>
          <w:rFonts w:asciiTheme="minorHAnsi" w:hAnsiTheme="minorHAnsi" w:cstheme="minorHAnsi"/>
          <w:sz w:val="24"/>
          <w:szCs w:val="24"/>
        </w:rPr>
        <w:t>Behavior</w:t>
      </w:r>
      <w:proofErr w:type="spellEnd"/>
      <w:r w:rsidRPr="00AD050F">
        <w:rPr>
          <w:rFonts w:asciiTheme="minorHAnsi" w:hAnsiTheme="minorHAnsi" w:cstheme="minorHAnsi"/>
          <w:sz w:val="24"/>
          <w:szCs w:val="24"/>
        </w:rPr>
        <w:t xml:space="preserve">: A Meta-Analytic Study on the Relationship Between Pubertal Development and Adolescent Sexual Behaviour’, </w:t>
      </w:r>
      <w:r w:rsidRPr="00AD050F">
        <w:rPr>
          <w:rFonts w:asciiTheme="minorHAnsi" w:hAnsiTheme="minorHAnsi" w:cstheme="minorHAnsi"/>
          <w:i/>
          <w:iCs/>
          <w:sz w:val="24"/>
          <w:szCs w:val="24"/>
        </w:rPr>
        <w:t xml:space="preserve">Journal of Adolescent Health, Vol. 56, pp586-598. </w:t>
      </w:r>
      <w:r w:rsidRPr="00AD050F">
        <w:rPr>
          <w:rFonts w:asciiTheme="minorHAnsi" w:hAnsiTheme="minorHAnsi" w:cstheme="minorHAnsi"/>
          <w:sz w:val="24"/>
          <w:szCs w:val="24"/>
        </w:rPr>
        <w:t xml:space="preserve">[Online].  Available at: </w:t>
      </w:r>
      <w:hyperlink r:id="rId15" w:history="1">
        <w:r w:rsidRPr="00AD050F">
          <w:rPr>
            <w:rFonts w:asciiTheme="minorHAnsi" w:hAnsiTheme="minorHAnsi" w:cstheme="minorHAnsi"/>
            <w:color w:val="0000FF"/>
            <w:sz w:val="24"/>
            <w:szCs w:val="24"/>
            <w:u w:val="single"/>
          </w:rPr>
          <w:t xml:space="preserve">Transitions in Body and </w:t>
        </w:r>
        <w:proofErr w:type="spellStart"/>
        <w:r w:rsidRPr="00AD050F">
          <w:rPr>
            <w:rFonts w:asciiTheme="minorHAnsi" w:hAnsiTheme="minorHAnsi" w:cstheme="minorHAnsi"/>
            <w:color w:val="0000FF"/>
            <w:sz w:val="24"/>
            <w:szCs w:val="24"/>
            <w:u w:val="single"/>
          </w:rPr>
          <w:t>Behavior</w:t>
        </w:r>
        <w:proofErr w:type="spellEnd"/>
        <w:r w:rsidRPr="00AD050F">
          <w:rPr>
            <w:rFonts w:asciiTheme="minorHAnsi" w:hAnsiTheme="minorHAnsi" w:cstheme="minorHAnsi"/>
            <w:color w:val="0000FF"/>
            <w:sz w:val="24"/>
            <w:szCs w:val="24"/>
            <w:u w:val="single"/>
          </w:rPr>
          <w:t xml:space="preserve">: A Meta-Analytic Study on the Relationship Between Pubertal Development and Adolescent Sexual </w:t>
        </w:r>
        <w:proofErr w:type="spellStart"/>
        <w:r w:rsidRPr="00AD050F">
          <w:rPr>
            <w:rFonts w:asciiTheme="minorHAnsi" w:hAnsiTheme="minorHAnsi" w:cstheme="minorHAnsi"/>
            <w:color w:val="0000FF"/>
            <w:sz w:val="24"/>
            <w:szCs w:val="24"/>
            <w:u w:val="single"/>
          </w:rPr>
          <w:t>Behavior</w:t>
        </w:r>
        <w:proofErr w:type="spellEnd"/>
        <w:r w:rsidRPr="00AD050F">
          <w:rPr>
            <w:rFonts w:asciiTheme="minorHAnsi" w:hAnsiTheme="minorHAnsi" w:cstheme="minorHAnsi"/>
            <w:color w:val="0000FF"/>
            <w:sz w:val="24"/>
            <w:szCs w:val="24"/>
            <w:u w:val="single"/>
          </w:rPr>
          <w:t xml:space="preserve"> | Elsevier Enhanced Reader</w:t>
        </w:r>
      </w:hyperlink>
      <w:r w:rsidRPr="00AD050F">
        <w:rPr>
          <w:rFonts w:asciiTheme="minorHAnsi" w:hAnsiTheme="minorHAnsi" w:cstheme="minorHAnsi"/>
          <w:sz w:val="24"/>
          <w:szCs w:val="24"/>
        </w:rPr>
        <w:t xml:space="preserve"> (Accessed: 23</w:t>
      </w:r>
      <w:r w:rsidRPr="00AD050F">
        <w:rPr>
          <w:rFonts w:asciiTheme="minorHAnsi" w:hAnsiTheme="minorHAnsi" w:cstheme="minorHAnsi"/>
          <w:sz w:val="24"/>
          <w:szCs w:val="24"/>
          <w:vertAlign w:val="superscript"/>
        </w:rPr>
        <w:t>rd</w:t>
      </w:r>
      <w:r w:rsidRPr="00AD050F">
        <w:rPr>
          <w:rFonts w:asciiTheme="minorHAnsi" w:hAnsiTheme="minorHAnsi" w:cstheme="minorHAnsi"/>
          <w:sz w:val="24"/>
          <w:szCs w:val="24"/>
        </w:rPr>
        <w:t xml:space="preserve"> May 2021)</w:t>
      </w:r>
    </w:p>
    <w:p w14:paraId="35B20C33" w14:textId="77777777" w:rsidR="00F222F7" w:rsidRPr="00AD050F" w:rsidRDefault="00F222F7" w:rsidP="00F222F7">
      <w:pPr>
        <w:jc w:val="both"/>
        <w:rPr>
          <w:sz w:val="24"/>
          <w:szCs w:val="24"/>
        </w:rPr>
      </w:pPr>
      <w:proofErr w:type="spellStart"/>
      <w:r w:rsidRPr="00AD050F">
        <w:rPr>
          <w:sz w:val="24"/>
          <w:szCs w:val="24"/>
        </w:rPr>
        <w:t>Badenes</w:t>
      </w:r>
      <w:proofErr w:type="spellEnd"/>
      <w:r w:rsidRPr="00AD050F">
        <w:rPr>
          <w:sz w:val="24"/>
          <w:szCs w:val="24"/>
        </w:rPr>
        <w:t xml:space="preserve">-Ribera, L., </w:t>
      </w:r>
      <w:proofErr w:type="spellStart"/>
      <w:r w:rsidRPr="00AD050F">
        <w:rPr>
          <w:sz w:val="24"/>
          <w:szCs w:val="24"/>
        </w:rPr>
        <w:t>Fabris</w:t>
      </w:r>
      <w:proofErr w:type="spellEnd"/>
      <w:r w:rsidRPr="00AD050F">
        <w:rPr>
          <w:sz w:val="24"/>
          <w:szCs w:val="24"/>
        </w:rPr>
        <w:t xml:space="preserve">, M., Gastaldi, F., </w:t>
      </w:r>
      <w:proofErr w:type="spellStart"/>
      <w:r w:rsidRPr="00AD050F">
        <w:rPr>
          <w:sz w:val="24"/>
          <w:szCs w:val="24"/>
        </w:rPr>
        <w:t>Prino</w:t>
      </w:r>
      <w:proofErr w:type="spellEnd"/>
      <w:r w:rsidRPr="00AD050F">
        <w:rPr>
          <w:sz w:val="24"/>
          <w:szCs w:val="24"/>
        </w:rPr>
        <w:t xml:space="preserve">, L. </w:t>
      </w:r>
      <w:proofErr w:type="spellStart"/>
      <w:r w:rsidRPr="00AD050F">
        <w:rPr>
          <w:sz w:val="24"/>
          <w:szCs w:val="24"/>
        </w:rPr>
        <w:t>abd</w:t>
      </w:r>
      <w:proofErr w:type="spellEnd"/>
      <w:r w:rsidRPr="00AD050F">
        <w:rPr>
          <w:sz w:val="24"/>
          <w:szCs w:val="24"/>
        </w:rPr>
        <w:t xml:space="preserve"> </w:t>
      </w:r>
      <w:proofErr w:type="spellStart"/>
      <w:r w:rsidRPr="00AD050F">
        <w:rPr>
          <w:sz w:val="24"/>
          <w:szCs w:val="24"/>
        </w:rPr>
        <w:t>Longobardi</w:t>
      </w:r>
      <w:proofErr w:type="spellEnd"/>
      <w:r w:rsidRPr="00AD050F">
        <w:rPr>
          <w:sz w:val="24"/>
          <w:szCs w:val="24"/>
        </w:rPr>
        <w:t xml:space="preserve">, C. (2019) ‘Parent and peer attachment as predictors of </w:t>
      </w:r>
      <w:proofErr w:type="spellStart"/>
      <w:r w:rsidRPr="00AD050F">
        <w:rPr>
          <w:sz w:val="24"/>
          <w:szCs w:val="24"/>
        </w:rPr>
        <w:t>facebook</w:t>
      </w:r>
      <w:proofErr w:type="spellEnd"/>
      <w:r w:rsidRPr="00AD050F">
        <w:rPr>
          <w:sz w:val="24"/>
          <w:szCs w:val="24"/>
        </w:rPr>
        <w:t xml:space="preserve"> addiction symptoms in different developmental stages (early adolescents and adolescents)’, </w:t>
      </w:r>
      <w:r w:rsidRPr="00AD050F">
        <w:rPr>
          <w:i/>
          <w:iCs/>
          <w:sz w:val="24"/>
          <w:szCs w:val="24"/>
        </w:rPr>
        <w:t xml:space="preserve">Addictive </w:t>
      </w:r>
      <w:proofErr w:type="spellStart"/>
      <w:r w:rsidRPr="00AD050F">
        <w:rPr>
          <w:i/>
          <w:iCs/>
          <w:sz w:val="24"/>
          <w:szCs w:val="24"/>
        </w:rPr>
        <w:t>Behaviors</w:t>
      </w:r>
      <w:proofErr w:type="spellEnd"/>
      <w:r w:rsidRPr="00AD050F">
        <w:rPr>
          <w:i/>
          <w:iCs/>
          <w:sz w:val="24"/>
          <w:szCs w:val="24"/>
        </w:rPr>
        <w:t xml:space="preserve">, Vol. 95, pp226-232. </w:t>
      </w:r>
      <w:r w:rsidRPr="00AD050F">
        <w:rPr>
          <w:sz w:val="24"/>
          <w:szCs w:val="24"/>
        </w:rPr>
        <w:t xml:space="preserve">[Online]. Available at: </w:t>
      </w:r>
      <w:hyperlink r:id="rId16" w:history="1">
        <w:r w:rsidRPr="00AD050F">
          <w:rPr>
            <w:color w:val="0000FF"/>
            <w:sz w:val="24"/>
            <w:szCs w:val="24"/>
            <w:u w:val="single"/>
          </w:rPr>
          <w:t xml:space="preserve">Parent and peer attachment as predictors of </w:t>
        </w:r>
        <w:proofErr w:type="spellStart"/>
        <w:r w:rsidRPr="00AD050F">
          <w:rPr>
            <w:color w:val="0000FF"/>
            <w:sz w:val="24"/>
            <w:szCs w:val="24"/>
            <w:u w:val="single"/>
          </w:rPr>
          <w:t>facebook</w:t>
        </w:r>
        <w:proofErr w:type="spellEnd"/>
        <w:r w:rsidRPr="00AD050F">
          <w:rPr>
            <w:color w:val="0000FF"/>
            <w:sz w:val="24"/>
            <w:szCs w:val="24"/>
            <w:u w:val="single"/>
          </w:rPr>
          <w:t xml:space="preserve"> addiction symptoms in </w:t>
        </w:r>
        <w:r w:rsidRPr="00AD050F">
          <w:rPr>
            <w:color w:val="0000FF"/>
            <w:sz w:val="24"/>
            <w:szCs w:val="24"/>
            <w:u w:val="single"/>
          </w:rPr>
          <w:lastRenderedPageBreak/>
          <w:t>different developmental stages (early adolescents and adolescents) - ScienceDirect</w:t>
        </w:r>
      </w:hyperlink>
      <w:r w:rsidRPr="00AD050F">
        <w:rPr>
          <w:sz w:val="24"/>
          <w:szCs w:val="24"/>
        </w:rPr>
        <w:t xml:space="preserve"> (Accessed: 17</w:t>
      </w:r>
      <w:r w:rsidRPr="00AD050F">
        <w:rPr>
          <w:sz w:val="24"/>
          <w:szCs w:val="24"/>
          <w:vertAlign w:val="superscript"/>
        </w:rPr>
        <w:t>th</w:t>
      </w:r>
      <w:r w:rsidRPr="00AD050F">
        <w:rPr>
          <w:sz w:val="24"/>
          <w:szCs w:val="24"/>
        </w:rPr>
        <w:t xml:space="preserve"> May 2021)</w:t>
      </w:r>
    </w:p>
    <w:p w14:paraId="0A8ADA72" w14:textId="77777777" w:rsidR="00F222F7" w:rsidRPr="00AD050F" w:rsidRDefault="00F222F7" w:rsidP="00F222F7">
      <w:pPr>
        <w:jc w:val="both"/>
        <w:rPr>
          <w:sz w:val="24"/>
          <w:szCs w:val="24"/>
        </w:rPr>
      </w:pPr>
      <w:proofErr w:type="spellStart"/>
      <w:r w:rsidRPr="00AD050F">
        <w:rPr>
          <w:sz w:val="24"/>
          <w:szCs w:val="24"/>
        </w:rPr>
        <w:t>Baiden</w:t>
      </w:r>
      <w:proofErr w:type="spellEnd"/>
      <w:r w:rsidRPr="00AD050F">
        <w:rPr>
          <w:sz w:val="24"/>
          <w:szCs w:val="24"/>
        </w:rPr>
        <w:t xml:space="preserve">, P., Jahan, N., </w:t>
      </w:r>
      <w:proofErr w:type="spellStart"/>
      <w:r w:rsidRPr="00AD050F">
        <w:rPr>
          <w:sz w:val="24"/>
          <w:szCs w:val="24"/>
        </w:rPr>
        <w:t>Onyeaka</w:t>
      </w:r>
      <w:proofErr w:type="spellEnd"/>
      <w:r w:rsidRPr="00AD050F">
        <w:rPr>
          <w:sz w:val="24"/>
          <w:szCs w:val="24"/>
        </w:rPr>
        <w:t xml:space="preserve">, H., Thrasher, S., </w:t>
      </w:r>
      <w:proofErr w:type="spellStart"/>
      <w:r w:rsidRPr="00AD050F">
        <w:rPr>
          <w:sz w:val="24"/>
          <w:szCs w:val="24"/>
        </w:rPr>
        <w:t>Tadeo</w:t>
      </w:r>
      <w:proofErr w:type="spellEnd"/>
      <w:r w:rsidRPr="00AD050F">
        <w:rPr>
          <w:sz w:val="24"/>
          <w:szCs w:val="24"/>
        </w:rPr>
        <w:t xml:space="preserve">, S. and Findley, E. (2021) ‘Age at first alcohol use and weapon carrying among adolescents: Findings from the 2019 Youth Risk </w:t>
      </w:r>
      <w:proofErr w:type="spellStart"/>
      <w:r w:rsidRPr="00AD050F">
        <w:rPr>
          <w:sz w:val="24"/>
          <w:szCs w:val="24"/>
        </w:rPr>
        <w:t>Behavior</w:t>
      </w:r>
      <w:proofErr w:type="spellEnd"/>
      <w:r w:rsidRPr="00AD050F">
        <w:rPr>
          <w:sz w:val="24"/>
          <w:szCs w:val="24"/>
        </w:rPr>
        <w:t xml:space="preserve"> Survey, </w:t>
      </w:r>
      <w:r w:rsidRPr="00AD050F">
        <w:rPr>
          <w:i/>
          <w:iCs/>
          <w:sz w:val="24"/>
          <w:szCs w:val="24"/>
        </w:rPr>
        <w:t xml:space="preserve">SSM Population Health, Vol. 15. </w:t>
      </w:r>
      <w:r w:rsidRPr="00AD050F">
        <w:rPr>
          <w:sz w:val="24"/>
          <w:szCs w:val="24"/>
        </w:rPr>
        <w:t xml:space="preserve">[Online]. Available at:  </w:t>
      </w:r>
      <w:hyperlink r:id="rId17" w:history="1">
        <w:r w:rsidRPr="00AD050F">
          <w:rPr>
            <w:color w:val="0000FF"/>
            <w:sz w:val="24"/>
            <w:szCs w:val="24"/>
            <w:u w:val="single"/>
          </w:rPr>
          <w:t xml:space="preserve">Age at first alcohol use and weapon carrying among adolescents: Findings from the 2019 Youth Risk </w:t>
        </w:r>
        <w:proofErr w:type="spellStart"/>
        <w:r w:rsidRPr="00AD050F">
          <w:rPr>
            <w:color w:val="0000FF"/>
            <w:sz w:val="24"/>
            <w:szCs w:val="24"/>
            <w:u w:val="single"/>
          </w:rPr>
          <w:t>Behavior</w:t>
        </w:r>
        <w:proofErr w:type="spellEnd"/>
        <w:r w:rsidRPr="00AD050F">
          <w:rPr>
            <w:color w:val="0000FF"/>
            <w:sz w:val="24"/>
            <w:szCs w:val="24"/>
            <w:u w:val="single"/>
          </w:rPr>
          <w:t xml:space="preserve"> Survey - ScienceDirect</w:t>
        </w:r>
      </w:hyperlink>
      <w:r w:rsidRPr="00AD050F">
        <w:rPr>
          <w:sz w:val="24"/>
          <w:szCs w:val="24"/>
        </w:rPr>
        <w:t xml:space="preserve"> (Accessed: 5</w:t>
      </w:r>
      <w:r w:rsidRPr="00AD050F">
        <w:rPr>
          <w:sz w:val="24"/>
          <w:szCs w:val="24"/>
          <w:vertAlign w:val="superscript"/>
        </w:rPr>
        <w:t>th</w:t>
      </w:r>
      <w:r w:rsidRPr="00AD050F">
        <w:rPr>
          <w:sz w:val="24"/>
          <w:szCs w:val="24"/>
        </w:rPr>
        <w:t xml:space="preserve"> June 2021)</w:t>
      </w:r>
    </w:p>
    <w:p w14:paraId="0BEAF9B2" w14:textId="77777777" w:rsidR="00F222F7" w:rsidRPr="00AD050F" w:rsidRDefault="00F222F7" w:rsidP="00F222F7">
      <w:pPr>
        <w:jc w:val="both"/>
        <w:rPr>
          <w:rFonts w:asciiTheme="minorHAnsi" w:hAnsiTheme="minorHAnsi" w:cstheme="minorHAnsi"/>
          <w:sz w:val="24"/>
          <w:szCs w:val="24"/>
        </w:rPr>
      </w:pPr>
      <w:r w:rsidRPr="00AD050F">
        <w:rPr>
          <w:rFonts w:asciiTheme="minorHAnsi" w:hAnsiTheme="minorHAnsi" w:cstheme="minorHAnsi"/>
          <w:sz w:val="24"/>
          <w:szCs w:val="24"/>
        </w:rPr>
        <w:t xml:space="preserve">Baker, A. and Galvan, A. (2020) ‘Threat or thrill? The neural mechanisms underlying the development of anxiety and risk taking in adolescence’, </w:t>
      </w:r>
      <w:r w:rsidRPr="00AD050F">
        <w:rPr>
          <w:rFonts w:asciiTheme="minorHAnsi" w:hAnsiTheme="minorHAnsi" w:cstheme="minorHAnsi"/>
          <w:i/>
          <w:iCs/>
          <w:sz w:val="24"/>
          <w:szCs w:val="24"/>
        </w:rPr>
        <w:t xml:space="preserve">Developmental Cognitive Neuroscience, Vol. 45. </w:t>
      </w:r>
      <w:r w:rsidRPr="00AD050F">
        <w:rPr>
          <w:rFonts w:asciiTheme="minorHAnsi" w:hAnsiTheme="minorHAnsi" w:cstheme="minorHAnsi"/>
          <w:sz w:val="24"/>
          <w:szCs w:val="24"/>
        </w:rPr>
        <w:t xml:space="preserve">[Online]. Available at: </w:t>
      </w:r>
      <w:hyperlink r:id="rId18" w:history="1">
        <w:r w:rsidRPr="00AD050F">
          <w:rPr>
            <w:rFonts w:asciiTheme="minorHAnsi" w:hAnsiTheme="minorHAnsi" w:cstheme="minorHAnsi"/>
            <w:color w:val="0000FF"/>
            <w:sz w:val="24"/>
            <w:szCs w:val="24"/>
            <w:u w:val="single"/>
          </w:rPr>
          <w:t>Threat or thrill? the neural mechanisms underlying the development of anxiety and risk taking in adolescence | Elsevier Enhanced Reader</w:t>
        </w:r>
      </w:hyperlink>
      <w:r w:rsidRPr="00AD050F">
        <w:rPr>
          <w:rFonts w:asciiTheme="minorHAnsi" w:hAnsiTheme="minorHAnsi" w:cstheme="minorHAnsi"/>
          <w:sz w:val="24"/>
          <w:szCs w:val="24"/>
        </w:rPr>
        <w:t xml:space="preserve"> (Accessed: 20</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March 2021)</w:t>
      </w:r>
    </w:p>
    <w:p w14:paraId="5079D092" w14:textId="77777777" w:rsidR="00F222F7" w:rsidRPr="00AD050F" w:rsidRDefault="00F222F7" w:rsidP="00F222F7">
      <w:pPr>
        <w:jc w:val="both"/>
        <w:rPr>
          <w:rFonts w:asciiTheme="minorHAnsi" w:hAnsiTheme="minorHAnsi" w:cstheme="minorHAnsi"/>
          <w:sz w:val="24"/>
          <w:szCs w:val="24"/>
        </w:rPr>
      </w:pPr>
      <w:proofErr w:type="spellStart"/>
      <w:r w:rsidRPr="00AD050F">
        <w:rPr>
          <w:rFonts w:asciiTheme="minorHAnsi" w:hAnsiTheme="minorHAnsi" w:cstheme="minorHAnsi"/>
          <w:sz w:val="24"/>
          <w:szCs w:val="24"/>
        </w:rPr>
        <w:t>Beeres</w:t>
      </w:r>
      <w:proofErr w:type="spellEnd"/>
      <w:r w:rsidRPr="00AD050F">
        <w:rPr>
          <w:rFonts w:asciiTheme="minorHAnsi" w:hAnsiTheme="minorHAnsi" w:cstheme="minorHAnsi"/>
          <w:sz w:val="24"/>
          <w:szCs w:val="24"/>
        </w:rPr>
        <w:t xml:space="preserve">, D., Andersson, F., </w:t>
      </w:r>
      <w:proofErr w:type="spellStart"/>
      <w:r w:rsidRPr="00AD050F">
        <w:rPr>
          <w:rFonts w:asciiTheme="minorHAnsi" w:hAnsiTheme="minorHAnsi" w:cstheme="minorHAnsi"/>
          <w:sz w:val="24"/>
          <w:szCs w:val="24"/>
        </w:rPr>
        <w:t>Vossen</w:t>
      </w:r>
      <w:proofErr w:type="spellEnd"/>
      <w:r w:rsidRPr="00AD050F">
        <w:rPr>
          <w:rFonts w:asciiTheme="minorHAnsi" w:hAnsiTheme="minorHAnsi" w:cstheme="minorHAnsi"/>
          <w:sz w:val="24"/>
          <w:szCs w:val="24"/>
        </w:rPr>
        <w:t xml:space="preserve">, H and </w:t>
      </w:r>
      <w:proofErr w:type="spellStart"/>
      <w:r w:rsidRPr="00AD050F">
        <w:rPr>
          <w:rFonts w:asciiTheme="minorHAnsi" w:hAnsiTheme="minorHAnsi" w:cstheme="minorHAnsi"/>
          <w:sz w:val="24"/>
          <w:szCs w:val="24"/>
        </w:rPr>
        <w:t>Galanti</w:t>
      </w:r>
      <w:proofErr w:type="spellEnd"/>
      <w:r w:rsidRPr="00AD050F">
        <w:rPr>
          <w:rFonts w:asciiTheme="minorHAnsi" w:hAnsiTheme="minorHAnsi" w:cstheme="minorHAnsi"/>
          <w:sz w:val="24"/>
          <w:szCs w:val="24"/>
        </w:rPr>
        <w:t xml:space="preserve">, M. (2020) ‘Social Media and Mental Health Among Early Adolescents in Sweden: A Longitudinal Study with 2-Year Follow-Up (KUPOL Study)’, </w:t>
      </w:r>
      <w:r w:rsidRPr="00AD050F">
        <w:rPr>
          <w:rFonts w:asciiTheme="minorHAnsi" w:hAnsiTheme="minorHAnsi" w:cstheme="minorHAnsi"/>
          <w:i/>
          <w:iCs/>
          <w:sz w:val="24"/>
          <w:szCs w:val="24"/>
        </w:rPr>
        <w:t xml:space="preserve">Journal of Adolescent Health, Vol. 68, pp953-960. </w:t>
      </w:r>
      <w:r w:rsidRPr="00AD050F">
        <w:rPr>
          <w:rFonts w:asciiTheme="minorHAnsi" w:hAnsiTheme="minorHAnsi" w:cstheme="minorHAnsi"/>
          <w:sz w:val="24"/>
          <w:szCs w:val="24"/>
        </w:rPr>
        <w:t xml:space="preserve"> [Online].  Available at: </w:t>
      </w:r>
      <w:r w:rsidRPr="00AD050F">
        <w:rPr>
          <w:rFonts w:asciiTheme="minorHAnsi" w:eastAsiaTheme="minorHAnsi" w:hAnsiTheme="minorHAnsi" w:cstheme="minorHAnsi"/>
          <w:i/>
          <w:iCs/>
          <w:color w:val="auto"/>
          <w:sz w:val="24"/>
          <w:szCs w:val="24"/>
        </w:rPr>
        <w:t xml:space="preserve"> </w:t>
      </w:r>
      <w:hyperlink r:id="rId19" w:history="1">
        <w:r w:rsidRPr="00AD050F">
          <w:rPr>
            <w:rFonts w:asciiTheme="minorHAnsi" w:hAnsiTheme="minorHAnsi" w:cstheme="minorHAnsi"/>
            <w:color w:val="0000FF"/>
            <w:sz w:val="24"/>
            <w:szCs w:val="24"/>
            <w:u w:val="single"/>
          </w:rPr>
          <w:t>https://www.sciencedirect.com/science/article/pii/S1054139X20304626</w:t>
        </w:r>
      </w:hyperlink>
      <w:r w:rsidRPr="00AD050F">
        <w:rPr>
          <w:rFonts w:asciiTheme="minorHAnsi" w:hAnsiTheme="minorHAnsi" w:cstheme="minorHAnsi"/>
          <w:sz w:val="24"/>
          <w:szCs w:val="24"/>
        </w:rPr>
        <w:t xml:space="preserve">  (Accessed: 27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April 2021)</w:t>
      </w:r>
    </w:p>
    <w:p w14:paraId="6C433FA3"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eastAsiaTheme="minorHAnsi" w:hAnsiTheme="minorHAnsi" w:cstheme="minorHAnsi"/>
          <w:color w:val="auto"/>
          <w:sz w:val="24"/>
          <w:szCs w:val="24"/>
        </w:rPr>
        <w:t xml:space="preserve">Biederman, J., DiSalvo, M., </w:t>
      </w:r>
      <w:proofErr w:type="spellStart"/>
      <w:r w:rsidRPr="00AD050F">
        <w:rPr>
          <w:rFonts w:asciiTheme="minorHAnsi" w:eastAsiaTheme="minorHAnsi" w:hAnsiTheme="minorHAnsi" w:cstheme="minorHAnsi"/>
          <w:color w:val="auto"/>
          <w:sz w:val="24"/>
          <w:szCs w:val="24"/>
        </w:rPr>
        <w:t>Vaudreuil</w:t>
      </w:r>
      <w:proofErr w:type="spellEnd"/>
      <w:r w:rsidRPr="00AD050F">
        <w:rPr>
          <w:rFonts w:asciiTheme="minorHAnsi" w:eastAsiaTheme="minorHAnsi" w:hAnsiTheme="minorHAnsi" w:cstheme="minorHAnsi"/>
          <w:color w:val="auto"/>
          <w:sz w:val="24"/>
          <w:szCs w:val="24"/>
        </w:rPr>
        <w:t xml:space="preserve">, C., Wozniak, J., Uchida, M., Woodworth, K., Green, A., Farrell, A. and </w:t>
      </w:r>
      <w:proofErr w:type="spellStart"/>
      <w:r w:rsidRPr="00AD050F">
        <w:rPr>
          <w:rFonts w:asciiTheme="minorHAnsi" w:eastAsiaTheme="minorHAnsi" w:hAnsiTheme="minorHAnsi" w:cstheme="minorHAnsi"/>
          <w:color w:val="auto"/>
          <w:sz w:val="24"/>
          <w:szCs w:val="24"/>
        </w:rPr>
        <w:t>Faraone</w:t>
      </w:r>
      <w:proofErr w:type="spellEnd"/>
      <w:r w:rsidRPr="00AD050F">
        <w:rPr>
          <w:rFonts w:asciiTheme="minorHAnsi" w:eastAsiaTheme="minorHAnsi" w:hAnsiTheme="minorHAnsi" w:cstheme="minorHAnsi"/>
          <w:color w:val="auto"/>
          <w:sz w:val="24"/>
          <w:szCs w:val="24"/>
        </w:rPr>
        <w:t xml:space="preserve">, S. (2021) ‘The child behaviour checklist can aid in characterizing suspected comorbid psychopathology in clinically referred youth with ADHD’, </w:t>
      </w:r>
      <w:r w:rsidRPr="00AD050F">
        <w:rPr>
          <w:rFonts w:asciiTheme="minorHAnsi" w:eastAsiaTheme="minorHAnsi" w:hAnsiTheme="minorHAnsi" w:cstheme="minorHAnsi"/>
          <w:i/>
          <w:iCs/>
          <w:color w:val="auto"/>
          <w:sz w:val="24"/>
          <w:szCs w:val="24"/>
        </w:rPr>
        <w:t xml:space="preserve">Journal of Psychiatric Research, Vol. 138, pp477-484. </w:t>
      </w:r>
      <w:r w:rsidRPr="00AD050F">
        <w:rPr>
          <w:rFonts w:asciiTheme="minorHAnsi" w:hAnsiTheme="minorHAnsi" w:cstheme="minorHAnsi"/>
          <w:sz w:val="24"/>
          <w:szCs w:val="24"/>
        </w:rPr>
        <w:t xml:space="preserve">[Online].  Available at: </w:t>
      </w:r>
      <w:hyperlink r:id="rId20" w:history="1">
        <w:r w:rsidRPr="00AD050F">
          <w:rPr>
            <w:rFonts w:asciiTheme="minorHAnsi" w:hAnsiTheme="minorHAnsi" w:cstheme="minorHAnsi"/>
            <w:color w:val="0000FF"/>
            <w:sz w:val="24"/>
            <w:szCs w:val="24"/>
            <w:u w:val="single"/>
          </w:rPr>
          <w:t xml:space="preserve">The child </w:t>
        </w:r>
        <w:proofErr w:type="spellStart"/>
        <w:r w:rsidRPr="00AD050F">
          <w:rPr>
            <w:rFonts w:asciiTheme="minorHAnsi" w:hAnsiTheme="minorHAnsi" w:cstheme="minorHAnsi"/>
            <w:color w:val="0000FF"/>
            <w:sz w:val="24"/>
            <w:szCs w:val="24"/>
            <w:u w:val="single"/>
          </w:rPr>
          <w:t>behavior</w:t>
        </w:r>
        <w:proofErr w:type="spellEnd"/>
        <w:r w:rsidRPr="00AD050F">
          <w:rPr>
            <w:rFonts w:asciiTheme="minorHAnsi" w:hAnsiTheme="minorHAnsi" w:cstheme="minorHAnsi"/>
            <w:color w:val="0000FF"/>
            <w:sz w:val="24"/>
            <w:szCs w:val="24"/>
            <w:u w:val="single"/>
          </w:rPr>
          <w:t xml:space="preserve"> checklist can aid in characterizing suspected comorbid psychopathology in clinically referred youth with ADHD | Elsevier Enhanced Reader</w:t>
        </w:r>
      </w:hyperlink>
      <w:r w:rsidRPr="00AD050F">
        <w:rPr>
          <w:rFonts w:asciiTheme="minorHAnsi" w:hAnsiTheme="minorHAnsi" w:cstheme="minorHAnsi"/>
          <w:sz w:val="24"/>
          <w:szCs w:val="24"/>
        </w:rPr>
        <w:t xml:space="preserve"> (Accessed: 5</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May 2021)</w:t>
      </w:r>
    </w:p>
    <w:p w14:paraId="6AED3ECF"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2A8F68F0"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eastAsiaTheme="minorHAnsi" w:hAnsiTheme="minorHAnsi" w:cstheme="minorHAnsi"/>
          <w:color w:val="auto"/>
          <w:sz w:val="24"/>
          <w:szCs w:val="24"/>
        </w:rPr>
        <w:t xml:space="preserve">Bjork, J. and </w:t>
      </w:r>
      <w:proofErr w:type="spellStart"/>
      <w:r w:rsidRPr="00AD050F">
        <w:rPr>
          <w:rFonts w:asciiTheme="minorHAnsi" w:eastAsiaTheme="minorHAnsi" w:hAnsiTheme="minorHAnsi" w:cstheme="minorHAnsi"/>
          <w:color w:val="auto"/>
          <w:sz w:val="24"/>
          <w:szCs w:val="24"/>
        </w:rPr>
        <w:t>Pardini</w:t>
      </w:r>
      <w:proofErr w:type="spellEnd"/>
      <w:r w:rsidRPr="00AD050F">
        <w:rPr>
          <w:rFonts w:asciiTheme="minorHAnsi" w:eastAsiaTheme="minorHAnsi" w:hAnsiTheme="minorHAnsi" w:cstheme="minorHAnsi"/>
          <w:color w:val="auto"/>
          <w:sz w:val="24"/>
          <w:szCs w:val="24"/>
        </w:rPr>
        <w:t>, D. (2014) ‘Who are those “risk-taking adolescents”? Individual differences in developmental neuroimaging research’,</w:t>
      </w:r>
      <w:r w:rsidRPr="00AD050F">
        <w:rPr>
          <w:rFonts w:asciiTheme="minorHAnsi" w:eastAsiaTheme="minorHAnsi" w:hAnsiTheme="minorHAnsi" w:cstheme="minorHAnsi"/>
          <w:i/>
          <w:iCs/>
          <w:color w:val="auto"/>
          <w:sz w:val="24"/>
          <w:szCs w:val="24"/>
        </w:rPr>
        <w:t xml:space="preserve"> Developmental Cognitive Neuroscience, </w:t>
      </w:r>
      <w:r w:rsidRPr="00AD050F">
        <w:rPr>
          <w:rFonts w:asciiTheme="minorHAnsi" w:eastAsiaTheme="minorHAnsi" w:hAnsiTheme="minorHAnsi" w:cstheme="minorHAnsi"/>
          <w:color w:val="auto"/>
          <w:sz w:val="24"/>
          <w:szCs w:val="24"/>
        </w:rPr>
        <w:t>11,</w:t>
      </w:r>
      <w:r w:rsidRPr="00AD050F">
        <w:rPr>
          <w:rFonts w:asciiTheme="minorHAnsi" w:eastAsiaTheme="minorHAnsi" w:hAnsiTheme="minorHAnsi" w:cstheme="minorHAnsi"/>
          <w:i/>
          <w:iCs/>
          <w:color w:val="auto"/>
          <w:sz w:val="24"/>
          <w:szCs w:val="24"/>
        </w:rPr>
        <w:t xml:space="preserve"> pp56-64.  </w:t>
      </w:r>
      <w:r w:rsidRPr="00AD050F">
        <w:rPr>
          <w:rFonts w:asciiTheme="minorHAnsi" w:hAnsiTheme="minorHAnsi" w:cstheme="minorHAnsi"/>
          <w:sz w:val="24"/>
          <w:szCs w:val="24"/>
        </w:rPr>
        <w:t xml:space="preserve">[Online].  Available at: </w:t>
      </w:r>
      <w:r w:rsidRPr="00AD050F">
        <w:rPr>
          <w:rFonts w:asciiTheme="minorHAnsi" w:eastAsiaTheme="minorHAnsi" w:hAnsiTheme="minorHAnsi" w:cstheme="minorHAnsi"/>
          <w:i/>
          <w:iCs/>
          <w:color w:val="auto"/>
          <w:sz w:val="24"/>
          <w:szCs w:val="24"/>
        </w:rPr>
        <w:t xml:space="preserve"> </w:t>
      </w:r>
      <w:hyperlink r:id="rId21" w:history="1">
        <w:r w:rsidRPr="00AD050F">
          <w:rPr>
            <w:rFonts w:asciiTheme="minorHAnsi" w:hAnsiTheme="minorHAnsi" w:cstheme="minorHAnsi"/>
            <w:color w:val="0000FF"/>
            <w:sz w:val="24"/>
            <w:szCs w:val="24"/>
            <w:u w:val="single"/>
          </w:rPr>
          <w:t>Who are those “risk-taking adolescents”? Individual differences in developmental neuroimaging research | Elsevier Enhanced Reader</w:t>
        </w:r>
      </w:hyperlink>
      <w:r w:rsidRPr="00AD050F">
        <w:rPr>
          <w:rFonts w:asciiTheme="minorHAnsi" w:eastAsiaTheme="minorHAnsi" w:hAnsiTheme="minorHAnsi" w:cstheme="minorHAnsi"/>
          <w:i/>
          <w:iCs/>
          <w:color w:val="auto"/>
          <w:sz w:val="24"/>
          <w:szCs w:val="24"/>
        </w:rPr>
        <w:t xml:space="preserve">  </w:t>
      </w:r>
      <w:r w:rsidRPr="00AD050F">
        <w:rPr>
          <w:rFonts w:asciiTheme="minorHAnsi" w:eastAsiaTheme="minorHAnsi" w:hAnsiTheme="minorHAnsi" w:cstheme="minorHAnsi"/>
          <w:color w:val="auto"/>
          <w:sz w:val="24"/>
          <w:szCs w:val="24"/>
        </w:rPr>
        <w:t>(Accessed: 14</w:t>
      </w:r>
      <w:r w:rsidRPr="00AD050F">
        <w:rPr>
          <w:rFonts w:asciiTheme="minorHAnsi" w:eastAsiaTheme="minorHAnsi" w:hAnsiTheme="minorHAnsi" w:cstheme="minorHAnsi"/>
          <w:color w:val="auto"/>
          <w:sz w:val="24"/>
          <w:szCs w:val="24"/>
          <w:vertAlign w:val="superscript"/>
        </w:rPr>
        <w:t>th</w:t>
      </w:r>
      <w:r w:rsidRPr="00AD050F">
        <w:rPr>
          <w:rFonts w:asciiTheme="minorHAnsi" w:eastAsiaTheme="minorHAnsi" w:hAnsiTheme="minorHAnsi" w:cstheme="minorHAnsi"/>
          <w:color w:val="auto"/>
          <w:sz w:val="24"/>
          <w:szCs w:val="24"/>
        </w:rPr>
        <w:t xml:space="preserve"> Jan 2021)</w:t>
      </w:r>
    </w:p>
    <w:p w14:paraId="5AB97BA7"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18C9A5EA"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eastAsiaTheme="minorHAnsi" w:hAnsiTheme="minorHAnsi" w:cstheme="minorHAnsi"/>
          <w:color w:val="auto"/>
          <w:sz w:val="24"/>
          <w:szCs w:val="24"/>
        </w:rPr>
        <w:t xml:space="preserve">BMJ Best Practice (2021) </w:t>
      </w:r>
      <w:r w:rsidRPr="00AD050F">
        <w:rPr>
          <w:rFonts w:asciiTheme="minorHAnsi" w:eastAsiaTheme="minorHAnsi" w:hAnsiTheme="minorHAnsi" w:cstheme="minorHAnsi"/>
          <w:i/>
          <w:iCs/>
          <w:color w:val="auto"/>
          <w:sz w:val="24"/>
          <w:szCs w:val="24"/>
        </w:rPr>
        <w:t xml:space="preserve">Precocious puberty.  </w:t>
      </w:r>
      <w:r w:rsidRPr="00AD050F">
        <w:rPr>
          <w:rFonts w:asciiTheme="minorHAnsi" w:eastAsiaTheme="minorHAnsi" w:hAnsiTheme="minorHAnsi" w:cstheme="minorHAnsi"/>
          <w:color w:val="auto"/>
          <w:sz w:val="24"/>
          <w:szCs w:val="24"/>
        </w:rPr>
        <w:t xml:space="preserve">Available at: </w:t>
      </w:r>
      <w:hyperlink r:id="rId22" w:history="1">
        <w:r w:rsidRPr="00AD050F">
          <w:rPr>
            <w:rFonts w:asciiTheme="minorHAnsi" w:hAnsiTheme="minorHAnsi" w:cstheme="minorHAnsi"/>
            <w:color w:val="0000FF"/>
            <w:sz w:val="24"/>
            <w:szCs w:val="24"/>
            <w:u w:val="single"/>
          </w:rPr>
          <w:t>Precocious puberty - Symptoms, diagnosis and treatment | BMJ Best Practice</w:t>
        </w:r>
      </w:hyperlink>
      <w:r w:rsidRPr="00AD050F">
        <w:rPr>
          <w:rFonts w:asciiTheme="minorHAnsi" w:hAnsiTheme="minorHAnsi" w:cstheme="minorHAnsi"/>
          <w:sz w:val="24"/>
          <w:szCs w:val="24"/>
        </w:rPr>
        <w:t xml:space="preserve">  (Accessed: 5</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June 2021) </w:t>
      </w:r>
    </w:p>
    <w:p w14:paraId="0AEEB93C"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0344E142"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Richard Border</w:t>
      </w:r>
    </w:p>
    <w:p w14:paraId="048245C5"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1,2,3</w:t>
      </w:r>
    </w:p>
    <w:p w14:paraId="14BB512A"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7"/>
          <w:sz w:val="66"/>
          <w:szCs w:val="66"/>
          <w:lang w:eastAsia="en-GB"/>
        </w:rPr>
      </w:pPr>
      <w:r w:rsidRPr="00AD050F">
        <w:rPr>
          <w:rFonts w:ascii="ff2" w:eastAsia="Times New Roman" w:hAnsi="ff2" w:cs="Times New Roman"/>
          <w:color w:val="231F20"/>
          <w:spacing w:val="-7"/>
          <w:sz w:val="66"/>
          <w:szCs w:val="66"/>
          <w:lang w:eastAsia="en-GB"/>
        </w:rPr>
        <w:t>, Robin P. Corley</w:t>
      </w:r>
    </w:p>
    <w:p w14:paraId="7125845F"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w:t>
      </w:r>
    </w:p>
    <w:p w14:paraId="47543672"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165"/>
          <w:sz w:val="66"/>
          <w:szCs w:val="66"/>
          <w:lang w:eastAsia="en-GB"/>
        </w:rPr>
      </w:pPr>
      <w:proofErr w:type="gramStart"/>
      <w:r w:rsidRPr="00AD050F">
        <w:rPr>
          <w:rFonts w:ascii="ff2" w:eastAsia="Times New Roman" w:hAnsi="ff2" w:cs="Times New Roman"/>
          <w:color w:val="231F20"/>
          <w:spacing w:val="165"/>
          <w:sz w:val="66"/>
          <w:szCs w:val="66"/>
          <w:lang w:eastAsia="en-GB"/>
        </w:rPr>
        <w:t>,</w:t>
      </w:r>
      <w:proofErr w:type="spellStart"/>
      <w:r w:rsidRPr="00AD050F">
        <w:rPr>
          <w:rFonts w:ascii="ff2" w:eastAsia="Times New Roman" w:hAnsi="ff2" w:cs="Times New Roman"/>
          <w:color w:val="231F20"/>
          <w:spacing w:val="165"/>
          <w:sz w:val="66"/>
          <w:szCs w:val="66"/>
          <w:lang w:eastAsia="en-GB"/>
        </w:rPr>
        <w:t>SandraA.Brown</w:t>
      </w:r>
      <w:proofErr w:type="spellEnd"/>
      <w:proofErr w:type="gramEnd"/>
    </w:p>
    <w:p w14:paraId="04B9944D"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4</w:t>
      </w:r>
    </w:p>
    <w:p w14:paraId="5E7AFC21"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163"/>
          <w:sz w:val="66"/>
          <w:szCs w:val="66"/>
          <w:lang w:eastAsia="en-GB"/>
        </w:rPr>
      </w:pPr>
      <w:proofErr w:type="gramStart"/>
      <w:r w:rsidRPr="00AD050F">
        <w:rPr>
          <w:rFonts w:ascii="ff2" w:eastAsia="Times New Roman" w:hAnsi="ff2" w:cs="Times New Roman"/>
          <w:color w:val="231F20"/>
          <w:spacing w:val="163"/>
          <w:sz w:val="66"/>
          <w:szCs w:val="66"/>
          <w:lang w:eastAsia="en-GB"/>
        </w:rPr>
        <w:t>,</w:t>
      </w:r>
      <w:proofErr w:type="spellStart"/>
      <w:r w:rsidRPr="00AD050F">
        <w:rPr>
          <w:rFonts w:ascii="ff2" w:eastAsia="Times New Roman" w:hAnsi="ff2" w:cs="Times New Roman"/>
          <w:color w:val="231F20"/>
          <w:spacing w:val="163"/>
          <w:sz w:val="66"/>
          <w:szCs w:val="66"/>
          <w:lang w:eastAsia="en-GB"/>
        </w:rPr>
        <w:t>JohnK.Hewitt</w:t>
      </w:r>
      <w:proofErr w:type="spellEnd"/>
      <w:proofErr w:type="gramEnd"/>
    </w:p>
    <w:p w14:paraId="2F2753A2"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1,2</w:t>
      </w:r>
    </w:p>
    <w:p w14:paraId="12C038EF"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 xml:space="preserve">, Christian J. </w:t>
      </w:r>
      <w:proofErr w:type="spellStart"/>
      <w:r w:rsidRPr="00AD050F">
        <w:rPr>
          <w:rFonts w:ascii="ff2" w:eastAsia="Times New Roman" w:hAnsi="ff2" w:cs="Times New Roman"/>
          <w:color w:val="231F20"/>
          <w:sz w:val="66"/>
          <w:szCs w:val="66"/>
          <w:lang w:eastAsia="en-GB"/>
        </w:rPr>
        <w:t>Hopfer</w:t>
      </w:r>
      <w:proofErr w:type="spellEnd"/>
    </w:p>
    <w:p w14:paraId="7354DC72"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4</w:t>
      </w:r>
    </w:p>
    <w:p w14:paraId="199A0763"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w:t>
      </w:r>
    </w:p>
    <w:p w14:paraId="451A321D"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Shannon K. McWilliams</w:t>
      </w:r>
    </w:p>
    <w:p w14:paraId="19015183"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4</w:t>
      </w:r>
    </w:p>
    <w:p w14:paraId="62A0D34C"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7"/>
          <w:sz w:val="66"/>
          <w:szCs w:val="66"/>
          <w:lang w:eastAsia="en-GB"/>
        </w:rPr>
      </w:pPr>
      <w:r w:rsidRPr="00AD050F">
        <w:rPr>
          <w:rFonts w:ascii="ff2" w:eastAsia="Times New Roman" w:hAnsi="ff2" w:cs="Times New Roman"/>
          <w:color w:val="231F20"/>
          <w:spacing w:val="-7"/>
          <w:sz w:val="66"/>
          <w:szCs w:val="66"/>
          <w:lang w:eastAsia="en-GB"/>
        </w:rPr>
        <w:t>, Sally Ann Rhea</w:t>
      </w:r>
    </w:p>
    <w:p w14:paraId="4ED6FA1A"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w:t>
      </w:r>
    </w:p>
    <w:p w14:paraId="28459C13"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11"/>
          <w:sz w:val="66"/>
          <w:szCs w:val="66"/>
          <w:lang w:eastAsia="en-GB"/>
        </w:rPr>
      </w:pPr>
      <w:r w:rsidRPr="00AD050F">
        <w:rPr>
          <w:rFonts w:ascii="ff2" w:eastAsia="Times New Roman" w:hAnsi="ff2" w:cs="Times New Roman"/>
          <w:color w:val="231F20"/>
          <w:spacing w:val="-11"/>
          <w:sz w:val="66"/>
          <w:szCs w:val="66"/>
          <w:lang w:eastAsia="en-GB"/>
        </w:rPr>
        <w:t>, Christen L. Shriver</w:t>
      </w:r>
    </w:p>
    <w:p w14:paraId="11815C92"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5</w:t>
      </w:r>
    </w:p>
    <w:p w14:paraId="2AC91473"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 Michael C. Stallings</w:t>
      </w:r>
    </w:p>
    <w:p w14:paraId="7F223739"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1,2</w:t>
      </w:r>
    </w:p>
    <w:p w14:paraId="5EAD6F6E"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w:t>
      </w:r>
    </w:p>
    <w:p w14:paraId="3E98B431"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Tamara L. Wall</w:t>
      </w:r>
    </w:p>
    <w:p w14:paraId="03457E7E"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5</w:t>
      </w:r>
    </w:p>
    <w:p w14:paraId="1C124E37"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 Kerri E. Woodward</w:t>
      </w:r>
    </w:p>
    <w:p w14:paraId="054F4E6E"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1,2</w:t>
      </w:r>
    </w:p>
    <w:p w14:paraId="4E809027"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173"/>
          <w:sz w:val="66"/>
          <w:szCs w:val="66"/>
          <w:lang w:eastAsia="en-GB"/>
        </w:rPr>
      </w:pPr>
      <w:r w:rsidRPr="00AD050F">
        <w:rPr>
          <w:rFonts w:ascii="ff2" w:eastAsia="Times New Roman" w:hAnsi="ff2" w:cs="Times New Roman"/>
          <w:color w:val="231F20"/>
          <w:spacing w:val="173"/>
          <w:sz w:val="66"/>
          <w:szCs w:val="66"/>
          <w:lang w:eastAsia="en-GB"/>
        </w:rPr>
        <w:t>&amp;</w:t>
      </w:r>
      <w:proofErr w:type="spellStart"/>
      <w:r w:rsidRPr="00AD050F">
        <w:rPr>
          <w:rFonts w:ascii="ff2" w:eastAsia="Times New Roman" w:hAnsi="ff2" w:cs="Times New Roman"/>
          <w:color w:val="231F20"/>
          <w:spacing w:val="173"/>
          <w:sz w:val="66"/>
          <w:szCs w:val="66"/>
          <w:lang w:eastAsia="en-GB"/>
        </w:rPr>
        <w:t>SooHyunRhee</w:t>
      </w:r>
      <w:proofErr w:type="spellEnd"/>
    </w:p>
    <w:p w14:paraId="3526F8DE"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Richard Border</w:t>
      </w:r>
    </w:p>
    <w:p w14:paraId="3326282D"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1,2,3</w:t>
      </w:r>
    </w:p>
    <w:p w14:paraId="59E023C8"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7"/>
          <w:sz w:val="66"/>
          <w:szCs w:val="66"/>
          <w:lang w:eastAsia="en-GB"/>
        </w:rPr>
      </w:pPr>
      <w:r w:rsidRPr="00AD050F">
        <w:rPr>
          <w:rFonts w:ascii="ff2" w:eastAsia="Times New Roman" w:hAnsi="ff2" w:cs="Times New Roman"/>
          <w:color w:val="231F20"/>
          <w:spacing w:val="-7"/>
          <w:sz w:val="66"/>
          <w:szCs w:val="66"/>
          <w:lang w:eastAsia="en-GB"/>
        </w:rPr>
        <w:t>, Robin P. Corley</w:t>
      </w:r>
    </w:p>
    <w:p w14:paraId="06C99CE8"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w:t>
      </w:r>
    </w:p>
    <w:p w14:paraId="7F951D4F"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165"/>
          <w:sz w:val="66"/>
          <w:szCs w:val="66"/>
          <w:lang w:eastAsia="en-GB"/>
        </w:rPr>
      </w:pPr>
      <w:proofErr w:type="gramStart"/>
      <w:r w:rsidRPr="00AD050F">
        <w:rPr>
          <w:rFonts w:ascii="ff2" w:eastAsia="Times New Roman" w:hAnsi="ff2" w:cs="Times New Roman"/>
          <w:color w:val="231F20"/>
          <w:spacing w:val="165"/>
          <w:sz w:val="66"/>
          <w:szCs w:val="66"/>
          <w:lang w:eastAsia="en-GB"/>
        </w:rPr>
        <w:t>,</w:t>
      </w:r>
      <w:proofErr w:type="spellStart"/>
      <w:r w:rsidRPr="00AD050F">
        <w:rPr>
          <w:rFonts w:ascii="ff2" w:eastAsia="Times New Roman" w:hAnsi="ff2" w:cs="Times New Roman"/>
          <w:color w:val="231F20"/>
          <w:spacing w:val="165"/>
          <w:sz w:val="66"/>
          <w:szCs w:val="66"/>
          <w:lang w:eastAsia="en-GB"/>
        </w:rPr>
        <w:t>SandraA.Brown</w:t>
      </w:r>
      <w:proofErr w:type="spellEnd"/>
      <w:proofErr w:type="gramEnd"/>
    </w:p>
    <w:p w14:paraId="16926646"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4</w:t>
      </w:r>
    </w:p>
    <w:p w14:paraId="096A479A"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163"/>
          <w:sz w:val="66"/>
          <w:szCs w:val="66"/>
          <w:lang w:eastAsia="en-GB"/>
        </w:rPr>
      </w:pPr>
      <w:proofErr w:type="gramStart"/>
      <w:r w:rsidRPr="00AD050F">
        <w:rPr>
          <w:rFonts w:ascii="ff2" w:eastAsia="Times New Roman" w:hAnsi="ff2" w:cs="Times New Roman"/>
          <w:color w:val="231F20"/>
          <w:spacing w:val="163"/>
          <w:sz w:val="66"/>
          <w:szCs w:val="66"/>
          <w:lang w:eastAsia="en-GB"/>
        </w:rPr>
        <w:t>,</w:t>
      </w:r>
      <w:proofErr w:type="spellStart"/>
      <w:r w:rsidRPr="00AD050F">
        <w:rPr>
          <w:rFonts w:ascii="ff2" w:eastAsia="Times New Roman" w:hAnsi="ff2" w:cs="Times New Roman"/>
          <w:color w:val="231F20"/>
          <w:spacing w:val="163"/>
          <w:sz w:val="66"/>
          <w:szCs w:val="66"/>
          <w:lang w:eastAsia="en-GB"/>
        </w:rPr>
        <w:t>JohnK.Hewitt</w:t>
      </w:r>
      <w:proofErr w:type="spellEnd"/>
      <w:proofErr w:type="gramEnd"/>
    </w:p>
    <w:p w14:paraId="4D498CF3"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1,2</w:t>
      </w:r>
    </w:p>
    <w:p w14:paraId="19B1345A"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 xml:space="preserve">, Christian J. </w:t>
      </w:r>
      <w:proofErr w:type="spellStart"/>
      <w:r w:rsidRPr="00AD050F">
        <w:rPr>
          <w:rFonts w:ascii="ff2" w:eastAsia="Times New Roman" w:hAnsi="ff2" w:cs="Times New Roman"/>
          <w:color w:val="231F20"/>
          <w:sz w:val="66"/>
          <w:szCs w:val="66"/>
          <w:lang w:eastAsia="en-GB"/>
        </w:rPr>
        <w:t>Hopfer</w:t>
      </w:r>
      <w:proofErr w:type="spellEnd"/>
    </w:p>
    <w:p w14:paraId="3E320DA7"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4</w:t>
      </w:r>
    </w:p>
    <w:p w14:paraId="214298E9"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w:t>
      </w:r>
    </w:p>
    <w:p w14:paraId="12F0E2F0"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Shannon K. McWilliams</w:t>
      </w:r>
    </w:p>
    <w:p w14:paraId="3E3EBED2"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4</w:t>
      </w:r>
    </w:p>
    <w:p w14:paraId="082B4985"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7"/>
          <w:sz w:val="66"/>
          <w:szCs w:val="66"/>
          <w:lang w:eastAsia="en-GB"/>
        </w:rPr>
      </w:pPr>
      <w:r w:rsidRPr="00AD050F">
        <w:rPr>
          <w:rFonts w:ascii="ff2" w:eastAsia="Times New Roman" w:hAnsi="ff2" w:cs="Times New Roman"/>
          <w:color w:val="231F20"/>
          <w:spacing w:val="-7"/>
          <w:sz w:val="66"/>
          <w:szCs w:val="66"/>
          <w:lang w:eastAsia="en-GB"/>
        </w:rPr>
        <w:t>, Sally Ann Rhea</w:t>
      </w:r>
    </w:p>
    <w:p w14:paraId="7FB034E0"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w:t>
      </w:r>
    </w:p>
    <w:p w14:paraId="25E9731B"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11"/>
          <w:sz w:val="66"/>
          <w:szCs w:val="66"/>
          <w:lang w:eastAsia="en-GB"/>
        </w:rPr>
      </w:pPr>
      <w:r w:rsidRPr="00AD050F">
        <w:rPr>
          <w:rFonts w:ascii="ff2" w:eastAsia="Times New Roman" w:hAnsi="ff2" w:cs="Times New Roman"/>
          <w:color w:val="231F20"/>
          <w:spacing w:val="-11"/>
          <w:sz w:val="66"/>
          <w:szCs w:val="66"/>
          <w:lang w:eastAsia="en-GB"/>
        </w:rPr>
        <w:t>, Christen L. Shriver</w:t>
      </w:r>
    </w:p>
    <w:p w14:paraId="07F1A4DC"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5</w:t>
      </w:r>
    </w:p>
    <w:p w14:paraId="5C4E3B6D"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 Michael C. Stallings</w:t>
      </w:r>
    </w:p>
    <w:p w14:paraId="404AA495"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1,2</w:t>
      </w:r>
    </w:p>
    <w:p w14:paraId="0A98B5C2"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w:t>
      </w:r>
    </w:p>
    <w:p w14:paraId="1F818DD9"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Tamara L. Wall</w:t>
      </w:r>
    </w:p>
    <w:p w14:paraId="482B846A"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5</w:t>
      </w:r>
    </w:p>
    <w:p w14:paraId="4883B465"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66"/>
          <w:szCs w:val="66"/>
          <w:lang w:eastAsia="en-GB"/>
        </w:rPr>
      </w:pPr>
      <w:r w:rsidRPr="00AD050F">
        <w:rPr>
          <w:rFonts w:ascii="ff2" w:eastAsia="Times New Roman" w:hAnsi="ff2" w:cs="Times New Roman"/>
          <w:color w:val="231F20"/>
          <w:sz w:val="66"/>
          <w:szCs w:val="66"/>
          <w:lang w:eastAsia="en-GB"/>
        </w:rPr>
        <w:t>, Kerri E. Woodward</w:t>
      </w:r>
    </w:p>
    <w:p w14:paraId="7FAC5104"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z w:val="44"/>
          <w:szCs w:val="44"/>
          <w:lang w:eastAsia="en-GB"/>
        </w:rPr>
      </w:pPr>
      <w:r w:rsidRPr="00AD050F">
        <w:rPr>
          <w:rFonts w:ascii="ff2" w:eastAsia="Times New Roman" w:hAnsi="ff2" w:cs="Times New Roman"/>
          <w:color w:val="231F20"/>
          <w:sz w:val="44"/>
          <w:szCs w:val="44"/>
          <w:lang w:eastAsia="en-GB"/>
        </w:rPr>
        <w:t>1,2</w:t>
      </w:r>
    </w:p>
    <w:p w14:paraId="10AD0DDA" w14:textId="77777777" w:rsidR="00F222F7" w:rsidRPr="00AD050F" w:rsidRDefault="00F222F7" w:rsidP="00F222F7">
      <w:pPr>
        <w:shd w:val="clear" w:color="auto" w:fill="FFFFFF"/>
        <w:spacing w:after="0" w:afterAutospacing="0" w:line="0" w:lineRule="auto"/>
        <w:rPr>
          <w:rFonts w:ascii="ff2" w:eastAsia="Times New Roman" w:hAnsi="ff2" w:cs="Times New Roman"/>
          <w:color w:val="231F20"/>
          <w:spacing w:val="173"/>
          <w:sz w:val="66"/>
          <w:szCs w:val="66"/>
          <w:lang w:eastAsia="en-GB"/>
        </w:rPr>
      </w:pPr>
      <w:r w:rsidRPr="00AD050F">
        <w:rPr>
          <w:rFonts w:ascii="ff2" w:eastAsia="Times New Roman" w:hAnsi="ff2" w:cs="Times New Roman"/>
          <w:color w:val="231F20"/>
          <w:spacing w:val="173"/>
          <w:sz w:val="66"/>
          <w:szCs w:val="66"/>
          <w:lang w:eastAsia="en-GB"/>
        </w:rPr>
        <w:t>&amp;</w:t>
      </w:r>
      <w:proofErr w:type="spellStart"/>
      <w:r w:rsidRPr="00AD050F">
        <w:rPr>
          <w:rFonts w:ascii="ff2" w:eastAsia="Times New Roman" w:hAnsi="ff2" w:cs="Times New Roman"/>
          <w:color w:val="231F20"/>
          <w:spacing w:val="173"/>
          <w:sz w:val="66"/>
          <w:szCs w:val="66"/>
          <w:lang w:eastAsia="en-GB"/>
        </w:rPr>
        <w:t>SooHyunRhee</w:t>
      </w:r>
      <w:proofErr w:type="spellEnd"/>
    </w:p>
    <w:p w14:paraId="59F9205D"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t xml:space="preserve">Border, R., Corley, R., Brown, S., Hewitt, J., </w:t>
      </w:r>
      <w:proofErr w:type="spellStart"/>
      <w:r w:rsidRPr="00AD050F">
        <w:rPr>
          <w:rFonts w:asciiTheme="minorHAnsi" w:hAnsiTheme="minorHAnsi" w:cstheme="minorHAnsi"/>
          <w:sz w:val="24"/>
          <w:szCs w:val="24"/>
        </w:rPr>
        <w:t>Hopfer</w:t>
      </w:r>
      <w:proofErr w:type="spellEnd"/>
      <w:r w:rsidRPr="00AD050F">
        <w:rPr>
          <w:rFonts w:asciiTheme="minorHAnsi" w:hAnsiTheme="minorHAnsi" w:cstheme="minorHAnsi"/>
          <w:sz w:val="24"/>
          <w:szCs w:val="24"/>
        </w:rPr>
        <w:t xml:space="preserve">, C., McWilliams, S., Rhea, S., Shriver, C., Stallings, M., Wall, T., Woodward, K. and Rhee, S. (2018) ‘Independent predictors of mortality in adolescents ascertained for conduct disorder and substance use problems, their siblings and community controls’, </w:t>
      </w:r>
      <w:r w:rsidRPr="00AD050F">
        <w:rPr>
          <w:rFonts w:asciiTheme="minorHAnsi" w:hAnsiTheme="minorHAnsi" w:cstheme="minorHAnsi"/>
          <w:i/>
          <w:iCs/>
          <w:sz w:val="24"/>
          <w:szCs w:val="24"/>
        </w:rPr>
        <w:t xml:space="preserve">Addiction, Vol. 113, pp2107-2115. </w:t>
      </w:r>
      <w:r w:rsidRPr="00AD050F">
        <w:rPr>
          <w:rFonts w:asciiTheme="minorHAnsi" w:hAnsiTheme="minorHAnsi" w:cstheme="minorHAnsi"/>
          <w:sz w:val="24"/>
          <w:szCs w:val="24"/>
        </w:rPr>
        <w:t xml:space="preserve">[Online]. Available at:  </w:t>
      </w:r>
      <w:hyperlink r:id="rId23" w:history="1">
        <w:r w:rsidRPr="00AD050F">
          <w:rPr>
            <w:color w:val="0000FF"/>
            <w:sz w:val="24"/>
            <w:szCs w:val="24"/>
            <w:u w:val="single"/>
          </w:rPr>
          <w:t>Independent predictors of mortality in adolescents ascertained for conduct disorder and substance use problems, their siblings and community controls - Border - 2018 - Addiction - Wiley Online Library</w:t>
        </w:r>
      </w:hyperlink>
      <w:r w:rsidRPr="00AD050F">
        <w:rPr>
          <w:sz w:val="24"/>
          <w:szCs w:val="24"/>
        </w:rPr>
        <w:t xml:space="preserve"> (Accessed: 28</w:t>
      </w:r>
      <w:r w:rsidRPr="00AD050F">
        <w:rPr>
          <w:sz w:val="24"/>
          <w:szCs w:val="24"/>
          <w:vertAlign w:val="superscript"/>
        </w:rPr>
        <w:t>th</w:t>
      </w:r>
      <w:r w:rsidRPr="00AD050F">
        <w:rPr>
          <w:sz w:val="24"/>
          <w:szCs w:val="24"/>
        </w:rPr>
        <w:t xml:space="preserve"> June 2021)</w:t>
      </w:r>
    </w:p>
    <w:p w14:paraId="455B6428"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5E1E1A3C"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lastRenderedPageBreak/>
        <w:t>Bozzini</w:t>
      </w:r>
      <w:proofErr w:type="spellEnd"/>
      <w:r w:rsidRPr="00AD050F">
        <w:rPr>
          <w:rFonts w:asciiTheme="minorHAnsi" w:hAnsiTheme="minorHAnsi" w:cstheme="minorHAnsi"/>
          <w:sz w:val="24"/>
          <w:szCs w:val="24"/>
        </w:rPr>
        <w:t xml:space="preserve">, A., Maruyama, J., </w:t>
      </w:r>
      <w:proofErr w:type="spellStart"/>
      <w:r w:rsidRPr="00AD050F">
        <w:rPr>
          <w:rFonts w:asciiTheme="minorHAnsi" w:hAnsiTheme="minorHAnsi" w:cstheme="minorHAnsi"/>
          <w:sz w:val="24"/>
          <w:szCs w:val="24"/>
        </w:rPr>
        <w:t>Munhoz</w:t>
      </w:r>
      <w:proofErr w:type="spellEnd"/>
      <w:r w:rsidRPr="00AD050F">
        <w:rPr>
          <w:rFonts w:asciiTheme="minorHAnsi" w:hAnsiTheme="minorHAnsi" w:cstheme="minorHAnsi"/>
          <w:sz w:val="24"/>
          <w:szCs w:val="24"/>
        </w:rPr>
        <w:t xml:space="preserve">, T., Barros, A., Barros, F., Santos, I. and </w:t>
      </w:r>
      <w:proofErr w:type="spellStart"/>
      <w:r w:rsidRPr="00AD050F">
        <w:rPr>
          <w:rFonts w:asciiTheme="minorHAnsi" w:hAnsiTheme="minorHAnsi" w:cstheme="minorHAnsi"/>
          <w:sz w:val="24"/>
          <w:szCs w:val="24"/>
        </w:rPr>
        <w:t>Matijasevich</w:t>
      </w:r>
      <w:proofErr w:type="spellEnd"/>
      <w:r w:rsidRPr="00AD050F">
        <w:rPr>
          <w:rFonts w:asciiTheme="minorHAnsi" w:hAnsiTheme="minorHAnsi" w:cstheme="minorHAnsi"/>
          <w:sz w:val="24"/>
          <w:szCs w:val="24"/>
        </w:rPr>
        <w:t xml:space="preserve">, A. (2021) ‘Trajectories of maternal depressive symptoms and offspring’s risk </w:t>
      </w:r>
      <w:proofErr w:type="spellStart"/>
      <w:r w:rsidRPr="00AD050F">
        <w:rPr>
          <w:rFonts w:asciiTheme="minorHAnsi" w:hAnsiTheme="minorHAnsi" w:cstheme="minorHAnsi"/>
          <w:sz w:val="24"/>
          <w:szCs w:val="24"/>
        </w:rPr>
        <w:t>behavior</w:t>
      </w:r>
      <w:proofErr w:type="spellEnd"/>
      <w:r w:rsidRPr="00AD050F">
        <w:rPr>
          <w:rFonts w:asciiTheme="minorHAnsi" w:hAnsiTheme="minorHAnsi" w:cstheme="minorHAnsi"/>
          <w:sz w:val="24"/>
          <w:szCs w:val="24"/>
        </w:rPr>
        <w:t xml:space="preserve"> in early adolescence: data from the 2004 Pelotas birth cohort study’, </w:t>
      </w:r>
      <w:r w:rsidRPr="00AD050F">
        <w:rPr>
          <w:rFonts w:asciiTheme="minorHAnsi" w:hAnsiTheme="minorHAnsi" w:cstheme="minorHAnsi"/>
          <w:i/>
          <w:iCs/>
          <w:sz w:val="24"/>
          <w:szCs w:val="24"/>
        </w:rPr>
        <w:t>BMC Psychiatry, Vol. 21</w:t>
      </w:r>
      <w:r w:rsidRPr="00AD050F">
        <w:rPr>
          <w:rFonts w:asciiTheme="minorHAnsi" w:hAnsiTheme="minorHAnsi" w:cstheme="minorHAnsi"/>
          <w:sz w:val="24"/>
          <w:szCs w:val="24"/>
        </w:rPr>
        <w:t xml:space="preserve">. [Online] Available at: </w:t>
      </w:r>
      <w:hyperlink r:id="rId24" w:history="1">
        <w:r w:rsidRPr="00AD050F">
          <w:rPr>
            <w:rFonts w:asciiTheme="minorHAnsi" w:hAnsiTheme="minorHAnsi" w:cstheme="minorHAnsi"/>
            <w:color w:val="0000FF"/>
            <w:sz w:val="24"/>
            <w:szCs w:val="24"/>
            <w:u w:val="single"/>
          </w:rPr>
          <w:t xml:space="preserve">Trajectories of maternal depressive symptoms and offspring’s risk </w:t>
        </w:r>
        <w:proofErr w:type="spellStart"/>
        <w:r w:rsidRPr="00AD050F">
          <w:rPr>
            <w:rFonts w:asciiTheme="minorHAnsi" w:hAnsiTheme="minorHAnsi" w:cstheme="minorHAnsi"/>
            <w:color w:val="0000FF"/>
            <w:sz w:val="24"/>
            <w:szCs w:val="24"/>
            <w:u w:val="single"/>
          </w:rPr>
          <w:t>behavior</w:t>
        </w:r>
        <w:proofErr w:type="spellEnd"/>
        <w:r w:rsidRPr="00AD050F">
          <w:rPr>
            <w:rFonts w:asciiTheme="minorHAnsi" w:hAnsiTheme="minorHAnsi" w:cstheme="minorHAnsi"/>
            <w:color w:val="0000FF"/>
            <w:sz w:val="24"/>
            <w:szCs w:val="24"/>
            <w:u w:val="single"/>
          </w:rPr>
          <w:t xml:space="preserve"> in early adolescence: data from the 2004 Pelotas birth cohort study | BMC Psychiatry | Full Text (biomedcentral.com)</w:t>
        </w:r>
      </w:hyperlink>
      <w:r w:rsidRPr="00AD050F">
        <w:rPr>
          <w:rFonts w:asciiTheme="minorHAnsi" w:hAnsiTheme="minorHAnsi" w:cstheme="minorHAnsi"/>
          <w:sz w:val="24"/>
          <w:szCs w:val="24"/>
        </w:rPr>
        <w:t xml:space="preserve"> (Accessed: 14</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March 2021)</w:t>
      </w:r>
    </w:p>
    <w:p w14:paraId="43E1697B"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39986CED" w14:textId="77777777" w:rsidR="00F222F7" w:rsidRPr="00AD050F" w:rsidRDefault="00F222F7" w:rsidP="00F222F7">
      <w:pPr>
        <w:jc w:val="both"/>
        <w:rPr>
          <w:rFonts w:asciiTheme="minorHAnsi" w:hAnsiTheme="minorHAnsi" w:cstheme="minorHAnsi"/>
          <w:sz w:val="24"/>
          <w:szCs w:val="24"/>
        </w:rPr>
      </w:pPr>
      <w:r w:rsidRPr="00AD050F">
        <w:rPr>
          <w:rFonts w:asciiTheme="minorHAnsi" w:hAnsiTheme="minorHAnsi" w:cstheme="minorHAnsi"/>
          <w:sz w:val="24"/>
          <w:szCs w:val="24"/>
        </w:rPr>
        <w:t xml:space="preserve">British Transport Police (2021) </w:t>
      </w:r>
      <w:r w:rsidRPr="00AD050F">
        <w:rPr>
          <w:rFonts w:asciiTheme="minorHAnsi" w:hAnsiTheme="minorHAnsi" w:cstheme="minorHAnsi"/>
          <w:i/>
          <w:iCs/>
          <w:sz w:val="24"/>
          <w:szCs w:val="24"/>
        </w:rPr>
        <w:t xml:space="preserve">You vs. Train. </w:t>
      </w:r>
      <w:r w:rsidRPr="00AD050F">
        <w:rPr>
          <w:rFonts w:asciiTheme="minorHAnsi" w:hAnsiTheme="minorHAnsi" w:cstheme="minorHAnsi"/>
          <w:sz w:val="24"/>
          <w:szCs w:val="24"/>
        </w:rPr>
        <w:t>Available at:</w:t>
      </w:r>
      <w:r w:rsidRPr="00AD050F">
        <w:rPr>
          <w:rFonts w:asciiTheme="minorHAnsi" w:hAnsiTheme="minorHAnsi" w:cstheme="minorHAnsi"/>
          <w:i/>
          <w:iCs/>
          <w:sz w:val="24"/>
          <w:szCs w:val="24"/>
        </w:rPr>
        <w:t xml:space="preserve"> </w:t>
      </w:r>
      <w:hyperlink r:id="rId25" w:anchor="facts" w:history="1">
        <w:r w:rsidRPr="00AD050F">
          <w:rPr>
            <w:color w:val="0000FF"/>
            <w:sz w:val="24"/>
            <w:szCs w:val="24"/>
            <w:u w:val="single"/>
          </w:rPr>
          <w:t>You vs. Train (youvstrain.co.uk)</w:t>
        </w:r>
      </w:hyperlink>
      <w:r w:rsidRPr="00AD050F">
        <w:rPr>
          <w:sz w:val="24"/>
          <w:szCs w:val="24"/>
        </w:rPr>
        <w:t xml:space="preserve"> (Accessed: 5</w:t>
      </w:r>
      <w:r w:rsidRPr="00AD050F">
        <w:rPr>
          <w:sz w:val="24"/>
          <w:szCs w:val="24"/>
          <w:vertAlign w:val="superscript"/>
        </w:rPr>
        <w:t>th</w:t>
      </w:r>
      <w:r w:rsidRPr="00AD050F">
        <w:rPr>
          <w:sz w:val="24"/>
          <w:szCs w:val="24"/>
        </w:rPr>
        <w:t xml:space="preserve"> June 2021)</w:t>
      </w:r>
    </w:p>
    <w:p w14:paraId="27978063"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eastAsiaTheme="minorHAnsi" w:hAnsiTheme="minorHAnsi" w:cstheme="minorHAnsi"/>
          <w:color w:val="auto"/>
          <w:sz w:val="24"/>
          <w:szCs w:val="24"/>
        </w:rPr>
        <w:t xml:space="preserve">Brown, B. and </w:t>
      </w:r>
      <w:proofErr w:type="spellStart"/>
      <w:r w:rsidRPr="00AD050F">
        <w:rPr>
          <w:rFonts w:asciiTheme="minorHAnsi" w:eastAsiaTheme="minorHAnsi" w:hAnsiTheme="minorHAnsi" w:cstheme="minorHAnsi"/>
          <w:color w:val="auto"/>
          <w:sz w:val="24"/>
          <w:szCs w:val="24"/>
        </w:rPr>
        <w:t>Anistranski</w:t>
      </w:r>
      <w:proofErr w:type="spellEnd"/>
      <w:r w:rsidRPr="00AD050F">
        <w:rPr>
          <w:rFonts w:asciiTheme="minorHAnsi" w:eastAsiaTheme="minorHAnsi" w:hAnsiTheme="minorHAnsi" w:cstheme="minorHAnsi"/>
          <w:color w:val="auto"/>
          <w:sz w:val="24"/>
          <w:szCs w:val="24"/>
        </w:rPr>
        <w:t xml:space="preserve"> Jr., J. (2020) ‘Peer Influence in Adolescence’, </w:t>
      </w:r>
      <w:r w:rsidRPr="00AD050F">
        <w:rPr>
          <w:rFonts w:asciiTheme="minorHAnsi" w:eastAsiaTheme="minorHAnsi" w:hAnsiTheme="minorHAnsi" w:cstheme="minorHAnsi"/>
          <w:i/>
          <w:iCs/>
          <w:color w:val="auto"/>
          <w:sz w:val="24"/>
          <w:szCs w:val="24"/>
        </w:rPr>
        <w:t xml:space="preserve">The </w:t>
      </w:r>
      <w:proofErr w:type="spellStart"/>
      <w:r w:rsidRPr="00AD050F">
        <w:rPr>
          <w:rFonts w:asciiTheme="minorHAnsi" w:eastAsiaTheme="minorHAnsi" w:hAnsiTheme="minorHAnsi" w:cstheme="minorHAnsi"/>
          <w:i/>
          <w:iCs/>
          <w:color w:val="auto"/>
          <w:sz w:val="24"/>
          <w:szCs w:val="24"/>
        </w:rPr>
        <w:t>Encyclopedia</w:t>
      </w:r>
      <w:proofErr w:type="spellEnd"/>
      <w:r w:rsidRPr="00AD050F">
        <w:rPr>
          <w:rFonts w:asciiTheme="minorHAnsi" w:eastAsiaTheme="minorHAnsi" w:hAnsiTheme="minorHAnsi" w:cstheme="minorHAnsi"/>
          <w:i/>
          <w:iCs/>
          <w:color w:val="auto"/>
          <w:sz w:val="24"/>
          <w:szCs w:val="24"/>
        </w:rPr>
        <w:t xml:space="preserve"> of Child and Adolescent Development. </w:t>
      </w:r>
      <w:r w:rsidRPr="00AD050F">
        <w:rPr>
          <w:rFonts w:asciiTheme="minorHAnsi" w:eastAsiaTheme="minorHAnsi" w:hAnsiTheme="minorHAnsi" w:cstheme="minorHAnsi"/>
          <w:color w:val="auto"/>
          <w:sz w:val="24"/>
          <w:szCs w:val="24"/>
        </w:rPr>
        <w:t xml:space="preserve">[Online]. Available at: </w:t>
      </w:r>
      <w:hyperlink r:id="rId26" w:history="1">
        <w:r w:rsidRPr="00AD050F">
          <w:rPr>
            <w:color w:val="0000FF"/>
            <w:sz w:val="24"/>
            <w:szCs w:val="24"/>
            <w:u w:val="single"/>
          </w:rPr>
          <w:t>Peer Influence in Adolescence - Brown - - Major Reference Works - Wiley Online Library</w:t>
        </w:r>
      </w:hyperlink>
      <w:r w:rsidRPr="00AD050F">
        <w:rPr>
          <w:sz w:val="24"/>
          <w:szCs w:val="24"/>
        </w:rPr>
        <w:t xml:space="preserve">  (Accessed: 23</w:t>
      </w:r>
      <w:r w:rsidRPr="00AD050F">
        <w:rPr>
          <w:sz w:val="24"/>
          <w:szCs w:val="24"/>
          <w:vertAlign w:val="superscript"/>
        </w:rPr>
        <w:t>rd</w:t>
      </w:r>
      <w:r w:rsidRPr="00AD050F">
        <w:rPr>
          <w:sz w:val="24"/>
          <w:szCs w:val="24"/>
        </w:rPr>
        <w:t xml:space="preserve"> March 2021)</w:t>
      </w:r>
      <w:r w:rsidRPr="00AD050F">
        <w:rPr>
          <w:rFonts w:asciiTheme="minorHAnsi" w:eastAsiaTheme="minorHAnsi" w:hAnsiTheme="minorHAnsi" w:cstheme="minorHAnsi"/>
          <w:color w:val="auto"/>
          <w:sz w:val="24"/>
          <w:szCs w:val="24"/>
        </w:rPr>
        <w:t xml:space="preserve"> </w:t>
      </w:r>
    </w:p>
    <w:p w14:paraId="7A2529F5"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7EC78D97" w14:textId="632341E4" w:rsidR="00F222F7" w:rsidRDefault="00F222F7" w:rsidP="00D522C8">
      <w:pPr>
        <w:spacing w:after="0" w:afterAutospacing="0" w:line="276" w:lineRule="auto"/>
        <w:contextualSpacing/>
        <w:jc w:val="both"/>
        <w:rPr>
          <w:rFonts w:asciiTheme="minorHAnsi" w:eastAsiaTheme="minorHAnsi" w:hAnsiTheme="minorHAnsi" w:cstheme="minorHAnsi"/>
          <w:color w:val="auto"/>
          <w:sz w:val="24"/>
          <w:szCs w:val="24"/>
        </w:rPr>
      </w:pPr>
      <w:r w:rsidRPr="00AD050F">
        <w:rPr>
          <w:rFonts w:asciiTheme="minorHAnsi" w:eastAsiaTheme="minorHAnsi" w:hAnsiTheme="minorHAnsi" w:cstheme="minorHAnsi"/>
          <w:color w:val="auto"/>
          <w:sz w:val="24"/>
          <w:szCs w:val="24"/>
        </w:rPr>
        <w:t xml:space="preserve">Bryman, A. (2001) </w:t>
      </w:r>
      <w:r w:rsidRPr="00AD050F">
        <w:rPr>
          <w:rFonts w:asciiTheme="minorHAnsi" w:eastAsiaTheme="minorHAnsi" w:hAnsiTheme="minorHAnsi" w:cstheme="minorHAnsi"/>
          <w:i/>
          <w:iCs/>
          <w:color w:val="auto"/>
          <w:sz w:val="24"/>
          <w:szCs w:val="24"/>
        </w:rPr>
        <w:t xml:space="preserve">Social Research Methods. </w:t>
      </w:r>
      <w:r w:rsidRPr="00AD050F">
        <w:rPr>
          <w:rFonts w:asciiTheme="minorHAnsi" w:eastAsiaTheme="minorHAnsi" w:hAnsiTheme="minorHAnsi" w:cstheme="minorHAnsi"/>
          <w:color w:val="auto"/>
          <w:sz w:val="24"/>
          <w:szCs w:val="24"/>
        </w:rPr>
        <w:t>Oxford: Oxford University Press.</w:t>
      </w:r>
    </w:p>
    <w:p w14:paraId="5AA3A09E" w14:textId="77777777" w:rsidR="00D522C8" w:rsidRPr="00AD050F" w:rsidRDefault="00D522C8" w:rsidP="00D522C8">
      <w:pPr>
        <w:spacing w:after="0" w:afterAutospacing="0" w:line="240" w:lineRule="auto"/>
        <w:contextualSpacing/>
        <w:jc w:val="both"/>
        <w:rPr>
          <w:rFonts w:asciiTheme="minorHAnsi" w:eastAsiaTheme="minorHAnsi" w:hAnsiTheme="minorHAnsi" w:cstheme="minorHAnsi"/>
          <w:color w:val="auto"/>
          <w:sz w:val="24"/>
          <w:szCs w:val="24"/>
        </w:rPr>
      </w:pPr>
    </w:p>
    <w:p w14:paraId="488FE825" w14:textId="2DEE5E80" w:rsidR="00F222F7" w:rsidRPr="00D522C8" w:rsidRDefault="00F222F7" w:rsidP="00D522C8">
      <w:pPr>
        <w:rPr>
          <w:rFonts w:asciiTheme="minorHAnsi" w:eastAsiaTheme="minorHAnsi" w:hAnsiTheme="minorHAnsi" w:cstheme="minorHAnsi"/>
          <w:color w:val="auto"/>
          <w:sz w:val="24"/>
          <w:szCs w:val="24"/>
        </w:rPr>
      </w:pPr>
      <w:r w:rsidRPr="00D522C8">
        <w:rPr>
          <w:rFonts w:asciiTheme="minorHAnsi" w:eastAsiaTheme="minorHAnsi" w:hAnsiTheme="minorHAnsi" w:cstheme="minorHAnsi"/>
          <w:color w:val="auto"/>
          <w:sz w:val="24"/>
          <w:szCs w:val="24"/>
        </w:rPr>
        <w:t xml:space="preserve">CDC </w:t>
      </w:r>
      <w:proofErr w:type="spellStart"/>
      <w:r w:rsidRPr="00D522C8">
        <w:rPr>
          <w:rFonts w:asciiTheme="minorHAnsi" w:eastAsiaTheme="minorHAnsi" w:hAnsiTheme="minorHAnsi" w:cstheme="minorHAnsi"/>
          <w:color w:val="auto"/>
          <w:sz w:val="24"/>
          <w:szCs w:val="24"/>
        </w:rPr>
        <w:t>Centers</w:t>
      </w:r>
      <w:proofErr w:type="spellEnd"/>
      <w:r w:rsidRPr="00D522C8">
        <w:rPr>
          <w:rFonts w:asciiTheme="minorHAnsi" w:eastAsiaTheme="minorHAnsi" w:hAnsiTheme="minorHAnsi" w:cstheme="minorHAnsi"/>
          <w:color w:val="auto"/>
          <w:sz w:val="24"/>
          <w:szCs w:val="24"/>
        </w:rPr>
        <w:t xml:space="preserve"> for Disease Control and Prevention (2021) </w:t>
      </w:r>
      <w:r w:rsidRPr="00D522C8">
        <w:rPr>
          <w:rFonts w:asciiTheme="minorHAnsi" w:eastAsia="Times New Roman" w:hAnsiTheme="minorHAnsi" w:cstheme="minorHAnsi"/>
          <w:i/>
          <w:iCs/>
          <w:color w:val="000000"/>
          <w:kern w:val="36"/>
          <w:sz w:val="24"/>
          <w:szCs w:val="24"/>
          <w:lang w:eastAsia="en-GB"/>
        </w:rPr>
        <w:t xml:space="preserve">CDC releases 2019 Youth Risk </w:t>
      </w:r>
      <w:proofErr w:type="spellStart"/>
      <w:r w:rsidRPr="00D522C8">
        <w:rPr>
          <w:rFonts w:asciiTheme="minorHAnsi" w:eastAsia="Times New Roman" w:hAnsiTheme="minorHAnsi" w:cstheme="minorHAnsi"/>
          <w:i/>
          <w:iCs/>
          <w:color w:val="000000"/>
          <w:kern w:val="36"/>
          <w:sz w:val="24"/>
          <w:szCs w:val="24"/>
          <w:lang w:eastAsia="en-GB"/>
        </w:rPr>
        <w:t>Behavior</w:t>
      </w:r>
      <w:proofErr w:type="spellEnd"/>
      <w:r w:rsidRPr="00D522C8">
        <w:rPr>
          <w:rFonts w:asciiTheme="minorHAnsi" w:eastAsia="Times New Roman" w:hAnsiTheme="minorHAnsi" w:cstheme="minorHAnsi"/>
          <w:i/>
          <w:iCs/>
          <w:color w:val="000000"/>
          <w:kern w:val="36"/>
          <w:sz w:val="24"/>
          <w:szCs w:val="24"/>
          <w:lang w:eastAsia="en-GB"/>
        </w:rPr>
        <w:t xml:space="preserve"> Survey Results. </w:t>
      </w:r>
      <w:r w:rsidRPr="00D522C8">
        <w:rPr>
          <w:rFonts w:asciiTheme="minorHAnsi" w:eastAsia="Times New Roman" w:hAnsiTheme="minorHAnsi" w:cstheme="minorHAnsi"/>
          <w:color w:val="000000"/>
          <w:kern w:val="36"/>
          <w:sz w:val="24"/>
          <w:szCs w:val="24"/>
          <w:lang w:eastAsia="en-GB"/>
        </w:rPr>
        <w:t xml:space="preserve">Available at: </w:t>
      </w:r>
      <w:hyperlink r:id="rId27" w:history="1">
        <w:r w:rsidRPr="00D522C8">
          <w:rPr>
            <w:color w:val="0000FF"/>
            <w:sz w:val="24"/>
            <w:szCs w:val="24"/>
            <w:u w:val="single"/>
          </w:rPr>
          <w:t xml:space="preserve">CDC releases 2019 Youth Risk </w:t>
        </w:r>
        <w:proofErr w:type="spellStart"/>
        <w:r w:rsidRPr="00D522C8">
          <w:rPr>
            <w:color w:val="0000FF"/>
            <w:sz w:val="24"/>
            <w:szCs w:val="24"/>
            <w:u w:val="single"/>
          </w:rPr>
          <w:t>Behavior</w:t>
        </w:r>
        <w:proofErr w:type="spellEnd"/>
        <w:r w:rsidRPr="00D522C8">
          <w:rPr>
            <w:color w:val="0000FF"/>
            <w:sz w:val="24"/>
            <w:szCs w:val="24"/>
            <w:u w:val="single"/>
          </w:rPr>
          <w:t xml:space="preserve"> Survey Results | Adolescent and School Health | CDC</w:t>
        </w:r>
      </w:hyperlink>
      <w:r w:rsidRPr="00D522C8">
        <w:rPr>
          <w:sz w:val="24"/>
          <w:szCs w:val="24"/>
        </w:rPr>
        <w:t xml:space="preserve"> (Accessed: 5</w:t>
      </w:r>
      <w:r w:rsidRPr="00D522C8">
        <w:rPr>
          <w:sz w:val="24"/>
          <w:szCs w:val="24"/>
          <w:vertAlign w:val="superscript"/>
        </w:rPr>
        <w:t>th</w:t>
      </w:r>
      <w:r w:rsidRPr="00D522C8">
        <w:rPr>
          <w:sz w:val="24"/>
          <w:szCs w:val="24"/>
        </w:rPr>
        <w:t xml:space="preserve"> July 2021)</w:t>
      </w:r>
    </w:p>
    <w:p w14:paraId="53C9AAE2"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i/>
          <w:iCs/>
          <w:color w:val="auto"/>
          <w:sz w:val="24"/>
          <w:szCs w:val="24"/>
        </w:rPr>
      </w:pPr>
      <w:r w:rsidRPr="00AD050F">
        <w:rPr>
          <w:rFonts w:asciiTheme="minorHAnsi" w:eastAsiaTheme="minorHAnsi" w:hAnsiTheme="minorHAnsi" w:cstheme="minorHAnsi"/>
          <w:color w:val="auto"/>
          <w:sz w:val="24"/>
          <w:szCs w:val="24"/>
        </w:rPr>
        <w:t xml:space="preserve">Chi, F., </w:t>
      </w:r>
      <w:proofErr w:type="spellStart"/>
      <w:r w:rsidRPr="00AD050F">
        <w:rPr>
          <w:rFonts w:asciiTheme="minorHAnsi" w:eastAsiaTheme="minorHAnsi" w:hAnsiTheme="minorHAnsi" w:cstheme="minorHAnsi"/>
          <w:color w:val="auto"/>
          <w:sz w:val="24"/>
          <w:szCs w:val="24"/>
        </w:rPr>
        <w:t>Alexeeff</w:t>
      </w:r>
      <w:proofErr w:type="spellEnd"/>
      <w:r w:rsidRPr="00AD050F">
        <w:rPr>
          <w:rFonts w:asciiTheme="minorHAnsi" w:eastAsiaTheme="minorHAnsi" w:hAnsiTheme="minorHAnsi" w:cstheme="minorHAnsi"/>
          <w:color w:val="auto"/>
          <w:sz w:val="24"/>
          <w:szCs w:val="24"/>
        </w:rPr>
        <w:t xml:space="preserve">, S., </w:t>
      </w:r>
      <w:proofErr w:type="spellStart"/>
      <w:r w:rsidRPr="00AD050F">
        <w:rPr>
          <w:rFonts w:asciiTheme="minorHAnsi" w:eastAsiaTheme="minorHAnsi" w:hAnsiTheme="minorHAnsi" w:cstheme="minorHAnsi"/>
          <w:color w:val="auto"/>
          <w:sz w:val="24"/>
          <w:szCs w:val="24"/>
        </w:rPr>
        <w:t>Ahmedani</w:t>
      </w:r>
      <w:proofErr w:type="spellEnd"/>
      <w:r w:rsidRPr="00AD050F">
        <w:rPr>
          <w:rFonts w:asciiTheme="minorHAnsi" w:eastAsiaTheme="minorHAnsi" w:hAnsiTheme="minorHAnsi" w:cstheme="minorHAnsi"/>
          <w:color w:val="auto"/>
          <w:sz w:val="24"/>
          <w:szCs w:val="24"/>
        </w:rPr>
        <w:t xml:space="preserve">, B., </w:t>
      </w:r>
      <w:proofErr w:type="spellStart"/>
      <w:r w:rsidRPr="00AD050F">
        <w:rPr>
          <w:rFonts w:asciiTheme="minorHAnsi" w:eastAsiaTheme="minorHAnsi" w:hAnsiTheme="minorHAnsi" w:cstheme="minorHAnsi"/>
          <w:color w:val="auto"/>
          <w:sz w:val="24"/>
          <w:szCs w:val="24"/>
        </w:rPr>
        <w:t>Boscarino</w:t>
      </w:r>
      <w:proofErr w:type="spellEnd"/>
      <w:r w:rsidRPr="00AD050F">
        <w:rPr>
          <w:rFonts w:asciiTheme="minorHAnsi" w:eastAsiaTheme="minorHAnsi" w:hAnsiTheme="minorHAnsi" w:cstheme="minorHAnsi"/>
          <w:color w:val="auto"/>
          <w:sz w:val="24"/>
          <w:szCs w:val="24"/>
        </w:rPr>
        <w:t xml:space="preserve">, J., </w:t>
      </w:r>
      <w:proofErr w:type="spellStart"/>
      <w:r w:rsidRPr="00AD050F">
        <w:rPr>
          <w:rFonts w:asciiTheme="minorHAnsi" w:eastAsiaTheme="minorHAnsi" w:hAnsiTheme="minorHAnsi" w:cstheme="minorHAnsi"/>
          <w:color w:val="auto"/>
          <w:sz w:val="24"/>
          <w:szCs w:val="24"/>
        </w:rPr>
        <w:t>Waitzfelder</w:t>
      </w:r>
      <w:proofErr w:type="spellEnd"/>
      <w:r w:rsidRPr="00AD050F">
        <w:rPr>
          <w:rFonts w:asciiTheme="minorHAnsi" w:eastAsiaTheme="minorHAnsi" w:hAnsiTheme="minorHAnsi" w:cstheme="minorHAnsi"/>
          <w:color w:val="auto"/>
          <w:sz w:val="24"/>
          <w:szCs w:val="24"/>
        </w:rPr>
        <w:t xml:space="preserve">, B., Dugan, R., Frankland, T., Hu, Y., Loree, A. and Sterling, S. (2021) ‘Predicting adolescent alcohol and other drug problems using electronic health records data’, </w:t>
      </w:r>
      <w:r w:rsidRPr="00AD050F">
        <w:rPr>
          <w:rFonts w:asciiTheme="minorHAnsi" w:eastAsiaTheme="minorHAnsi" w:hAnsiTheme="minorHAnsi" w:cstheme="minorHAnsi"/>
          <w:i/>
          <w:iCs/>
          <w:color w:val="auto"/>
          <w:sz w:val="24"/>
          <w:szCs w:val="24"/>
        </w:rPr>
        <w:t xml:space="preserve">Journal of Substance Abuse Treatment, Vol. 132. </w:t>
      </w:r>
      <w:r w:rsidRPr="00AD050F">
        <w:rPr>
          <w:rFonts w:asciiTheme="minorHAnsi" w:eastAsiaTheme="minorHAnsi" w:hAnsiTheme="minorHAnsi" w:cstheme="minorHAnsi"/>
          <w:color w:val="auto"/>
          <w:sz w:val="24"/>
          <w:szCs w:val="24"/>
        </w:rPr>
        <w:t xml:space="preserve">[Online]. Available at: </w:t>
      </w:r>
      <w:hyperlink r:id="rId28" w:history="1">
        <w:r w:rsidRPr="00AD050F">
          <w:rPr>
            <w:color w:val="0000FF"/>
            <w:sz w:val="24"/>
            <w:szCs w:val="24"/>
            <w:u w:val="single"/>
          </w:rPr>
          <w:t>Predicting adolescent alcohol and other drug problems using electronic health records data - ScienceDirect</w:t>
        </w:r>
      </w:hyperlink>
      <w:r w:rsidRPr="00AD050F">
        <w:rPr>
          <w:sz w:val="24"/>
          <w:szCs w:val="24"/>
        </w:rPr>
        <w:t xml:space="preserve"> (Accessed: 31</w:t>
      </w:r>
      <w:r w:rsidRPr="00AD050F">
        <w:rPr>
          <w:sz w:val="24"/>
          <w:szCs w:val="24"/>
          <w:vertAlign w:val="superscript"/>
        </w:rPr>
        <w:t>st</w:t>
      </w:r>
      <w:r w:rsidRPr="00AD050F">
        <w:rPr>
          <w:sz w:val="24"/>
          <w:szCs w:val="24"/>
        </w:rPr>
        <w:t xml:space="preserve"> May 2021)</w:t>
      </w:r>
      <w:r w:rsidRPr="00AD050F">
        <w:rPr>
          <w:rFonts w:asciiTheme="minorHAnsi" w:eastAsiaTheme="minorHAnsi" w:hAnsiTheme="minorHAnsi" w:cstheme="minorHAnsi"/>
          <w:i/>
          <w:iCs/>
          <w:color w:val="auto"/>
          <w:sz w:val="24"/>
          <w:szCs w:val="24"/>
        </w:rPr>
        <w:t xml:space="preserve"> </w:t>
      </w:r>
    </w:p>
    <w:p w14:paraId="7AAD78F7"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6C0685E7"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eastAsiaTheme="minorHAnsi" w:hAnsiTheme="minorHAnsi" w:cstheme="minorHAnsi"/>
          <w:color w:val="auto"/>
          <w:sz w:val="24"/>
          <w:szCs w:val="24"/>
        </w:rPr>
        <w:t xml:space="preserve">Chong, A., Lee, P., </w:t>
      </w:r>
      <w:proofErr w:type="spellStart"/>
      <w:r w:rsidRPr="00AD050F">
        <w:rPr>
          <w:rFonts w:asciiTheme="minorHAnsi" w:eastAsiaTheme="minorHAnsi" w:hAnsiTheme="minorHAnsi" w:cstheme="minorHAnsi"/>
          <w:color w:val="auto"/>
          <w:sz w:val="24"/>
          <w:szCs w:val="24"/>
        </w:rPr>
        <w:t>Roslan</w:t>
      </w:r>
      <w:proofErr w:type="spellEnd"/>
      <w:r w:rsidRPr="00AD050F">
        <w:rPr>
          <w:rFonts w:asciiTheme="minorHAnsi" w:eastAsiaTheme="minorHAnsi" w:hAnsiTheme="minorHAnsi" w:cstheme="minorHAnsi"/>
          <w:color w:val="auto"/>
          <w:sz w:val="24"/>
          <w:szCs w:val="24"/>
        </w:rPr>
        <w:t xml:space="preserve">, S. and Baba, M. (2015) ‘Emotional Intelligence and At-Risk Students’, </w:t>
      </w:r>
      <w:r w:rsidRPr="00AD050F">
        <w:rPr>
          <w:rFonts w:asciiTheme="minorHAnsi" w:eastAsiaTheme="minorHAnsi" w:hAnsiTheme="minorHAnsi" w:cstheme="minorHAnsi"/>
          <w:i/>
          <w:iCs/>
          <w:color w:val="auto"/>
          <w:sz w:val="24"/>
          <w:szCs w:val="24"/>
        </w:rPr>
        <w:t xml:space="preserve">SAGE Open. </w:t>
      </w:r>
      <w:r w:rsidRPr="00AD050F">
        <w:rPr>
          <w:rFonts w:asciiTheme="minorHAnsi" w:hAnsiTheme="minorHAnsi" w:cstheme="minorHAnsi"/>
          <w:sz w:val="24"/>
          <w:szCs w:val="24"/>
        </w:rPr>
        <w:t xml:space="preserve">[Online]. Available at:   </w:t>
      </w:r>
      <w:hyperlink r:id="rId29" w:history="1">
        <w:r w:rsidRPr="00AD050F">
          <w:rPr>
            <w:rFonts w:asciiTheme="minorHAnsi" w:hAnsiTheme="minorHAnsi" w:cstheme="minorHAnsi"/>
            <w:color w:val="0000FF"/>
            <w:sz w:val="24"/>
            <w:szCs w:val="24"/>
            <w:u w:val="single"/>
          </w:rPr>
          <w:t xml:space="preserve">Emotional Intelligence and At-Risk Students - Abdullah Maria Chong, </w:t>
        </w:r>
        <w:proofErr w:type="spellStart"/>
        <w:r w:rsidRPr="00AD050F">
          <w:rPr>
            <w:rFonts w:asciiTheme="minorHAnsi" w:hAnsiTheme="minorHAnsi" w:cstheme="minorHAnsi"/>
            <w:color w:val="0000FF"/>
            <w:sz w:val="24"/>
            <w:szCs w:val="24"/>
            <w:u w:val="single"/>
          </w:rPr>
          <w:t>Phaik</w:t>
        </w:r>
        <w:proofErr w:type="spellEnd"/>
        <w:r w:rsidRPr="00AD050F">
          <w:rPr>
            <w:rFonts w:asciiTheme="minorHAnsi" w:hAnsiTheme="minorHAnsi" w:cstheme="minorHAnsi"/>
            <w:color w:val="0000FF"/>
            <w:sz w:val="24"/>
            <w:szCs w:val="24"/>
            <w:u w:val="single"/>
          </w:rPr>
          <w:t xml:space="preserve"> </w:t>
        </w:r>
        <w:proofErr w:type="spellStart"/>
        <w:r w:rsidRPr="00AD050F">
          <w:rPr>
            <w:rFonts w:asciiTheme="minorHAnsi" w:hAnsiTheme="minorHAnsi" w:cstheme="minorHAnsi"/>
            <w:color w:val="0000FF"/>
            <w:sz w:val="24"/>
            <w:szCs w:val="24"/>
            <w:u w:val="single"/>
          </w:rPr>
          <w:t>Gaik</w:t>
        </w:r>
        <w:proofErr w:type="spellEnd"/>
        <w:r w:rsidRPr="00AD050F">
          <w:rPr>
            <w:rFonts w:asciiTheme="minorHAnsi" w:hAnsiTheme="minorHAnsi" w:cstheme="minorHAnsi"/>
            <w:color w:val="0000FF"/>
            <w:sz w:val="24"/>
            <w:szCs w:val="24"/>
            <w:u w:val="single"/>
          </w:rPr>
          <w:t xml:space="preserve"> Lee, </w:t>
        </w:r>
        <w:proofErr w:type="spellStart"/>
        <w:r w:rsidRPr="00AD050F">
          <w:rPr>
            <w:rFonts w:asciiTheme="minorHAnsi" w:hAnsiTheme="minorHAnsi" w:cstheme="minorHAnsi"/>
            <w:color w:val="0000FF"/>
            <w:sz w:val="24"/>
            <w:szCs w:val="24"/>
            <w:u w:val="single"/>
          </w:rPr>
          <w:t>Samsilah</w:t>
        </w:r>
        <w:proofErr w:type="spellEnd"/>
        <w:r w:rsidRPr="00AD050F">
          <w:rPr>
            <w:rFonts w:asciiTheme="minorHAnsi" w:hAnsiTheme="minorHAnsi" w:cstheme="minorHAnsi"/>
            <w:color w:val="0000FF"/>
            <w:sz w:val="24"/>
            <w:szCs w:val="24"/>
            <w:u w:val="single"/>
          </w:rPr>
          <w:t xml:space="preserve"> </w:t>
        </w:r>
        <w:proofErr w:type="spellStart"/>
        <w:r w:rsidRPr="00AD050F">
          <w:rPr>
            <w:rFonts w:asciiTheme="minorHAnsi" w:hAnsiTheme="minorHAnsi" w:cstheme="minorHAnsi"/>
            <w:color w:val="0000FF"/>
            <w:sz w:val="24"/>
            <w:szCs w:val="24"/>
            <w:u w:val="single"/>
          </w:rPr>
          <w:t>Roslan</w:t>
        </w:r>
        <w:proofErr w:type="spellEnd"/>
        <w:r w:rsidRPr="00AD050F">
          <w:rPr>
            <w:rFonts w:asciiTheme="minorHAnsi" w:hAnsiTheme="minorHAnsi" w:cstheme="minorHAnsi"/>
            <w:color w:val="0000FF"/>
            <w:sz w:val="24"/>
            <w:szCs w:val="24"/>
            <w:u w:val="single"/>
          </w:rPr>
          <w:t xml:space="preserve">, </w:t>
        </w:r>
        <w:proofErr w:type="spellStart"/>
        <w:r w:rsidRPr="00AD050F">
          <w:rPr>
            <w:rFonts w:asciiTheme="minorHAnsi" w:hAnsiTheme="minorHAnsi" w:cstheme="minorHAnsi"/>
            <w:color w:val="0000FF"/>
            <w:sz w:val="24"/>
            <w:szCs w:val="24"/>
            <w:u w:val="single"/>
          </w:rPr>
          <w:t>Maznah</w:t>
        </w:r>
        <w:proofErr w:type="spellEnd"/>
        <w:r w:rsidRPr="00AD050F">
          <w:rPr>
            <w:rFonts w:asciiTheme="minorHAnsi" w:hAnsiTheme="minorHAnsi" w:cstheme="minorHAnsi"/>
            <w:color w:val="0000FF"/>
            <w:sz w:val="24"/>
            <w:szCs w:val="24"/>
            <w:u w:val="single"/>
          </w:rPr>
          <w:t xml:space="preserve"> Baba, 2015 (sagepub.com)</w:t>
        </w:r>
      </w:hyperlink>
      <w:r w:rsidRPr="00AD050F">
        <w:rPr>
          <w:rFonts w:asciiTheme="minorHAnsi" w:hAnsiTheme="minorHAnsi" w:cstheme="minorHAnsi"/>
          <w:sz w:val="24"/>
          <w:szCs w:val="24"/>
        </w:rPr>
        <w:t xml:space="preserve"> (Accessed: 11</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February 2021) </w:t>
      </w:r>
    </w:p>
    <w:p w14:paraId="514BD798"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659AB29D" w14:textId="77777777" w:rsidR="00F222F7" w:rsidRPr="00AD050F" w:rsidRDefault="00F222F7" w:rsidP="00F222F7">
      <w:pPr>
        <w:suppressAutoHyphens/>
        <w:spacing w:after="160" w:afterAutospacing="0" w:line="256" w:lineRule="auto"/>
        <w:jc w:val="both"/>
        <w:rPr>
          <w:rFonts w:cs="Calibri"/>
          <w:bCs/>
          <w:color w:val="auto"/>
          <w:sz w:val="24"/>
          <w:szCs w:val="24"/>
        </w:rPr>
      </w:pPr>
      <w:r w:rsidRPr="00AD050F">
        <w:rPr>
          <w:rFonts w:cs="Helvetica"/>
          <w:bCs/>
          <w:color w:val="000000" w:themeColor="text1"/>
          <w:sz w:val="24"/>
          <w:szCs w:val="24"/>
        </w:rPr>
        <w:t xml:space="preserve">CLD Standards Council Scotland, (2019) </w:t>
      </w:r>
      <w:r w:rsidRPr="00AD050F">
        <w:rPr>
          <w:rFonts w:eastAsia="SimSun"/>
          <w:bCs/>
          <w:i/>
          <w:iCs/>
          <w:sz w:val="24"/>
          <w:szCs w:val="24"/>
        </w:rPr>
        <w:t xml:space="preserve">Youth Work National Occupational Standards.  </w:t>
      </w:r>
      <w:r w:rsidRPr="00AD050F">
        <w:rPr>
          <w:rFonts w:cstheme="minorHAnsi"/>
          <w:sz w:val="24"/>
          <w:szCs w:val="24"/>
        </w:rPr>
        <w:t xml:space="preserve">[Online].  Available at: </w:t>
      </w:r>
      <w:hyperlink r:id="rId30" w:history="1">
        <w:r w:rsidRPr="00AD050F">
          <w:rPr>
            <w:color w:val="0000FF"/>
            <w:sz w:val="24"/>
            <w:szCs w:val="24"/>
            <w:u w:val="single"/>
          </w:rPr>
          <w:t>National Occupational Standards | CLD Standards Council for Scotland</w:t>
        </w:r>
      </w:hyperlink>
    </w:p>
    <w:p w14:paraId="7AC32D6A"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2CB2296E"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eastAsiaTheme="minorHAnsi" w:hAnsiTheme="minorHAnsi" w:cstheme="minorHAnsi"/>
          <w:color w:val="auto"/>
          <w:sz w:val="24"/>
          <w:szCs w:val="24"/>
        </w:rPr>
        <w:t>Collado</w:t>
      </w:r>
      <w:proofErr w:type="spellEnd"/>
      <w:r w:rsidRPr="00AD050F">
        <w:rPr>
          <w:rFonts w:asciiTheme="minorHAnsi" w:eastAsiaTheme="minorHAnsi" w:hAnsiTheme="minorHAnsi" w:cstheme="minorHAnsi"/>
          <w:color w:val="auto"/>
          <w:sz w:val="24"/>
          <w:szCs w:val="24"/>
        </w:rPr>
        <w:t xml:space="preserve">, A., MacPherson, L., </w:t>
      </w:r>
      <w:proofErr w:type="spellStart"/>
      <w:r w:rsidRPr="00AD050F">
        <w:rPr>
          <w:rFonts w:asciiTheme="minorHAnsi" w:eastAsiaTheme="minorHAnsi" w:hAnsiTheme="minorHAnsi" w:cstheme="minorHAnsi"/>
          <w:color w:val="auto"/>
          <w:sz w:val="24"/>
          <w:szCs w:val="24"/>
        </w:rPr>
        <w:t>Kurdziel</w:t>
      </w:r>
      <w:proofErr w:type="spellEnd"/>
      <w:r w:rsidRPr="00AD050F">
        <w:rPr>
          <w:rFonts w:asciiTheme="minorHAnsi" w:eastAsiaTheme="minorHAnsi" w:hAnsiTheme="minorHAnsi" w:cstheme="minorHAnsi"/>
          <w:color w:val="auto"/>
          <w:sz w:val="24"/>
          <w:szCs w:val="24"/>
        </w:rPr>
        <w:t xml:space="preserve">, G., Rosenberg, L. and </w:t>
      </w:r>
      <w:proofErr w:type="spellStart"/>
      <w:r w:rsidRPr="00AD050F">
        <w:rPr>
          <w:rFonts w:asciiTheme="minorHAnsi" w:eastAsiaTheme="minorHAnsi" w:hAnsiTheme="minorHAnsi" w:cstheme="minorHAnsi"/>
          <w:color w:val="auto"/>
          <w:sz w:val="24"/>
          <w:szCs w:val="24"/>
        </w:rPr>
        <w:t>Lejuez</w:t>
      </w:r>
      <w:proofErr w:type="spellEnd"/>
      <w:r w:rsidRPr="00AD050F">
        <w:rPr>
          <w:rFonts w:asciiTheme="minorHAnsi" w:eastAsiaTheme="minorHAnsi" w:hAnsiTheme="minorHAnsi" w:cstheme="minorHAnsi"/>
          <w:color w:val="auto"/>
          <w:sz w:val="24"/>
          <w:szCs w:val="24"/>
        </w:rPr>
        <w:t xml:space="preserve">, C. (2014) </w:t>
      </w:r>
      <w:proofErr w:type="gramStart"/>
      <w:r w:rsidRPr="00AD050F">
        <w:rPr>
          <w:rFonts w:asciiTheme="minorHAnsi" w:eastAsiaTheme="minorHAnsi" w:hAnsiTheme="minorHAnsi" w:cstheme="minorHAnsi"/>
          <w:color w:val="auto"/>
          <w:sz w:val="24"/>
          <w:szCs w:val="24"/>
        </w:rPr>
        <w:t>‘ The</w:t>
      </w:r>
      <w:proofErr w:type="gramEnd"/>
      <w:r w:rsidRPr="00AD050F">
        <w:rPr>
          <w:rFonts w:asciiTheme="minorHAnsi" w:eastAsiaTheme="minorHAnsi" w:hAnsiTheme="minorHAnsi" w:cstheme="minorHAnsi"/>
          <w:color w:val="auto"/>
          <w:sz w:val="24"/>
          <w:szCs w:val="24"/>
        </w:rPr>
        <w:t xml:space="preserve"> relationship between puberty and risk taking in the real world and in the laboratory’, </w:t>
      </w:r>
      <w:r w:rsidRPr="00AD050F">
        <w:rPr>
          <w:rFonts w:asciiTheme="minorHAnsi" w:eastAsiaTheme="minorHAnsi" w:hAnsiTheme="minorHAnsi" w:cstheme="minorHAnsi"/>
          <w:i/>
          <w:iCs/>
          <w:color w:val="auto"/>
          <w:sz w:val="24"/>
          <w:szCs w:val="24"/>
        </w:rPr>
        <w:t xml:space="preserve">Personality and Individual Differences, Vol. 68, pp143-148. </w:t>
      </w:r>
      <w:r w:rsidRPr="00AD050F">
        <w:rPr>
          <w:rFonts w:asciiTheme="minorHAnsi" w:hAnsiTheme="minorHAnsi" w:cstheme="minorHAnsi"/>
          <w:sz w:val="24"/>
          <w:szCs w:val="24"/>
        </w:rPr>
        <w:t xml:space="preserve">[Online].  Available at: </w:t>
      </w:r>
      <w:hyperlink r:id="rId31" w:history="1">
        <w:r w:rsidRPr="00AD050F">
          <w:rPr>
            <w:rFonts w:asciiTheme="minorHAnsi" w:hAnsiTheme="minorHAnsi" w:cstheme="minorHAnsi"/>
            <w:color w:val="0000FF"/>
            <w:sz w:val="24"/>
            <w:szCs w:val="24"/>
            <w:u w:val="single"/>
          </w:rPr>
          <w:t>The relationship between puberty and risk taking in the real world and in the laboratory | Elsevier Enhanced Reader</w:t>
        </w:r>
      </w:hyperlink>
      <w:r w:rsidRPr="00AD050F">
        <w:rPr>
          <w:rFonts w:asciiTheme="minorHAnsi" w:hAnsiTheme="minorHAnsi" w:cstheme="minorHAnsi"/>
          <w:sz w:val="24"/>
          <w:szCs w:val="24"/>
        </w:rPr>
        <w:t xml:space="preserve">  (Accessed: 11</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February 2021)</w:t>
      </w:r>
    </w:p>
    <w:p w14:paraId="49EC266B"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038ABF53" w14:textId="77777777" w:rsidR="00F222F7" w:rsidRPr="00AD050F" w:rsidRDefault="00F222F7" w:rsidP="00F222F7">
      <w:pPr>
        <w:spacing w:after="0" w:afterAutospacing="0" w:line="240" w:lineRule="auto"/>
        <w:contextualSpacing/>
        <w:jc w:val="both"/>
        <w:rPr>
          <w:rFonts w:asciiTheme="minorHAnsi" w:hAnsiTheme="minorHAnsi" w:cstheme="minorHAnsi"/>
          <w:i/>
          <w:iCs/>
          <w:sz w:val="24"/>
          <w:szCs w:val="24"/>
        </w:rPr>
      </w:pPr>
      <w:r w:rsidRPr="00AD050F">
        <w:rPr>
          <w:rFonts w:asciiTheme="minorHAnsi" w:hAnsiTheme="minorHAnsi" w:cstheme="minorHAnsi"/>
          <w:sz w:val="24"/>
          <w:szCs w:val="24"/>
        </w:rPr>
        <w:t xml:space="preserve">Connell, N. (2020) ‘Moving Away </w:t>
      </w:r>
      <w:proofErr w:type="gramStart"/>
      <w:r w:rsidRPr="00AD050F">
        <w:rPr>
          <w:rFonts w:asciiTheme="minorHAnsi" w:hAnsiTheme="minorHAnsi" w:cstheme="minorHAnsi"/>
          <w:sz w:val="24"/>
          <w:szCs w:val="24"/>
        </w:rPr>
        <w:t>From</w:t>
      </w:r>
      <w:proofErr w:type="gramEnd"/>
      <w:r w:rsidRPr="00AD050F">
        <w:rPr>
          <w:rFonts w:asciiTheme="minorHAnsi" w:hAnsiTheme="minorHAnsi" w:cstheme="minorHAnsi"/>
          <w:sz w:val="24"/>
          <w:szCs w:val="24"/>
        </w:rPr>
        <w:t xml:space="preserve"> Deficits: Promoting Prosocial and Positive Late Childhood and Early Adolescent Competencies to Reduce Adolescent Health Risk </w:t>
      </w:r>
      <w:proofErr w:type="spellStart"/>
      <w:r w:rsidRPr="00AD050F">
        <w:rPr>
          <w:rFonts w:asciiTheme="minorHAnsi" w:hAnsiTheme="minorHAnsi" w:cstheme="minorHAnsi"/>
          <w:sz w:val="24"/>
          <w:szCs w:val="24"/>
        </w:rPr>
        <w:t>Behaviors</w:t>
      </w:r>
      <w:proofErr w:type="spellEnd"/>
      <w:r w:rsidRPr="00AD050F">
        <w:rPr>
          <w:rFonts w:asciiTheme="minorHAnsi" w:hAnsiTheme="minorHAnsi" w:cstheme="minorHAnsi"/>
          <w:sz w:val="24"/>
          <w:szCs w:val="24"/>
        </w:rPr>
        <w:t xml:space="preserve">’, </w:t>
      </w:r>
      <w:r w:rsidRPr="00AD050F">
        <w:rPr>
          <w:rFonts w:asciiTheme="minorHAnsi" w:hAnsiTheme="minorHAnsi" w:cstheme="minorHAnsi"/>
          <w:i/>
          <w:iCs/>
          <w:sz w:val="24"/>
          <w:szCs w:val="24"/>
        </w:rPr>
        <w:t xml:space="preserve">Journal of Adolescent Health, Vol. 67, pp625-626. </w:t>
      </w:r>
      <w:r w:rsidRPr="00AD050F">
        <w:rPr>
          <w:rFonts w:asciiTheme="minorHAnsi" w:hAnsiTheme="minorHAnsi" w:cstheme="minorHAnsi"/>
          <w:sz w:val="24"/>
          <w:szCs w:val="24"/>
        </w:rPr>
        <w:t xml:space="preserve">[Online: Available at: </w:t>
      </w:r>
      <w:hyperlink r:id="rId32" w:history="1">
        <w:r w:rsidRPr="00AD050F">
          <w:rPr>
            <w:color w:val="0000FF"/>
            <w:sz w:val="24"/>
            <w:szCs w:val="24"/>
            <w:u w:val="single"/>
          </w:rPr>
          <w:t xml:space="preserve">Moving Away </w:t>
        </w:r>
        <w:proofErr w:type="gramStart"/>
        <w:r w:rsidRPr="00AD050F">
          <w:rPr>
            <w:color w:val="0000FF"/>
            <w:sz w:val="24"/>
            <w:szCs w:val="24"/>
            <w:u w:val="single"/>
          </w:rPr>
          <w:t>From</w:t>
        </w:r>
        <w:proofErr w:type="gramEnd"/>
        <w:r w:rsidRPr="00AD050F">
          <w:rPr>
            <w:color w:val="0000FF"/>
            <w:sz w:val="24"/>
            <w:szCs w:val="24"/>
            <w:u w:val="single"/>
          </w:rPr>
          <w:t xml:space="preserve"> Deficits: Promoting Prosocial and Positive Late Childhood and Early Adolescent Competencies to Reduce Adolescent Health Risk </w:t>
        </w:r>
        <w:proofErr w:type="spellStart"/>
        <w:r w:rsidRPr="00AD050F">
          <w:rPr>
            <w:color w:val="0000FF"/>
            <w:sz w:val="24"/>
            <w:szCs w:val="24"/>
            <w:u w:val="single"/>
          </w:rPr>
          <w:t>Behaviors</w:t>
        </w:r>
        <w:proofErr w:type="spellEnd"/>
        <w:r w:rsidRPr="00AD050F">
          <w:rPr>
            <w:color w:val="0000FF"/>
            <w:sz w:val="24"/>
            <w:szCs w:val="24"/>
            <w:u w:val="single"/>
          </w:rPr>
          <w:t xml:space="preserve"> - ScienceDirect</w:t>
        </w:r>
      </w:hyperlink>
      <w:r w:rsidRPr="00AD050F">
        <w:rPr>
          <w:sz w:val="24"/>
          <w:szCs w:val="24"/>
        </w:rPr>
        <w:t xml:space="preserve"> (Accessed: 1</w:t>
      </w:r>
      <w:r w:rsidRPr="00AD050F">
        <w:rPr>
          <w:sz w:val="24"/>
          <w:szCs w:val="24"/>
          <w:vertAlign w:val="superscript"/>
        </w:rPr>
        <w:t>st</w:t>
      </w:r>
      <w:r w:rsidRPr="00AD050F">
        <w:rPr>
          <w:sz w:val="24"/>
          <w:szCs w:val="24"/>
        </w:rPr>
        <w:t xml:space="preserve"> July 2021)</w:t>
      </w:r>
      <w:r w:rsidRPr="00AD050F">
        <w:rPr>
          <w:rFonts w:asciiTheme="minorHAnsi" w:hAnsiTheme="minorHAnsi" w:cstheme="minorHAnsi"/>
          <w:i/>
          <w:iCs/>
          <w:sz w:val="24"/>
          <w:szCs w:val="24"/>
        </w:rPr>
        <w:t xml:space="preserve"> </w:t>
      </w:r>
    </w:p>
    <w:p w14:paraId="7CDA8E91"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679C5273"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hAnsiTheme="minorHAnsi" w:cstheme="minorHAnsi"/>
          <w:sz w:val="24"/>
          <w:szCs w:val="24"/>
        </w:rPr>
        <w:t xml:space="preserve">Cooper, K., </w:t>
      </w:r>
      <w:proofErr w:type="spellStart"/>
      <w:r w:rsidRPr="00AD050F">
        <w:rPr>
          <w:rFonts w:asciiTheme="minorHAnsi" w:hAnsiTheme="minorHAnsi" w:cstheme="minorHAnsi"/>
          <w:sz w:val="24"/>
          <w:szCs w:val="24"/>
        </w:rPr>
        <w:t>Hards</w:t>
      </w:r>
      <w:proofErr w:type="spellEnd"/>
      <w:r w:rsidRPr="00AD050F">
        <w:rPr>
          <w:rFonts w:asciiTheme="minorHAnsi" w:hAnsiTheme="minorHAnsi" w:cstheme="minorHAnsi"/>
          <w:sz w:val="24"/>
          <w:szCs w:val="24"/>
        </w:rPr>
        <w:t xml:space="preserve">, E., </w:t>
      </w:r>
      <w:proofErr w:type="spellStart"/>
      <w:r w:rsidRPr="00AD050F">
        <w:rPr>
          <w:rFonts w:asciiTheme="minorHAnsi" w:hAnsiTheme="minorHAnsi" w:cstheme="minorHAnsi"/>
          <w:sz w:val="24"/>
          <w:szCs w:val="24"/>
        </w:rPr>
        <w:t>Moltrecht</w:t>
      </w:r>
      <w:proofErr w:type="spellEnd"/>
      <w:r w:rsidRPr="00AD050F">
        <w:rPr>
          <w:rFonts w:asciiTheme="minorHAnsi" w:hAnsiTheme="minorHAnsi" w:cstheme="minorHAnsi"/>
          <w:sz w:val="24"/>
          <w:szCs w:val="24"/>
        </w:rPr>
        <w:t xml:space="preserve">, B., Reynolds, S., Shum, A., McElroy, E. and Loades, M. (2021) ‘Loneliness, social relationships and mental health in adolescents during the COVID-19 pandemic’, </w:t>
      </w:r>
      <w:r w:rsidRPr="00AD050F">
        <w:rPr>
          <w:rFonts w:asciiTheme="minorHAnsi" w:hAnsiTheme="minorHAnsi" w:cstheme="minorHAnsi"/>
          <w:i/>
          <w:iCs/>
          <w:sz w:val="24"/>
          <w:szCs w:val="24"/>
        </w:rPr>
        <w:t xml:space="preserve">Journal of Affective Disorders, Vol. 289, pp98-104. </w:t>
      </w:r>
      <w:r w:rsidRPr="00AD050F">
        <w:rPr>
          <w:rFonts w:asciiTheme="minorHAnsi" w:hAnsiTheme="minorHAnsi" w:cstheme="minorHAnsi"/>
          <w:sz w:val="24"/>
          <w:szCs w:val="24"/>
        </w:rPr>
        <w:t xml:space="preserve">[Online.]  Available at: </w:t>
      </w:r>
      <w:r w:rsidRPr="00AD050F">
        <w:rPr>
          <w:rFonts w:asciiTheme="minorHAnsi" w:eastAsiaTheme="minorHAnsi" w:hAnsiTheme="minorHAnsi" w:cstheme="minorHAnsi"/>
          <w:i/>
          <w:iCs/>
          <w:color w:val="auto"/>
          <w:sz w:val="24"/>
          <w:szCs w:val="24"/>
        </w:rPr>
        <w:t xml:space="preserve"> </w:t>
      </w:r>
      <w:hyperlink r:id="rId33" w:history="1">
        <w:r w:rsidRPr="00AD050F">
          <w:rPr>
            <w:rFonts w:asciiTheme="minorHAnsi" w:hAnsiTheme="minorHAnsi" w:cstheme="minorHAnsi"/>
            <w:color w:val="0000FF"/>
            <w:sz w:val="24"/>
            <w:szCs w:val="24"/>
            <w:u w:val="single"/>
          </w:rPr>
          <w:t>Loneliness, social relationships, and mental health in adolescents during the COVID-19 pandemic | Elsevier Enhanced Reader</w:t>
        </w:r>
      </w:hyperlink>
      <w:r w:rsidRPr="00AD050F">
        <w:rPr>
          <w:rFonts w:asciiTheme="minorHAnsi" w:hAnsiTheme="minorHAnsi" w:cstheme="minorHAnsi"/>
          <w:sz w:val="24"/>
          <w:szCs w:val="24"/>
        </w:rPr>
        <w:t xml:space="preserve">  (Accessed: 17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June 2021)</w:t>
      </w:r>
      <w:r w:rsidRPr="00AD050F">
        <w:rPr>
          <w:rFonts w:asciiTheme="minorHAnsi" w:eastAsiaTheme="minorHAnsi" w:hAnsiTheme="minorHAnsi" w:cstheme="minorHAnsi"/>
          <w:i/>
          <w:iCs/>
          <w:color w:val="auto"/>
          <w:sz w:val="24"/>
          <w:szCs w:val="24"/>
        </w:rPr>
        <w:t xml:space="preserve"> </w:t>
      </w:r>
    </w:p>
    <w:p w14:paraId="7313F6B1"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5FEBDA3C"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t xml:space="preserve">Deardorff, J., Marceau, K., Johnson, M., Reeves, J., Biro, F., Kubo, A., Greenspan, L., Laurent, C, Windham, G., </w:t>
      </w:r>
      <w:proofErr w:type="spellStart"/>
      <w:r w:rsidRPr="00AD050F">
        <w:rPr>
          <w:rFonts w:asciiTheme="minorHAnsi" w:hAnsiTheme="minorHAnsi" w:cstheme="minorHAnsi"/>
          <w:sz w:val="24"/>
          <w:szCs w:val="24"/>
        </w:rPr>
        <w:t>Pinney</w:t>
      </w:r>
      <w:proofErr w:type="spellEnd"/>
      <w:r w:rsidRPr="00AD050F">
        <w:rPr>
          <w:rFonts w:asciiTheme="minorHAnsi" w:hAnsiTheme="minorHAnsi" w:cstheme="minorHAnsi"/>
          <w:sz w:val="24"/>
          <w:szCs w:val="24"/>
        </w:rPr>
        <w:t xml:space="preserve">, S., </w:t>
      </w:r>
      <w:proofErr w:type="spellStart"/>
      <w:r w:rsidRPr="00AD050F">
        <w:rPr>
          <w:rFonts w:asciiTheme="minorHAnsi" w:hAnsiTheme="minorHAnsi" w:cstheme="minorHAnsi"/>
          <w:sz w:val="24"/>
          <w:szCs w:val="24"/>
        </w:rPr>
        <w:t>Kushi</w:t>
      </w:r>
      <w:proofErr w:type="spellEnd"/>
      <w:r w:rsidRPr="00AD050F">
        <w:rPr>
          <w:rFonts w:asciiTheme="minorHAnsi" w:hAnsiTheme="minorHAnsi" w:cstheme="minorHAnsi"/>
          <w:sz w:val="24"/>
          <w:szCs w:val="24"/>
        </w:rPr>
        <w:t xml:space="preserve">, L. and Hiatt, R. (2021) ‘Girls’ Pubertal Timing and Tempo and Mental Health: A Longitudinal Examination n an Ethnically Diverse Sample’, </w:t>
      </w:r>
      <w:r w:rsidRPr="00AD050F">
        <w:rPr>
          <w:rFonts w:asciiTheme="minorHAnsi" w:hAnsiTheme="minorHAnsi" w:cstheme="minorHAnsi"/>
          <w:i/>
          <w:iCs/>
          <w:sz w:val="24"/>
          <w:szCs w:val="24"/>
        </w:rPr>
        <w:t xml:space="preserve">Journal of Adolescent Health, Vol. 68, pp1197-1203.  </w:t>
      </w:r>
      <w:r w:rsidRPr="00AD050F">
        <w:rPr>
          <w:rFonts w:asciiTheme="minorHAnsi" w:hAnsiTheme="minorHAnsi" w:cstheme="minorHAnsi"/>
          <w:sz w:val="24"/>
          <w:szCs w:val="24"/>
        </w:rPr>
        <w:t xml:space="preserve">[Online].  Available at: </w:t>
      </w:r>
      <w:hyperlink r:id="rId34" w:history="1">
        <w:r w:rsidRPr="00AD050F">
          <w:rPr>
            <w:rFonts w:asciiTheme="minorHAnsi" w:hAnsiTheme="minorHAnsi" w:cstheme="minorHAnsi"/>
            <w:color w:val="0000FF"/>
            <w:sz w:val="24"/>
            <w:szCs w:val="24"/>
            <w:u w:val="single"/>
          </w:rPr>
          <w:t>Girls' Pubertal Timing and Tempo and Mental Health: A Longitudinal Examination in an Ethnically Diverse Sample - ScienceDirect</w:t>
        </w:r>
      </w:hyperlink>
      <w:r w:rsidRPr="00AD050F">
        <w:rPr>
          <w:rFonts w:asciiTheme="minorHAnsi" w:hAnsiTheme="minorHAnsi" w:cstheme="minorHAnsi"/>
          <w:sz w:val="24"/>
          <w:szCs w:val="24"/>
        </w:rPr>
        <w:t xml:space="preserve"> (First accessed as an Article in Press April 2021)</w:t>
      </w:r>
    </w:p>
    <w:p w14:paraId="76202C66"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4B5447E1" w14:textId="77777777" w:rsidR="00F222F7" w:rsidRPr="00AD050F" w:rsidRDefault="00F222F7" w:rsidP="00F222F7">
      <w:pPr>
        <w:spacing w:after="0" w:afterAutospacing="0" w:line="240" w:lineRule="auto"/>
        <w:contextualSpacing/>
        <w:jc w:val="both"/>
        <w:rPr>
          <w:sz w:val="24"/>
          <w:szCs w:val="24"/>
        </w:rPr>
      </w:pPr>
      <w:r w:rsidRPr="00AD050F">
        <w:rPr>
          <w:rFonts w:asciiTheme="minorHAnsi" w:hAnsiTheme="minorHAnsi" w:cstheme="minorHAnsi"/>
          <w:sz w:val="24"/>
          <w:szCs w:val="24"/>
        </w:rPr>
        <w:t xml:space="preserve">Defoe, I., </w:t>
      </w:r>
      <w:proofErr w:type="spellStart"/>
      <w:r w:rsidRPr="00AD050F">
        <w:rPr>
          <w:rFonts w:asciiTheme="minorHAnsi" w:hAnsiTheme="minorHAnsi" w:cstheme="minorHAnsi"/>
          <w:sz w:val="24"/>
          <w:szCs w:val="24"/>
        </w:rPr>
        <w:t>Dubas</w:t>
      </w:r>
      <w:proofErr w:type="spellEnd"/>
      <w:r w:rsidRPr="00AD050F">
        <w:rPr>
          <w:rFonts w:asciiTheme="minorHAnsi" w:hAnsiTheme="minorHAnsi" w:cstheme="minorHAnsi"/>
          <w:sz w:val="24"/>
          <w:szCs w:val="24"/>
        </w:rPr>
        <w:t xml:space="preserve">, J., </w:t>
      </w:r>
      <w:proofErr w:type="spellStart"/>
      <w:r w:rsidRPr="00AD050F">
        <w:rPr>
          <w:rFonts w:asciiTheme="minorHAnsi" w:hAnsiTheme="minorHAnsi" w:cstheme="minorHAnsi"/>
          <w:sz w:val="24"/>
          <w:szCs w:val="24"/>
        </w:rPr>
        <w:t>Dalmaijer</w:t>
      </w:r>
      <w:proofErr w:type="spellEnd"/>
      <w:r w:rsidRPr="00AD050F">
        <w:rPr>
          <w:rFonts w:asciiTheme="minorHAnsi" w:hAnsiTheme="minorHAnsi" w:cstheme="minorHAnsi"/>
          <w:sz w:val="24"/>
          <w:szCs w:val="24"/>
        </w:rPr>
        <w:t xml:space="preserve">, E. and van </w:t>
      </w:r>
      <w:proofErr w:type="spellStart"/>
      <w:r w:rsidRPr="00AD050F">
        <w:rPr>
          <w:rFonts w:asciiTheme="minorHAnsi" w:hAnsiTheme="minorHAnsi" w:cstheme="minorHAnsi"/>
          <w:sz w:val="24"/>
          <w:szCs w:val="24"/>
        </w:rPr>
        <w:t>Aken</w:t>
      </w:r>
      <w:proofErr w:type="spellEnd"/>
      <w:r w:rsidRPr="00AD050F">
        <w:rPr>
          <w:rFonts w:asciiTheme="minorHAnsi" w:hAnsiTheme="minorHAnsi" w:cstheme="minorHAnsi"/>
          <w:sz w:val="24"/>
          <w:szCs w:val="24"/>
        </w:rPr>
        <w:t xml:space="preserve">, M. (2020) ‘Is the Peer Presence Effect on Heightened Adolescent Risky Decision-Making </w:t>
      </w:r>
      <w:proofErr w:type="gramStart"/>
      <w:r w:rsidRPr="00AD050F">
        <w:rPr>
          <w:rFonts w:asciiTheme="minorHAnsi" w:hAnsiTheme="minorHAnsi" w:cstheme="minorHAnsi"/>
          <w:sz w:val="24"/>
          <w:szCs w:val="24"/>
        </w:rPr>
        <w:t>only</w:t>
      </w:r>
      <w:proofErr w:type="gramEnd"/>
      <w:r w:rsidRPr="00AD050F">
        <w:rPr>
          <w:rFonts w:asciiTheme="minorHAnsi" w:hAnsiTheme="minorHAnsi" w:cstheme="minorHAnsi"/>
          <w:sz w:val="24"/>
          <w:szCs w:val="24"/>
        </w:rPr>
        <w:t xml:space="preserve"> Present in Males?’, </w:t>
      </w:r>
      <w:r w:rsidRPr="00AD050F">
        <w:rPr>
          <w:rFonts w:asciiTheme="minorHAnsi" w:hAnsiTheme="minorHAnsi" w:cstheme="minorHAnsi"/>
          <w:i/>
          <w:iCs/>
          <w:sz w:val="24"/>
          <w:szCs w:val="24"/>
        </w:rPr>
        <w:t xml:space="preserve">Journal of Youth and Adolescence, Vol. 49, pp693-705. </w:t>
      </w:r>
      <w:r w:rsidRPr="00AD050F">
        <w:rPr>
          <w:rFonts w:asciiTheme="minorHAnsi" w:hAnsiTheme="minorHAnsi" w:cstheme="minorHAnsi"/>
          <w:sz w:val="24"/>
          <w:szCs w:val="24"/>
        </w:rPr>
        <w:t xml:space="preserve">[Online]. Available at:  </w:t>
      </w:r>
      <w:hyperlink r:id="rId35" w:history="1">
        <w:r w:rsidRPr="00AD050F">
          <w:rPr>
            <w:color w:val="0000FF"/>
            <w:sz w:val="24"/>
            <w:szCs w:val="24"/>
            <w:u w:val="single"/>
          </w:rPr>
          <w:t xml:space="preserve">Is the Peer Presence Effect on Heightened Adolescent Risky Decision-Making </w:t>
        </w:r>
        <w:proofErr w:type="gramStart"/>
        <w:r w:rsidRPr="00AD050F">
          <w:rPr>
            <w:color w:val="0000FF"/>
            <w:sz w:val="24"/>
            <w:szCs w:val="24"/>
            <w:u w:val="single"/>
          </w:rPr>
          <w:t>only</w:t>
        </w:r>
        <w:proofErr w:type="gramEnd"/>
        <w:r w:rsidRPr="00AD050F">
          <w:rPr>
            <w:color w:val="0000FF"/>
            <w:sz w:val="24"/>
            <w:szCs w:val="24"/>
            <w:u w:val="single"/>
          </w:rPr>
          <w:t xml:space="preserve"> Present in Males? | SpringerLink</w:t>
        </w:r>
      </w:hyperlink>
      <w:r w:rsidRPr="00AD050F">
        <w:rPr>
          <w:sz w:val="24"/>
          <w:szCs w:val="24"/>
        </w:rPr>
        <w:t xml:space="preserve"> (Accessed: 11</w:t>
      </w:r>
      <w:r w:rsidRPr="00AD050F">
        <w:rPr>
          <w:sz w:val="24"/>
          <w:szCs w:val="24"/>
          <w:vertAlign w:val="superscript"/>
        </w:rPr>
        <w:t>th</w:t>
      </w:r>
      <w:r w:rsidRPr="00AD050F">
        <w:rPr>
          <w:sz w:val="24"/>
          <w:szCs w:val="24"/>
        </w:rPr>
        <w:t xml:space="preserve"> December 2020)</w:t>
      </w:r>
    </w:p>
    <w:p w14:paraId="7B566245" w14:textId="77777777" w:rsidR="00F222F7" w:rsidRPr="00AD050F" w:rsidRDefault="00F222F7" w:rsidP="00F222F7">
      <w:pPr>
        <w:spacing w:after="0" w:afterAutospacing="0" w:line="240" w:lineRule="auto"/>
        <w:contextualSpacing/>
        <w:jc w:val="both"/>
        <w:rPr>
          <w:sz w:val="24"/>
          <w:szCs w:val="24"/>
        </w:rPr>
      </w:pPr>
    </w:p>
    <w:p w14:paraId="3C04E19C"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sz w:val="24"/>
          <w:szCs w:val="24"/>
        </w:rPr>
        <w:t>DelPriore</w:t>
      </w:r>
      <w:proofErr w:type="spellEnd"/>
      <w:r w:rsidRPr="00AD050F">
        <w:rPr>
          <w:sz w:val="24"/>
          <w:szCs w:val="24"/>
        </w:rPr>
        <w:t xml:space="preserve">, D., </w:t>
      </w:r>
      <w:proofErr w:type="spellStart"/>
      <w:r w:rsidRPr="00AD050F">
        <w:rPr>
          <w:sz w:val="24"/>
          <w:szCs w:val="24"/>
        </w:rPr>
        <w:t>Brener</w:t>
      </w:r>
      <w:proofErr w:type="spellEnd"/>
      <w:r w:rsidRPr="00AD050F">
        <w:rPr>
          <w:sz w:val="24"/>
          <w:szCs w:val="24"/>
        </w:rPr>
        <w:t xml:space="preserve">, S., Hill, S. and Ellis, B. (2020) ‘Effects of Fathers on Adolescent Daughters’ Frequency of Substance Use and Risky Sexual </w:t>
      </w:r>
      <w:proofErr w:type="spellStart"/>
      <w:r w:rsidRPr="00AD050F">
        <w:rPr>
          <w:sz w:val="24"/>
          <w:szCs w:val="24"/>
        </w:rPr>
        <w:t>Behavior</w:t>
      </w:r>
      <w:proofErr w:type="spellEnd"/>
      <w:r w:rsidRPr="00AD050F">
        <w:rPr>
          <w:sz w:val="24"/>
          <w:szCs w:val="24"/>
        </w:rPr>
        <w:t xml:space="preserve">’, </w:t>
      </w:r>
      <w:r w:rsidRPr="00AD050F">
        <w:rPr>
          <w:i/>
          <w:iCs/>
          <w:sz w:val="24"/>
          <w:szCs w:val="24"/>
        </w:rPr>
        <w:t xml:space="preserve">Journal of Research on Adolescence, Vol. 31, pp153-169. </w:t>
      </w:r>
      <w:r w:rsidRPr="00AD050F">
        <w:rPr>
          <w:sz w:val="24"/>
          <w:szCs w:val="24"/>
        </w:rPr>
        <w:t xml:space="preserve">[Online]. Available at: </w:t>
      </w:r>
      <w:hyperlink r:id="rId36" w:history="1">
        <w:r w:rsidRPr="00AD050F">
          <w:rPr>
            <w:color w:val="0000FF"/>
            <w:sz w:val="24"/>
            <w:szCs w:val="24"/>
            <w:u w:val="single"/>
          </w:rPr>
          <w:t xml:space="preserve">Effects of Fathers on Adolescent Daughters’ Frequency of Substance Use and Risky Sexual </w:t>
        </w:r>
        <w:proofErr w:type="spellStart"/>
        <w:r w:rsidRPr="00AD050F">
          <w:rPr>
            <w:color w:val="0000FF"/>
            <w:sz w:val="24"/>
            <w:szCs w:val="24"/>
            <w:u w:val="single"/>
          </w:rPr>
          <w:t>Behavior</w:t>
        </w:r>
        <w:proofErr w:type="spellEnd"/>
        <w:r w:rsidRPr="00AD050F">
          <w:rPr>
            <w:color w:val="0000FF"/>
            <w:sz w:val="24"/>
            <w:szCs w:val="24"/>
            <w:u w:val="single"/>
          </w:rPr>
          <w:t xml:space="preserve"> (wiley.com)</w:t>
        </w:r>
      </w:hyperlink>
      <w:r w:rsidRPr="00AD050F">
        <w:rPr>
          <w:sz w:val="24"/>
          <w:szCs w:val="24"/>
        </w:rPr>
        <w:t xml:space="preserve"> (Accessed: 19</w:t>
      </w:r>
      <w:r w:rsidRPr="00AD050F">
        <w:rPr>
          <w:sz w:val="24"/>
          <w:szCs w:val="24"/>
          <w:vertAlign w:val="superscript"/>
        </w:rPr>
        <w:t>th</w:t>
      </w:r>
      <w:r w:rsidRPr="00AD050F">
        <w:rPr>
          <w:sz w:val="24"/>
          <w:szCs w:val="24"/>
        </w:rPr>
        <w:t xml:space="preserve"> April 2021)  </w:t>
      </w:r>
    </w:p>
    <w:p w14:paraId="224FF0EB"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6FDA39A4"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i/>
          <w:iCs/>
          <w:color w:val="auto"/>
          <w:sz w:val="24"/>
          <w:szCs w:val="24"/>
        </w:rPr>
      </w:pPr>
      <w:proofErr w:type="spellStart"/>
      <w:r w:rsidRPr="00AD050F">
        <w:rPr>
          <w:rFonts w:asciiTheme="minorHAnsi" w:eastAsiaTheme="minorHAnsi" w:hAnsiTheme="minorHAnsi" w:cstheme="minorHAnsi"/>
          <w:color w:val="auto"/>
          <w:sz w:val="24"/>
          <w:szCs w:val="24"/>
        </w:rPr>
        <w:t>Dimler</w:t>
      </w:r>
      <w:proofErr w:type="spellEnd"/>
      <w:r w:rsidRPr="00AD050F">
        <w:rPr>
          <w:rFonts w:asciiTheme="minorHAnsi" w:eastAsiaTheme="minorHAnsi" w:hAnsiTheme="minorHAnsi" w:cstheme="minorHAnsi"/>
          <w:color w:val="auto"/>
          <w:sz w:val="24"/>
          <w:szCs w:val="24"/>
        </w:rPr>
        <w:t xml:space="preserve">, L. and </w:t>
      </w:r>
      <w:proofErr w:type="spellStart"/>
      <w:r w:rsidRPr="00AD050F">
        <w:rPr>
          <w:rFonts w:asciiTheme="minorHAnsi" w:eastAsiaTheme="minorHAnsi" w:hAnsiTheme="minorHAnsi" w:cstheme="minorHAnsi"/>
          <w:color w:val="auto"/>
          <w:sz w:val="24"/>
          <w:szCs w:val="24"/>
        </w:rPr>
        <w:t>Natsuaki</w:t>
      </w:r>
      <w:proofErr w:type="spellEnd"/>
      <w:r w:rsidRPr="00AD050F">
        <w:rPr>
          <w:rFonts w:asciiTheme="minorHAnsi" w:eastAsiaTheme="minorHAnsi" w:hAnsiTheme="minorHAnsi" w:cstheme="minorHAnsi"/>
          <w:color w:val="auto"/>
          <w:sz w:val="24"/>
          <w:szCs w:val="24"/>
        </w:rPr>
        <w:t xml:space="preserve">, M. (2015) ‘The effects of pubertal timing on externalizing </w:t>
      </w:r>
      <w:proofErr w:type="spellStart"/>
      <w:r w:rsidRPr="00AD050F">
        <w:rPr>
          <w:rFonts w:asciiTheme="minorHAnsi" w:eastAsiaTheme="minorHAnsi" w:hAnsiTheme="minorHAnsi" w:cstheme="minorHAnsi"/>
          <w:color w:val="auto"/>
          <w:sz w:val="24"/>
          <w:szCs w:val="24"/>
        </w:rPr>
        <w:t>behaviors</w:t>
      </w:r>
      <w:proofErr w:type="spellEnd"/>
      <w:r w:rsidRPr="00AD050F">
        <w:rPr>
          <w:rFonts w:asciiTheme="minorHAnsi" w:eastAsiaTheme="minorHAnsi" w:hAnsiTheme="minorHAnsi" w:cstheme="minorHAnsi"/>
          <w:color w:val="auto"/>
          <w:sz w:val="24"/>
          <w:szCs w:val="24"/>
        </w:rPr>
        <w:t xml:space="preserve"> in adolescence and early adulthood: A meta-analytic review’, </w:t>
      </w:r>
      <w:r w:rsidRPr="00AD050F">
        <w:rPr>
          <w:rFonts w:asciiTheme="minorHAnsi" w:eastAsiaTheme="minorHAnsi" w:hAnsiTheme="minorHAnsi" w:cstheme="minorHAnsi"/>
          <w:i/>
          <w:iCs/>
          <w:color w:val="auto"/>
          <w:sz w:val="24"/>
          <w:szCs w:val="24"/>
        </w:rPr>
        <w:t>Journal of Adolescence, Vol. 45, pp160-170.</w:t>
      </w:r>
      <w:r w:rsidRPr="00AD050F">
        <w:rPr>
          <w:rFonts w:asciiTheme="minorHAnsi" w:eastAsiaTheme="minorHAnsi" w:hAnsiTheme="minorHAnsi" w:cstheme="minorHAnsi"/>
          <w:color w:val="auto"/>
          <w:sz w:val="24"/>
          <w:szCs w:val="24"/>
        </w:rPr>
        <w:t xml:space="preserve"> </w:t>
      </w:r>
      <w:r w:rsidRPr="00AD050F">
        <w:rPr>
          <w:rFonts w:asciiTheme="minorHAnsi" w:hAnsiTheme="minorHAnsi" w:cstheme="minorHAnsi"/>
          <w:sz w:val="24"/>
          <w:szCs w:val="24"/>
        </w:rPr>
        <w:t xml:space="preserve">[Online].  Available at: </w:t>
      </w:r>
      <w:hyperlink r:id="rId37" w:history="1">
        <w:r w:rsidRPr="00AD050F">
          <w:rPr>
            <w:rFonts w:asciiTheme="minorHAnsi" w:hAnsiTheme="minorHAnsi" w:cstheme="minorHAnsi"/>
            <w:color w:val="0000FF"/>
            <w:sz w:val="24"/>
            <w:szCs w:val="24"/>
            <w:u w:val="single"/>
          </w:rPr>
          <w:t xml:space="preserve">The effects of pubertal timing on externalizing </w:t>
        </w:r>
        <w:proofErr w:type="spellStart"/>
        <w:r w:rsidRPr="00AD050F">
          <w:rPr>
            <w:rFonts w:asciiTheme="minorHAnsi" w:hAnsiTheme="minorHAnsi" w:cstheme="minorHAnsi"/>
            <w:color w:val="0000FF"/>
            <w:sz w:val="24"/>
            <w:szCs w:val="24"/>
            <w:u w:val="single"/>
          </w:rPr>
          <w:t>behaviors</w:t>
        </w:r>
        <w:proofErr w:type="spellEnd"/>
        <w:r w:rsidRPr="00AD050F">
          <w:rPr>
            <w:rFonts w:asciiTheme="minorHAnsi" w:hAnsiTheme="minorHAnsi" w:cstheme="minorHAnsi"/>
            <w:color w:val="0000FF"/>
            <w:sz w:val="24"/>
            <w:szCs w:val="24"/>
            <w:u w:val="single"/>
          </w:rPr>
          <w:t xml:space="preserve"> in adolescence and early adulthood: A meta-analytic review | Elsevier Enhanced Reader</w:t>
        </w:r>
      </w:hyperlink>
      <w:r w:rsidRPr="00AD050F">
        <w:rPr>
          <w:rFonts w:asciiTheme="minorHAnsi" w:hAnsiTheme="minorHAnsi" w:cstheme="minorHAnsi"/>
          <w:sz w:val="24"/>
          <w:szCs w:val="24"/>
        </w:rPr>
        <w:t xml:space="preserve"> (Accessed: 23</w:t>
      </w:r>
      <w:r w:rsidRPr="00AD050F">
        <w:rPr>
          <w:rFonts w:asciiTheme="minorHAnsi" w:hAnsiTheme="minorHAnsi" w:cstheme="minorHAnsi"/>
          <w:sz w:val="24"/>
          <w:szCs w:val="24"/>
          <w:vertAlign w:val="superscript"/>
        </w:rPr>
        <w:t>rd</w:t>
      </w:r>
      <w:r w:rsidRPr="00AD050F">
        <w:rPr>
          <w:rFonts w:asciiTheme="minorHAnsi" w:hAnsiTheme="minorHAnsi" w:cstheme="minorHAnsi"/>
          <w:sz w:val="24"/>
          <w:szCs w:val="24"/>
        </w:rPr>
        <w:t xml:space="preserve"> November 2020)  </w:t>
      </w:r>
      <w:r w:rsidRPr="00AD050F">
        <w:rPr>
          <w:rFonts w:asciiTheme="minorHAnsi" w:eastAsiaTheme="minorHAnsi" w:hAnsiTheme="minorHAnsi" w:cstheme="minorHAnsi"/>
          <w:i/>
          <w:iCs/>
          <w:color w:val="auto"/>
          <w:sz w:val="24"/>
          <w:szCs w:val="24"/>
        </w:rPr>
        <w:t xml:space="preserve"> </w:t>
      </w:r>
    </w:p>
    <w:p w14:paraId="21E2335A"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i/>
          <w:iCs/>
          <w:color w:val="auto"/>
          <w:sz w:val="24"/>
          <w:szCs w:val="24"/>
        </w:rPr>
      </w:pPr>
    </w:p>
    <w:p w14:paraId="7DD8D763"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eastAsiaTheme="minorHAnsi" w:hAnsiTheme="minorHAnsi" w:cstheme="minorHAnsi"/>
          <w:color w:val="auto"/>
          <w:sz w:val="24"/>
          <w:szCs w:val="24"/>
        </w:rPr>
        <w:t>Dimler</w:t>
      </w:r>
      <w:proofErr w:type="spellEnd"/>
      <w:r w:rsidRPr="00AD050F">
        <w:rPr>
          <w:rFonts w:asciiTheme="minorHAnsi" w:eastAsiaTheme="minorHAnsi" w:hAnsiTheme="minorHAnsi" w:cstheme="minorHAnsi"/>
          <w:color w:val="auto"/>
          <w:sz w:val="24"/>
          <w:szCs w:val="24"/>
        </w:rPr>
        <w:t xml:space="preserve">, L. and </w:t>
      </w:r>
      <w:proofErr w:type="spellStart"/>
      <w:r w:rsidRPr="00AD050F">
        <w:rPr>
          <w:rFonts w:asciiTheme="minorHAnsi" w:eastAsiaTheme="minorHAnsi" w:hAnsiTheme="minorHAnsi" w:cstheme="minorHAnsi"/>
          <w:color w:val="auto"/>
          <w:sz w:val="24"/>
          <w:szCs w:val="24"/>
        </w:rPr>
        <w:t>Natsuaki</w:t>
      </w:r>
      <w:proofErr w:type="spellEnd"/>
      <w:r w:rsidRPr="00AD050F">
        <w:rPr>
          <w:rFonts w:asciiTheme="minorHAnsi" w:eastAsiaTheme="minorHAnsi" w:hAnsiTheme="minorHAnsi" w:cstheme="minorHAnsi"/>
          <w:color w:val="auto"/>
          <w:sz w:val="24"/>
          <w:szCs w:val="24"/>
        </w:rPr>
        <w:t xml:space="preserve">, M. (2020) ‘Trajectories of Violent and Nonviolent </w:t>
      </w:r>
      <w:proofErr w:type="spellStart"/>
      <w:r w:rsidRPr="00AD050F">
        <w:rPr>
          <w:rFonts w:asciiTheme="minorHAnsi" w:eastAsiaTheme="minorHAnsi" w:hAnsiTheme="minorHAnsi" w:cstheme="minorHAnsi"/>
          <w:color w:val="auto"/>
          <w:sz w:val="24"/>
          <w:szCs w:val="24"/>
        </w:rPr>
        <w:t>Behaviors</w:t>
      </w:r>
      <w:proofErr w:type="spellEnd"/>
      <w:r w:rsidRPr="00AD050F">
        <w:rPr>
          <w:rFonts w:asciiTheme="minorHAnsi" w:eastAsiaTheme="minorHAnsi" w:hAnsiTheme="minorHAnsi" w:cstheme="minorHAnsi"/>
          <w:color w:val="auto"/>
          <w:sz w:val="24"/>
          <w:szCs w:val="24"/>
        </w:rPr>
        <w:t xml:space="preserve"> </w:t>
      </w:r>
      <w:proofErr w:type="gramStart"/>
      <w:r w:rsidRPr="00AD050F">
        <w:rPr>
          <w:rFonts w:asciiTheme="minorHAnsi" w:eastAsiaTheme="minorHAnsi" w:hAnsiTheme="minorHAnsi" w:cstheme="minorHAnsi"/>
          <w:color w:val="auto"/>
          <w:sz w:val="24"/>
          <w:szCs w:val="24"/>
        </w:rPr>
        <w:t>From</w:t>
      </w:r>
      <w:proofErr w:type="gramEnd"/>
      <w:r w:rsidRPr="00AD050F">
        <w:rPr>
          <w:rFonts w:asciiTheme="minorHAnsi" w:eastAsiaTheme="minorHAnsi" w:hAnsiTheme="minorHAnsi" w:cstheme="minorHAnsi"/>
          <w:color w:val="auto"/>
          <w:sz w:val="24"/>
          <w:szCs w:val="24"/>
        </w:rPr>
        <w:t xml:space="preserve"> Adolescence to Early Adulthood: Does Early Puberty Matter, and, If So, How Long?’, </w:t>
      </w:r>
      <w:r w:rsidRPr="00AD050F">
        <w:rPr>
          <w:rFonts w:asciiTheme="minorHAnsi" w:eastAsiaTheme="minorHAnsi" w:hAnsiTheme="minorHAnsi" w:cstheme="minorHAnsi"/>
          <w:i/>
          <w:iCs/>
          <w:color w:val="auto"/>
          <w:sz w:val="24"/>
          <w:szCs w:val="24"/>
        </w:rPr>
        <w:t>Journal of Adolescent Health, Vol. 68, pp523-531.</w:t>
      </w:r>
      <w:r w:rsidRPr="00AD050F">
        <w:rPr>
          <w:rFonts w:asciiTheme="minorHAnsi" w:eastAsiaTheme="minorHAnsi" w:hAnsiTheme="minorHAnsi" w:cstheme="minorHAnsi"/>
          <w:color w:val="auto"/>
          <w:sz w:val="24"/>
          <w:szCs w:val="24"/>
        </w:rPr>
        <w:t xml:space="preserve"> </w:t>
      </w:r>
      <w:r w:rsidRPr="00AD050F">
        <w:rPr>
          <w:rFonts w:asciiTheme="minorHAnsi" w:hAnsiTheme="minorHAnsi" w:cstheme="minorHAnsi"/>
          <w:sz w:val="24"/>
          <w:szCs w:val="24"/>
        </w:rPr>
        <w:t xml:space="preserve">[Online].  Available at: </w:t>
      </w:r>
      <w:hyperlink r:id="rId38" w:history="1">
        <w:r w:rsidRPr="00AD050F">
          <w:rPr>
            <w:rFonts w:asciiTheme="minorHAnsi" w:hAnsiTheme="minorHAnsi" w:cstheme="minorHAnsi"/>
            <w:color w:val="0000FF"/>
            <w:sz w:val="24"/>
            <w:szCs w:val="24"/>
            <w:u w:val="single"/>
          </w:rPr>
          <w:t xml:space="preserve">Trajectories of Violent and Nonviolent </w:t>
        </w:r>
        <w:proofErr w:type="spellStart"/>
        <w:r w:rsidRPr="00AD050F">
          <w:rPr>
            <w:rFonts w:asciiTheme="minorHAnsi" w:hAnsiTheme="minorHAnsi" w:cstheme="minorHAnsi"/>
            <w:color w:val="0000FF"/>
            <w:sz w:val="24"/>
            <w:szCs w:val="24"/>
            <w:u w:val="single"/>
          </w:rPr>
          <w:t>Behaviors</w:t>
        </w:r>
        <w:proofErr w:type="spellEnd"/>
        <w:r w:rsidRPr="00AD050F">
          <w:rPr>
            <w:rFonts w:asciiTheme="minorHAnsi" w:hAnsiTheme="minorHAnsi" w:cstheme="minorHAnsi"/>
            <w:color w:val="0000FF"/>
            <w:sz w:val="24"/>
            <w:szCs w:val="24"/>
            <w:u w:val="single"/>
          </w:rPr>
          <w:t xml:space="preserve"> From Adolescence to Early Adulthood: Does Early Puberty Matter, and, If So, How Long? | Elsevier Enhanced Reader</w:t>
        </w:r>
      </w:hyperlink>
      <w:r w:rsidRPr="00AD050F">
        <w:rPr>
          <w:rFonts w:asciiTheme="minorHAnsi" w:hAnsiTheme="minorHAnsi" w:cstheme="minorHAnsi"/>
          <w:sz w:val="24"/>
          <w:szCs w:val="24"/>
        </w:rPr>
        <w:t xml:space="preserve"> (Accessed: 23</w:t>
      </w:r>
      <w:r w:rsidRPr="00AD050F">
        <w:rPr>
          <w:rFonts w:asciiTheme="minorHAnsi" w:hAnsiTheme="minorHAnsi" w:cstheme="minorHAnsi"/>
          <w:sz w:val="24"/>
          <w:szCs w:val="24"/>
          <w:vertAlign w:val="superscript"/>
        </w:rPr>
        <w:t>rd</w:t>
      </w:r>
      <w:r w:rsidRPr="00AD050F">
        <w:rPr>
          <w:rFonts w:asciiTheme="minorHAnsi" w:hAnsiTheme="minorHAnsi" w:cstheme="minorHAnsi"/>
          <w:sz w:val="24"/>
          <w:szCs w:val="24"/>
        </w:rPr>
        <w:t xml:space="preserve"> May 2021)</w:t>
      </w:r>
    </w:p>
    <w:p w14:paraId="02CBED0D"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6451B767"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t xml:space="preserve">Dorrell, K., </w:t>
      </w:r>
      <w:proofErr w:type="spellStart"/>
      <w:r w:rsidRPr="00AD050F">
        <w:rPr>
          <w:rFonts w:asciiTheme="minorHAnsi" w:hAnsiTheme="minorHAnsi" w:cstheme="minorHAnsi"/>
          <w:sz w:val="24"/>
          <w:szCs w:val="24"/>
        </w:rPr>
        <w:t>Berona</w:t>
      </w:r>
      <w:proofErr w:type="spellEnd"/>
      <w:r w:rsidRPr="00AD050F">
        <w:rPr>
          <w:rFonts w:asciiTheme="minorHAnsi" w:hAnsiTheme="minorHAnsi" w:cstheme="minorHAnsi"/>
          <w:sz w:val="24"/>
          <w:szCs w:val="24"/>
        </w:rPr>
        <w:t xml:space="preserve">, J., </w:t>
      </w:r>
      <w:proofErr w:type="spellStart"/>
      <w:r w:rsidRPr="00AD050F">
        <w:rPr>
          <w:rFonts w:asciiTheme="minorHAnsi" w:hAnsiTheme="minorHAnsi" w:cstheme="minorHAnsi"/>
          <w:sz w:val="24"/>
          <w:szCs w:val="24"/>
        </w:rPr>
        <w:t>Hipwell</w:t>
      </w:r>
      <w:proofErr w:type="spellEnd"/>
      <w:r w:rsidRPr="00AD050F">
        <w:rPr>
          <w:rFonts w:asciiTheme="minorHAnsi" w:hAnsiTheme="minorHAnsi" w:cstheme="minorHAnsi"/>
          <w:sz w:val="24"/>
          <w:szCs w:val="24"/>
        </w:rPr>
        <w:t xml:space="preserve">, A and Keenan, K. (2021) ‘Longitudinal Associations between Peer Factors and Suicidal Thoughts and </w:t>
      </w:r>
      <w:proofErr w:type="spellStart"/>
      <w:r w:rsidRPr="00AD050F">
        <w:rPr>
          <w:rFonts w:asciiTheme="minorHAnsi" w:hAnsiTheme="minorHAnsi" w:cstheme="minorHAnsi"/>
          <w:sz w:val="24"/>
          <w:szCs w:val="24"/>
        </w:rPr>
        <w:t>Behaviors</w:t>
      </w:r>
      <w:proofErr w:type="spellEnd"/>
      <w:r w:rsidRPr="00AD050F">
        <w:rPr>
          <w:rFonts w:asciiTheme="minorHAnsi" w:hAnsiTheme="minorHAnsi" w:cstheme="minorHAnsi"/>
          <w:sz w:val="24"/>
          <w:szCs w:val="24"/>
        </w:rPr>
        <w:t xml:space="preserve"> Among Sexual Minority Women’, </w:t>
      </w:r>
      <w:r w:rsidRPr="00AD050F">
        <w:rPr>
          <w:rFonts w:asciiTheme="minorHAnsi" w:hAnsiTheme="minorHAnsi" w:cstheme="minorHAnsi"/>
          <w:i/>
          <w:iCs/>
          <w:sz w:val="24"/>
          <w:szCs w:val="24"/>
        </w:rPr>
        <w:t xml:space="preserve">Journal of Psychiatric Research. </w:t>
      </w:r>
      <w:r w:rsidRPr="00AD050F">
        <w:rPr>
          <w:rFonts w:asciiTheme="minorHAnsi" w:hAnsiTheme="minorHAnsi" w:cstheme="minorHAnsi"/>
          <w:sz w:val="24"/>
          <w:szCs w:val="24"/>
        </w:rPr>
        <w:t xml:space="preserve">[Journal Pre-proof]. [Online]. Available at: </w:t>
      </w:r>
      <w:hyperlink r:id="rId39" w:history="1">
        <w:r w:rsidRPr="00AD050F">
          <w:rPr>
            <w:color w:val="0000FF"/>
            <w:sz w:val="24"/>
            <w:szCs w:val="24"/>
            <w:u w:val="single"/>
          </w:rPr>
          <w:t xml:space="preserve">Longitudinal Associations between Peer Factors and Suicidal Thoughts and </w:t>
        </w:r>
        <w:proofErr w:type="spellStart"/>
        <w:r w:rsidRPr="00AD050F">
          <w:rPr>
            <w:color w:val="0000FF"/>
            <w:sz w:val="24"/>
            <w:szCs w:val="24"/>
            <w:u w:val="single"/>
          </w:rPr>
          <w:t>Behaviors</w:t>
        </w:r>
        <w:proofErr w:type="spellEnd"/>
        <w:r w:rsidRPr="00AD050F">
          <w:rPr>
            <w:color w:val="0000FF"/>
            <w:sz w:val="24"/>
            <w:szCs w:val="24"/>
            <w:u w:val="single"/>
          </w:rPr>
          <w:t xml:space="preserve"> Among Sexual Minority Women | Elsevier Enhanced Reader</w:t>
        </w:r>
      </w:hyperlink>
      <w:r w:rsidRPr="00AD050F">
        <w:rPr>
          <w:sz w:val="24"/>
          <w:szCs w:val="24"/>
        </w:rPr>
        <w:t xml:space="preserve"> (Accessed: 16</w:t>
      </w:r>
      <w:r w:rsidRPr="00AD050F">
        <w:rPr>
          <w:sz w:val="24"/>
          <w:szCs w:val="24"/>
          <w:vertAlign w:val="superscript"/>
        </w:rPr>
        <w:t>th</w:t>
      </w:r>
      <w:r w:rsidRPr="00AD050F">
        <w:rPr>
          <w:sz w:val="24"/>
          <w:szCs w:val="24"/>
        </w:rPr>
        <w:t xml:space="preserve"> June 2021)</w:t>
      </w:r>
      <w:r w:rsidRPr="00AD050F">
        <w:rPr>
          <w:rFonts w:asciiTheme="minorHAnsi" w:hAnsiTheme="minorHAnsi" w:cstheme="minorHAnsi"/>
          <w:sz w:val="24"/>
          <w:szCs w:val="24"/>
        </w:rPr>
        <w:t xml:space="preserve">  </w:t>
      </w:r>
      <w:r w:rsidRPr="00AD050F">
        <w:rPr>
          <w:rFonts w:asciiTheme="minorHAnsi" w:eastAsiaTheme="minorHAnsi" w:hAnsiTheme="minorHAnsi" w:cstheme="minorHAnsi"/>
          <w:i/>
          <w:iCs/>
          <w:color w:val="auto"/>
          <w:sz w:val="24"/>
          <w:szCs w:val="24"/>
        </w:rPr>
        <w:t xml:space="preserve"> </w:t>
      </w:r>
    </w:p>
    <w:p w14:paraId="2DF5E6A7"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eastAsiaTheme="minorHAnsi" w:hAnsiTheme="minorHAnsi" w:cstheme="minorHAnsi"/>
          <w:i/>
          <w:iCs/>
          <w:color w:val="auto"/>
          <w:sz w:val="24"/>
          <w:szCs w:val="24"/>
        </w:rPr>
        <w:t xml:space="preserve"> </w:t>
      </w:r>
    </w:p>
    <w:p w14:paraId="4D9E654A"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eastAsiaTheme="minorHAnsi" w:hAnsiTheme="minorHAnsi" w:cstheme="minorHAnsi"/>
          <w:color w:val="auto"/>
          <w:sz w:val="24"/>
          <w:szCs w:val="24"/>
        </w:rPr>
        <w:t xml:space="preserve">Downing, J. and Bellis, M. (2009) ‘Early pubertal onset and its relationship with sexual risk taking, substance use and anti-social behaviour: a preliminary cross-sectional study’ </w:t>
      </w:r>
      <w:r w:rsidRPr="00AD050F">
        <w:rPr>
          <w:rFonts w:asciiTheme="minorHAnsi" w:eastAsiaTheme="minorHAnsi" w:hAnsiTheme="minorHAnsi" w:cstheme="minorHAnsi"/>
          <w:i/>
          <w:iCs/>
          <w:color w:val="auto"/>
          <w:sz w:val="24"/>
          <w:szCs w:val="24"/>
        </w:rPr>
        <w:t xml:space="preserve">BMC </w:t>
      </w:r>
      <w:r w:rsidRPr="00AD050F">
        <w:rPr>
          <w:rFonts w:asciiTheme="minorHAnsi" w:eastAsiaTheme="minorHAnsi" w:hAnsiTheme="minorHAnsi" w:cstheme="minorHAnsi"/>
          <w:i/>
          <w:iCs/>
          <w:color w:val="auto"/>
          <w:sz w:val="24"/>
          <w:szCs w:val="24"/>
        </w:rPr>
        <w:lastRenderedPageBreak/>
        <w:t xml:space="preserve">Public Health, Vol. 9, pp446-456. </w:t>
      </w:r>
      <w:r w:rsidRPr="00AD050F">
        <w:rPr>
          <w:rFonts w:asciiTheme="minorHAnsi" w:hAnsiTheme="minorHAnsi" w:cstheme="minorHAnsi"/>
          <w:sz w:val="24"/>
          <w:szCs w:val="24"/>
        </w:rPr>
        <w:t xml:space="preserve">[Online].  Available at: </w:t>
      </w:r>
      <w:hyperlink r:id="rId40" w:history="1">
        <w:r w:rsidRPr="00AD050F">
          <w:rPr>
            <w:rFonts w:asciiTheme="minorHAnsi" w:hAnsiTheme="minorHAnsi" w:cstheme="minorHAnsi"/>
            <w:color w:val="0000FF"/>
            <w:sz w:val="24"/>
            <w:szCs w:val="24"/>
            <w:u w:val="single"/>
          </w:rPr>
          <w:t>Early pubertal onset and its relationship with sexual risk taking, substance use and anti-social behaviour: a preliminary cross-sectional study | BMC Public Health | Full Text (biomedcentral.com)</w:t>
        </w:r>
      </w:hyperlink>
      <w:r w:rsidRPr="00AD050F">
        <w:rPr>
          <w:rFonts w:asciiTheme="minorHAnsi" w:hAnsiTheme="minorHAnsi" w:cstheme="minorHAnsi"/>
          <w:sz w:val="24"/>
          <w:szCs w:val="24"/>
        </w:rPr>
        <w:t xml:space="preserve"> (Accessed: 15</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March 2021)</w:t>
      </w:r>
    </w:p>
    <w:p w14:paraId="50A0B2CE"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3FF86A65"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eastAsiaTheme="minorHAnsi" w:hAnsiTheme="minorHAnsi" w:cstheme="minorHAnsi"/>
          <w:color w:val="auto"/>
          <w:sz w:val="24"/>
          <w:szCs w:val="24"/>
        </w:rPr>
        <w:t xml:space="preserve">Downing, J. and Bellis, M. (2020) ‘Trajectories of Violent and Nonviolent </w:t>
      </w:r>
      <w:proofErr w:type="spellStart"/>
      <w:r w:rsidRPr="00AD050F">
        <w:rPr>
          <w:rFonts w:asciiTheme="minorHAnsi" w:eastAsiaTheme="minorHAnsi" w:hAnsiTheme="minorHAnsi" w:cstheme="minorHAnsi"/>
          <w:color w:val="auto"/>
          <w:sz w:val="24"/>
          <w:szCs w:val="24"/>
        </w:rPr>
        <w:t>Behaviors</w:t>
      </w:r>
      <w:proofErr w:type="spellEnd"/>
      <w:r w:rsidRPr="00AD050F">
        <w:rPr>
          <w:rFonts w:asciiTheme="minorHAnsi" w:eastAsiaTheme="minorHAnsi" w:hAnsiTheme="minorHAnsi" w:cstheme="minorHAnsi"/>
          <w:color w:val="auto"/>
          <w:sz w:val="24"/>
          <w:szCs w:val="24"/>
        </w:rPr>
        <w:t xml:space="preserve"> </w:t>
      </w:r>
      <w:proofErr w:type="gramStart"/>
      <w:r w:rsidRPr="00AD050F">
        <w:rPr>
          <w:rFonts w:asciiTheme="minorHAnsi" w:eastAsiaTheme="minorHAnsi" w:hAnsiTheme="minorHAnsi" w:cstheme="minorHAnsi"/>
          <w:color w:val="auto"/>
          <w:sz w:val="24"/>
          <w:szCs w:val="24"/>
        </w:rPr>
        <w:t>From</w:t>
      </w:r>
      <w:proofErr w:type="gramEnd"/>
      <w:r w:rsidRPr="00AD050F">
        <w:rPr>
          <w:rFonts w:asciiTheme="minorHAnsi" w:eastAsiaTheme="minorHAnsi" w:hAnsiTheme="minorHAnsi" w:cstheme="minorHAnsi"/>
          <w:color w:val="auto"/>
          <w:sz w:val="24"/>
          <w:szCs w:val="24"/>
        </w:rPr>
        <w:t xml:space="preserve"> Adolescence to Early Adulthood: Does Early Puberty Matter, and, If So, How Long?’, </w:t>
      </w:r>
      <w:r w:rsidRPr="00AD050F">
        <w:rPr>
          <w:rFonts w:asciiTheme="minorHAnsi" w:eastAsiaTheme="minorHAnsi" w:hAnsiTheme="minorHAnsi" w:cstheme="minorHAnsi"/>
          <w:i/>
          <w:iCs/>
          <w:color w:val="auto"/>
          <w:sz w:val="24"/>
          <w:szCs w:val="24"/>
        </w:rPr>
        <w:t xml:space="preserve">Journal of Adolescent Health, Vol. 68, pp523-531. </w:t>
      </w:r>
      <w:r w:rsidRPr="00AD050F">
        <w:rPr>
          <w:rFonts w:asciiTheme="minorHAnsi" w:hAnsiTheme="minorHAnsi" w:cstheme="minorHAnsi"/>
          <w:sz w:val="24"/>
          <w:szCs w:val="24"/>
        </w:rPr>
        <w:t xml:space="preserve">[Online].  Available at: </w:t>
      </w:r>
      <w:hyperlink r:id="rId41" w:history="1">
        <w:r w:rsidRPr="00AD050F">
          <w:rPr>
            <w:color w:val="0000FF"/>
            <w:sz w:val="24"/>
            <w:szCs w:val="24"/>
            <w:u w:val="single"/>
          </w:rPr>
          <w:t xml:space="preserve">Trajectories of Violent and Nonviolent </w:t>
        </w:r>
        <w:proofErr w:type="spellStart"/>
        <w:r w:rsidRPr="00AD050F">
          <w:rPr>
            <w:color w:val="0000FF"/>
            <w:sz w:val="24"/>
            <w:szCs w:val="24"/>
            <w:u w:val="single"/>
          </w:rPr>
          <w:t>Behaviors</w:t>
        </w:r>
        <w:proofErr w:type="spellEnd"/>
        <w:r w:rsidRPr="00AD050F">
          <w:rPr>
            <w:color w:val="0000FF"/>
            <w:sz w:val="24"/>
            <w:szCs w:val="24"/>
            <w:u w:val="single"/>
          </w:rPr>
          <w:t xml:space="preserve"> From Adolescence to Early Adulthood: Does Early Puberty Matter, and, If So, How Long? - ScienceDirect</w:t>
        </w:r>
      </w:hyperlink>
      <w:r w:rsidRPr="00AD050F">
        <w:rPr>
          <w:rFonts w:asciiTheme="minorHAnsi" w:hAnsiTheme="minorHAnsi" w:cstheme="minorHAnsi"/>
          <w:sz w:val="24"/>
          <w:szCs w:val="24"/>
        </w:rPr>
        <w:t xml:space="preserve"> (Accessed: 15</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March 2021)</w:t>
      </w:r>
    </w:p>
    <w:p w14:paraId="38166B33"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4F1B5A72"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676995DD"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t xml:space="preserve">Escobar, D., Noll, P., de Jesus, T. and Noll, M. (2020) ‘Assessing the Mental Health of Brazilian Students Involved in Risky </w:t>
      </w:r>
      <w:proofErr w:type="spellStart"/>
      <w:r w:rsidRPr="00AD050F">
        <w:rPr>
          <w:rFonts w:asciiTheme="minorHAnsi" w:hAnsiTheme="minorHAnsi" w:cstheme="minorHAnsi"/>
          <w:sz w:val="24"/>
          <w:szCs w:val="24"/>
        </w:rPr>
        <w:t>Behaviors</w:t>
      </w:r>
      <w:proofErr w:type="spellEnd"/>
      <w:r w:rsidRPr="00AD050F">
        <w:rPr>
          <w:rFonts w:asciiTheme="minorHAnsi" w:hAnsiTheme="minorHAnsi" w:cstheme="minorHAnsi"/>
          <w:sz w:val="24"/>
          <w:szCs w:val="24"/>
        </w:rPr>
        <w:t xml:space="preserve">’, </w:t>
      </w:r>
      <w:r w:rsidRPr="00AD050F">
        <w:rPr>
          <w:rFonts w:asciiTheme="minorHAnsi" w:hAnsiTheme="minorHAnsi" w:cstheme="minorHAnsi"/>
          <w:i/>
          <w:iCs/>
          <w:sz w:val="24"/>
          <w:szCs w:val="24"/>
        </w:rPr>
        <w:t xml:space="preserve">International Journal of Environmental Research and Public Health, Vol. 17. </w:t>
      </w:r>
      <w:r w:rsidRPr="00AD050F">
        <w:rPr>
          <w:rFonts w:asciiTheme="minorHAnsi" w:hAnsiTheme="minorHAnsi" w:cstheme="minorHAnsi"/>
          <w:sz w:val="24"/>
          <w:szCs w:val="24"/>
        </w:rPr>
        <w:t xml:space="preserve">[Online]. Available at: </w:t>
      </w:r>
      <w:hyperlink r:id="rId42" w:history="1">
        <w:r w:rsidRPr="00AD050F">
          <w:rPr>
            <w:rFonts w:asciiTheme="minorHAnsi" w:hAnsiTheme="minorHAnsi" w:cstheme="minorHAnsi"/>
            <w:color w:val="0000FF"/>
            <w:sz w:val="24"/>
            <w:szCs w:val="24"/>
            <w:u w:val="single"/>
          </w:rPr>
          <w:t xml:space="preserve">IJERPH | Free Full-Text | Assessing the Mental Health of Brazilian Students Involved in Risky </w:t>
        </w:r>
        <w:proofErr w:type="spellStart"/>
        <w:r w:rsidRPr="00AD050F">
          <w:rPr>
            <w:rFonts w:asciiTheme="minorHAnsi" w:hAnsiTheme="minorHAnsi" w:cstheme="minorHAnsi"/>
            <w:color w:val="0000FF"/>
            <w:sz w:val="24"/>
            <w:szCs w:val="24"/>
            <w:u w:val="single"/>
          </w:rPr>
          <w:t>Behaviors</w:t>
        </w:r>
        <w:proofErr w:type="spellEnd"/>
        <w:r w:rsidRPr="00AD050F">
          <w:rPr>
            <w:rFonts w:asciiTheme="minorHAnsi" w:hAnsiTheme="minorHAnsi" w:cstheme="minorHAnsi"/>
            <w:color w:val="0000FF"/>
            <w:sz w:val="24"/>
            <w:szCs w:val="24"/>
            <w:u w:val="single"/>
          </w:rPr>
          <w:t xml:space="preserve"> | HTML (mdpi.com)</w:t>
        </w:r>
      </w:hyperlink>
      <w:r w:rsidRPr="00AD050F">
        <w:rPr>
          <w:rFonts w:asciiTheme="minorHAnsi" w:hAnsiTheme="minorHAnsi" w:cstheme="minorHAnsi"/>
          <w:sz w:val="24"/>
          <w:szCs w:val="24"/>
        </w:rPr>
        <w:t xml:space="preserve">  (Accessed: 4</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February 2021)</w:t>
      </w:r>
    </w:p>
    <w:p w14:paraId="58A71FF1"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1E814688"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roofErr w:type="spellStart"/>
      <w:r w:rsidRPr="00AD050F">
        <w:rPr>
          <w:rFonts w:asciiTheme="minorHAnsi" w:hAnsiTheme="minorHAnsi" w:cstheme="minorHAnsi"/>
          <w:sz w:val="24"/>
          <w:szCs w:val="24"/>
        </w:rPr>
        <w:t>Euser</w:t>
      </w:r>
      <w:proofErr w:type="spellEnd"/>
      <w:r w:rsidRPr="00AD050F">
        <w:rPr>
          <w:rFonts w:asciiTheme="minorHAnsi" w:hAnsiTheme="minorHAnsi" w:cstheme="minorHAnsi"/>
          <w:sz w:val="24"/>
          <w:szCs w:val="24"/>
        </w:rPr>
        <w:t xml:space="preserve">, A., Evans, B., Greaves-Lord, K., </w:t>
      </w:r>
      <w:proofErr w:type="spellStart"/>
      <w:r w:rsidRPr="00AD050F">
        <w:rPr>
          <w:rFonts w:asciiTheme="minorHAnsi" w:hAnsiTheme="minorHAnsi" w:cstheme="minorHAnsi"/>
          <w:sz w:val="24"/>
          <w:szCs w:val="24"/>
        </w:rPr>
        <w:t>Huizink</w:t>
      </w:r>
      <w:proofErr w:type="spellEnd"/>
      <w:r w:rsidRPr="00AD050F">
        <w:rPr>
          <w:rFonts w:asciiTheme="minorHAnsi" w:hAnsiTheme="minorHAnsi" w:cstheme="minorHAnsi"/>
          <w:sz w:val="24"/>
          <w:szCs w:val="24"/>
        </w:rPr>
        <w:t xml:space="preserve">, A. and Franken, I. (2013) ‘Parental rearing </w:t>
      </w:r>
      <w:proofErr w:type="spellStart"/>
      <w:r w:rsidRPr="00AD050F">
        <w:rPr>
          <w:rFonts w:asciiTheme="minorHAnsi" w:hAnsiTheme="minorHAnsi" w:cstheme="minorHAnsi"/>
          <w:sz w:val="24"/>
          <w:szCs w:val="24"/>
        </w:rPr>
        <w:t>behavior</w:t>
      </w:r>
      <w:proofErr w:type="spellEnd"/>
      <w:r w:rsidRPr="00AD050F">
        <w:rPr>
          <w:rFonts w:asciiTheme="minorHAnsi" w:hAnsiTheme="minorHAnsi" w:cstheme="minorHAnsi"/>
          <w:sz w:val="24"/>
          <w:szCs w:val="24"/>
        </w:rPr>
        <w:t xml:space="preserve"> prospectively predicts adolescents’ risky decision-making and feedback-related electrical brain activity’, </w:t>
      </w:r>
      <w:r w:rsidRPr="00AD050F">
        <w:rPr>
          <w:rFonts w:asciiTheme="minorHAnsi" w:hAnsiTheme="minorHAnsi" w:cstheme="minorHAnsi"/>
          <w:i/>
          <w:iCs/>
          <w:sz w:val="24"/>
          <w:szCs w:val="24"/>
        </w:rPr>
        <w:t xml:space="preserve">Developmental Science, Vol. 16, pp409-427. </w:t>
      </w:r>
      <w:r w:rsidRPr="00AD050F">
        <w:rPr>
          <w:rFonts w:asciiTheme="minorHAnsi" w:hAnsiTheme="minorHAnsi" w:cstheme="minorHAnsi"/>
          <w:sz w:val="24"/>
          <w:szCs w:val="24"/>
        </w:rPr>
        <w:t xml:space="preserve">[Online]. Available at:  </w:t>
      </w:r>
      <w:hyperlink r:id="rId43" w:history="1">
        <w:r w:rsidRPr="00AD050F">
          <w:rPr>
            <w:color w:val="0000FF"/>
            <w:sz w:val="24"/>
            <w:szCs w:val="24"/>
            <w:u w:val="single"/>
          </w:rPr>
          <w:t xml:space="preserve">Parental rearing </w:t>
        </w:r>
        <w:proofErr w:type="spellStart"/>
        <w:r w:rsidRPr="00AD050F">
          <w:rPr>
            <w:color w:val="0000FF"/>
            <w:sz w:val="24"/>
            <w:szCs w:val="24"/>
            <w:u w:val="single"/>
          </w:rPr>
          <w:t>behavior</w:t>
        </w:r>
        <w:proofErr w:type="spellEnd"/>
        <w:r w:rsidRPr="00AD050F">
          <w:rPr>
            <w:color w:val="0000FF"/>
            <w:sz w:val="24"/>
            <w:szCs w:val="24"/>
            <w:u w:val="single"/>
          </w:rPr>
          <w:t xml:space="preserve"> prospectively predicts adolescents’ risky decision‐making and feedback‐related electrical brain activity (wiley.com)</w:t>
        </w:r>
      </w:hyperlink>
      <w:r w:rsidRPr="00AD050F">
        <w:rPr>
          <w:sz w:val="24"/>
          <w:szCs w:val="24"/>
        </w:rPr>
        <w:t xml:space="preserve"> (Accessed: 19</w:t>
      </w:r>
      <w:r w:rsidRPr="00AD050F">
        <w:rPr>
          <w:sz w:val="24"/>
          <w:szCs w:val="24"/>
          <w:vertAlign w:val="superscript"/>
        </w:rPr>
        <w:t>th</w:t>
      </w:r>
      <w:r w:rsidRPr="00AD050F">
        <w:rPr>
          <w:sz w:val="24"/>
          <w:szCs w:val="24"/>
        </w:rPr>
        <w:t xml:space="preserve"> December 2020)</w:t>
      </w:r>
    </w:p>
    <w:p w14:paraId="607B8B0C"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7E923BAC"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eastAsiaTheme="minorHAnsi" w:hAnsiTheme="minorHAnsi" w:cstheme="minorHAnsi"/>
          <w:color w:val="auto"/>
          <w:sz w:val="24"/>
          <w:szCs w:val="24"/>
        </w:rPr>
        <w:t>Fischhoff</w:t>
      </w:r>
      <w:proofErr w:type="spellEnd"/>
      <w:r w:rsidRPr="00AD050F">
        <w:rPr>
          <w:rFonts w:asciiTheme="minorHAnsi" w:eastAsiaTheme="minorHAnsi" w:hAnsiTheme="minorHAnsi" w:cstheme="minorHAnsi"/>
          <w:color w:val="auto"/>
          <w:sz w:val="24"/>
          <w:szCs w:val="24"/>
        </w:rPr>
        <w:t xml:space="preserve">, B. (2007) ‘Assessing adolescent decision-making competence’, </w:t>
      </w:r>
      <w:r w:rsidRPr="00AD050F">
        <w:rPr>
          <w:rFonts w:asciiTheme="minorHAnsi" w:eastAsiaTheme="minorHAnsi" w:hAnsiTheme="minorHAnsi" w:cstheme="minorHAnsi"/>
          <w:i/>
          <w:iCs/>
          <w:color w:val="auto"/>
          <w:sz w:val="24"/>
          <w:szCs w:val="24"/>
        </w:rPr>
        <w:t xml:space="preserve">Developmental Review, Vol. 28, pp 12-28. </w:t>
      </w:r>
      <w:bookmarkStart w:id="21" w:name="_Hlk71469735"/>
      <w:r w:rsidRPr="00AD050F">
        <w:rPr>
          <w:rFonts w:asciiTheme="minorHAnsi" w:hAnsiTheme="minorHAnsi" w:cstheme="minorHAnsi"/>
          <w:sz w:val="24"/>
          <w:szCs w:val="24"/>
        </w:rPr>
        <w:t xml:space="preserve">[Online]. Available at:   </w:t>
      </w:r>
      <w:bookmarkEnd w:id="21"/>
      <w:r w:rsidRPr="00AD050F">
        <w:rPr>
          <w:rFonts w:asciiTheme="minorHAnsi" w:hAnsiTheme="minorHAnsi" w:cstheme="minorHAnsi"/>
          <w:sz w:val="24"/>
          <w:szCs w:val="24"/>
        </w:rPr>
        <w:fldChar w:fldCharType="begin"/>
      </w:r>
      <w:r w:rsidRPr="00AD050F">
        <w:rPr>
          <w:rFonts w:asciiTheme="minorHAnsi" w:hAnsiTheme="minorHAnsi" w:cstheme="minorHAnsi"/>
          <w:sz w:val="24"/>
          <w:szCs w:val="24"/>
        </w:rPr>
        <w:instrText xml:space="preserve"> HYPERLINK "https://www.sciencedirect.com/science/article/pii/S0273229707000500" </w:instrText>
      </w:r>
      <w:r w:rsidRPr="00AD050F">
        <w:rPr>
          <w:rFonts w:asciiTheme="minorHAnsi" w:hAnsiTheme="minorHAnsi" w:cstheme="minorHAnsi"/>
          <w:sz w:val="24"/>
          <w:szCs w:val="24"/>
        </w:rPr>
        <w:fldChar w:fldCharType="separate"/>
      </w:r>
      <w:r w:rsidRPr="00AD050F">
        <w:rPr>
          <w:rFonts w:asciiTheme="minorHAnsi" w:hAnsiTheme="minorHAnsi" w:cstheme="minorHAnsi"/>
          <w:color w:val="0000FF"/>
          <w:sz w:val="24"/>
          <w:szCs w:val="24"/>
          <w:u w:val="single"/>
        </w:rPr>
        <w:t>https://www.sciencedirect.com/science/article/pii/S0273229707000500</w:t>
      </w:r>
      <w:r w:rsidRPr="00AD050F">
        <w:rPr>
          <w:rFonts w:asciiTheme="minorHAnsi" w:hAnsiTheme="minorHAnsi" w:cstheme="minorHAnsi"/>
          <w:color w:val="0000FF"/>
          <w:sz w:val="24"/>
          <w:szCs w:val="24"/>
          <w:u w:val="single"/>
        </w:rPr>
        <w:fldChar w:fldCharType="end"/>
      </w:r>
      <w:r w:rsidRPr="00AD050F">
        <w:rPr>
          <w:rFonts w:asciiTheme="minorHAnsi" w:hAnsiTheme="minorHAnsi" w:cstheme="minorHAnsi"/>
          <w:sz w:val="24"/>
          <w:szCs w:val="24"/>
        </w:rPr>
        <w:t xml:space="preserve">  (Accessed: 4</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February 2021)</w:t>
      </w:r>
    </w:p>
    <w:p w14:paraId="4B084067"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169B8045"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t xml:space="preserve">Fitzsimons, E., Jackman, J., </w:t>
      </w:r>
      <w:proofErr w:type="spellStart"/>
      <w:r w:rsidRPr="00AD050F">
        <w:rPr>
          <w:rFonts w:asciiTheme="minorHAnsi" w:hAnsiTheme="minorHAnsi" w:cstheme="minorHAnsi"/>
          <w:sz w:val="24"/>
          <w:szCs w:val="24"/>
        </w:rPr>
        <w:t>Kypriandies</w:t>
      </w:r>
      <w:proofErr w:type="spellEnd"/>
      <w:r w:rsidRPr="00AD050F">
        <w:rPr>
          <w:rFonts w:asciiTheme="minorHAnsi" w:hAnsiTheme="minorHAnsi" w:cstheme="minorHAnsi"/>
          <w:sz w:val="24"/>
          <w:szCs w:val="24"/>
        </w:rPr>
        <w:t xml:space="preserve">, A. and </w:t>
      </w:r>
      <w:proofErr w:type="spellStart"/>
      <w:r w:rsidRPr="00AD050F">
        <w:rPr>
          <w:rFonts w:asciiTheme="minorHAnsi" w:hAnsiTheme="minorHAnsi" w:cstheme="minorHAnsi"/>
          <w:sz w:val="24"/>
          <w:szCs w:val="24"/>
        </w:rPr>
        <w:t>Villadsen</w:t>
      </w:r>
      <w:proofErr w:type="spellEnd"/>
      <w:r w:rsidRPr="00AD050F">
        <w:rPr>
          <w:rFonts w:asciiTheme="minorHAnsi" w:hAnsiTheme="minorHAnsi" w:cstheme="minorHAnsi"/>
          <w:sz w:val="24"/>
          <w:szCs w:val="24"/>
        </w:rPr>
        <w:t xml:space="preserve">, A. (2018) ‘Determinants of risky behaviour in adolescence: Evidence from the UK’, </w:t>
      </w:r>
      <w:r w:rsidRPr="00AD050F">
        <w:rPr>
          <w:rFonts w:asciiTheme="minorHAnsi" w:hAnsiTheme="minorHAnsi" w:cstheme="minorHAnsi"/>
          <w:i/>
          <w:iCs/>
          <w:sz w:val="24"/>
          <w:szCs w:val="24"/>
        </w:rPr>
        <w:t xml:space="preserve">Centre for Longitudinal Studies, University College London. </w:t>
      </w:r>
      <w:r w:rsidRPr="00AD050F">
        <w:rPr>
          <w:rFonts w:asciiTheme="minorHAnsi" w:hAnsiTheme="minorHAnsi" w:cstheme="minorHAnsi"/>
          <w:sz w:val="24"/>
          <w:szCs w:val="24"/>
        </w:rPr>
        <w:t xml:space="preserve">[Online]. Available at: </w:t>
      </w:r>
      <w:hyperlink r:id="rId44" w:history="1">
        <w:r w:rsidRPr="00AD050F">
          <w:rPr>
            <w:color w:val="0000FF"/>
            <w:sz w:val="24"/>
            <w:szCs w:val="24"/>
            <w:u w:val="single"/>
          </w:rPr>
          <w:t>Determinants-of-risky-behaviour-in-adolescence-Evidence-from-the-UK.pdf (ucl.ac.uk)</w:t>
        </w:r>
      </w:hyperlink>
      <w:r w:rsidRPr="00AD050F">
        <w:rPr>
          <w:sz w:val="24"/>
          <w:szCs w:val="24"/>
        </w:rPr>
        <w:t xml:space="preserve"> (Accessed: 19</w:t>
      </w:r>
      <w:r w:rsidRPr="00AD050F">
        <w:rPr>
          <w:sz w:val="24"/>
          <w:szCs w:val="24"/>
          <w:vertAlign w:val="superscript"/>
        </w:rPr>
        <w:t>th</w:t>
      </w:r>
      <w:r w:rsidRPr="00AD050F">
        <w:rPr>
          <w:sz w:val="24"/>
          <w:szCs w:val="24"/>
        </w:rPr>
        <w:t xml:space="preserve"> March 2021)</w:t>
      </w:r>
    </w:p>
    <w:p w14:paraId="66948A2A"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6B8568D0"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Flouri</w:t>
      </w:r>
      <w:proofErr w:type="spellEnd"/>
      <w:r w:rsidRPr="00AD050F">
        <w:rPr>
          <w:rFonts w:asciiTheme="minorHAnsi" w:hAnsiTheme="minorHAnsi" w:cstheme="minorHAnsi"/>
          <w:sz w:val="24"/>
          <w:szCs w:val="24"/>
        </w:rPr>
        <w:t xml:space="preserve">, E. and </w:t>
      </w:r>
      <w:proofErr w:type="spellStart"/>
      <w:r w:rsidRPr="00AD050F">
        <w:rPr>
          <w:rFonts w:asciiTheme="minorHAnsi" w:hAnsiTheme="minorHAnsi" w:cstheme="minorHAnsi"/>
          <w:sz w:val="24"/>
          <w:szCs w:val="24"/>
        </w:rPr>
        <w:t>Papachristou</w:t>
      </w:r>
      <w:proofErr w:type="spellEnd"/>
      <w:r w:rsidRPr="00AD050F">
        <w:rPr>
          <w:rFonts w:asciiTheme="minorHAnsi" w:hAnsiTheme="minorHAnsi" w:cstheme="minorHAnsi"/>
          <w:sz w:val="24"/>
          <w:szCs w:val="24"/>
        </w:rPr>
        <w:t xml:space="preserve">, E. (2019) ‘Peer problems, bullying involvement, and affective decision-making in adolescence’, </w:t>
      </w:r>
      <w:r w:rsidRPr="00AD050F">
        <w:rPr>
          <w:rFonts w:asciiTheme="minorHAnsi" w:hAnsiTheme="minorHAnsi" w:cstheme="minorHAnsi"/>
          <w:i/>
          <w:iCs/>
          <w:sz w:val="24"/>
          <w:szCs w:val="24"/>
        </w:rPr>
        <w:t xml:space="preserve">British Journal of Developmental Psychology, Vol. 37, pp466-485. </w:t>
      </w:r>
      <w:r w:rsidRPr="00AD050F">
        <w:rPr>
          <w:rFonts w:asciiTheme="minorHAnsi" w:hAnsiTheme="minorHAnsi" w:cstheme="minorHAnsi"/>
          <w:sz w:val="24"/>
          <w:szCs w:val="24"/>
        </w:rPr>
        <w:t xml:space="preserve">[Online]. Available at: </w:t>
      </w:r>
      <w:hyperlink r:id="rId45" w:history="1">
        <w:r w:rsidRPr="00AD050F">
          <w:rPr>
            <w:color w:val="0000FF"/>
            <w:sz w:val="24"/>
            <w:szCs w:val="24"/>
            <w:u w:val="single"/>
          </w:rPr>
          <w:t xml:space="preserve">Peer problems, bullying involvement, and affective decision‐making in adolescence - </w:t>
        </w:r>
        <w:proofErr w:type="spellStart"/>
        <w:r w:rsidRPr="00AD050F">
          <w:rPr>
            <w:color w:val="0000FF"/>
            <w:sz w:val="24"/>
            <w:szCs w:val="24"/>
            <w:u w:val="single"/>
          </w:rPr>
          <w:t>Flouri</w:t>
        </w:r>
        <w:proofErr w:type="spellEnd"/>
        <w:r w:rsidRPr="00AD050F">
          <w:rPr>
            <w:color w:val="0000FF"/>
            <w:sz w:val="24"/>
            <w:szCs w:val="24"/>
            <w:u w:val="single"/>
          </w:rPr>
          <w:t xml:space="preserve"> - 2019 - British Journal of Developmental Psychology - Wiley Online Library</w:t>
        </w:r>
      </w:hyperlink>
      <w:r w:rsidRPr="00AD050F">
        <w:rPr>
          <w:sz w:val="24"/>
          <w:szCs w:val="24"/>
        </w:rPr>
        <w:t xml:space="preserve"> (Accessed: 21</w:t>
      </w:r>
      <w:r w:rsidRPr="00AD050F">
        <w:rPr>
          <w:sz w:val="24"/>
          <w:szCs w:val="24"/>
          <w:vertAlign w:val="superscript"/>
        </w:rPr>
        <w:t>st</w:t>
      </w:r>
      <w:r w:rsidRPr="00AD050F">
        <w:rPr>
          <w:sz w:val="24"/>
          <w:szCs w:val="24"/>
        </w:rPr>
        <w:t xml:space="preserve"> April 2021)</w:t>
      </w:r>
    </w:p>
    <w:p w14:paraId="7812E18E"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0763F74E"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hAnsiTheme="minorHAnsi" w:cstheme="minorHAnsi"/>
          <w:sz w:val="24"/>
          <w:szCs w:val="24"/>
        </w:rPr>
        <w:t xml:space="preserve">Forbes, M., Fitzpatrick, S., </w:t>
      </w:r>
      <w:proofErr w:type="spellStart"/>
      <w:r w:rsidRPr="00AD050F">
        <w:rPr>
          <w:rFonts w:asciiTheme="minorHAnsi" w:hAnsiTheme="minorHAnsi" w:cstheme="minorHAnsi"/>
          <w:sz w:val="24"/>
          <w:szCs w:val="24"/>
        </w:rPr>
        <w:t>Magson</w:t>
      </w:r>
      <w:proofErr w:type="spellEnd"/>
      <w:r w:rsidRPr="00AD050F">
        <w:rPr>
          <w:rFonts w:asciiTheme="minorHAnsi" w:hAnsiTheme="minorHAnsi" w:cstheme="minorHAnsi"/>
          <w:sz w:val="24"/>
          <w:szCs w:val="24"/>
        </w:rPr>
        <w:t xml:space="preserve">, N. and </w:t>
      </w:r>
      <w:proofErr w:type="spellStart"/>
      <w:r w:rsidRPr="00AD050F">
        <w:rPr>
          <w:rFonts w:asciiTheme="minorHAnsi" w:hAnsiTheme="minorHAnsi" w:cstheme="minorHAnsi"/>
          <w:sz w:val="24"/>
          <w:szCs w:val="24"/>
        </w:rPr>
        <w:t>Rapee</w:t>
      </w:r>
      <w:proofErr w:type="spellEnd"/>
      <w:r w:rsidRPr="00AD050F">
        <w:rPr>
          <w:rFonts w:asciiTheme="minorHAnsi" w:hAnsiTheme="minorHAnsi" w:cstheme="minorHAnsi"/>
          <w:sz w:val="24"/>
          <w:szCs w:val="24"/>
        </w:rPr>
        <w:t xml:space="preserve">, R. (2019) ‘Depression, Anxiety, and Peer Victimization: Bidirectional Relationships and Associated Outcomes Transitioning from Childhood to Adolescence’, </w:t>
      </w:r>
      <w:r w:rsidRPr="00AD050F">
        <w:rPr>
          <w:rFonts w:asciiTheme="minorHAnsi" w:hAnsiTheme="minorHAnsi" w:cstheme="minorHAnsi"/>
          <w:i/>
          <w:iCs/>
          <w:sz w:val="24"/>
          <w:szCs w:val="24"/>
        </w:rPr>
        <w:t xml:space="preserve">Journal of Youth and Adolescence, Vol. 48, pp692-702. </w:t>
      </w:r>
      <w:r w:rsidRPr="00AD050F">
        <w:rPr>
          <w:rFonts w:asciiTheme="minorHAnsi" w:hAnsiTheme="minorHAnsi" w:cstheme="minorHAnsi"/>
          <w:sz w:val="24"/>
          <w:szCs w:val="24"/>
        </w:rPr>
        <w:t xml:space="preserve">[Online]. Available at:  </w:t>
      </w:r>
      <w:hyperlink r:id="rId46" w:history="1">
        <w:r w:rsidRPr="00AD050F">
          <w:rPr>
            <w:color w:val="0000FF"/>
            <w:sz w:val="24"/>
            <w:szCs w:val="24"/>
            <w:u w:val="single"/>
          </w:rPr>
          <w:t>Depression, Anxiety, and Peer Victimization: Bidirectional Relationships and Associated Outcomes Transitioning from Childhood to Adolescence | SpringerLink</w:t>
        </w:r>
      </w:hyperlink>
      <w:r w:rsidRPr="00AD050F">
        <w:rPr>
          <w:sz w:val="24"/>
          <w:szCs w:val="24"/>
        </w:rPr>
        <w:t xml:space="preserve"> (Accessed: 27</w:t>
      </w:r>
      <w:r w:rsidRPr="00AD050F">
        <w:rPr>
          <w:sz w:val="24"/>
          <w:szCs w:val="24"/>
          <w:vertAlign w:val="superscript"/>
        </w:rPr>
        <w:t>th</w:t>
      </w:r>
      <w:r w:rsidRPr="00AD050F">
        <w:rPr>
          <w:sz w:val="24"/>
          <w:szCs w:val="24"/>
        </w:rPr>
        <w:t xml:space="preserve"> May 2021)</w:t>
      </w:r>
    </w:p>
    <w:p w14:paraId="21132269"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761BDD06" w14:textId="77777777" w:rsidR="00F222F7" w:rsidRPr="00AD050F" w:rsidRDefault="00F222F7" w:rsidP="00F222F7">
      <w:pPr>
        <w:spacing w:after="0" w:afterAutospacing="0" w:line="240" w:lineRule="auto"/>
        <w:contextualSpacing/>
        <w:jc w:val="both"/>
        <w:rPr>
          <w:sz w:val="24"/>
          <w:szCs w:val="24"/>
        </w:rPr>
      </w:pPr>
      <w:proofErr w:type="spellStart"/>
      <w:r w:rsidRPr="00AD050F">
        <w:rPr>
          <w:rFonts w:asciiTheme="minorHAnsi" w:eastAsiaTheme="minorHAnsi" w:hAnsiTheme="minorHAnsi" w:cstheme="minorHAnsi"/>
          <w:color w:val="auto"/>
          <w:sz w:val="24"/>
          <w:szCs w:val="24"/>
        </w:rPr>
        <w:t>Glasner</w:t>
      </w:r>
      <w:proofErr w:type="spellEnd"/>
      <w:r w:rsidRPr="00AD050F">
        <w:rPr>
          <w:rFonts w:asciiTheme="minorHAnsi" w:eastAsiaTheme="minorHAnsi" w:hAnsiTheme="minorHAnsi" w:cstheme="minorHAnsi"/>
          <w:color w:val="auto"/>
          <w:sz w:val="24"/>
          <w:szCs w:val="24"/>
        </w:rPr>
        <w:t xml:space="preserve">, J., </w:t>
      </w:r>
      <w:proofErr w:type="spellStart"/>
      <w:r w:rsidRPr="00AD050F">
        <w:rPr>
          <w:rFonts w:asciiTheme="minorHAnsi" w:eastAsiaTheme="minorHAnsi" w:hAnsiTheme="minorHAnsi" w:cstheme="minorHAnsi"/>
          <w:color w:val="auto"/>
          <w:sz w:val="24"/>
          <w:szCs w:val="24"/>
        </w:rPr>
        <w:t>Baltag</w:t>
      </w:r>
      <w:proofErr w:type="spellEnd"/>
      <w:r w:rsidRPr="00AD050F">
        <w:rPr>
          <w:rFonts w:asciiTheme="minorHAnsi" w:eastAsiaTheme="minorHAnsi" w:hAnsiTheme="minorHAnsi" w:cstheme="minorHAnsi"/>
          <w:color w:val="auto"/>
          <w:sz w:val="24"/>
          <w:szCs w:val="24"/>
        </w:rPr>
        <w:t xml:space="preserve">, V. and </w:t>
      </w:r>
      <w:proofErr w:type="spellStart"/>
      <w:r w:rsidRPr="00AD050F">
        <w:rPr>
          <w:rFonts w:asciiTheme="minorHAnsi" w:eastAsiaTheme="minorHAnsi" w:hAnsiTheme="minorHAnsi" w:cstheme="minorHAnsi"/>
          <w:color w:val="auto"/>
          <w:sz w:val="24"/>
          <w:szCs w:val="24"/>
        </w:rPr>
        <w:t>Ambresin</w:t>
      </w:r>
      <w:proofErr w:type="spellEnd"/>
      <w:r w:rsidRPr="00AD050F">
        <w:rPr>
          <w:rFonts w:asciiTheme="minorHAnsi" w:eastAsiaTheme="minorHAnsi" w:hAnsiTheme="minorHAnsi" w:cstheme="minorHAnsi"/>
          <w:color w:val="auto"/>
          <w:sz w:val="24"/>
          <w:szCs w:val="24"/>
        </w:rPr>
        <w:t>, A. (2021) ‘</w:t>
      </w:r>
      <w:proofErr w:type="spellStart"/>
      <w:r w:rsidRPr="00AD050F">
        <w:rPr>
          <w:rFonts w:asciiTheme="minorHAnsi" w:eastAsiaTheme="minorHAnsi" w:hAnsiTheme="minorHAnsi" w:cstheme="minorHAnsi"/>
          <w:color w:val="auto"/>
          <w:sz w:val="24"/>
          <w:szCs w:val="24"/>
        </w:rPr>
        <w:t>Previsit</w:t>
      </w:r>
      <w:proofErr w:type="spellEnd"/>
      <w:r w:rsidRPr="00AD050F">
        <w:rPr>
          <w:rFonts w:asciiTheme="minorHAnsi" w:eastAsiaTheme="minorHAnsi" w:hAnsiTheme="minorHAnsi" w:cstheme="minorHAnsi"/>
          <w:color w:val="auto"/>
          <w:sz w:val="24"/>
          <w:szCs w:val="24"/>
        </w:rPr>
        <w:t xml:space="preserve"> Multidomain Psychosocial Screening Tools for Adolescents and Young Adults: A Systematic Review’, </w:t>
      </w:r>
      <w:r w:rsidRPr="00AD050F">
        <w:rPr>
          <w:rFonts w:asciiTheme="minorHAnsi" w:eastAsiaTheme="minorHAnsi" w:hAnsiTheme="minorHAnsi" w:cstheme="minorHAnsi"/>
          <w:i/>
          <w:iCs/>
          <w:color w:val="auto"/>
          <w:sz w:val="24"/>
          <w:szCs w:val="24"/>
        </w:rPr>
        <w:t xml:space="preserve">Journal of Adolescent Health, Vol. 68, pp449-459. </w:t>
      </w:r>
      <w:r w:rsidRPr="00AD050F">
        <w:rPr>
          <w:rFonts w:asciiTheme="minorHAnsi" w:eastAsiaTheme="minorHAnsi" w:hAnsiTheme="minorHAnsi" w:cstheme="minorHAnsi"/>
          <w:color w:val="auto"/>
          <w:sz w:val="24"/>
          <w:szCs w:val="24"/>
        </w:rPr>
        <w:t xml:space="preserve">[Online]. Available at: </w:t>
      </w:r>
      <w:hyperlink r:id="rId47" w:history="1">
        <w:proofErr w:type="spellStart"/>
        <w:r w:rsidRPr="00AD050F">
          <w:rPr>
            <w:color w:val="0000FF"/>
            <w:sz w:val="24"/>
            <w:szCs w:val="24"/>
            <w:u w:val="single"/>
          </w:rPr>
          <w:t>Previsit</w:t>
        </w:r>
        <w:proofErr w:type="spellEnd"/>
        <w:r w:rsidRPr="00AD050F">
          <w:rPr>
            <w:color w:val="0000FF"/>
            <w:sz w:val="24"/>
            <w:szCs w:val="24"/>
            <w:u w:val="single"/>
          </w:rPr>
          <w:t xml:space="preserve"> Multidomain Psychosocial Screening Tools for Adolescents and Young Adults: A Systematic Review - ScienceDirect</w:t>
        </w:r>
      </w:hyperlink>
      <w:r w:rsidRPr="00AD050F">
        <w:rPr>
          <w:sz w:val="24"/>
          <w:szCs w:val="24"/>
        </w:rPr>
        <w:t xml:space="preserve"> (Accessed: 11</w:t>
      </w:r>
      <w:r w:rsidRPr="00AD050F">
        <w:rPr>
          <w:sz w:val="24"/>
          <w:szCs w:val="24"/>
          <w:vertAlign w:val="superscript"/>
        </w:rPr>
        <w:t>th</w:t>
      </w:r>
      <w:r w:rsidRPr="00AD050F">
        <w:rPr>
          <w:sz w:val="24"/>
          <w:szCs w:val="24"/>
        </w:rPr>
        <w:t xml:space="preserve"> May 2021)</w:t>
      </w:r>
    </w:p>
    <w:p w14:paraId="25FB28F1"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2F5E5F79"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eastAsiaTheme="minorHAnsi" w:hAnsiTheme="minorHAnsi" w:cstheme="minorHAnsi"/>
          <w:color w:val="auto"/>
          <w:sz w:val="24"/>
          <w:szCs w:val="24"/>
        </w:rPr>
        <w:t xml:space="preserve">Great Britain. Cabinet Office (2014) </w:t>
      </w:r>
      <w:r w:rsidRPr="00AD050F">
        <w:rPr>
          <w:rFonts w:asciiTheme="minorHAnsi" w:eastAsiaTheme="minorHAnsi" w:hAnsiTheme="minorHAnsi" w:cstheme="minorHAnsi"/>
          <w:i/>
          <w:iCs/>
          <w:color w:val="auto"/>
          <w:sz w:val="24"/>
          <w:szCs w:val="24"/>
        </w:rPr>
        <w:t xml:space="preserve">Risk behaviours and negative outcomes. </w:t>
      </w:r>
      <w:r w:rsidRPr="00AD050F">
        <w:rPr>
          <w:rFonts w:asciiTheme="minorHAnsi" w:eastAsiaTheme="minorHAnsi" w:hAnsiTheme="minorHAnsi" w:cstheme="minorHAnsi"/>
          <w:color w:val="auto"/>
          <w:sz w:val="24"/>
          <w:szCs w:val="24"/>
        </w:rPr>
        <w:t xml:space="preserve">[Online]. Available at: </w:t>
      </w:r>
      <w:hyperlink r:id="rId48" w:history="1">
        <w:r w:rsidRPr="00AD050F">
          <w:rPr>
            <w:color w:val="0000FF"/>
            <w:sz w:val="24"/>
            <w:szCs w:val="24"/>
            <w:u w:val="single"/>
          </w:rPr>
          <w:t>data_pack_risk_behaviours_and_negative_outcomes.pdf (publishing.service.gov.uk)</w:t>
        </w:r>
      </w:hyperlink>
      <w:r w:rsidRPr="00AD050F">
        <w:rPr>
          <w:sz w:val="24"/>
          <w:szCs w:val="24"/>
        </w:rPr>
        <w:t xml:space="preserve"> (Accessed: 14</w:t>
      </w:r>
      <w:r w:rsidRPr="00AD050F">
        <w:rPr>
          <w:sz w:val="24"/>
          <w:szCs w:val="24"/>
          <w:vertAlign w:val="superscript"/>
        </w:rPr>
        <w:t>th</w:t>
      </w:r>
      <w:r w:rsidRPr="00AD050F">
        <w:rPr>
          <w:sz w:val="24"/>
          <w:szCs w:val="24"/>
        </w:rPr>
        <w:t xml:space="preserve"> March 2021)</w:t>
      </w:r>
    </w:p>
    <w:p w14:paraId="52816818"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498330F7"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eastAsiaTheme="minorHAnsi" w:hAnsiTheme="minorHAnsi" w:cstheme="minorHAnsi"/>
          <w:color w:val="auto"/>
          <w:sz w:val="24"/>
          <w:szCs w:val="24"/>
        </w:rPr>
        <w:t>Gummerum</w:t>
      </w:r>
      <w:proofErr w:type="spellEnd"/>
      <w:r w:rsidRPr="00AD050F">
        <w:rPr>
          <w:rFonts w:asciiTheme="minorHAnsi" w:eastAsiaTheme="minorHAnsi" w:hAnsiTheme="minorHAnsi" w:cstheme="minorHAnsi"/>
          <w:color w:val="auto"/>
          <w:sz w:val="24"/>
          <w:szCs w:val="24"/>
        </w:rPr>
        <w:t xml:space="preserve">, M. and Lopez-Perez, B. (2020) </w:t>
      </w:r>
      <w:proofErr w:type="gramStart"/>
      <w:r w:rsidRPr="00AD050F">
        <w:rPr>
          <w:rFonts w:asciiTheme="minorHAnsi" w:eastAsiaTheme="minorHAnsi" w:hAnsiTheme="minorHAnsi" w:cstheme="minorHAnsi"/>
          <w:color w:val="auto"/>
          <w:sz w:val="24"/>
          <w:szCs w:val="24"/>
        </w:rPr>
        <w:t>‘”You</w:t>
      </w:r>
      <w:proofErr w:type="gramEnd"/>
      <w:r w:rsidRPr="00AD050F">
        <w:rPr>
          <w:rFonts w:asciiTheme="minorHAnsi" w:eastAsiaTheme="minorHAnsi" w:hAnsiTheme="minorHAnsi" w:cstheme="minorHAnsi"/>
          <w:color w:val="auto"/>
          <w:sz w:val="24"/>
          <w:szCs w:val="24"/>
        </w:rPr>
        <w:t xml:space="preserve"> shouldn’t feel this way!”  Children’s and adolescents’ interpersonal emotion regulation of victims’ and violators’ feelings after social exclusion’, </w:t>
      </w:r>
      <w:r w:rsidRPr="00AD050F">
        <w:rPr>
          <w:rFonts w:asciiTheme="minorHAnsi" w:eastAsiaTheme="minorHAnsi" w:hAnsiTheme="minorHAnsi" w:cstheme="minorHAnsi"/>
          <w:i/>
          <w:iCs/>
          <w:color w:val="auto"/>
          <w:sz w:val="24"/>
          <w:szCs w:val="24"/>
        </w:rPr>
        <w:t xml:space="preserve">Cognitive Development, Vol. 54. </w:t>
      </w:r>
      <w:r w:rsidRPr="00AD050F">
        <w:rPr>
          <w:rFonts w:asciiTheme="minorHAnsi" w:hAnsiTheme="minorHAnsi" w:cstheme="minorHAnsi"/>
          <w:sz w:val="24"/>
          <w:szCs w:val="24"/>
        </w:rPr>
        <w:t xml:space="preserve">[Online].  Available at: </w:t>
      </w:r>
      <w:hyperlink r:id="rId49" w:history="1">
        <w:r w:rsidRPr="00AD050F">
          <w:rPr>
            <w:rFonts w:asciiTheme="minorHAnsi" w:hAnsiTheme="minorHAnsi" w:cstheme="minorHAnsi"/>
            <w:color w:val="0000FF"/>
            <w:sz w:val="24"/>
            <w:szCs w:val="24"/>
            <w:u w:val="single"/>
          </w:rPr>
          <w:t>“You shouldn’t feel this way!” Children’s and adolescents’ interpersonal emotion regulation of victims’ and violators’ feelings after social exclusion - ScienceDirect</w:t>
        </w:r>
      </w:hyperlink>
      <w:r w:rsidRPr="00AD050F">
        <w:rPr>
          <w:rFonts w:asciiTheme="minorHAnsi" w:hAnsiTheme="minorHAnsi" w:cstheme="minorHAnsi"/>
          <w:sz w:val="24"/>
          <w:szCs w:val="24"/>
        </w:rPr>
        <w:t xml:space="preserve"> (Accessed: 20</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February 2021)</w:t>
      </w:r>
    </w:p>
    <w:p w14:paraId="48FA622D"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48952825"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roofErr w:type="spellStart"/>
      <w:r w:rsidRPr="00AD050F">
        <w:rPr>
          <w:rFonts w:asciiTheme="minorHAnsi" w:hAnsiTheme="minorHAnsi" w:cstheme="minorHAnsi"/>
          <w:sz w:val="24"/>
          <w:szCs w:val="24"/>
        </w:rPr>
        <w:t>Guthold</w:t>
      </w:r>
      <w:proofErr w:type="spellEnd"/>
      <w:r w:rsidRPr="00AD050F">
        <w:rPr>
          <w:rFonts w:asciiTheme="minorHAnsi" w:hAnsiTheme="minorHAnsi" w:cstheme="minorHAnsi"/>
          <w:sz w:val="24"/>
          <w:szCs w:val="24"/>
        </w:rPr>
        <w:t xml:space="preserve">, R., Moller, A., Adebayo, E., Carvajal, L., Ekman. C., Fagan, L., Ferguson, J., Friedman, H., </w:t>
      </w:r>
      <w:proofErr w:type="spellStart"/>
      <w:r w:rsidRPr="00AD050F">
        <w:rPr>
          <w:rFonts w:asciiTheme="minorHAnsi" w:hAnsiTheme="minorHAnsi" w:cstheme="minorHAnsi"/>
          <w:sz w:val="24"/>
          <w:szCs w:val="24"/>
        </w:rPr>
        <w:t>Gueye</w:t>
      </w:r>
      <w:proofErr w:type="spellEnd"/>
      <w:r w:rsidRPr="00AD050F">
        <w:rPr>
          <w:rFonts w:asciiTheme="minorHAnsi" w:hAnsiTheme="minorHAnsi" w:cstheme="minorHAnsi"/>
          <w:sz w:val="24"/>
          <w:szCs w:val="24"/>
        </w:rPr>
        <w:t xml:space="preserve">, M., </w:t>
      </w:r>
      <w:proofErr w:type="spellStart"/>
      <w:r w:rsidRPr="00AD050F">
        <w:rPr>
          <w:rFonts w:asciiTheme="minorHAnsi" w:hAnsiTheme="minorHAnsi" w:cstheme="minorHAnsi"/>
          <w:sz w:val="24"/>
          <w:szCs w:val="24"/>
        </w:rPr>
        <w:t>Hagell</w:t>
      </w:r>
      <w:proofErr w:type="spellEnd"/>
      <w:r w:rsidRPr="00AD050F">
        <w:rPr>
          <w:rFonts w:asciiTheme="minorHAnsi" w:hAnsiTheme="minorHAnsi" w:cstheme="minorHAnsi"/>
          <w:sz w:val="24"/>
          <w:szCs w:val="24"/>
        </w:rPr>
        <w:t xml:space="preserve">, A., Kohl, K. and Azzopardi, P. (2021) ‘Priority Areas for Adolescent Health Measurement’, </w:t>
      </w:r>
      <w:r w:rsidRPr="00AD050F">
        <w:rPr>
          <w:rFonts w:asciiTheme="minorHAnsi" w:hAnsiTheme="minorHAnsi" w:cstheme="minorHAnsi"/>
          <w:i/>
          <w:iCs/>
          <w:sz w:val="24"/>
          <w:szCs w:val="24"/>
        </w:rPr>
        <w:t xml:space="preserve">Journal of Adolescent Health, Vol. 68, pp888-898. </w:t>
      </w:r>
      <w:r w:rsidRPr="00AD050F">
        <w:rPr>
          <w:rFonts w:asciiTheme="minorHAnsi" w:hAnsiTheme="minorHAnsi" w:cstheme="minorHAnsi"/>
          <w:sz w:val="24"/>
          <w:szCs w:val="24"/>
        </w:rPr>
        <w:t xml:space="preserve">[Online]. Available at: </w:t>
      </w:r>
      <w:hyperlink r:id="rId50" w:history="1">
        <w:r w:rsidRPr="00AD050F">
          <w:rPr>
            <w:color w:val="0000FF"/>
            <w:sz w:val="24"/>
            <w:szCs w:val="24"/>
            <w:u w:val="single"/>
          </w:rPr>
          <w:t>Priority Areas for Adolescent Health Measurement | Elsevier Enhanced Reader</w:t>
        </w:r>
      </w:hyperlink>
      <w:r w:rsidRPr="00AD050F">
        <w:rPr>
          <w:sz w:val="24"/>
          <w:szCs w:val="24"/>
        </w:rPr>
        <w:t xml:space="preserve"> (Accessed 5</w:t>
      </w:r>
      <w:r w:rsidRPr="00AD050F">
        <w:rPr>
          <w:sz w:val="24"/>
          <w:szCs w:val="24"/>
          <w:vertAlign w:val="superscript"/>
        </w:rPr>
        <w:t>th</w:t>
      </w:r>
      <w:r w:rsidRPr="00AD050F">
        <w:rPr>
          <w:sz w:val="24"/>
          <w:szCs w:val="24"/>
        </w:rPr>
        <w:t xml:space="preserve"> June 2021)</w:t>
      </w:r>
    </w:p>
    <w:p w14:paraId="1D31FE71"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21FAF737"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roofErr w:type="spellStart"/>
      <w:r w:rsidRPr="00AD050F">
        <w:rPr>
          <w:rFonts w:asciiTheme="minorHAnsi" w:eastAsiaTheme="minorHAnsi" w:hAnsiTheme="minorHAnsi" w:cstheme="minorHAnsi"/>
          <w:color w:val="auto"/>
          <w:sz w:val="24"/>
          <w:szCs w:val="24"/>
        </w:rPr>
        <w:t>Harakeh</w:t>
      </w:r>
      <w:proofErr w:type="spellEnd"/>
      <w:r w:rsidRPr="00AD050F">
        <w:rPr>
          <w:rFonts w:asciiTheme="minorHAnsi" w:eastAsiaTheme="minorHAnsi" w:hAnsiTheme="minorHAnsi" w:cstheme="minorHAnsi"/>
          <w:color w:val="auto"/>
          <w:sz w:val="24"/>
          <w:szCs w:val="24"/>
        </w:rPr>
        <w:t xml:space="preserve">, Z. and de Boer, A. (2019) ‘The effect of active and passive peer encouragement on adolescent risk-taking’, </w:t>
      </w:r>
      <w:r w:rsidRPr="00AD050F">
        <w:rPr>
          <w:rFonts w:asciiTheme="minorHAnsi" w:eastAsiaTheme="minorHAnsi" w:hAnsiTheme="minorHAnsi" w:cstheme="minorHAnsi"/>
          <w:i/>
          <w:iCs/>
          <w:color w:val="auto"/>
          <w:sz w:val="24"/>
          <w:szCs w:val="24"/>
        </w:rPr>
        <w:t xml:space="preserve">Journal of Adolescence, Vol. 71, pp10-17. </w:t>
      </w:r>
      <w:r w:rsidRPr="00AD050F">
        <w:rPr>
          <w:rFonts w:asciiTheme="minorHAnsi" w:eastAsiaTheme="minorHAnsi" w:hAnsiTheme="minorHAnsi" w:cstheme="minorHAnsi"/>
          <w:color w:val="auto"/>
          <w:sz w:val="24"/>
          <w:szCs w:val="24"/>
        </w:rPr>
        <w:t xml:space="preserve">[Online]. Available at: </w:t>
      </w:r>
      <w:hyperlink r:id="rId51" w:history="1">
        <w:r w:rsidRPr="00AD050F">
          <w:rPr>
            <w:color w:val="0000FF"/>
            <w:sz w:val="24"/>
            <w:szCs w:val="24"/>
            <w:u w:val="single"/>
          </w:rPr>
          <w:t>The effect of active and passive peer encouragement on adolescent risk-taking - ScienceDirect</w:t>
        </w:r>
      </w:hyperlink>
      <w:r w:rsidRPr="00AD050F">
        <w:rPr>
          <w:sz w:val="24"/>
          <w:szCs w:val="24"/>
        </w:rPr>
        <w:t xml:space="preserve"> (Accessed: 15</w:t>
      </w:r>
      <w:r w:rsidRPr="00AD050F">
        <w:rPr>
          <w:sz w:val="24"/>
          <w:szCs w:val="24"/>
          <w:vertAlign w:val="superscript"/>
        </w:rPr>
        <w:t>th</w:t>
      </w:r>
      <w:r w:rsidRPr="00AD050F">
        <w:rPr>
          <w:sz w:val="24"/>
          <w:szCs w:val="24"/>
        </w:rPr>
        <w:t xml:space="preserve"> May 2021)</w:t>
      </w:r>
      <w:r w:rsidRPr="00AD050F">
        <w:rPr>
          <w:rFonts w:asciiTheme="minorHAnsi" w:eastAsiaTheme="minorHAnsi" w:hAnsiTheme="minorHAnsi" w:cstheme="minorHAnsi"/>
          <w:color w:val="auto"/>
          <w:sz w:val="24"/>
          <w:szCs w:val="24"/>
        </w:rPr>
        <w:t xml:space="preserve"> </w:t>
      </w:r>
    </w:p>
    <w:p w14:paraId="33EABB5E"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4F22DC70"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eastAsiaTheme="minorHAnsi" w:hAnsiTheme="minorHAnsi" w:cstheme="minorHAnsi"/>
          <w:color w:val="auto"/>
          <w:sz w:val="24"/>
          <w:szCs w:val="24"/>
        </w:rPr>
        <w:t>Harvard Health Publishing (2011) ‘The adolescent brain: Beyond raging hormones’,</w:t>
      </w:r>
    </w:p>
    <w:p w14:paraId="076FA5FC" w14:textId="77777777" w:rsidR="00F222F7" w:rsidRPr="00AD050F" w:rsidRDefault="00F222F7" w:rsidP="00F222F7">
      <w:pPr>
        <w:tabs>
          <w:tab w:val="left" w:pos="3270"/>
        </w:tabs>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eastAsiaTheme="minorHAnsi" w:hAnsiTheme="minorHAnsi" w:cstheme="minorHAnsi"/>
          <w:i/>
          <w:iCs/>
          <w:color w:val="auto"/>
          <w:sz w:val="24"/>
          <w:szCs w:val="24"/>
        </w:rPr>
        <w:t xml:space="preserve">The Harvard Health Blog, March.  </w:t>
      </w:r>
      <w:r w:rsidRPr="00AD050F">
        <w:rPr>
          <w:rFonts w:asciiTheme="minorHAnsi" w:eastAsiaTheme="minorHAnsi" w:hAnsiTheme="minorHAnsi" w:cstheme="minorHAnsi"/>
          <w:color w:val="auto"/>
          <w:sz w:val="24"/>
          <w:szCs w:val="24"/>
        </w:rPr>
        <w:t xml:space="preserve">Available at: </w:t>
      </w:r>
      <w:hyperlink r:id="rId52" w:anchor=":~:text=The%20adolescent%20brain%3A%20Beyond%20raging%20hormones.%20Stress%20can,allows%20the%20early%20symptoms%20of%20schizophrenia%20to%20emerge." w:history="1">
        <w:r w:rsidRPr="00AD050F">
          <w:rPr>
            <w:rFonts w:asciiTheme="minorHAnsi" w:hAnsiTheme="minorHAnsi" w:cstheme="minorHAnsi"/>
            <w:color w:val="0000FF"/>
            <w:sz w:val="24"/>
            <w:szCs w:val="24"/>
            <w:u w:val="single"/>
          </w:rPr>
          <w:t>The adolescent brain: Beyond raging hormones - Harvard Health</w:t>
        </w:r>
      </w:hyperlink>
      <w:r w:rsidRPr="00AD050F">
        <w:rPr>
          <w:rFonts w:asciiTheme="minorHAnsi" w:hAnsiTheme="minorHAnsi" w:cstheme="minorHAnsi"/>
          <w:sz w:val="24"/>
          <w:szCs w:val="24"/>
        </w:rPr>
        <w:t xml:space="preserve">  (Accessed: 14</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Jan 2021)</w:t>
      </w:r>
    </w:p>
    <w:p w14:paraId="613F5A3C" w14:textId="77777777" w:rsidR="00F222F7" w:rsidRPr="00AD050F" w:rsidRDefault="00F222F7" w:rsidP="00F222F7">
      <w:pPr>
        <w:tabs>
          <w:tab w:val="left" w:pos="3270"/>
        </w:tabs>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eastAsiaTheme="minorHAnsi" w:hAnsiTheme="minorHAnsi" w:cstheme="minorHAnsi"/>
          <w:color w:val="auto"/>
          <w:sz w:val="24"/>
          <w:szCs w:val="24"/>
        </w:rPr>
        <w:tab/>
        <w:t xml:space="preserve"> </w:t>
      </w:r>
    </w:p>
    <w:p w14:paraId="567597A5" w14:textId="77777777" w:rsidR="00F222F7" w:rsidRPr="00AD050F" w:rsidRDefault="00F222F7" w:rsidP="00F222F7">
      <w:pPr>
        <w:spacing w:after="0" w:afterAutospacing="0" w:line="240" w:lineRule="auto"/>
        <w:contextualSpacing/>
        <w:jc w:val="both"/>
        <w:rPr>
          <w:sz w:val="24"/>
          <w:szCs w:val="24"/>
        </w:rPr>
      </w:pPr>
      <w:proofErr w:type="spellStart"/>
      <w:r w:rsidRPr="00AD050F">
        <w:rPr>
          <w:rFonts w:asciiTheme="minorHAnsi" w:eastAsiaTheme="minorHAnsi" w:hAnsiTheme="minorHAnsi" w:cstheme="minorHAnsi"/>
          <w:color w:val="auto"/>
          <w:sz w:val="24"/>
          <w:szCs w:val="24"/>
        </w:rPr>
        <w:t>Henneberger</w:t>
      </w:r>
      <w:proofErr w:type="spellEnd"/>
      <w:r w:rsidRPr="00AD050F">
        <w:rPr>
          <w:rFonts w:asciiTheme="minorHAnsi" w:eastAsiaTheme="minorHAnsi" w:hAnsiTheme="minorHAnsi" w:cstheme="minorHAnsi"/>
          <w:color w:val="auto"/>
          <w:sz w:val="24"/>
          <w:szCs w:val="24"/>
        </w:rPr>
        <w:t xml:space="preserve">, A. and </w:t>
      </w:r>
      <w:proofErr w:type="spellStart"/>
      <w:r w:rsidRPr="00AD050F">
        <w:rPr>
          <w:rFonts w:asciiTheme="minorHAnsi" w:eastAsiaTheme="minorHAnsi" w:hAnsiTheme="minorHAnsi" w:cstheme="minorHAnsi"/>
          <w:color w:val="auto"/>
          <w:sz w:val="24"/>
          <w:szCs w:val="24"/>
        </w:rPr>
        <w:t>Mushonga</w:t>
      </w:r>
      <w:proofErr w:type="spellEnd"/>
      <w:r w:rsidRPr="00AD050F">
        <w:rPr>
          <w:rFonts w:asciiTheme="minorHAnsi" w:eastAsiaTheme="minorHAnsi" w:hAnsiTheme="minorHAnsi" w:cstheme="minorHAnsi"/>
          <w:color w:val="auto"/>
          <w:sz w:val="24"/>
          <w:szCs w:val="24"/>
        </w:rPr>
        <w:t xml:space="preserve">, D. (2021) ‘Peer selection as a mechanism for preventing adolescent substance use: Current approaches and future directions’, </w:t>
      </w:r>
      <w:r w:rsidRPr="00AD050F">
        <w:rPr>
          <w:rFonts w:asciiTheme="minorHAnsi" w:eastAsiaTheme="minorHAnsi" w:hAnsiTheme="minorHAnsi" w:cstheme="minorHAnsi"/>
          <w:i/>
          <w:iCs/>
          <w:color w:val="auto"/>
          <w:sz w:val="24"/>
          <w:szCs w:val="24"/>
        </w:rPr>
        <w:t xml:space="preserve">Children and Youth Services Review, Vol. 120. </w:t>
      </w:r>
      <w:r w:rsidRPr="00AD050F">
        <w:rPr>
          <w:rFonts w:asciiTheme="minorHAnsi" w:eastAsiaTheme="minorHAnsi" w:hAnsiTheme="minorHAnsi" w:cstheme="minorHAnsi"/>
          <w:color w:val="auto"/>
          <w:sz w:val="24"/>
          <w:szCs w:val="24"/>
        </w:rPr>
        <w:t xml:space="preserve">[Online].  Available at: </w:t>
      </w:r>
      <w:hyperlink r:id="rId53" w:history="1">
        <w:r w:rsidRPr="00AD050F">
          <w:rPr>
            <w:color w:val="0000FF"/>
            <w:sz w:val="24"/>
            <w:szCs w:val="24"/>
            <w:u w:val="single"/>
          </w:rPr>
          <w:t>Peer selection as a mechanism for preventing adolescent substance use: Current approaches and future directions | Elsevier Enhanced Reader</w:t>
        </w:r>
      </w:hyperlink>
      <w:r w:rsidRPr="00AD050F">
        <w:rPr>
          <w:sz w:val="24"/>
          <w:szCs w:val="24"/>
        </w:rPr>
        <w:t xml:space="preserve"> (Accessed: 30</w:t>
      </w:r>
      <w:r w:rsidRPr="00AD050F">
        <w:rPr>
          <w:sz w:val="24"/>
          <w:szCs w:val="24"/>
          <w:vertAlign w:val="superscript"/>
        </w:rPr>
        <w:t>th</w:t>
      </w:r>
      <w:r w:rsidRPr="00AD050F">
        <w:rPr>
          <w:sz w:val="24"/>
          <w:szCs w:val="24"/>
        </w:rPr>
        <w:t xml:space="preserve"> January 2021)</w:t>
      </w:r>
    </w:p>
    <w:p w14:paraId="78478BB3" w14:textId="77777777" w:rsidR="00F222F7" w:rsidRPr="00AD050F" w:rsidRDefault="00F222F7" w:rsidP="00F222F7">
      <w:pPr>
        <w:spacing w:after="0" w:afterAutospacing="0" w:line="240" w:lineRule="auto"/>
        <w:contextualSpacing/>
        <w:jc w:val="both"/>
        <w:rPr>
          <w:sz w:val="24"/>
          <w:szCs w:val="24"/>
        </w:rPr>
      </w:pPr>
    </w:p>
    <w:p w14:paraId="6BC74E68"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r w:rsidRPr="00AD050F">
        <w:rPr>
          <w:sz w:val="24"/>
          <w:szCs w:val="24"/>
        </w:rPr>
        <w:t xml:space="preserve">Herbert, A., Gilbert, R., Cottrell, D. and Li, L. (2017) ‘Causes of death up to 10 years after admissions to hospitals for self-inflicted, drug-related or alcohol-related, or violent injury during adolescence: a retrospective, nationwide, cohort study’, </w:t>
      </w:r>
      <w:r w:rsidRPr="00AD050F">
        <w:rPr>
          <w:i/>
          <w:iCs/>
          <w:sz w:val="24"/>
          <w:szCs w:val="24"/>
        </w:rPr>
        <w:t xml:space="preserve">The Lancet, Vol. 390, pp577-587. </w:t>
      </w:r>
      <w:r w:rsidRPr="00AD050F">
        <w:rPr>
          <w:sz w:val="24"/>
          <w:szCs w:val="24"/>
        </w:rPr>
        <w:t xml:space="preserve">[Online]. Available at:  </w:t>
      </w:r>
      <w:hyperlink r:id="rId54" w:history="1">
        <w:r w:rsidRPr="00AD050F">
          <w:rPr>
            <w:color w:val="0000FF"/>
            <w:sz w:val="24"/>
            <w:szCs w:val="24"/>
            <w:u w:val="single"/>
          </w:rPr>
          <w:t>Causes of death up to 10 years after admissions to hospitals for self-inflicted, drug-related or alcohol-related, or violent injury during adolescence: a retrospective, nationwide, cohort study (thelancet.com)</w:t>
        </w:r>
      </w:hyperlink>
      <w:r w:rsidRPr="00AD050F">
        <w:rPr>
          <w:sz w:val="24"/>
          <w:szCs w:val="24"/>
        </w:rPr>
        <w:t xml:space="preserve"> (Accessed 28</w:t>
      </w:r>
      <w:r w:rsidRPr="00AD050F">
        <w:rPr>
          <w:sz w:val="24"/>
          <w:szCs w:val="24"/>
          <w:vertAlign w:val="superscript"/>
        </w:rPr>
        <w:t>th</w:t>
      </w:r>
      <w:r w:rsidRPr="00AD050F">
        <w:rPr>
          <w:sz w:val="24"/>
          <w:szCs w:val="24"/>
        </w:rPr>
        <w:t xml:space="preserve"> June 2021)</w:t>
      </w:r>
    </w:p>
    <w:p w14:paraId="5817D9B3"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260793DA"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roofErr w:type="spellStart"/>
      <w:r w:rsidRPr="00AD050F">
        <w:rPr>
          <w:rFonts w:asciiTheme="minorHAnsi" w:eastAsiaTheme="minorHAnsi" w:hAnsiTheme="minorHAnsi" w:cstheme="minorHAnsi"/>
          <w:color w:val="auto"/>
          <w:sz w:val="24"/>
          <w:szCs w:val="24"/>
        </w:rPr>
        <w:lastRenderedPageBreak/>
        <w:t>Karpinsky</w:t>
      </w:r>
      <w:proofErr w:type="spellEnd"/>
      <w:r w:rsidRPr="00AD050F">
        <w:rPr>
          <w:rFonts w:asciiTheme="minorHAnsi" w:eastAsiaTheme="minorHAnsi" w:hAnsiTheme="minorHAnsi" w:cstheme="minorHAnsi"/>
          <w:color w:val="auto"/>
          <w:sz w:val="24"/>
          <w:szCs w:val="24"/>
        </w:rPr>
        <w:t xml:space="preserve">, R., Kolb, A., Tetreault, N. and Borowski, T. (2017) ‘High intelligence: A risk factor for psychological and physiological overexcitabilities’, </w:t>
      </w:r>
      <w:r w:rsidRPr="00AD050F">
        <w:rPr>
          <w:rFonts w:asciiTheme="minorHAnsi" w:eastAsiaTheme="minorHAnsi" w:hAnsiTheme="minorHAnsi" w:cstheme="minorHAnsi"/>
          <w:i/>
          <w:iCs/>
          <w:color w:val="auto"/>
          <w:sz w:val="24"/>
          <w:szCs w:val="24"/>
        </w:rPr>
        <w:t>Intelligence, Vol. 66, pp8-23.</w:t>
      </w:r>
      <w:r w:rsidRPr="00AD050F">
        <w:rPr>
          <w:rFonts w:asciiTheme="minorHAnsi" w:eastAsiaTheme="minorHAnsi" w:hAnsiTheme="minorHAnsi" w:cstheme="minorHAnsi"/>
          <w:color w:val="auto"/>
          <w:sz w:val="24"/>
          <w:szCs w:val="24"/>
        </w:rPr>
        <w:t xml:space="preserve"> </w:t>
      </w:r>
      <w:r w:rsidRPr="00AD050F">
        <w:rPr>
          <w:rFonts w:asciiTheme="minorHAnsi" w:hAnsiTheme="minorHAnsi" w:cstheme="minorHAnsi"/>
          <w:sz w:val="24"/>
          <w:szCs w:val="24"/>
        </w:rPr>
        <w:t xml:space="preserve">[Online].  Available at: </w:t>
      </w:r>
      <w:hyperlink r:id="rId55" w:history="1">
        <w:r w:rsidRPr="00AD050F">
          <w:rPr>
            <w:rFonts w:asciiTheme="minorHAnsi" w:hAnsiTheme="minorHAnsi" w:cstheme="minorHAnsi"/>
            <w:color w:val="0000FF"/>
            <w:sz w:val="24"/>
            <w:szCs w:val="24"/>
            <w:u w:val="single"/>
          </w:rPr>
          <w:t>High intelligence: A risk factor for psychological and physiological overexcitabilities - ScienceDirect</w:t>
        </w:r>
      </w:hyperlink>
      <w:r w:rsidRPr="00AD050F">
        <w:rPr>
          <w:rFonts w:asciiTheme="minorHAnsi" w:hAnsiTheme="minorHAnsi" w:cstheme="minorHAnsi"/>
          <w:sz w:val="24"/>
          <w:szCs w:val="24"/>
        </w:rPr>
        <w:t xml:space="preserve"> (Accessed: 4</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February 2021)</w:t>
      </w:r>
    </w:p>
    <w:p w14:paraId="0BBFD449"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593FAFF0"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eastAsiaTheme="minorHAnsi" w:hAnsiTheme="minorHAnsi" w:cstheme="minorHAnsi"/>
          <w:color w:val="auto"/>
          <w:sz w:val="24"/>
          <w:szCs w:val="24"/>
        </w:rPr>
        <w:t xml:space="preserve">Kim-Spoon, J., </w:t>
      </w:r>
      <w:proofErr w:type="spellStart"/>
      <w:r w:rsidRPr="00AD050F">
        <w:rPr>
          <w:rFonts w:asciiTheme="minorHAnsi" w:eastAsiaTheme="minorHAnsi" w:hAnsiTheme="minorHAnsi" w:cstheme="minorHAnsi"/>
          <w:color w:val="auto"/>
          <w:sz w:val="24"/>
          <w:szCs w:val="24"/>
        </w:rPr>
        <w:t>Deater</w:t>
      </w:r>
      <w:proofErr w:type="spellEnd"/>
      <w:r w:rsidRPr="00AD050F">
        <w:rPr>
          <w:rFonts w:asciiTheme="minorHAnsi" w:eastAsiaTheme="minorHAnsi" w:hAnsiTheme="minorHAnsi" w:cstheme="minorHAnsi"/>
          <w:color w:val="auto"/>
          <w:sz w:val="24"/>
          <w:szCs w:val="24"/>
        </w:rPr>
        <w:t xml:space="preserve">-Deckard, K., </w:t>
      </w:r>
      <w:proofErr w:type="spellStart"/>
      <w:r w:rsidRPr="00AD050F">
        <w:rPr>
          <w:rFonts w:asciiTheme="minorHAnsi" w:eastAsiaTheme="minorHAnsi" w:hAnsiTheme="minorHAnsi" w:cstheme="minorHAnsi"/>
          <w:color w:val="auto"/>
          <w:sz w:val="24"/>
          <w:szCs w:val="24"/>
        </w:rPr>
        <w:t>Brieant</w:t>
      </w:r>
      <w:proofErr w:type="spellEnd"/>
      <w:r w:rsidRPr="00AD050F">
        <w:rPr>
          <w:rFonts w:asciiTheme="minorHAnsi" w:eastAsiaTheme="minorHAnsi" w:hAnsiTheme="minorHAnsi" w:cstheme="minorHAnsi"/>
          <w:color w:val="auto"/>
          <w:sz w:val="24"/>
          <w:szCs w:val="24"/>
        </w:rPr>
        <w:t xml:space="preserve">, A., </w:t>
      </w:r>
      <w:proofErr w:type="spellStart"/>
      <w:r w:rsidRPr="00AD050F">
        <w:rPr>
          <w:rFonts w:asciiTheme="minorHAnsi" w:eastAsiaTheme="minorHAnsi" w:hAnsiTheme="minorHAnsi" w:cstheme="minorHAnsi"/>
          <w:color w:val="auto"/>
          <w:sz w:val="24"/>
          <w:szCs w:val="24"/>
        </w:rPr>
        <w:t>Lauharatanahirun</w:t>
      </w:r>
      <w:proofErr w:type="spellEnd"/>
      <w:r w:rsidRPr="00AD050F">
        <w:rPr>
          <w:rFonts w:asciiTheme="minorHAnsi" w:eastAsiaTheme="minorHAnsi" w:hAnsiTheme="minorHAnsi" w:cstheme="minorHAnsi"/>
          <w:color w:val="auto"/>
          <w:sz w:val="24"/>
          <w:szCs w:val="24"/>
        </w:rPr>
        <w:t xml:space="preserve">, N. Lee, J. and King-Casas, B. (2019) ‘Brains of a feather flocking together?  Peer and individual neurobehavioral risk for substance use across adolescence’, </w:t>
      </w:r>
      <w:r w:rsidRPr="00AD050F">
        <w:rPr>
          <w:rFonts w:asciiTheme="minorHAnsi" w:eastAsiaTheme="minorHAnsi" w:hAnsiTheme="minorHAnsi" w:cstheme="minorHAnsi"/>
          <w:i/>
          <w:iCs/>
          <w:color w:val="auto"/>
          <w:sz w:val="24"/>
          <w:szCs w:val="24"/>
        </w:rPr>
        <w:t xml:space="preserve">Development and Psychopathology, Vol. 31, pp1661-1674. </w:t>
      </w:r>
      <w:r w:rsidRPr="00AD050F">
        <w:rPr>
          <w:rFonts w:asciiTheme="minorHAnsi" w:eastAsiaTheme="minorHAnsi" w:hAnsiTheme="minorHAnsi" w:cstheme="minorHAnsi"/>
          <w:color w:val="auto"/>
          <w:sz w:val="24"/>
          <w:szCs w:val="24"/>
        </w:rPr>
        <w:t xml:space="preserve">[Online]. Available at: </w:t>
      </w:r>
      <w:hyperlink r:id="rId56" w:history="1">
        <w:r w:rsidRPr="00AD050F">
          <w:rPr>
            <w:color w:val="0000FF"/>
            <w:sz w:val="24"/>
            <w:szCs w:val="24"/>
            <w:u w:val="single"/>
          </w:rPr>
          <w:t>Brains of a feather flocking together? Peer and individual neurobehavioral risks for substance use across adolescence | Development and Psychopathology | Cambridge Core</w:t>
        </w:r>
      </w:hyperlink>
      <w:r w:rsidRPr="00AD050F">
        <w:rPr>
          <w:sz w:val="24"/>
          <w:szCs w:val="24"/>
        </w:rPr>
        <w:t xml:space="preserve"> (Accessed: 3</w:t>
      </w:r>
      <w:r w:rsidRPr="00AD050F">
        <w:rPr>
          <w:sz w:val="24"/>
          <w:szCs w:val="24"/>
          <w:vertAlign w:val="superscript"/>
        </w:rPr>
        <w:t>rd</w:t>
      </w:r>
      <w:r w:rsidRPr="00AD050F">
        <w:rPr>
          <w:sz w:val="24"/>
          <w:szCs w:val="24"/>
        </w:rPr>
        <w:t xml:space="preserve"> June 2021)</w:t>
      </w:r>
    </w:p>
    <w:p w14:paraId="7B4D6599"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633F8F7F"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r w:rsidRPr="00AD050F">
        <w:rPr>
          <w:rFonts w:asciiTheme="minorHAnsi" w:eastAsiaTheme="minorHAnsi" w:hAnsiTheme="minorHAnsi" w:cstheme="minorHAnsi"/>
          <w:color w:val="auto"/>
          <w:sz w:val="24"/>
          <w:szCs w:val="24"/>
        </w:rPr>
        <w:t xml:space="preserve">Kipping, R., Campbell, R., MacArthur, G., Gunnell, M. and Hickman, M. (2012) ‘Multiple risk behaviour in adolescence’, </w:t>
      </w:r>
      <w:r w:rsidRPr="00AD050F">
        <w:rPr>
          <w:rFonts w:asciiTheme="minorHAnsi" w:eastAsiaTheme="minorHAnsi" w:hAnsiTheme="minorHAnsi" w:cstheme="minorHAnsi"/>
          <w:i/>
          <w:iCs/>
          <w:color w:val="auto"/>
          <w:sz w:val="24"/>
          <w:szCs w:val="24"/>
        </w:rPr>
        <w:t xml:space="preserve">Journal of Public Health, Vol. 34. </w:t>
      </w:r>
      <w:r w:rsidRPr="00AD050F">
        <w:rPr>
          <w:rFonts w:asciiTheme="minorHAnsi" w:hAnsiTheme="minorHAnsi" w:cstheme="minorHAnsi"/>
          <w:sz w:val="24"/>
          <w:szCs w:val="24"/>
        </w:rPr>
        <w:t xml:space="preserve">[Online].  Available at: </w:t>
      </w:r>
      <w:hyperlink r:id="rId57" w:history="1">
        <w:r w:rsidRPr="00AD050F">
          <w:rPr>
            <w:rFonts w:asciiTheme="minorHAnsi" w:hAnsiTheme="minorHAnsi" w:cstheme="minorHAnsi"/>
            <w:color w:val="0000FF"/>
            <w:sz w:val="24"/>
            <w:szCs w:val="24"/>
            <w:u w:val="single"/>
          </w:rPr>
          <w:t>Multiple risk behaviour in adolescence | Journal of Public Health | Oxford Academic (oup.com)</w:t>
        </w:r>
      </w:hyperlink>
      <w:r w:rsidRPr="00AD050F">
        <w:rPr>
          <w:rFonts w:asciiTheme="minorHAnsi" w:eastAsiaTheme="minorHAnsi" w:hAnsiTheme="minorHAnsi" w:cstheme="minorHAnsi"/>
          <w:i/>
          <w:iCs/>
          <w:color w:val="auto"/>
          <w:sz w:val="24"/>
          <w:szCs w:val="24"/>
        </w:rPr>
        <w:t xml:space="preserve"> </w:t>
      </w:r>
      <w:r w:rsidRPr="00AD050F">
        <w:rPr>
          <w:rFonts w:asciiTheme="minorHAnsi" w:eastAsiaTheme="minorHAnsi" w:hAnsiTheme="minorHAnsi" w:cstheme="minorHAnsi"/>
          <w:color w:val="auto"/>
          <w:sz w:val="24"/>
          <w:szCs w:val="24"/>
        </w:rPr>
        <w:t>(Accessed: 31</w:t>
      </w:r>
      <w:r w:rsidRPr="00AD050F">
        <w:rPr>
          <w:rFonts w:asciiTheme="minorHAnsi" w:eastAsiaTheme="minorHAnsi" w:hAnsiTheme="minorHAnsi" w:cstheme="minorHAnsi"/>
          <w:color w:val="auto"/>
          <w:sz w:val="24"/>
          <w:szCs w:val="24"/>
          <w:vertAlign w:val="superscript"/>
        </w:rPr>
        <w:t>st</w:t>
      </w:r>
      <w:r w:rsidRPr="00AD050F">
        <w:rPr>
          <w:rFonts w:asciiTheme="minorHAnsi" w:eastAsiaTheme="minorHAnsi" w:hAnsiTheme="minorHAnsi" w:cstheme="minorHAnsi"/>
          <w:color w:val="auto"/>
          <w:sz w:val="24"/>
          <w:szCs w:val="24"/>
        </w:rPr>
        <w:t xml:space="preserve"> Jan 2021)</w:t>
      </w:r>
    </w:p>
    <w:p w14:paraId="1870F127"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3FE01BDE"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i/>
          <w:iCs/>
          <w:color w:val="auto"/>
          <w:sz w:val="24"/>
          <w:szCs w:val="24"/>
        </w:rPr>
      </w:pPr>
      <w:proofErr w:type="spellStart"/>
      <w:r w:rsidRPr="00AD050F">
        <w:rPr>
          <w:rFonts w:asciiTheme="minorHAnsi" w:eastAsiaTheme="minorHAnsi" w:hAnsiTheme="minorHAnsi" w:cstheme="minorHAnsi"/>
          <w:color w:val="auto"/>
          <w:sz w:val="24"/>
          <w:szCs w:val="24"/>
        </w:rPr>
        <w:t>Klump</w:t>
      </w:r>
      <w:proofErr w:type="spellEnd"/>
      <w:r w:rsidRPr="00AD050F">
        <w:rPr>
          <w:rFonts w:asciiTheme="minorHAnsi" w:eastAsiaTheme="minorHAnsi" w:hAnsiTheme="minorHAnsi" w:cstheme="minorHAnsi"/>
          <w:color w:val="auto"/>
          <w:sz w:val="24"/>
          <w:szCs w:val="24"/>
        </w:rPr>
        <w:t xml:space="preserve">, K. (2013) ‘Puberty as a critical risk period for eating disorders: A review of human and animal studies’, </w:t>
      </w:r>
      <w:r w:rsidRPr="00AD050F">
        <w:rPr>
          <w:rFonts w:asciiTheme="minorHAnsi" w:eastAsiaTheme="minorHAnsi" w:hAnsiTheme="minorHAnsi" w:cstheme="minorHAnsi"/>
          <w:i/>
          <w:iCs/>
          <w:color w:val="auto"/>
          <w:sz w:val="24"/>
          <w:szCs w:val="24"/>
        </w:rPr>
        <w:t xml:space="preserve">Hormones and </w:t>
      </w:r>
      <w:proofErr w:type="spellStart"/>
      <w:r w:rsidRPr="00AD050F">
        <w:rPr>
          <w:rFonts w:asciiTheme="minorHAnsi" w:eastAsiaTheme="minorHAnsi" w:hAnsiTheme="minorHAnsi" w:cstheme="minorHAnsi"/>
          <w:i/>
          <w:iCs/>
          <w:color w:val="auto"/>
          <w:sz w:val="24"/>
          <w:szCs w:val="24"/>
        </w:rPr>
        <w:t>Behavior</w:t>
      </w:r>
      <w:proofErr w:type="spellEnd"/>
      <w:r w:rsidRPr="00AD050F">
        <w:rPr>
          <w:rFonts w:asciiTheme="minorHAnsi" w:eastAsiaTheme="minorHAnsi" w:hAnsiTheme="minorHAnsi" w:cstheme="minorHAnsi"/>
          <w:i/>
          <w:iCs/>
          <w:color w:val="auto"/>
          <w:sz w:val="24"/>
          <w:szCs w:val="24"/>
        </w:rPr>
        <w:t xml:space="preserve">, Vol. 64, pp399-410. </w:t>
      </w:r>
      <w:r w:rsidRPr="00AD050F">
        <w:rPr>
          <w:rFonts w:asciiTheme="minorHAnsi" w:hAnsiTheme="minorHAnsi" w:cstheme="minorHAnsi"/>
          <w:sz w:val="24"/>
          <w:szCs w:val="24"/>
        </w:rPr>
        <w:t xml:space="preserve">[Online]. Available at: </w:t>
      </w:r>
      <w:hyperlink r:id="rId58" w:history="1">
        <w:r w:rsidRPr="00AD050F">
          <w:rPr>
            <w:rFonts w:asciiTheme="minorHAnsi" w:hAnsiTheme="minorHAnsi" w:cstheme="minorHAnsi"/>
            <w:color w:val="0000FF"/>
            <w:sz w:val="24"/>
            <w:szCs w:val="24"/>
            <w:u w:val="single"/>
          </w:rPr>
          <w:t>Puberty as a critical risk period for eating disorders: A review of human and animal studies | Elsevier Enhanced Reader</w:t>
        </w:r>
      </w:hyperlink>
      <w:r w:rsidRPr="00AD050F">
        <w:rPr>
          <w:rFonts w:asciiTheme="minorHAnsi" w:hAnsiTheme="minorHAnsi" w:cstheme="minorHAnsi"/>
          <w:sz w:val="24"/>
          <w:szCs w:val="24"/>
        </w:rPr>
        <w:t xml:space="preserve"> (Accessed: 13</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November 2020)</w:t>
      </w:r>
      <w:r w:rsidRPr="00AD050F">
        <w:rPr>
          <w:rFonts w:asciiTheme="minorHAnsi" w:eastAsiaTheme="minorHAnsi" w:hAnsiTheme="minorHAnsi" w:cstheme="minorHAnsi"/>
          <w:i/>
          <w:iCs/>
          <w:color w:val="auto"/>
          <w:sz w:val="24"/>
          <w:szCs w:val="24"/>
        </w:rPr>
        <w:t xml:space="preserve"> </w:t>
      </w:r>
    </w:p>
    <w:p w14:paraId="1399DE0E"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10E880BA"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i/>
          <w:iCs/>
          <w:color w:val="auto"/>
          <w:sz w:val="24"/>
          <w:szCs w:val="24"/>
        </w:rPr>
      </w:pPr>
      <w:r w:rsidRPr="00AD050F">
        <w:rPr>
          <w:rFonts w:asciiTheme="minorHAnsi" w:hAnsiTheme="minorHAnsi" w:cstheme="minorHAnsi"/>
          <w:sz w:val="24"/>
          <w:szCs w:val="24"/>
        </w:rPr>
        <w:t xml:space="preserve">Kowalski, A., Addo, O., Kramer, M., Martorell, R., Norris, S., </w:t>
      </w:r>
      <w:proofErr w:type="spellStart"/>
      <w:r w:rsidRPr="00AD050F">
        <w:rPr>
          <w:rFonts w:asciiTheme="minorHAnsi" w:hAnsiTheme="minorHAnsi" w:cstheme="minorHAnsi"/>
          <w:sz w:val="24"/>
          <w:szCs w:val="24"/>
        </w:rPr>
        <w:t>Waford</w:t>
      </w:r>
      <w:proofErr w:type="spellEnd"/>
      <w:r w:rsidRPr="00AD050F">
        <w:rPr>
          <w:rFonts w:asciiTheme="minorHAnsi" w:hAnsiTheme="minorHAnsi" w:cstheme="minorHAnsi"/>
          <w:sz w:val="24"/>
          <w:szCs w:val="24"/>
        </w:rPr>
        <w:t xml:space="preserve">, R., Richter, L. and Stein, A. (2020) ‘Longitudinal Associations of Pubertal Timing and Tempo </w:t>
      </w:r>
      <w:proofErr w:type="gramStart"/>
      <w:r w:rsidRPr="00AD050F">
        <w:rPr>
          <w:rFonts w:asciiTheme="minorHAnsi" w:hAnsiTheme="minorHAnsi" w:cstheme="minorHAnsi"/>
          <w:sz w:val="24"/>
          <w:szCs w:val="24"/>
        </w:rPr>
        <w:t>With</w:t>
      </w:r>
      <w:proofErr w:type="gramEnd"/>
      <w:r w:rsidRPr="00AD050F">
        <w:rPr>
          <w:rFonts w:asciiTheme="minorHAnsi" w:hAnsiTheme="minorHAnsi" w:cstheme="minorHAnsi"/>
          <w:sz w:val="24"/>
          <w:szCs w:val="24"/>
        </w:rPr>
        <w:t xml:space="preserve"> Adolescent Mental Health and Risk </w:t>
      </w:r>
      <w:proofErr w:type="spellStart"/>
      <w:r w:rsidRPr="00AD050F">
        <w:rPr>
          <w:rFonts w:asciiTheme="minorHAnsi" w:hAnsiTheme="minorHAnsi" w:cstheme="minorHAnsi"/>
          <w:sz w:val="24"/>
          <w:szCs w:val="24"/>
        </w:rPr>
        <w:t>Behavior</w:t>
      </w:r>
      <w:proofErr w:type="spellEnd"/>
      <w:r w:rsidRPr="00AD050F">
        <w:rPr>
          <w:rFonts w:asciiTheme="minorHAnsi" w:hAnsiTheme="minorHAnsi" w:cstheme="minorHAnsi"/>
          <w:sz w:val="24"/>
          <w:szCs w:val="24"/>
        </w:rPr>
        <w:t xml:space="preserve"> Initiation in Urban South Africa’, </w:t>
      </w:r>
      <w:r w:rsidRPr="00AD050F">
        <w:rPr>
          <w:rFonts w:asciiTheme="minorHAnsi" w:hAnsiTheme="minorHAnsi" w:cstheme="minorHAnsi"/>
          <w:i/>
          <w:iCs/>
          <w:sz w:val="24"/>
          <w:szCs w:val="24"/>
        </w:rPr>
        <w:t xml:space="preserve">Journal of Adolescent Health. </w:t>
      </w:r>
      <w:r w:rsidRPr="00AD050F">
        <w:rPr>
          <w:rFonts w:asciiTheme="minorHAnsi" w:eastAsiaTheme="minorHAnsi" w:hAnsiTheme="minorHAnsi" w:cstheme="minorHAnsi"/>
          <w:color w:val="auto"/>
          <w:sz w:val="24"/>
          <w:szCs w:val="24"/>
        </w:rPr>
        <w:t xml:space="preserve">[Article In Press] </w:t>
      </w:r>
      <w:r w:rsidRPr="00AD050F">
        <w:rPr>
          <w:rFonts w:asciiTheme="minorHAnsi" w:hAnsiTheme="minorHAnsi" w:cstheme="minorHAnsi"/>
          <w:sz w:val="24"/>
          <w:szCs w:val="24"/>
        </w:rPr>
        <w:t xml:space="preserve">[Online].  Available at: </w:t>
      </w:r>
      <w:hyperlink r:id="rId59" w:history="1">
        <w:r w:rsidRPr="00AD050F">
          <w:rPr>
            <w:rFonts w:asciiTheme="minorHAnsi" w:hAnsiTheme="minorHAnsi" w:cstheme="minorHAnsi"/>
            <w:color w:val="0000FF"/>
            <w:sz w:val="24"/>
            <w:szCs w:val="24"/>
            <w:u w:val="single"/>
          </w:rPr>
          <w:t xml:space="preserve">Longitudinal Associations of Pubertal Timing and Tempo With Adolescent Mental Health and Risk </w:t>
        </w:r>
        <w:proofErr w:type="spellStart"/>
        <w:r w:rsidRPr="00AD050F">
          <w:rPr>
            <w:rFonts w:asciiTheme="minorHAnsi" w:hAnsiTheme="minorHAnsi" w:cstheme="minorHAnsi"/>
            <w:color w:val="0000FF"/>
            <w:sz w:val="24"/>
            <w:szCs w:val="24"/>
            <w:u w:val="single"/>
          </w:rPr>
          <w:t>Behavior</w:t>
        </w:r>
        <w:proofErr w:type="spellEnd"/>
        <w:r w:rsidRPr="00AD050F">
          <w:rPr>
            <w:rFonts w:asciiTheme="minorHAnsi" w:hAnsiTheme="minorHAnsi" w:cstheme="minorHAnsi"/>
            <w:color w:val="0000FF"/>
            <w:sz w:val="24"/>
            <w:szCs w:val="24"/>
            <w:u w:val="single"/>
          </w:rPr>
          <w:t xml:space="preserve"> Initiation in Urban South Africa | Elsevier Enhanced Reader</w:t>
        </w:r>
      </w:hyperlink>
      <w:r w:rsidRPr="00AD050F">
        <w:rPr>
          <w:rFonts w:asciiTheme="minorHAnsi" w:hAnsiTheme="minorHAnsi" w:cstheme="minorHAnsi"/>
          <w:sz w:val="24"/>
          <w:szCs w:val="24"/>
        </w:rPr>
        <w:t xml:space="preserve">  (Accessed: 19</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March 2021) </w:t>
      </w:r>
      <w:r w:rsidRPr="00AD050F">
        <w:rPr>
          <w:rFonts w:asciiTheme="minorHAnsi" w:eastAsiaTheme="minorHAnsi" w:hAnsiTheme="minorHAnsi" w:cstheme="minorHAnsi"/>
          <w:i/>
          <w:iCs/>
          <w:color w:val="auto"/>
          <w:sz w:val="24"/>
          <w:szCs w:val="24"/>
        </w:rPr>
        <w:t xml:space="preserve"> </w:t>
      </w:r>
    </w:p>
    <w:p w14:paraId="429F178B"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6C56FD45"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eastAsiaTheme="minorHAnsi" w:hAnsiTheme="minorHAnsi" w:cstheme="minorHAnsi"/>
          <w:color w:val="auto"/>
          <w:sz w:val="24"/>
          <w:szCs w:val="24"/>
        </w:rPr>
        <w:t xml:space="preserve">Kramer, A., Van </w:t>
      </w:r>
      <w:proofErr w:type="spellStart"/>
      <w:r w:rsidRPr="00AD050F">
        <w:rPr>
          <w:rFonts w:asciiTheme="minorHAnsi" w:eastAsiaTheme="minorHAnsi" w:hAnsiTheme="minorHAnsi" w:cstheme="minorHAnsi"/>
          <w:color w:val="auto"/>
          <w:sz w:val="24"/>
          <w:szCs w:val="24"/>
        </w:rPr>
        <w:t>Duijvenvoorde</w:t>
      </w:r>
      <w:proofErr w:type="spellEnd"/>
      <w:r w:rsidRPr="00AD050F">
        <w:rPr>
          <w:rFonts w:asciiTheme="minorHAnsi" w:eastAsiaTheme="minorHAnsi" w:hAnsiTheme="minorHAnsi" w:cstheme="minorHAnsi"/>
          <w:color w:val="auto"/>
          <w:sz w:val="24"/>
          <w:szCs w:val="24"/>
        </w:rPr>
        <w:t xml:space="preserve">, A., </w:t>
      </w:r>
      <w:proofErr w:type="spellStart"/>
      <w:r w:rsidRPr="00AD050F">
        <w:rPr>
          <w:rFonts w:asciiTheme="minorHAnsi" w:eastAsiaTheme="minorHAnsi" w:hAnsiTheme="minorHAnsi" w:cstheme="minorHAnsi"/>
          <w:color w:val="auto"/>
          <w:sz w:val="24"/>
          <w:szCs w:val="24"/>
        </w:rPr>
        <w:t>Krabbendam</w:t>
      </w:r>
      <w:proofErr w:type="spellEnd"/>
      <w:r w:rsidRPr="00AD050F">
        <w:rPr>
          <w:rFonts w:asciiTheme="minorHAnsi" w:eastAsiaTheme="minorHAnsi" w:hAnsiTheme="minorHAnsi" w:cstheme="minorHAnsi"/>
          <w:color w:val="auto"/>
          <w:sz w:val="24"/>
          <w:szCs w:val="24"/>
        </w:rPr>
        <w:t xml:space="preserve">, L and Huizenga, H. (2021) ‘Individual differences in adolescents’ willingness to invest cognitive effort: Relation to need for cognition, motivation and cognitive capacity’, </w:t>
      </w:r>
      <w:r w:rsidRPr="00AD050F">
        <w:rPr>
          <w:rFonts w:asciiTheme="minorHAnsi" w:eastAsiaTheme="minorHAnsi" w:hAnsiTheme="minorHAnsi" w:cstheme="minorHAnsi"/>
          <w:i/>
          <w:iCs/>
          <w:color w:val="auto"/>
          <w:sz w:val="24"/>
          <w:szCs w:val="24"/>
        </w:rPr>
        <w:t xml:space="preserve">Cognitive Development, Vol. 57. </w:t>
      </w:r>
      <w:r w:rsidRPr="00AD050F">
        <w:rPr>
          <w:rFonts w:asciiTheme="minorHAnsi" w:eastAsiaTheme="minorHAnsi" w:hAnsiTheme="minorHAnsi" w:cstheme="minorHAnsi"/>
          <w:color w:val="auto"/>
          <w:sz w:val="24"/>
          <w:szCs w:val="24"/>
        </w:rPr>
        <w:t xml:space="preserve"> </w:t>
      </w:r>
      <w:r w:rsidRPr="00AD050F">
        <w:rPr>
          <w:rFonts w:asciiTheme="minorHAnsi" w:hAnsiTheme="minorHAnsi" w:cstheme="minorHAnsi"/>
          <w:sz w:val="24"/>
          <w:szCs w:val="24"/>
        </w:rPr>
        <w:t xml:space="preserve">[Online].  Available at: </w:t>
      </w:r>
      <w:hyperlink r:id="rId60" w:history="1">
        <w:r w:rsidRPr="00AD050F">
          <w:rPr>
            <w:rFonts w:asciiTheme="minorHAnsi" w:hAnsiTheme="minorHAnsi" w:cstheme="minorHAnsi"/>
            <w:color w:val="0000FF"/>
            <w:sz w:val="24"/>
            <w:szCs w:val="24"/>
            <w:u w:val="single"/>
          </w:rPr>
          <w:t>Individual differences in adolescents’ willingness to invest cognitive effort: Relation to need for cognition, motivation and cognitive capacity - ScienceDirect</w:t>
        </w:r>
      </w:hyperlink>
      <w:r w:rsidRPr="00AD050F">
        <w:rPr>
          <w:rFonts w:asciiTheme="minorHAnsi" w:hAnsiTheme="minorHAnsi" w:cstheme="minorHAnsi"/>
          <w:sz w:val="24"/>
          <w:szCs w:val="24"/>
        </w:rPr>
        <w:t xml:space="preserve"> (Accessed: 20</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February 2021)</w:t>
      </w:r>
    </w:p>
    <w:p w14:paraId="603F2EBC"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72F0C713"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Kreski</w:t>
      </w:r>
      <w:proofErr w:type="spellEnd"/>
      <w:r w:rsidRPr="00AD050F">
        <w:rPr>
          <w:rFonts w:asciiTheme="minorHAnsi" w:hAnsiTheme="minorHAnsi" w:cstheme="minorHAnsi"/>
          <w:sz w:val="24"/>
          <w:szCs w:val="24"/>
        </w:rPr>
        <w:t xml:space="preserve">, N., Platt, J., Rutherford, C., </w:t>
      </w:r>
      <w:proofErr w:type="spellStart"/>
      <w:r w:rsidRPr="00AD050F">
        <w:rPr>
          <w:rFonts w:asciiTheme="minorHAnsi" w:hAnsiTheme="minorHAnsi" w:cstheme="minorHAnsi"/>
          <w:sz w:val="24"/>
          <w:szCs w:val="24"/>
        </w:rPr>
        <w:t>Olfson</w:t>
      </w:r>
      <w:proofErr w:type="spellEnd"/>
      <w:r w:rsidRPr="00AD050F">
        <w:rPr>
          <w:rFonts w:asciiTheme="minorHAnsi" w:hAnsiTheme="minorHAnsi" w:cstheme="minorHAnsi"/>
          <w:sz w:val="24"/>
          <w:szCs w:val="24"/>
        </w:rPr>
        <w:t xml:space="preserve">, M., Odgers, C., Schulenberg, J. and Keyes, K. (2021) ‘Social Media Use and Depressive Symptoms Among United States Adolescents’ </w:t>
      </w:r>
      <w:r w:rsidRPr="00AD050F">
        <w:rPr>
          <w:rFonts w:asciiTheme="minorHAnsi" w:hAnsiTheme="minorHAnsi" w:cstheme="minorHAnsi"/>
          <w:i/>
          <w:iCs/>
          <w:sz w:val="24"/>
          <w:szCs w:val="24"/>
        </w:rPr>
        <w:t xml:space="preserve">Journal of Adolescent Health, Vol. 68, pp572-579. </w:t>
      </w:r>
      <w:r w:rsidRPr="00AD050F">
        <w:rPr>
          <w:rFonts w:asciiTheme="minorHAnsi" w:hAnsiTheme="minorHAnsi" w:cstheme="minorHAnsi"/>
          <w:sz w:val="24"/>
          <w:szCs w:val="24"/>
        </w:rPr>
        <w:t xml:space="preserve">[Online]. Available at: </w:t>
      </w:r>
      <w:hyperlink r:id="rId61" w:history="1">
        <w:r w:rsidRPr="00AD050F">
          <w:rPr>
            <w:rFonts w:asciiTheme="minorHAnsi" w:hAnsiTheme="minorHAnsi" w:cstheme="minorHAnsi"/>
            <w:color w:val="0000FF"/>
            <w:sz w:val="24"/>
            <w:szCs w:val="24"/>
            <w:u w:val="single"/>
          </w:rPr>
          <w:t>Social Media Use and Depressive Symptoms Among United States Adolescents | Elsevier Enhanced Reader</w:t>
        </w:r>
      </w:hyperlink>
      <w:r w:rsidRPr="00AD050F">
        <w:rPr>
          <w:rFonts w:asciiTheme="minorHAnsi" w:hAnsiTheme="minorHAnsi" w:cstheme="minorHAnsi"/>
          <w:sz w:val="24"/>
          <w:szCs w:val="24"/>
        </w:rPr>
        <w:t xml:space="preserve">  (Accessed: 4</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March 2021)</w:t>
      </w:r>
    </w:p>
    <w:p w14:paraId="1A120982"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41037F64"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Laghi</w:t>
      </w:r>
      <w:proofErr w:type="spellEnd"/>
      <w:r w:rsidRPr="00AD050F">
        <w:rPr>
          <w:rFonts w:asciiTheme="minorHAnsi" w:hAnsiTheme="minorHAnsi" w:cstheme="minorHAnsi"/>
          <w:sz w:val="24"/>
          <w:szCs w:val="24"/>
        </w:rPr>
        <w:t xml:space="preserve">, F., Bianchi, D., </w:t>
      </w:r>
      <w:proofErr w:type="spellStart"/>
      <w:r w:rsidRPr="00AD050F">
        <w:rPr>
          <w:rFonts w:asciiTheme="minorHAnsi" w:hAnsiTheme="minorHAnsi" w:cstheme="minorHAnsi"/>
          <w:sz w:val="24"/>
          <w:szCs w:val="24"/>
        </w:rPr>
        <w:t>Pompili</w:t>
      </w:r>
      <w:proofErr w:type="spellEnd"/>
      <w:r w:rsidRPr="00AD050F">
        <w:rPr>
          <w:rFonts w:asciiTheme="minorHAnsi" w:hAnsiTheme="minorHAnsi" w:cstheme="minorHAnsi"/>
          <w:sz w:val="24"/>
          <w:szCs w:val="24"/>
        </w:rPr>
        <w:t xml:space="preserve">, S., </w:t>
      </w:r>
      <w:proofErr w:type="spellStart"/>
      <w:r w:rsidRPr="00AD050F">
        <w:rPr>
          <w:rFonts w:asciiTheme="minorHAnsi" w:hAnsiTheme="minorHAnsi" w:cstheme="minorHAnsi"/>
          <w:sz w:val="24"/>
          <w:szCs w:val="24"/>
        </w:rPr>
        <w:t>Lonigro</w:t>
      </w:r>
      <w:proofErr w:type="spellEnd"/>
      <w:r w:rsidRPr="00AD050F">
        <w:rPr>
          <w:rFonts w:asciiTheme="minorHAnsi" w:hAnsiTheme="minorHAnsi" w:cstheme="minorHAnsi"/>
          <w:sz w:val="24"/>
          <w:szCs w:val="24"/>
        </w:rPr>
        <w:t xml:space="preserve">, A. and Baiocco, R. (2019) ‘Cognitive and affective empathy in binge drinking adolescents: Does empathy moderate the effect of self-efficacy in resisting peer pressure to drink?’ </w:t>
      </w:r>
      <w:r w:rsidRPr="00AD050F">
        <w:rPr>
          <w:rFonts w:asciiTheme="minorHAnsi" w:hAnsiTheme="minorHAnsi" w:cstheme="minorHAnsi"/>
          <w:i/>
          <w:iCs/>
          <w:sz w:val="24"/>
          <w:szCs w:val="24"/>
        </w:rPr>
        <w:t xml:space="preserve">Addictive </w:t>
      </w:r>
      <w:proofErr w:type="spellStart"/>
      <w:r w:rsidRPr="00AD050F">
        <w:rPr>
          <w:rFonts w:asciiTheme="minorHAnsi" w:hAnsiTheme="minorHAnsi" w:cstheme="minorHAnsi"/>
          <w:i/>
          <w:iCs/>
          <w:sz w:val="24"/>
          <w:szCs w:val="24"/>
        </w:rPr>
        <w:t>Behaviors</w:t>
      </w:r>
      <w:proofErr w:type="spellEnd"/>
      <w:r w:rsidRPr="00AD050F">
        <w:rPr>
          <w:rFonts w:asciiTheme="minorHAnsi" w:hAnsiTheme="minorHAnsi" w:cstheme="minorHAnsi"/>
          <w:i/>
          <w:iCs/>
          <w:sz w:val="24"/>
          <w:szCs w:val="24"/>
        </w:rPr>
        <w:t xml:space="preserve">, Vol. 89, pp229-235. </w:t>
      </w:r>
      <w:r w:rsidRPr="00AD050F">
        <w:rPr>
          <w:rFonts w:asciiTheme="minorHAnsi" w:hAnsiTheme="minorHAnsi" w:cstheme="minorHAnsi"/>
          <w:sz w:val="24"/>
          <w:szCs w:val="24"/>
        </w:rPr>
        <w:t xml:space="preserve">[Online]. Available at: </w:t>
      </w:r>
      <w:hyperlink r:id="rId62" w:history="1">
        <w:r w:rsidRPr="00AD050F">
          <w:rPr>
            <w:color w:val="0000FF"/>
            <w:sz w:val="24"/>
            <w:szCs w:val="24"/>
            <w:u w:val="single"/>
          </w:rPr>
          <w:t xml:space="preserve">Cognitive and affective empathy in binge drinking adolescents: Does empathy moderate </w:t>
        </w:r>
        <w:r w:rsidRPr="00AD050F">
          <w:rPr>
            <w:color w:val="0000FF"/>
            <w:sz w:val="24"/>
            <w:szCs w:val="24"/>
            <w:u w:val="single"/>
          </w:rPr>
          <w:lastRenderedPageBreak/>
          <w:t>the effect of self-efficacy in resisting peer pressure to drink? - ScienceDirect</w:t>
        </w:r>
      </w:hyperlink>
      <w:r w:rsidRPr="00AD050F">
        <w:rPr>
          <w:sz w:val="24"/>
          <w:szCs w:val="24"/>
        </w:rPr>
        <w:t xml:space="preserve"> (Accessed: 6</w:t>
      </w:r>
      <w:r w:rsidRPr="00AD050F">
        <w:rPr>
          <w:sz w:val="24"/>
          <w:szCs w:val="24"/>
          <w:vertAlign w:val="superscript"/>
        </w:rPr>
        <w:t>th</w:t>
      </w:r>
      <w:r w:rsidRPr="00AD050F">
        <w:rPr>
          <w:sz w:val="24"/>
          <w:szCs w:val="24"/>
        </w:rPr>
        <w:t xml:space="preserve"> June 2021)</w:t>
      </w:r>
      <w:r w:rsidRPr="00AD050F">
        <w:rPr>
          <w:rFonts w:asciiTheme="minorHAnsi" w:hAnsiTheme="minorHAnsi" w:cstheme="minorHAnsi"/>
          <w:sz w:val="24"/>
          <w:szCs w:val="24"/>
        </w:rPr>
        <w:t xml:space="preserve"> </w:t>
      </w:r>
    </w:p>
    <w:p w14:paraId="3E3AFDE3"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782AD024"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Laube</w:t>
      </w:r>
      <w:proofErr w:type="spellEnd"/>
      <w:r w:rsidRPr="00AD050F">
        <w:rPr>
          <w:rFonts w:asciiTheme="minorHAnsi" w:hAnsiTheme="minorHAnsi" w:cstheme="minorHAnsi"/>
          <w:sz w:val="24"/>
          <w:szCs w:val="24"/>
        </w:rPr>
        <w:t xml:space="preserve">, C. and Fuhrmann, D. (2020) ‘Is early good or bad? Early puberty onset and its consequences for learning’, </w:t>
      </w:r>
      <w:r w:rsidRPr="00AD050F">
        <w:rPr>
          <w:rFonts w:asciiTheme="minorHAnsi" w:hAnsiTheme="minorHAnsi" w:cstheme="minorHAnsi"/>
          <w:i/>
          <w:iCs/>
          <w:sz w:val="24"/>
          <w:szCs w:val="24"/>
        </w:rPr>
        <w:t xml:space="preserve">Current Opinion in </w:t>
      </w:r>
      <w:proofErr w:type="spellStart"/>
      <w:r w:rsidRPr="00AD050F">
        <w:rPr>
          <w:rFonts w:asciiTheme="minorHAnsi" w:hAnsiTheme="minorHAnsi" w:cstheme="minorHAnsi"/>
          <w:i/>
          <w:iCs/>
          <w:sz w:val="24"/>
          <w:szCs w:val="24"/>
        </w:rPr>
        <w:t>Behavioral</w:t>
      </w:r>
      <w:proofErr w:type="spellEnd"/>
      <w:r w:rsidRPr="00AD050F">
        <w:rPr>
          <w:rFonts w:asciiTheme="minorHAnsi" w:hAnsiTheme="minorHAnsi" w:cstheme="minorHAnsi"/>
          <w:i/>
          <w:iCs/>
          <w:sz w:val="24"/>
          <w:szCs w:val="24"/>
        </w:rPr>
        <w:t xml:space="preserve"> Sciences, Vol. 36, pp150-156. </w:t>
      </w:r>
      <w:r w:rsidRPr="00AD050F">
        <w:rPr>
          <w:rFonts w:asciiTheme="minorHAnsi" w:hAnsiTheme="minorHAnsi" w:cstheme="minorHAnsi"/>
          <w:sz w:val="24"/>
          <w:szCs w:val="24"/>
        </w:rPr>
        <w:t xml:space="preserve">[Online].  Available at: </w:t>
      </w:r>
      <w:hyperlink r:id="rId63" w:history="1">
        <w:r w:rsidRPr="00AD050F">
          <w:rPr>
            <w:rFonts w:asciiTheme="minorHAnsi" w:hAnsiTheme="minorHAnsi" w:cstheme="minorHAnsi"/>
            <w:color w:val="0000FF"/>
            <w:sz w:val="24"/>
            <w:szCs w:val="24"/>
            <w:u w:val="single"/>
          </w:rPr>
          <w:t>Is early good or bad? Early puberty onset and its consequences for learning - ScienceDirect</w:t>
        </w:r>
      </w:hyperlink>
      <w:r w:rsidRPr="00AD050F">
        <w:rPr>
          <w:rFonts w:asciiTheme="minorHAnsi" w:hAnsiTheme="minorHAnsi" w:cstheme="minorHAnsi"/>
          <w:sz w:val="24"/>
          <w:szCs w:val="24"/>
        </w:rPr>
        <w:t xml:space="preserve"> (Accessed: 23</w:t>
      </w:r>
      <w:r w:rsidRPr="00AD050F">
        <w:rPr>
          <w:rFonts w:asciiTheme="minorHAnsi" w:hAnsiTheme="minorHAnsi" w:cstheme="minorHAnsi"/>
          <w:sz w:val="24"/>
          <w:szCs w:val="24"/>
          <w:vertAlign w:val="superscript"/>
        </w:rPr>
        <w:t>rd</w:t>
      </w:r>
      <w:r w:rsidRPr="00AD050F">
        <w:rPr>
          <w:rFonts w:asciiTheme="minorHAnsi" w:hAnsiTheme="minorHAnsi" w:cstheme="minorHAnsi"/>
          <w:sz w:val="24"/>
          <w:szCs w:val="24"/>
        </w:rPr>
        <w:t xml:space="preserve"> November 2020)</w:t>
      </w:r>
    </w:p>
    <w:p w14:paraId="1D7FFDC0"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52366E37"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i/>
          <w:iCs/>
          <w:color w:val="auto"/>
          <w:sz w:val="24"/>
          <w:szCs w:val="24"/>
        </w:rPr>
      </w:pPr>
      <w:proofErr w:type="spellStart"/>
      <w:r w:rsidRPr="00AD050F">
        <w:rPr>
          <w:rStyle w:val="surname"/>
          <w:rFonts w:asciiTheme="minorHAnsi" w:hAnsiTheme="minorHAnsi" w:cstheme="minorHAnsi"/>
          <w:color w:val="333333"/>
          <w:sz w:val="24"/>
          <w:szCs w:val="24"/>
          <w:bdr w:val="none" w:sz="0" w:space="0" w:color="auto" w:frame="1"/>
          <w:shd w:val="clear" w:color="auto" w:fill="FFFFFF"/>
        </w:rPr>
        <w:t>Lejuez</w:t>
      </w:r>
      <w:proofErr w:type="spellEnd"/>
      <w:r w:rsidRPr="00AD050F">
        <w:rPr>
          <w:rStyle w:val="name"/>
          <w:rFonts w:asciiTheme="minorHAnsi" w:hAnsiTheme="minorHAnsi" w:cstheme="minorHAnsi"/>
          <w:color w:val="333333"/>
          <w:sz w:val="24"/>
          <w:szCs w:val="24"/>
          <w:bdr w:val="none" w:sz="0" w:space="0" w:color="auto" w:frame="1"/>
          <w:shd w:val="clear" w:color="auto" w:fill="FFFFFF"/>
        </w:rPr>
        <w:t>, </w:t>
      </w:r>
      <w:r w:rsidRPr="00AD050F">
        <w:rPr>
          <w:rStyle w:val="given-names"/>
          <w:rFonts w:asciiTheme="minorHAnsi" w:hAnsiTheme="minorHAnsi" w:cstheme="minorHAnsi"/>
          <w:color w:val="333333"/>
          <w:sz w:val="24"/>
          <w:szCs w:val="24"/>
          <w:bdr w:val="none" w:sz="0" w:space="0" w:color="auto" w:frame="1"/>
          <w:shd w:val="clear" w:color="auto" w:fill="FFFFFF"/>
        </w:rPr>
        <w:t>C.</w:t>
      </w:r>
      <w:r w:rsidRPr="00AD050F">
        <w:rPr>
          <w:rFonts w:asciiTheme="minorHAnsi" w:hAnsiTheme="minorHAnsi" w:cstheme="minorHAnsi"/>
          <w:color w:val="333333"/>
          <w:sz w:val="24"/>
          <w:szCs w:val="24"/>
          <w:shd w:val="clear" w:color="auto" w:fill="FFFFFF"/>
        </w:rPr>
        <w:t>, </w:t>
      </w:r>
      <w:proofErr w:type="spellStart"/>
      <w:r w:rsidRPr="00AD050F">
        <w:rPr>
          <w:rStyle w:val="surname"/>
          <w:rFonts w:asciiTheme="minorHAnsi" w:hAnsiTheme="minorHAnsi" w:cstheme="minorHAnsi"/>
          <w:color w:val="333333"/>
          <w:sz w:val="24"/>
          <w:szCs w:val="24"/>
          <w:bdr w:val="none" w:sz="0" w:space="0" w:color="auto" w:frame="1"/>
          <w:shd w:val="clear" w:color="auto" w:fill="FFFFFF"/>
        </w:rPr>
        <w:t>Aklin</w:t>
      </w:r>
      <w:proofErr w:type="spellEnd"/>
      <w:r w:rsidRPr="00AD050F">
        <w:rPr>
          <w:rStyle w:val="name"/>
          <w:rFonts w:asciiTheme="minorHAnsi" w:hAnsiTheme="minorHAnsi" w:cstheme="minorHAnsi"/>
          <w:color w:val="333333"/>
          <w:sz w:val="24"/>
          <w:szCs w:val="24"/>
          <w:bdr w:val="none" w:sz="0" w:space="0" w:color="auto" w:frame="1"/>
          <w:shd w:val="clear" w:color="auto" w:fill="FFFFFF"/>
        </w:rPr>
        <w:t>, </w:t>
      </w:r>
      <w:r w:rsidRPr="00AD050F">
        <w:rPr>
          <w:rStyle w:val="given-names"/>
          <w:rFonts w:asciiTheme="minorHAnsi" w:hAnsiTheme="minorHAnsi" w:cstheme="minorHAnsi"/>
          <w:color w:val="333333"/>
          <w:sz w:val="24"/>
          <w:szCs w:val="24"/>
          <w:bdr w:val="none" w:sz="0" w:space="0" w:color="auto" w:frame="1"/>
          <w:shd w:val="clear" w:color="auto" w:fill="FFFFFF"/>
        </w:rPr>
        <w:t>W.</w:t>
      </w:r>
      <w:r w:rsidRPr="00AD050F">
        <w:rPr>
          <w:rFonts w:asciiTheme="minorHAnsi" w:hAnsiTheme="minorHAnsi" w:cstheme="minorHAnsi"/>
          <w:color w:val="333333"/>
          <w:sz w:val="24"/>
          <w:szCs w:val="24"/>
          <w:shd w:val="clear" w:color="auto" w:fill="FFFFFF"/>
        </w:rPr>
        <w:t>, </w:t>
      </w:r>
      <w:r w:rsidRPr="00AD050F">
        <w:rPr>
          <w:rStyle w:val="surname"/>
          <w:rFonts w:asciiTheme="minorHAnsi" w:hAnsiTheme="minorHAnsi" w:cstheme="minorHAnsi"/>
          <w:color w:val="333333"/>
          <w:sz w:val="24"/>
          <w:szCs w:val="24"/>
          <w:bdr w:val="none" w:sz="0" w:space="0" w:color="auto" w:frame="1"/>
          <w:shd w:val="clear" w:color="auto" w:fill="FFFFFF"/>
        </w:rPr>
        <w:t>Daughters</w:t>
      </w:r>
      <w:r w:rsidRPr="00AD050F">
        <w:rPr>
          <w:rStyle w:val="name"/>
          <w:rFonts w:asciiTheme="minorHAnsi" w:hAnsiTheme="minorHAnsi" w:cstheme="minorHAnsi"/>
          <w:color w:val="333333"/>
          <w:sz w:val="24"/>
          <w:szCs w:val="24"/>
          <w:bdr w:val="none" w:sz="0" w:space="0" w:color="auto" w:frame="1"/>
          <w:shd w:val="clear" w:color="auto" w:fill="FFFFFF"/>
        </w:rPr>
        <w:t>, </w:t>
      </w:r>
      <w:r w:rsidRPr="00AD050F">
        <w:rPr>
          <w:rStyle w:val="given-names"/>
          <w:rFonts w:asciiTheme="minorHAnsi" w:hAnsiTheme="minorHAnsi" w:cstheme="minorHAnsi"/>
          <w:color w:val="333333"/>
          <w:sz w:val="24"/>
          <w:szCs w:val="24"/>
          <w:bdr w:val="none" w:sz="0" w:space="0" w:color="auto" w:frame="1"/>
          <w:shd w:val="clear" w:color="auto" w:fill="FFFFFF"/>
        </w:rPr>
        <w:t>S.</w:t>
      </w:r>
      <w:r w:rsidRPr="00AD050F">
        <w:rPr>
          <w:rFonts w:asciiTheme="minorHAnsi" w:hAnsiTheme="minorHAnsi" w:cstheme="minorHAnsi"/>
          <w:color w:val="333333"/>
          <w:sz w:val="24"/>
          <w:szCs w:val="24"/>
          <w:shd w:val="clear" w:color="auto" w:fill="FFFFFF"/>
        </w:rPr>
        <w:t>, </w:t>
      </w:r>
      <w:proofErr w:type="spellStart"/>
      <w:r w:rsidRPr="00AD050F">
        <w:rPr>
          <w:rStyle w:val="surname"/>
          <w:rFonts w:asciiTheme="minorHAnsi" w:hAnsiTheme="minorHAnsi" w:cstheme="minorHAnsi"/>
          <w:color w:val="333333"/>
          <w:sz w:val="24"/>
          <w:szCs w:val="24"/>
          <w:bdr w:val="none" w:sz="0" w:space="0" w:color="auto" w:frame="1"/>
          <w:shd w:val="clear" w:color="auto" w:fill="FFFFFF"/>
        </w:rPr>
        <w:t>Zvolensky</w:t>
      </w:r>
      <w:proofErr w:type="spellEnd"/>
      <w:r w:rsidRPr="00AD050F">
        <w:rPr>
          <w:rStyle w:val="name"/>
          <w:rFonts w:asciiTheme="minorHAnsi" w:hAnsiTheme="minorHAnsi" w:cstheme="minorHAnsi"/>
          <w:color w:val="333333"/>
          <w:sz w:val="24"/>
          <w:szCs w:val="24"/>
          <w:bdr w:val="none" w:sz="0" w:space="0" w:color="auto" w:frame="1"/>
          <w:shd w:val="clear" w:color="auto" w:fill="FFFFFF"/>
        </w:rPr>
        <w:t>, </w:t>
      </w:r>
      <w:r w:rsidRPr="00AD050F">
        <w:rPr>
          <w:rStyle w:val="given-names"/>
          <w:rFonts w:asciiTheme="minorHAnsi" w:hAnsiTheme="minorHAnsi" w:cstheme="minorHAnsi"/>
          <w:color w:val="333333"/>
          <w:sz w:val="24"/>
          <w:szCs w:val="24"/>
          <w:bdr w:val="none" w:sz="0" w:space="0" w:color="auto" w:frame="1"/>
          <w:shd w:val="clear" w:color="auto" w:fill="FFFFFF"/>
        </w:rPr>
        <w:t>M.</w:t>
      </w:r>
      <w:r w:rsidRPr="00AD050F">
        <w:rPr>
          <w:rFonts w:asciiTheme="minorHAnsi" w:hAnsiTheme="minorHAnsi" w:cstheme="minorHAnsi"/>
          <w:color w:val="333333"/>
          <w:sz w:val="24"/>
          <w:szCs w:val="24"/>
          <w:shd w:val="clear" w:color="auto" w:fill="FFFFFF"/>
        </w:rPr>
        <w:t>, </w:t>
      </w:r>
      <w:r w:rsidRPr="00AD050F">
        <w:rPr>
          <w:rStyle w:val="surname"/>
          <w:rFonts w:asciiTheme="minorHAnsi" w:hAnsiTheme="minorHAnsi" w:cstheme="minorHAnsi"/>
          <w:color w:val="333333"/>
          <w:sz w:val="24"/>
          <w:szCs w:val="24"/>
          <w:bdr w:val="none" w:sz="0" w:space="0" w:color="auto" w:frame="1"/>
          <w:shd w:val="clear" w:color="auto" w:fill="FFFFFF"/>
        </w:rPr>
        <w:t>Kahler</w:t>
      </w:r>
      <w:r w:rsidRPr="00AD050F">
        <w:rPr>
          <w:rStyle w:val="name"/>
          <w:rFonts w:asciiTheme="minorHAnsi" w:hAnsiTheme="minorHAnsi" w:cstheme="minorHAnsi"/>
          <w:color w:val="333333"/>
          <w:sz w:val="24"/>
          <w:szCs w:val="24"/>
          <w:bdr w:val="none" w:sz="0" w:space="0" w:color="auto" w:frame="1"/>
          <w:shd w:val="clear" w:color="auto" w:fill="FFFFFF"/>
        </w:rPr>
        <w:t>, </w:t>
      </w:r>
      <w:r w:rsidRPr="00AD050F">
        <w:rPr>
          <w:rStyle w:val="given-names"/>
          <w:rFonts w:asciiTheme="minorHAnsi" w:hAnsiTheme="minorHAnsi" w:cstheme="minorHAnsi"/>
          <w:color w:val="333333"/>
          <w:sz w:val="24"/>
          <w:szCs w:val="24"/>
          <w:bdr w:val="none" w:sz="0" w:space="0" w:color="auto" w:frame="1"/>
          <w:shd w:val="clear" w:color="auto" w:fill="FFFFFF"/>
        </w:rPr>
        <w:t xml:space="preserve">C. and </w:t>
      </w:r>
      <w:proofErr w:type="spellStart"/>
      <w:r w:rsidRPr="00AD050F">
        <w:rPr>
          <w:rStyle w:val="surname"/>
          <w:rFonts w:asciiTheme="minorHAnsi" w:hAnsiTheme="minorHAnsi" w:cstheme="minorHAnsi"/>
          <w:color w:val="333333"/>
          <w:sz w:val="24"/>
          <w:szCs w:val="24"/>
          <w:bdr w:val="none" w:sz="0" w:space="0" w:color="auto" w:frame="1"/>
          <w:shd w:val="clear" w:color="auto" w:fill="FFFFFF"/>
        </w:rPr>
        <w:t>Gwadz</w:t>
      </w:r>
      <w:proofErr w:type="spellEnd"/>
      <w:r w:rsidRPr="00AD050F">
        <w:rPr>
          <w:rStyle w:val="name"/>
          <w:rFonts w:asciiTheme="minorHAnsi" w:hAnsiTheme="minorHAnsi" w:cstheme="minorHAnsi"/>
          <w:color w:val="333333"/>
          <w:sz w:val="24"/>
          <w:szCs w:val="24"/>
          <w:bdr w:val="none" w:sz="0" w:space="0" w:color="auto" w:frame="1"/>
          <w:shd w:val="clear" w:color="auto" w:fill="FFFFFF"/>
        </w:rPr>
        <w:t>, </w:t>
      </w:r>
      <w:r w:rsidRPr="00AD050F">
        <w:rPr>
          <w:rStyle w:val="given-names"/>
          <w:rFonts w:asciiTheme="minorHAnsi" w:hAnsiTheme="minorHAnsi" w:cstheme="minorHAnsi"/>
          <w:color w:val="333333"/>
          <w:sz w:val="24"/>
          <w:szCs w:val="24"/>
          <w:bdr w:val="none" w:sz="0" w:space="0" w:color="auto" w:frame="1"/>
          <w:shd w:val="clear" w:color="auto" w:fill="FFFFFF"/>
        </w:rPr>
        <w:t>M.</w:t>
      </w:r>
      <w:r w:rsidRPr="00AD050F">
        <w:rPr>
          <w:rFonts w:asciiTheme="minorHAnsi" w:hAnsiTheme="minorHAnsi" w:cstheme="minorHAnsi"/>
          <w:color w:val="333333"/>
          <w:sz w:val="24"/>
          <w:szCs w:val="24"/>
          <w:shd w:val="clear" w:color="auto" w:fill="FFFFFF"/>
        </w:rPr>
        <w:t> (</w:t>
      </w:r>
      <w:r w:rsidRPr="00AD050F">
        <w:rPr>
          <w:rStyle w:val="year"/>
          <w:rFonts w:asciiTheme="minorHAnsi" w:hAnsiTheme="minorHAnsi" w:cstheme="minorHAnsi"/>
          <w:color w:val="333333"/>
          <w:sz w:val="24"/>
          <w:szCs w:val="24"/>
          <w:bdr w:val="none" w:sz="0" w:space="0" w:color="auto" w:frame="1"/>
          <w:shd w:val="clear" w:color="auto" w:fill="FFFFFF"/>
        </w:rPr>
        <w:t>2007</w:t>
      </w:r>
      <w:r w:rsidRPr="00AD050F">
        <w:rPr>
          <w:rFonts w:asciiTheme="minorHAnsi" w:hAnsiTheme="minorHAnsi" w:cstheme="minorHAnsi"/>
          <w:color w:val="333333"/>
          <w:sz w:val="24"/>
          <w:szCs w:val="24"/>
          <w:shd w:val="clear" w:color="auto" w:fill="FFFFFF"/>
        </w:rPr>
        <w:t>) ‘</w:t>
      </w:r>
      <w:r w:rsidRPr="00AD050F">
        <w:rPr>
          <w:rStyle w:val="source"/>
          <w:rFonts w:asciiTheme="minorHAnsi" w:hAnsiTheme="minorHAnsi" w:cstheme="minorHAnsi"/>
          <w:color w:val="333333"/>
          <w:sz w:val="24"/>
          <w:szCs w:val="24"/>
          <w:bdr w:val="none" w:sz="0" w:space="0" w:color="auto" w:frame="1"/>
          <w:shd w:val="clear" w:color="auto" w:fill="FFFFFF"/>
        </w:rPr>
        <w:t xml:space="preserve">Reliability and validity of the youth version of the Balloon Analogue Risk Task (BART-Y) in the assessment of risk-taking </w:t>
      </w:r>
      <w:proofErr w:type="spellStart"/>
      <w:r w:rsidRPr="00AD050F">
        <w:rPr>
          <w:rStyle w:val="source"/>
          <w:rFonts w:asciiTheme="minorHAnsi" w:hAnsiTheme="minorHAnsi" w:cstheme="minorHAnsi"/>
          <w:color w:val="333333"/>
          <w:sz w:val="24"/>
          <w:szCs w:val="24"/>
          <w:bdr w:val="none" w:sz="0" w:space="0" w:color="auto" w:frame="1"/>
          <w:shd w:val="clear" w:color="auto" w:fill="FFFFFF"/>
        </w:rPr>
        <w:t>behavior</w:t>
      </w:r>
      <w:proofErr w:type="spellEnd"/>
      <w:r w:rsidRPr="00AD050F">
        <w:rPr>
          <w:rStyle w:val="source"/>
          <w:rFonts w:asciiTheme="minorHAnsi" w:hAnsiTheme="minorHAnsi" w:cstheme="minorHAnsi"/>
          <w:color w:val="333333"/>
          <w:sz w:val="24"/>
          <w:szCs w:val="24"/>
          <w:bdr w:val="none" w:sz="0" w:space="0" w:color="auto" w:frame="1"/>
          <w:shd w:val="clear" w:color="auto" w:fill="FFFFFF"/>
        </w:rPr>
        <w:t xml:space="preserve"> among inner-city adolescents’,</w:t>
      </w:r>
      <w:r w:rsidRPr="00AD050F">
        <w:rPr>
          <w:rFonts w:asciiTheme="minorHAnsi" w:hAnsiTheme="minorHAnsi" w:cstheme="minorHAnsi"/>
          <w:color w:val="333333"/>
          <w:sz w:val="24"/>
          <w:szCs w:val="24"/>
          <w:shd w:val="clear" w:color="auto" w:fill="FFFFFF"/>
        </w:rPr>
        <w:t> </w:t>
      </w:r>
      <w:r w:rsidRPr="00AD050F">
        <w:rPr>
          <w:rStyle w:val="volume"/>
          <w:rFonts w:asciiTheme="minorHAnsi" w:hAnsiTheme="minorHAnsi" w:cstheme="minorHAnsi"/>
          <w:i/>
          <w:iCs/>
          <w:color w:val="333333"/>
          <w:sz w:val="24"/>
          <w:szCs w:val="24"/>
          <w:bdr w:val="none" w:sz="0" w:space="0" w:color="auto" w:frame="1"/>
          <w:shd w:val="clear" w:color="auto" w:fill="FFFFFF"/>
        </w:rPr>
        <w:t>Journal of Clinical Child and Adolescent Psychology</w:t>
      </w:r>
      <w:r w:rsidRPr="00AD050F">
        <w:rPr>
          <w:rFonts w:asciiTheme="minorHAnsi" w:hAnsiTheme="minorHAnsi" w:cstheme="minorHAnsi"/>
          <w:color w:val="333333"/>
          <w:sz w:val="24"/>
          <w:szCs w:val="24"/>
          <w:shd w:val="clear" w:color="auto" w:fill="FFFFFF"/>
        </w:rPr>
        <w:t>, Vol.</w:t>
      </w:r>
      <w:r w:rsidRPr="00AD050F">
        <w:rPr>
          <w:rStyle w:val="fpage"/>
          <w:rFonts w:asciiTheme="minorHAnsi" w:hAnsiTheme="minorHAnsi" w:cstheme="minorHAnsi"/>
          <w:color w:val="333333"/>
          <w:sz w:val="24"/>
          <w:szCs w:val="24"/>
          <w:bdr w:val="none" w:sz="0" w:space="0" w:color="auto" w:frame="1"/>
          <w:shd w:val="clear" w:color="auto" w:fill="FFFFFF"/>
        </w:rPr>
        <w:t>36</w:t>
      </w:r>
      <w:r w:rsidRPr="00AD050F">
        <w:rPr>
          <w:rFonts w:asciiTheme="minorHAnsi" w:hAnsiTheme="minorHAnsi" w:cstheme="minorHAnsi"/>
          <w:color w:val="333333"/>
          <w:sz w:val="24"/>
          <w:szCs w:val="24"/>
          <w:shd w:val="clear" w:color="auto" w:fill="FFFFFF"/>
        </w:rPr>
        <w:t>, pp</w:t>
      </w:r>
      <w:r w:rsidRPr="00AD050F">
        <w:rPr>
          <w:rStyle w:val="lpage"/>
          <w:rFonts w:asciiTheme="minorHAnsi" w:hAnsiTheme="minorHAnsi" w:cstheme="minorHAnsi"/>
          <w:color w:val="333333"/>
          <w:sz w:val="24"/>
          <w:szCs w:val="24"/>
          <w:bdr w:val="none" w:sz="0" w:space="0" w:color="auto" w:frame="1"/>
          <w:shd w:val="clear" w:color="auto" w:fill="FFFFFF"/>
        </w:rPr>
        <w:t>106</w:t>
      </w:r>
      <w:r w:rsidRPr="00AD050F">
        <w:rPr>
          <w:rFonts w:asciiTheme="minorHAnsi" w:hAnsiTheme="minorHAnsi" w:cstheme="minorHAnsi"/>
          <w:color w:val="333333"/>
          <w:sz w:val="24"/>
          <w:szCs w:val="24"/>
          <w:shd w:val="clear" w:color="auto" w:fill="FFFFFF"/>
        </w:rPr>
        <w:t>–</w:t>
      </w:r>
      <w:r w:rsidRPr="00AD050F">
        <w:rPr>
          <w:rFonts w:asciiTheme="minorHAnsi" w:hAnsiTheme="minorHAnsi" w:cstheme="minorHAnsi"/>
          <w:color w:val="333333"/>
          <w:sz w:val="24"/>
          <w:szCs w:val="24"/>
          <w:bdr w:val="none" w:sz="0" w:space="0" w:color="auto" w:frame="1"/>
          <w:shd w:val="clear" w:color="auto" w:fill="FFFFFF"/>
        </w:rPr>
        <w:t xml:space="preserve">111. </w:t>
      </w:r>
      <w:r w:rsidRPr="00AD050F">
        <w:rPr>
          <w:rFonts w:asciiTheme="minorHAnsi" w:hAnsiTheme="minorHAnsi" w:cstheme="minorHAnsi"/>
          <w:sz w:val="24"/>
          <w:szCs w:val="24"/>
        </w:rPr>
        <w:t xml:space="preserve">[Online].  Available at: </w:t>
      </w:r>
      <w:hyperlink r:id="rId64" w:history="1">
        <w:r w:rsidRPr="00AD050F">
          <w:rPr>
            <w:rFonts w:asciiTheme="minorHAnsi" w:hAnsiTheme="minorHAnsi" w:cstheme="minorHAnsi"/>
            <w:color w:val="0000FF"/>
            <w:sz w:val="24"/>
            <w:szCs w:val="24"/>
            <w:u w:val="single"/>
          </w:rPr>
          <w:t>Reliability and Validity of the Youth Version of the Balloon Analogue Risk ...: EBSCOhost (uwtsd.ac.uk)</w:t>
        </w:r>
      </w:hyperlink>
      <w:r w:rsidRPr="00AD050F">
        <w:rPr>
          <w:rFonts w:asciiTheme="minorHAnsi" w:hAnsiTheme="minorHAnsi" w:cstheme="minorHAnsi"/>
          <w:sz w:val="24"/>
          <w:szCs w:val="24"/>
        </w:rPr>
        <w:t xml:space="preserve"> (Accessed: 10</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June 2021)</w:t>
      </w:r>
    </w:p>
    <w:p w14:paraId="0D2F080E"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6054ACEB"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roofErr w:type="spellStart"/>
      <w:r w:rsidRPr="00AD050F">
        <w:rPr>
          <w:rFonts w:asciiTheme="minorHAnsi" w:hAnsiTheme="minorHAnsi" w:cstheme="minorHAnsi"/>
          <w:color w:val="auto"/>
          <w:sz w:val="24"/>
          <w:szCs w:val="24"/>
        </w:rPr>
        <w:t>Lensch</w:t>
      </w:r>
      <w:proofErr w:type="spellEnd"/>
      <w:r w:rsidRPr="00AD050F">
        <w:rPr>
          <w:rFonts w:asciiTheme="minorHAnsi" w:hAnsiTheme="minorHAnsi" w:cstheme="minorHAnsi"/>
          <w:color w:val="auto"/>
          <w:sz w:val="24"/>
          <w:szCs w:val="24"/>
        </w:rPr>
        <w:t xml:space="preserve">, T., Clements-Nolle, K., Oman, R. Evans, W., Lu, M. and Yang, W. (2020) ‘Adverse Childhood Experiences and Suicidal </w:t>
      </w:r>
      <w:proofErr w:type="spellStart"/>
      <w:r w:rsidRPr="00AD050F">
        <w:rPr>
          <w:rFonts w:asciiTheme="minorHAnsi" w:hAnsiTheme="minorHAnsi" w:cstheme="minorHAnsi"/>
          <w:color w:val="auto"/>
          <w:sz w:val="24"/>
          <w:szCs w:val="24"/>
        </w:rPr>
        <w:t>Behaviors</w:t>
      </w:r>
      <w:proofErr w:type="spellEnd"/>
      <w:r w:rsidRPr="00AD050F">
        <w:rPr>
          <w:rFonts w:asciiTheme="minorHAnsi" w:hAnsiTheme="minorHAnsi" w:cstheme="minorHAnsi"/>
          <w:color w:val="auto"/>
          <w:sz w:val="24"/>
          <w:szCs w:val="24"/>
        </w:rPr>
        <w:t xml:space="preserve"> Among Youth; The Buffering Influence of Family Communications and School Connectedness’, </w:t>
      </w:r>
      <w:r w:rsidRPr="00AD050F">
        <w:rPr>
          <w:rFonts w:asciiTheme="minorHAnsi" w:hAnsiTheme="minorHAnsi" w:cstheme="minorHAnsi"/>
          <w:i/>
          <w:iCs/>
          <w:color w:val="auto"/>
          <w:sz w:val="24"/>
          <w:szCs w:val="24"/>
        </w:rPr>
        <w:t xml:space="preserve">Journal of Adolescent Health, Vol. 68, pp945-952. </w:t>
      </w:r>
      <w:bookmarkStart w:id="22" w:name="_Hlk71460986"/>
      <w:r w:rsidRPr="00AD050F">
        <w:rPr>
          <w:rFonts w:asciiTheme="minorHAnsi" w:hAnsiTheme="minorHAnsi" w:cstheme="minorHAnsi"/>
          <w:sz w:val="24"/>
          <w:szCs w:val="24"/>
        </w:rPr>
        <w:t xml:space="preserve">[Online].  Available at: </w:t>
      </w:r>
      <w:bookmarkEnd w:id="22"/>
      <w:r w:rsidRPr="00AD050F">
        <w:rPr>
          <w:rFonts w:asciiTheme="minorHAnsi" w:hAnsiTheme="minorHAnsi" w:cstheme="minorHAnsi"/>
          <w:sz w:val="24"/>
          <w:szCs w:val="24"/>
        </w:rPr>
        <w:fldChar w:fldCharType="begin"/>
      </w:r>
      <w:r w:rsidRPr="00AD050F">
        <w:rPr>
          <w:rFonts w:asciiTheme="minorHAnsi" w:hAnsiTheme="minorHAnsi" w:cstheme="minorHAnsi"/>
          <w:sz w:val="24"/>
          <w:szCs w:val="24"/>
        </w:rPr>
        <w:instrText xml:space="preserve"> HYPERLINK "https://www.sciencedirect.com/science/article/pii/S1054139X20305073" </w:instrText>
      </w:r>
      <w:r w:rsidRPr="00AD050F">
        <w:rPr>
          <w:rFonts w:asciiTheme="minorHAnsi" w:hAnsiTheme="minorHAnsi" w:cstheme="minorHAnsi"/>
          <w:sz w:val="24"/>
          <w:szCs w:val="24"/>
        </w:rPr>
        <w:fldChar w:fldCharType="separate"/>
      </w:r>
      <w:r w:rsidRPr="00AD050F">
        <w:rPr>
          <w:rFonts w:asciiTheme="minorHAnsi" w:hAnsiTheme="minorHAnsi" w:cstheme="minorHAnsi"/>
          <w:color w:val="0000FF"/>
          <w:sz w:val="24"/>
          <w:szCs w:val="24"/>
          <w:u w:val="single"/>
        </w:rPr>
        <w:t>https://www.sciencedirect.com/science/article/pii/S1054139X20305073</w:t>
      </w:r>
      <w:r w:rsidRPr="00AD050F">
        <w:rPr>
          <w:rFonts w:asciiTheme="minorHAnsi" w:hAnsiTheme="minorHAnsi" w:cstheme="minorHAnsi"/>
          <w:color w:val="0000FF"/>
          <w:sz w:val="24"/>
          <w:szCs w:val="24"/>
          <w:u w:val="single"/>
        </w:rPr>
        <w:fldChar w:fldCharType="end"/>
      </w:r>
      <w:r w:rsidRPr="00AD050F">
        <w:rPr>
          <w:rFonts w:asciiTheme="minorHAnsi" w:hAnsiTheme="minorHAnsi" w:cstheme="minorHAnsi"/>
          <w:sz w:val="24"/>
          <w:szCs w:val="24"/>
        </w:rPr>
        <w:t xml:space="preserve">  (Accessed: 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April 2021)</w:t>
      </w:r>
    </w:p>
    <w:p w14:paraId="2B7A972D"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19067117"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roofErr w:type="spellStart"/>
      <w:r w:rsidRPr="00AD050F">
        <w:rPr>
          <w:rFonts w:asciiTheme="minorHAnsi" w:hAnsiTheme="minorHAnsi" w:cstheme="minorHAnsi"/>
          <w:color w:val="auto"/>
          <w:sz w:val="24"/>
          <w:szCs w:val="24"/>
        </w:rPr>
        <w:t>Levola</w:t>
      </w:r>
      <w:proofErr w:type="spellEnd"/>
      <w:r w:rsidRPr="00AD050F">
        <w:rPr>
          <w:rFonts w:asciiTheme="minorHAnsi" w:hAnsiTheme="minorHAnsi" w:cstheme="minorHAnsi"/>
          <w:color w:val="auto"/>
          <w:sz w:val="24"/>
          <w:szCs w:val="24"/>
        </w:rPr>
        <w:t xml:space="preserve">, J., Sarala, M., </w:t>
      </w:r>
      <w:proofErr w:type="spellStart"/>
      <w:r w:rsidRPr="00AD050F">
        <w:rPr>
          <w:rFonts w:asciiTheme="minorHAnsi" w:hAnsiTheme="minorHAnsi" w:cstheme="minorHAnsi"/>
          <w:color w:val="auto"/>
          <w:sz w:val="24"/>
          <w:szCs w:val="24"/>
        </w:rPr>
        <w:t>Mustonen</w:t>
      </w:r>
      <w:proofErr w:type="spellEnd"/>
      <w:r w:rsidRPr="00AD050F">
        <w:rPr>
          <w:rFonts w:asciiTheme="minorHAnsi" w:hAnsiTheme="minorHAnsi" w:cstheme="minorHAnsi"/>
          <w:color w:val="auto"/>
          <w:sz w:val="24"/>
          <w:szCs w:val="24"/>
        </w:rPr>
        <w:t xml:space="preserve">, A., Rose, </w:t>
      </w:r>
      <w:proofErr w:type="gramStart"/>
      <w:r w:rsidRPr="00AD050F">
        <w:rPr>
          <w:rFonts w:asciiTheme="minorHAnsi" w:hAnsiTheme="minorHAnsi" w:cstheme="minorHAnsi"/>
          <w:color w:val="auto"/>
          <w:sz w:val="24"/>
          <w:szCs w:val="24"/>
        </w:rPr>
        <w:t>R.,</w:t>
      </w:r>
      <w:proofErr w:type="spellStart"/>
      <w:r w:rsidRPr="00AD050F">
        <w:rPr>
          <w:rFonts w:asciiTheme="minorHAnsi" w:hAnsiTheme="minorHAnsi" w:cstheme="minorHAnsi"/>
          <w:color w:val="auto"/>
          <w:sz w:val="24"/>
          <w:szCs w:val="24"/>
        </w:rPr>
        <w:t>Miettunen</w:t>
      </w:r>
      <w:proofErr w:type="spellEnd"/>
      <w:proofErr w:type="gramEnd"/>
      <w:r w:rsidRPr="00AD050F">
        <w:rPr>
          <w:rFonts w:asciiTheme="minorHAnsi" w:hAnsiTheme="minorHAnsi" w:cstheme="minorHAnsi"/>
          <w:color w:val="auto"/>
          <w:sz w:val="24"/>
          <w:szCs w:val="24"/>
        </w:rPr>
        <w:t xml:space="preserve">, J., Niemela, A and Niemela, S. (2020) ‘Frequent Alcohol Intoxication and High Alcohol Tolerance During Adolescence as Predictors of Mortality: A Birth Cohort Study’, </w:t>
      </w:r>
      <w:r w:rsidRPr="00AD050F">
        <w:rPr>
          <w:rFonts w:asciiTheme="minorHAnsi" w:hAnsiTheme="minorHAnsi" w:cstheme="minorHAnsi"/>
          <w:i/>
          <w:iCs/>
          <w:color w:val="auto"/>
          <w:sz w:val="24"/>
          <w:szCs w:val="24"/>
        </w:rPr>
        <w:t xml:space="preserve">Journal of Adolescent Health, Vol. 67, pp692-699. </w:t>
      </w:r>
      <w:r w:rsidRPr="00AD050F">
        <w:rPr>
          <w:rFonts w:asciiTheme="minorHAnsi" w:hAnsiTheme="minorHAnsi" w:cstheme="minorHAnsi"/>
          <w:sz w:val="24"/>
          <w:szCs w:val="24"/>
        </w:rPr>
        <w:t xml:space="preserve">[Online].  Available at: </w:t>
      </w:r>
      <w:r w:rsidRPr="00AD050F">
        <w:rPr>
          <w:rFonts w:asciiTheme="minorHAnsi" w:hAnsiTheme="minorHAnsi" w:cstheme="minorHAnsi"/>
          <w:color w:val="auto"/>
          <w:sz w:val="24"/>
          <w:szCs w:val="24"/>
        </w:rPr>
        <w:t xml:space="preserve">   </w:t>
      </w:r>
      <w:hyperlink r:id="rId65" w:history="1">
        <w:r w:rsidRPr="00AD050F">
          <w:rPr>
            <w:color w:val="0000FF"/>
            <w:sz w:val="24"/>
            <w:szCs w:val="24"/>
            <w:u w:val="single"/>
          </w:rPr>
          <w:t>Frequent Alcohol Intoxication and High Alcohol Tolerance During Adolescence as Predictors of Mortality: A Birth Cohort Study | Elsevier Enhanced Reader</w:t>
        </w:r>
      </w:hyperlink>
      <w:r w:rsidRPr="00AD050F">
        <w:rPr>
          <w:sz w:val="24"/>
          <w:szCs w:val="24"/>
        </w:rPr>
        <w:t xml:space="preserve"> (Accessed: 5</w:t>
      </w:r>
      <w:r w:rsidRPr="00AD050F">
        <w:rPr>
          <w:sz w:val="24"/>
          <w:szCs w:val="24"/>
          <w:vertAlign w:val="superscript"/>
        </w:rPr>
        <w:t>th</w:t>
      </w:r>
      <w:r w:rsidRPr="00AD050F">
        <w:rPr>
          <w:sz w:val="24"/>
          <w:szCs w:val="24"/>
        </w:rPr>
        <w:t xml:space="preserve"> May 2021)</w:t>
      </w:r>
    </w:p>
    <w:p w14:paraId="272D4DBB"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100BD8A0"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color w:val="auto"/>
          <w:sz w:val="24"/>
          <w:szCs w:val="24"/>
        </w:rPr>
        <w:t xml:space="preserve">Lin, M., Huang, W., Hwang, H., Wu, H. and Yen, L. (2004) ‘The effect of crash experience on changes in risk taking among urban and rural young people’, </w:t>
      </w:r>
      <w:r w:rsidRPr="00AD050F">
        <w:rPr>
          <w:rFonts w:asciiTheme="minorHAnsi" w:hAnsiTheme="minorHAnsi" w:cstheme="minorHAnsi"/>
          <w:i/>
          <w:iCs/>
          <w:color w:val="auto"/>
          <w:sz w:val="24"/>
          <w:szCs w:val="24"/>
        </w:rPr>
        <w:t xml:space="preserve">Accident Analysis and Prevention, Vol. 36, pp 213-222. </w:t>
      </w:r>
      <w:r w:rsidRPr="00AD050F">
        <w:rPr>
          <w:rFonts w:asciiTheme="minorHAnsi" w:hAnsiTheme="minorHAnsi" w:cstheme="minorHAnsi"/>
          <w:color w:val="auto"/>
          <w:sz w:val="24"/>
          <w:szCs w:val="24"/>
        </w:rPr>
        <w:t xml:space="preserve">[Online]. Available at: </w:t>
      </w:r>
      <w:hyperlink r:id="rId66" w:history="1">
        <w:r w:rsidRPr="00AD050F">
          <w:rPr>
            <w:color w:val="0000FF"/>
            <w:sz w:val="24"/>
            <w:szCs w:val="24"/>
            <w:u w:val="single"/>
          </w:rPr>
          <w:t>The effect of crash experience on changes in risk taking among urban and rural young people - ScienceDirect</w:t>
        </w:r>
      </w:hyperlink>
      <w:r w:rsidRPr="00AD050F">
        <w:rPr>
          <w:sz w:val="24"/>
          <w:szCs w:val="24"/>
        </w:rPr>
        <w:t xml:space="preserve"> (Accessed: 3</w:t>
      </w:r>
      <w:r w:rsidRPr="00AD050F">
        <w:rPr>
          <w:sz w:val="24"/>
          <w:szCs w:val="24"/>
          <w:vertAlign w:val="superscript"/>
        </w:rPr>
        <w:t>rd</w:t>
      </w:r>
      <w:r w:rsidRPr="00AD050F">
        <w:rPr>
          <w:sz w:val="24"/>
          <w:szCs w:val="24"/>
        </w:rPr>
        <w:t xml:space="preserve"> December 2020)</w:t>
      </w:r>
    </w:p>
    <w:p w14:paraId="318235DD"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6B591A8D"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Magson</w:t>
      </w:r>
      <w:proofErr w:type="spellEnd"/>
      <w:r w:rsidRPr="00AD050F">
        <w:rPr>
          <w:rFonts w:asciiTheme="minorHAnsi" w:hAnsiTheme="minorHAnsi" w:cstheme="minorHAnsi"/>
          <w:sz w:val="24"/>
          <w:szCs w:val="24"/>
        </w:rPr>
        <w:t xml:space="preserve">, N., Freeman, J., </w:t>
      </w:r>
      <w:proofErr w:type="spellStart"/>
      <w:r w:rsidRPr="00AD050F">
        <w:rPr>
          <w:rFonts w:asciiTheme="minorHAnsi" w:hAnsiTheme="minorHAnsi" w:cstheme="minorHAnsi"/>
          <w:sz w:val="24"/>
          <w:szCs w:val="24"/>
        </w:rPr>
        <w:t>Rapee</w:t>
      </w:r>
      <w:proofErr w:type="spellEnd"/>
      <w:r w:rsidRPr="00AD050F">
        <w:rPr>
          <w:rFonts w:asciiTheme="minorHAnsi" w:hAnsiTheme="minorHAnsi" w:cstheme="minorHAnsi"/>
          <w:sz w:val="24"/>
          <w:szCs w:val="24"/>
        </w:rPr>
        <w:t xml:space="preserve">, R., Richardson, C., Oar, E. and </w:t>
      </w:r>
      <w:proofErr w:type="spellStart"/>
      <w:r w:rsidRPr="00AD050F">
        <w:rPr>
          <w:rFonts w:asciiTheme="minorHAnsi" w:hAnsiTheme="minorHAnsi" w:cstheme="minorHAnsi"/>
          <w:sz w:val="24"/>
          <w:szCs w:val="24"/>
        </w:rPr>
        <w:t>Fardouly</w:t>
      </w:r>
      <w:proofErr w:type="spellEnd"/>
      <w:r w:rsidRPr="00AD050F">
        <w:rPr>
          <w:rFonts w:asciiTheme="minorHAnsi" w:hAnsiTheme="minorHAnsi" w:cstheme="minorHAnsi"/>
          <w:sz w:val="24"/>
          <w:szCs w:val="24"/>
        </w:rPr>
        <w:t xml:space="preserve">, J. (2021) ‘Risk and Protective Factors for Prospective Changes in Adolescent Mental Health during the COVID-19 Pandemic’, </w:t>
      </w:r>
      <w:r w:rsidRPr="00AD050F">
        <w:rPr>
          <w:rFonts w:asciiTheme="minorHAnsi" w:hAnsiTheme="minorHAnsi" w:cstheme="minorHAnsi"/>
          <w:i/>
          <w:iCs/>
          <w:sz w:val="24"/>
          <w:szCs w:val="24"/>
        </w:rPr>
        <w:t xml:space="preserve">Journal of Youth and Adolescence. </w:t>
      </w:r>
      <w:r w:rsidRPr="00AD050F">
        <w:rPr>
          <w:rFonts w:asciiTheme="minorHAnsi" w:hAnsiTheme="minorHAnsi" w:cstheme="minorHAnsi"/>
          <w:sz w:val="24"/>
          <w:szCs w:val="24"/>
        </w:rPr>
        <w:t xml:space="preserve">[Online]. Available at: </w:t>
      </w:r>
      <w:hyperlink r:id="rId67" w:history="1">
        <w:r w:rsidRPr="00AD050F">
          <w:rPr>
            <w:rFonts w:asciiTheme="minorHAnsi" w:hAnsiTheme="minorHAnsi" w:cstheme="minorHAnsi"/>
            <w:color w:val="0000FF"/>
            <w:sz w:val="24"/>
            <w:szCs w:val="24"/>
            <w:u w:val="single"/>
          </w:rPr>
          <w:t>Risk and Protective Factors for Prospective Changes in Adolescent Mental Health during the COVID-19 Pandemic (nih.gov)</w:t>
        </w:r>
      </w:hyperlink>
      <w:r w:rsidRPr="00AD050F">
        <w:rPr>
          <w:rFonts w:asciiTheme="minorHAnsi" w:hAnsiTheme="minorHAnsi" w:cstheme="minorHAnsi"/>
          <w:sz w:val="24"/>
          <w:szCs w:val="24"/>
        </w:rPr>
        <w:t xml:space="preserve"> (Accessed: 17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March 2021)  </w:t>
      </w:r>
    </w:p>
    <w:p w14:paraId="545C8710"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7CB643C1" w14:textId="77777777" w:rsidR="00F222F7" w:rsidRPr="00AD050F" w:rsidRDefault="00F222F7" w:rsidP="00F222F7">
      <w:pPr>
        <w:spacing w:after="0" w:afterAutospacing="0" w:line="240" w:lineRule="auto"/>
        <w:contextualSpacing/>
        <w:jc w:val="both"/>
        <w:rPr>
          <w:sz w:val="24"/>
          <w:szCs w:val="24"/>
        </w:rPr>
      </w:pPr>
      <w:proofErr w:type="spellStart"/>
      <w:r w:rsidRPr="00AD050F">
        <w:rPr>
          <w:rFonts w:asciiTheme="minorHAnsi" w:hAnsiTheme="minorHAnsi" w:cstheme="minorHAnsi"/>
          <w:sz w:val="24"/>
          <w:szCs w:val="24"/>
        </w:rPr>
        <w:t>Mak</w:t>
      </w:r>
      <w:proofErr w:type="spellEnd"/>
      <w:r w:rsidRPr="00AD050F">
        <w:rPr>
          <w:rFonts w:asciiTheme="minorHAnsi" w:hAnsiTheme="minorHAnsi" w:cstheme="minorHAnsi"/>
          <w:sz w:val="24"/>
          <w:szCs w:val="24"/>
        </w:rPr>
        <w:t xml:space="preserve">, H., Russell, M., Lanza, S., Feinberg, M. and </w:t>
      </w:r>
      <w:proofErr w:type="spellStart"/>
      <w:r w:rsidRPr="00AD050F">
        <w:rPr>
          <w:rFonts w:asciiTheme="minorHAnsi" w:hAnsiTheme="minorHAnsi" w:cstheme="minorHAnsi"/>
          <w:sz w:val="24"/>
          <w:szCs w:val="24"/>
        </w:rPr>
        <w:t>Fosco</w:t>
      </w:r>
      <w:proofErr w:type="spellEnd"/>
      <w:r w:rsidRPr="00AD050F">
        <w:rPr>
          <w:rFonts w:asciiTheme="minorHAnsi" w:hAnsiTheme="minorHAnsi" w:cstheme="minorHAnsi"/>
          <w:sz w:val="24"/>
          <w:szCs w:val="24"/>
        </w:rPr>
        <w:t xml:space="preserve">, G. (2020) ‘Age-Varying Associations of Parental Knowledge and Antisocial Peer </w:t>
      </w:r>
      <w:proofErr w:type="spellStart"/>
      <w:r w:rsidRPr="00AD050F">
        <w:rPr>
          <w:rFonts w:asciiTheme="minorHAnsi" w:hAnsiTheme="minorHAnsi" w:cstheme="minorHAnsi"/>
          <w:sz w:val="24"/>
          <w:szCs w:val="24"/>
        </w:rPr>
        <w:t>Behavior</w:t>
      </w:r>
      <w:proofErr w:type="spellEnd"/>
      <w:r w:rsidRPr="00AD050F">
        <w:rPr>
          <w:rFonts w:asciiTheme="minorHAnsi" w:hAnsiTheme="minorHAnsi" w:cstheme="minorHAnsi"/>
          <w:sz w:val="24"/>
          <w:szCs w:val="24"/>
        </w:rPr>
        <w:t xml:space="preserve"> </w:t>
      </w:r>
      <w:proofErr w:type="gramStart"/>
      <w:r w:rsidRPr="00AD050F">
        <w:rPr>
          <w:rFonts w:asciiTheme="minorHAnsi" w:hAnsiTheme="minorHAnsi" w:cstheme="minorHAnsi"/>
          <w:sz w:val="24"/>
          <w:szCs w:val="24"/>
        </w:rPr>
        <w:t>With</w:t>
      </w:r>
      <w:proofErr w:type="gramEnd"/>
      <w:r w:rsidRPr="00AD050F">
        <w:rPr>
          <w:rFonts w:asciiTheme="minorHAnsi" w:hAnsiTheme="minorHAnsi" w:cstheme="minorHAnsi"/>
          <w:sz w:val="24"/>
          <w:szCs w:val="24"/>
        </w:rPr>
        <w:t xml:space="preserve"> Adolescent Substance Use’, </w:t>
      </w:r>
      <w:r w:rsidRPr="00AD050F">
        <w:rPr>
          <w:rFonts w:asciiTheme="minorHAnsi" w:hAnsiTheme="minorHAnsi" w:cstheme="minorHAnsi"/>
          <w:i/>
          <w:iCs/>
          <w:sz w:val="24"/>
          <w:szCs w:val="24"/>
        </w:rPr>
        <w:t xml:space="preserve">Developmental Psychology, Vol. 56, pp298-311. </w:t>
      </w:r>
      <w:r w:rsidRPr="00AD050F">
        <w:rPr>
          <w:rFonts w:asciiTheme="minorHAnsi" w:hAnsiTheme="minorHAnsi" w:cstheme="minorHAnsi"/>
          <w:sz w:val="24"/>
          <w:szCs w:val="24"/>
        </w:rPr>
        <w:t xml:space="preserve">[Online]. Available at: </w:t>
      </w:r>
      <w:hyperlink r:id="rId68" w:history="1">
        <w:r w:rsidRPr="00AD050F">
          <w:rPr>
            <w:color w:val="0000FF"/>
            <w:sz w:val="24"/>
            <w:szCs w:val="24"/>
            <w:u w:val="single"/>
          </w:rPr>
          <w:t xml:space="preserve">Age-Varying Associations of Parental Knowledge and Antisocial Peer </w:t>
        </w:r>
        <w:proofErr w:type="spellStart"/>
        <w:r w:rsidRPr="00AD050F">
          <w:rPr>
            <w:color w:val="0000FF"/>
            <w:sz w:val="24"/>
            <w:szCs w:val="24"/>
            <w:u w:val="single"/>
          </w:rPr>
          <w:t>Behavior</w:t>
        </w:r>
        <w:proofErr w:type="spellEnd"/>
        <w:r w:rsidRPr="00AD050F">
          <w:rPr>
            <w:color w:val="0000FF"/>
            <w:sz w:val="24"/>
            <w:szCs w:val="24"/>
            <w:u w:val="single"/>
          </w:rPr>
          <w:t xml:space="preserve"> with Adolescent Substance Use (nih.gov)</w:t>
        </w:r>
      </w:hyperlink>
      <w:r w:rsidRPr="00AD050F">
        <w:rPr>
          <w:sz w:val="24"/>
          <w:szCs w:val="24"/>
        </w:rPr>
        <w:t xml:space="preserve"> (Accessed: 6</w:t>
      </w:r>
      <w:r w:rsidRPr="00AD050F">
        <w:rPr>
          <w:sz w:val="24"/>
          <w:szCs w:val="24"/>
          <w:vertAlign w:val="superscript"/>
        </w:rPr>
        <w:t>th</w:t>
      </w:r>
      <w:r w:rsidRPr="00AD050F">
        <w:rPr>
          <w:sz w:val="24"/>
          <w:szCs w:val="24"/>
        </w:rPr>
        <w:t xml:space="preserve"> June 2021)</w:t>
      </w:r>
    </w:p>
    <w:p w14:paraId="7752463C" w14:textId="77777777" w:rsidR="00F222F7" w:rsidRPr="00AD050F" w:rsidRDefault="00F222F7" w:rsidP="00F222F7">
      <w:pPr>
        <w:spacing w:after="0" w:afterAutospacing="0" w:line="240" w:lineRule="auto"/>
        <w:contextualSpacing/>
        <w:jc w:val="both"/>
        <w:rPr>
          <w:sz w:val="24"/>
          <w:szCs w:val="24"/>
        </w:rPr>
      </w:pPr>
    </w:p>
    <w:p w14:paraId="2A5D6735"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sz w:val="24"/>
          <w:szCs w:val="24"/>
        </w:rPr>
        <w:lastRenderedPageBreak/>
        <w:t xml:space="preserve">Mason, M., </w:t>
      </w:r>
      <w:proofErr w:type="spellStart"/>
      <w:r w:rsidRPr="00AD050F">
        <w:rPr>
          <w:sz w:val="24"/>
          <w:szCs w:val="24"/>
        </w:rPr>
        <w:t>Mennis</w:t>
      </w:r>
      <w:proofErr w:type="spellEnd"/>
      <w:r w:rsidRPr="00AD050F">
        <w:rPr>
          <w:sz w:val="24"/>
          <w:szCs w:val="24"/>
        </w:rPr>
        <w:t xml:space="preserve">, J., Russell, M., Moore, M. and Brown, A. (2019) ‘Adolescent Depression and Substance Use: the Protective Role of Prosocial Peer </w:t>
      </w:r>
      <w:proofErr w:type="spellStart"/>
      <w:r w:rsidRPr="00AD050F">
        <w:rPr>
          <w:sz w:val="24"/>
          <w:szCs w:val="24"/>
        </w:rPr>
        <w:t>Behavior</w:t>
      </w:r>
      <w:proofErr w:type="spellEnd"/>
      <w:r w:rsidRPr="00AD050F">
        <w:rPr>
          <w:sz w:val="24"/>
          <w:szCs w:val="24"/>
        </w:rPr>
        <w:t xml:space="preserve">’, </w:t>
      </w:r>
      <w:r w:rsidRPr="00AD050F">
        <w:rPr>
          <w:i/>
          <w:iCs/>
          <w:sz w:val="24"/>
          <w:szCs w:val="24"/>
        </w:rPr>
        <w:t xml:space="preserve">Journal of Abnormal Child Psychology, Vol. 47, pp1065-1074. </w:t>
      </w:r>
      <w:r w:rsidRPr="00AD050F">
        <w:rPr>
          <w:sz w:val="24"/>
          <w:szCs w:val="24"/>
        </w:rPr>
        <w:t xml:space="preserve">[Online]. Available at: </w:t>
      </w:r>
      <w:hyperlink r:id="rId69" w:history="1">
        <w:r w:rsidRPr="00AD050F">
          <w:rPr>
            <w:color w:val="0000FF"/>
            <w:sz w:val="24"/>
            <w:szCs w:val="24"/>
            <w:u w:val="single"/>
          </w:rPr>
          <w:t xml:space="preserve">Adolescent Depression and Substance Use: the Protective Role of Prosocial Peer </w:t>
        </w:r>
        <w:proofErr w:type="spellStart"/>
        <w:r w:rsidRPr="00AD050F">
          <w:rPr>
            <w:color w:val="0000FF"/>
            <w:sz w:val="24"/>
            <w:szCs w:val="24"/>
            <w:u w:val="single"/>
          </w:rPr>
          <w:t>Behavior</w:t>
        </w:r>
        <w:proofErr w:type="spellEnd"/>
        <w:r w:rsidRPr="00AD050F">
          <w:rPr>
            <w:color w:val="0000FF"/>
            <w:sz w:val="24"/>
            <w:szCs w:val="24"/>
            <w:u w:val="single"/>
          </w:rPr>
          <w:t xml:space="preserve"> | SpringerLink</w:t>
        </w:r>
      </w:hyperlink>
      <w:r w:rsidRPr="00AD050F">
        <w:rPr>
          <w:sz w:val="24"/>
          <w:szCs w:val="24"/>
        </w:rPr>
        <w:t xml:space="preserve"> (Accessed: 6</w:t>
      </w:r>
      <w:r w:rsidRPr="00AD050F">
        <w:rPr>
          <w:sz w:val="24"/>
          <w:szCs w:val="24"/>
          <w:vertAlign w:val="superscript"/>
        </w:rPr>
        <w:t>th</w:t>
      </w:r>
      <w:r w:rsidRPr="00AD050F">
        <w:rPr>
          <w:sz w:val="24"/>
          <w:szCs w:val="24"/>
        </w:rPr>
        <w:t xml:space="preserve"> June 2021)</w:t>
      </w:r>
    </w:p>
    <w:p w14:paraId="5C4D1606"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1452BFBF" w14:textId="77777777" w:rsidR="00F222F7" w:rsidRPr="00AD050F" w:rsidRDefault="00F222F7" w:rsidP="00F222F7">
      <w:pPr>
        <w:spacing w:after="0" w:afterAutospacing="0" w:line="240" w:lineRule="auto"/>
        <w:contextualSpacing/>
        <w:jc w:val="both"/>
        <w:rPr>
          <w:sz w:val="24"/>
          <w:szCs w:val="24"/>
        </w:rPr>
      </w:pPr>
      <w:r w:rsidRPr="00AD050F">
        <w:rPr>
          <w:rFonts w:asciiTheme="minorHAnsi" w:hAnsiTheme="minorHAnsi" w:cstheme="minorHAnsi"/>
          <w:sz w:val="24"/>
          <w:szCs w:val="24"/>
        </w:rPr>
        <w:t xml:space="preserve">Maxwell, K. (2002) ‘Friends: The Role of Peer Influence Across Adolescent Risk </w:t>
      </w:r>
      <w:proofErr w:type="spellStart"/>
      <w:r w:rsidRPr="00AD050F">
        <w:rPr>
          <w:rFonts w:asciiTheme="minorHAnsi" w:hAnsiTheme="minorHAnsi" w:cstheme="minorHAnsi"/>
          <w:sz w:val="24"/>
          <w:szCs w:val="24"/>
        </w:rPr>
        <w:t>Behaviors</w:t>
      </w:r>
      <w:proofErr w:type="spellEnd"/>
      <w:r w:rsidRPr="00AD050F">
        <w:rPr>
          <w:rFonts w:asciiTheme="minorHAnsi" w:hAnsiTheme="minorHAnsi" w:cstheme="minorHAnsi"/>
          <w:sz w:val="24"/>
          <w:szCs w:val="24"/>
        </w:rPr>
        <w:t xml:space="preserve">’, </w:t>
      </w:r>
      <w:r w:rsidRPr="00AD050F">
        <w:rPr>
          <w:rFonts w:asciiTheme="minorHAnsi" w:hAnsiTheme="minorHAnsi" w:cstheme="minorHAnsi"/>
          <w:i/>
          <w:iCs/>
          <w:sz w:val="24"/>
          <w:szCs w:val="24"/>
        </w:rPr>
        <w:t xml:space="preserve">Journal of Youth and Adolescence, Vol. 31, pp267-277. </w:t>
      </w:r>
      <w:r w:rsidRPr="00AD050F">
        <w:rPr>
          <w:rFonts w:asciiTheme="minorHAnsi" w:hAnsiTheme="minorHAnsi" w:cstheme="minorHAnsi"/>
          <w:sz w:val="24"/>
          <w:szCs w:val="24"/>
        </w:rPr>
        <w:t xml:space="preserve">[Online]. Available at: </w:t>
      </w:r>
      <w:hyperlink r:id="rId70" w:history="1">
        <w:r w:rsidRPr="00AD050F">
          <w:rPr>
            <w:color w:val="0000FF"/>
            <w:sz w:val="24"/>
            <w:szCs w:val="24"/>
            <w:u w:val="single"/>
          </w:rPr>
          <w:t xml:space="preserve">Friends: The Role of Peer Influence Across Adolescent Risk </w:t>
        </w:r>
        <w:proofErr w:type="spellStart"/>
        <w:r w:rsidRPr="00AD050F">
          <w:rPr>
            <w:color w:val="0000FF"/>
            <w:sz w:val="24"/>
            <w:szCs w:val="24"/>
            <w:u w:val="single"/>
          </w:rPr>
          <w:t>Behaviors</w:t>
        </w:r>
        <w:proofErr w:type="spellEnd"/>
        <w:r w:rsidRPr="00AD050F">
          <w:rPr>
            <w:color w:val="0000FF"/>
            <w:sz w:val="24"/>
            <w:szCs w:val="24"/>
            <w:u w:val="single"/>
          </w:rPr>
          <w:t xml:space="preserve"> (springer.com)</w:t>
        </w:r>
      </w:hyperlink>
      <w:r w:rsidRPr="00AD050F">
        <w:rPr>
          <w:sz w:val="24"/>
          <w:szCs w:val="24"/>
        </w:rPr>
        <w:t xml:space="preserve"> (Accessed: 14</w:t>
      </w:r>
      <w:r w:rsidRPr="00AD050F">
        <w:rPr>
          <w:sz w:val="24"/>
          <w:szCs w:val="24"/>
          <w:vertAlign w:val="superscript"/>
        </w:rPr>
        <w:t>th</w:t>
      </w:r>
      <w:r w:rsidRPr="00AD050F">
        <w:rPr>
          <w:sz w:val="24"/>
          <w:szCs w:val="24"/>
        </w:rPr>
        <w:t xml:space="preserve"> November 2020)</w:t>
      </w:r>
    </w:p>
    <w:p w14:paraId="4592B484" w14:textId="77777777" w:rsidR="00F222F7" w:rsidRPr="00AD050F" w:rsidRDefault="00F222F7" w:rsidP="00F222F7">
      <w:pPr>
        <w:spacing w:after="0" w:afterAutospacing="0" w:line="240" w:lineRule="auto"/>
        <w:contextualSpacing/>
        <w:jc w:val="both"/>
        <w:rPr>
          <w:sz w:val="24"/>
          <w:szCs w:val="24"/>
        </w:rPr>
      </w:pPr>
    </w:p>
    <w:p w14:paraId="2823F349"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sz w:val="24"/>
          <w:szCs w:val="24"/>
        </w:rPr>
        <w:t xml:space="preserve">McMahon, G., </w:t>
      </w:r>
      <w:proofErr w:type="spellStart"/>
      <w:r w:rsidRPr="00AD050F">
        <w:rPr>
          <w:sz w:val="24"/>
          <w:szCs w:val="24"/>
        </w:rPr>
        <w:t>Creaven</w:t>
      </w:r>
      <w:proofErr w:type="spellEnd"/>
      <w:r w:rsidRPr="00AD050F">
        <w:rPr>
          <w:sz w:val="24"/>
          <w:szCs w:val="24"/>
        </w:rPr>
        <w:t xml:space="preserve">, A. and Gallagher, S. (2020) ‘Stressful life events and adolescent well-being: The role of parent and peer relationships’, </w:t>
      </w:r>
      <w:r w:rsidRPr="00AD050F">
        <w:rPr>
          <w:i/>
          <w:iCs/>
          <w:sz w:val="24"/>
          <w:szCs w:val="24"/>
        </w:rPr>
        <w:t xml:space="preserve">Stress and Health, Vol. 36, pp299-310. </w:t>
      </w:r>
      <w:r w:rsidRPr="00AD050F">
        <w:rPr>
          <w:sz w:val="24"/>
          <w:szCs w:val="24"/>
        </w:rPr>
        <w:t xml:space="preserve">[Online]. Available at: </w:t>
      </w:r>
      <w:hyperlink r:id="rId71" w:history="1">
        <w:r w:rsidRPr="00AD050F">
          <w:rPr>
            <w:color w:val="0000FF"/>
            <w:sz w:val="24"/>
            <w:szCs w:val="24"/>
            <w:u w:val="single"/>
          </w:rPr>
          <w:t>Stressful life events and adolescent well‐being: The role of parent and peer relationships - McMahon - 2020 - Stress and Health - Wiley Online Library</w:t>
        </w:r>
      </w:hyperlink>
      <w:r w:rsidRPr="00AD050F">
        <w:rPr>
          <w:sz w:val="24"/>
          <w:szCs w:val="24"/>
        </w:rPr>
        <w:t xml:space="preserve"> (Accessed: 19</w:t>
      </w:r>
      <w:r w:rsidRPr="00AD050F">
        <w:rPr>
          <w:sz w:val="24"/>
          <w:szCs w:val="24"/>
          <w:vertAlign w:val="superscript"/>
        </w:rPr>
        <w:t>th</w:t>
      </w:r>
      <w:r w:rsidRPr="00AD050F">
        <w:rPr>
          <w:sz w:val="24"/>
          <w:szCs w:val="24"/>
        </w:rPr>
        <w:t xml:space="preserve"> April 2021)</w:t>
      </w:r>
    </w:p>
    <w:p w14:paraId="06390E5E"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55E8CD44"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t>Meinhardt-</w:t>
      </w:r>
      <w:proofErr w:type="spellStart"/>
      <w:r w:rsidRPr="00AD050F">
        <w:rPr>
          <w:rFonts w:asciiTheme="minorHAnsi" w:hAnsiTheme="minorHAnsi" w:cstheme="minorHAnsi"/>
          <w:sz w:val="24"/>
          <w:szCs w:val="24"/>
        </w:rPr>
        <w:t>Injac</w:t>
      </w:r>
      <w:proofErr w:type="spellEnd"/>
      <w:r w:rsidRPr="00AD050F">
        <w:rPr>
          <w:rFonts w:asciiTheme="minorHAnsi" w:hAnsiTheme="minorHAnsi" w:cstheme="minorHAnsi"/>
          <w:sz w:val="24"/>
          <w:szCs w:val="24"/>
        </w:rPr>
        <w:t xml:space="preserve">, B., </w:t>
      </w:r>
      <w:proofErr w:type="spellStart"/>
      <w:r w:rsidRPr="00AD050F">
        <w:rPr>
          <w:rFonts w:asciiTheme="minorHAnsi" w:hAnsiTheme="minorHAnsi" w:cstheme="minorHAnsi"/>
          <w:sz w:val="24"/>
          <w:szCs w:val="24"/>
        </w:rPr>
        <w:t>Kurbel</w:t>
      </w:r>
      <w:proofErr w:type="spellEnd"/>
      <w:r w:rsidRPr="00AD050F">
        <w:rPr>
          <w:rFonts w:asciiTheme="minorHAnsi" w:hAnsiTheme="minorHAnsi" w:cstheme="minorHAnsi"/>
          <w:sz w:val="24"/>
          <w:szCs w:val="24"/>
        </w:rPr>
        <w:t xml:space="preserve">, D. and Meinhardt, G. (2020) ‘The coupling between face and emotion recognition from early adolescence to young adulthood’, </w:t>
      </w:r>
      <w:r w:rsidRPr="00AD050F">
        <w:rPr>
          <w:rFonts w:asciiTheme="minorHAnsi" w:hAnsiTheme="minorHAnsi" w:cstheme="minorHAnsi"/>
          <w:i/>
          <w:iCs/>
          <w:sz w:val="24"/>
          <w:szCs w:val="24"/>
        </w:rPr>
        <w:t xml:space="preserve">Cognitive Development, Vol. 53. </w:t>
      </w:r>
      <w:r w:rsidRPr="00AD050F">
        <w:rPr>
          <w:rFonts w:asciiTheme="minorHAnsi" w:hAnsiTheme="minorHAnsi" w:cstheme="minorHAnsi"/>
          <w:sz w:val="24"/>
          <w:szCs w:val="24"/>
        </w:rPr>
        <w:t xml:space="preserve"> </w:t>
      </w:r>
      <w:bookmarkStart w:id="23" w:name="_Hlk74223993"/>
      <w:r w:rsidRPr="00AD050F">
        <w:rPr>
          <w:rFonts w:asciiTheme="minorHAnsi" w:hAnsiTheme="minorHAnsi" w:cstheme="minorHAnsi"/>
          <w:sz w:val="24"/>
          <w:szCs w:val="24"/>
        </w:rPr>
        <w:t xml:space="preserve">[Online].  Available at: </w:t>
      </w:r>
      <w:r w:rsidRPr="00AD050F">
        <w:rPr>
          <w:rFonts w:asciiTheme="minorHAnsi" w:hAnsiTheme="minorHAnsi" w:cstheme="minorHAnsi"/>
          <w:color w:val="auto"/>
          <w:sz w:val="24"/>
          <w:szCs w:val="24"/>
        </w:rPr>
        <w:t xml:space="preserve"> </w:t>
      </w:r>
      <w:bookmarkEnd w:id="23"/>
      <w:r w:rsidRPr="00AD050F">
        <w:rPr>
          <w:rFonts w:asciiTheme="minorHAnsi" w:hAnsiTheme="minorHAnsi" w:cstheme="minorHAnsi"/>
          <w:sz w:val="24"/>
          <w:szCs w:val="24"/>
        </w:rPr>
        <w:fldChar w:fldCharType="begin"/>
      </w:r>
      <w:r w:rsidRPr="00AD050F">
        <w:rPr>
          <w:rFonts w:asciiTheme="minorHAnsi" w:hAnsiTheme="minorHAnsi" w:cstheme="minorHAnsi"/>
          <w:sz w:val="24"/>
          <w:szCs w:val="24"/>
        </w:rPr>
        <w:instrText xml:space="preserve"> HYPERLINK "https://www.sciencedirect.com/science/article/pii/S0885201420300058" </w:instrText>
      </w:r>
      <w:r w:rsidRPr="00AD050F">
        <w:rPr>
          <w:rFonts w:asciiTheme="minorHAnsi" w:hAnsiTheme="minorHAnsi" w:cstheme="minorHAnsi"/>
          <w:sz w:val="24"/>
          <w:szCs w:val="24"/>
        </w:rPr>
        <w:fldChar w:fldCharType="separate"/>
      </w:r>
      <w:r w:rsidRPr="00AD050F">
        <w:rPr>
          <w:rFonts w:asciiTheme="minorHAnsi" w:hAnsiTheme="minorHAnsi" w:cstheme="minorHAnsi"/>
          <w:color w:val="0000FF"/>
          <w:sz w:val="24"/>
          <w:szCs w:val="24"/>
          <w:u w:val="single"/>
        </w:rPr>
        <w:t>The coupling between face and emotion recognition from early adolescence to young adulthood - ScienceDirect</w:t>
      </w:r>
      <w:r w:rsidRPr="00AD050F">
        <w:rPr>
          <w:rFonts w:asciiTheme="minorHAnsi" w:hAnsiTheme="minorHAnsi" w:cstheme="minorHAnsi"/>
          <w:color w:val="0000FF"/>
          <w:sz w:val="24"/>
          <w:szCs w:val="24"/>
          <w:u w:val="single"/>
        </w:rPr>
        <w:fldChar w:fldCharType="end"/>
      </w:r>
      <w:r w:rsidRPr="00AD050F">
        <w:rPr>
          <w:rFonts w:asciiTheme="minorHAnsi" w:hAnsiTheme="minorHAnsi" w:cstheme="minorHAnsi"/>
          <w:sz w:val="24"/>
          <w:szCs w:val="24"/>
        </w:rPr>
        <w:t xml:space="preserve"> (Accessed: 20</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March 2021)</w:t>
      </w:r>
    </w:p>
    <w:p w14:paraId="5F178E7B"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25C1EA4A"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Mendle</w:t>
      </w:r>
      <w:proofErr w:type="spellEnd"/>
      <w:r w:rsidRPr="00AD050F">
        <w:rPr>
          <w:rFonts w:asciiTheme="minorHAnsi" w:hAnsiTheme="minorHAnsi" w:cstheme="minorHAnsi"/>
          <w:sz w:val="24"/>
          <w:szCs w:val="24"/>
        </w:rPr>
        <w:t xml:space="preserve">, J. and Ferrero, J. (2012) ‘Detrimental psychological outcomes associated with early pubertal timing in adolescent boys’, </w:t>
      </w:r>
      <w:r w:rsidRPr="00AD050F">
        <w:rPr>
          <w:rFonts w:asciiTheme="minorHAnsi" w:hAnsiTheme="minorHAnsi" w:cstheme="minorHAnsi"/>
          <w:i/>
          <w:iCs/>
          <w:sz w:val="24"/>
          <w:szCs w:val="24"/>
        </w:rPr>
        <w:t xml:space="preserve">Developmental Review, Vol. 32, pp49-66. </w:t>
      </w:r>
      <w:r w:rsidRPr="00AD050F">
        <w:rPr>
          <w:rFonts w:asciiTheme="minorHAnsi" w:hAnsiTheme="minorHAnsi" w:cstheme="minorHAnsi"/>
          <w:sz w:val="24"/>
          <w:szCs w:val="24"/>
        </w:rPr>
        <w:t xml:space="preserve">[Online].  Available at: </w:t>
      </w:r>
      <w:hyperlink r:id="rId72" w:history="1">
        <w:r w:rsidRPr="00AD050F">
          <w:rPr>
            <w:rFonts w:asciiTheme="minorHAnsi" w:hAnsiTheme="minorHAnsi" w:cstheme="minorHAnsi"/>
            <w:color w:val="0000FF"/>
            <w:sz w:val="24"/>
            <w:szCs w:val="24"/>
            <w:u w:val="single"/>
          </w:rPr>
          <w:t>Detrimental psychological outcomes associated with pubertal timing in adolescent boys | Elsevier Enhanced Reader</w:t>
        </w:r>
      </w:hyperlink>
      <w:r w:rsidRPr="00AD050F">
        <w:rPr>
          <w:rFonts w:asciiTheme="minorHAnsi" w:hAnsiTheme="minorHAnsi" w:cstheme="minorHAnsi"/>
          <w:color w:val="auto"/>
          <w:sz w:val="24"/>
          <w:szCs w:val="24"/>
        </w:rPr>
        <w:t xml:space="preserve"> </w:t>
      </w:r>
      <w:r w:rsidRPr="00AD050F">
        <w:rPr>
          <w:rFonts w:asciiTheme="minorHAnsi" w:hAnsiTheme="minorHAnsi" w:cstheme="minorHAnsi"/>
          <w:sz w:val="24"/>
          <w:szCs w:val="24"/>
        </w:rPr>
        <w:t>(Accessed: 23</w:t>
      </w:r>
      <w:r w:rsidRPr="00AD050F">
        <w:rPr>
          <w:rFonts w:asciiTheme="minorHAnsi" w:hAnsiTheme="minorHAnsi" w:cstheme="minorHAnsi"/>
          <w:sz w:val="24"/>
          <w:szCs w:val="24"/>
          <w:vertAlign w:val="superscript"/>
        </w:rPr>
        <w:t>rd</w:t>
      </w:r>
      <w:r w:rsidRPr="00AD050F">
        <w:rPr>
          <w:rFonts w:asciiTheme="minorHAnsi" w:hAnsiTheme="minorHAnsi" w:cstheme="minorHAnsi"/>
          <w:sz w:val="24"/>
          <w:szCs w:val="24"/>
        </w:rPr>
        <w:t xml:space="preserve"> March 2021)</w:t>
      </w:r>
    </w:p>
    <w:p w14:paraId="1B45D80D"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617E22EB"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Mendle</w:t>
      </w:r>
      <w:proofErr w:type="spellEnd"/>
      <w:r w:rsidRPr="00AD050F">
        <w:rPr>
          <w:rFonts w:asciiTheme="minorHAnsi" w:hAnsiTheme="minorHAnsi" w:cstheme="minorHAnsi"/>
          <w:sz w:val="24"/>
          <w:szCs w:val="24"/>
        </w:rPr>
        <w:t xml:space="preserve">, J., </w:t>
      </w:r>
      <w:proofErr w:type="spellStart"/>
      <w:r w:rsidRPr="00AD050F">
        <w:rPr>
          <w:rFonts w:asciiTheme="minorHAnsi" w:hAnsiTheme="minorHAnsi" w:cstheme="minorHAnsi"/>
          <w:sz w:val="24"/>
          <w:szCs w:val="24"/>
        </w:rPr>
        <w:t>Turkheimer</w:t>
      </w:r>
      <w:proofErr w:type="spellEnd"/>
      <w:r w:rsidRPr="00AD050F">
        <w:rPr>
          <w:rFonts w:asciiTheme="minorHAnsi" w:hAnsiTheme="minorHAnsi" w:cstheme="minorHAnsi"/>
          <w:sz w:val="24"/>
          <w:szCs w:val="24"/>
        </w:rPr>
        <w:t xml:space="preserve">, E. and Emery, R. (2006) ‘Detrimental psychological outcomes associated with early pubertal timing in adolescent girls’, </w:t>
      </w:r>
      <w:r w:rsidRPr="00AD050F">
        <w:rPr>
          <w:rFonts w:asciiTheme="minorHAnsi" w:hAnsiTheme="minorHAnsi" w:cstheme="minorHAnsi"/>
          <w:i/>
          <w:iCs/>
          <w:sz w:val="24"/>
          <w:szCs w:val="24"/>
        </w:rPr>
        <w:t xml:space="preserve">Developmental Review, Vol. 27, pp151-171. </w:t>
      </w:r>
      <w:r w:rsidRPr="00AD050F">
        <w:rPr>
          <w:rFonts w:asciiTheme="minorHAnsi" w:hAnsiTheme="minorHAnsi" w:cstheme="minorHAnsi"/>
          <w:sz w:val="24"/>
          <w:szCs w:val="24"/>
        </w:rPr>
        <w:t xml:space="preserve">[Online].  Available at: </w:t>
      </w:r>
      <w:hyperlink r:id="rId73" w:history="1">
        <w:r w:rsidRPr="00AD050F">
          <w:rPr>
            <w:rFonts w:asciiTheme="minorHAnsi" w:hAnsiTheme="minorHAnsi" w:cstheme="minorHAnsi"/>
            <w:color w:val="0000FF"/>
            <w:sz w:val="24"/>
            <w:szCs w:val="24"/>
            <w:u w:val="single"/>
          </w:rPr>
          <w:t>doi:10.1016/j.dr.2006.11.001 | Elsevier Enhanced Reader</w:t>
        </w:r>
      </w:hyperlink>
      <w:r w:rsidRPr="00AD050F">
        <w:rPr>
          <w:rFonts w:asciiTheme="minorHAnsi" w:hAnsiTheme="minorHAnsi" w:cstheme="minorHAnsi"/>
          <w:sz w:val="24"/>
          <w:szCs w:val="24"/>
        </w:rPr>
        <w:t xml:space="preserve"> (Accessed: 23</w:t>
      </w:r>
      <w:r w:rsidRPr="00AD050F">
        <w:rPr>
          <w:rFonts w:asciiTheme="minorHAnsi" w:hAnsiTheme="minorHAnsi" w:cstheme="minorHAnsi"/>
          <w:sz w:val="24"/>
          <w:szCs w:val="24"/>
          <w:vertAlign w:val="superscript"/>
        </w:rPr>
        <w:t>rd</w:t>
      </w:r>
      <w:r w:rsidRPr="00AD050F">
        <w:rPr>
          <w:rFonts w:asciiTheme="minorHAnsi" w:hAnsiTheme="minorHAnsi" w:cstheme="minorHAnsi"/>
          <w:sz w:val="24"/>
          <w:szCs w:val="24"/>
        </w:rPr>
        <w:t xml:space="preserve"> March 2021)</w:t>
      </w:r>
    </w:p>
    <w:p w14:paraId="3F0E740D"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2886F908"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Michielsen</w:t>
      </w:r>
      <w:proofErr w:type="spellEnd"/>
      <w:r w:rsidRPr="00AD050F">
        <w:rPr>
          <w:rFonts w:asciiTheme="minorHAnsi" w:hAnsiTheme="minorHAnsi" w:cstheme="minorHAnsi"/>
          <w:sz w:val="24"/>
          <w:szCs w:val="24"/>
        </w:rPr>
        <w:t xml:space="preserve">, P., </w:t>
      </w:r>
      <w:proofErr w:type="spellStart"/>
      <w:r w:rsidRPr="00AD050F">
        <w:rPr>
          <w:rFonts w:asciiTheme="minorHAnsi" w:hAnsiTheme="minorHAnsi" w:cstheme="minorHAnsi"/>
          <w:sz w:val="24"/>
          <w:szCs w:val="24"/>
        </w:rPr>
        <w:t>Roza</w:t>
      </w:r>
      <w:proofErr w:type="spellEnd"/>
      <w:r w:rsidRPr="00AD050F">
        <w:rPr>
          <w:rFonts w:asciiTheme="minorHAnsi" w:hAnsiTheme="minorHAnsi" w:cstheme="minorHAnsi"/>
          <w:sz w:val="24"/>
          <w:szCs w:val="24"/>
        </w:rPr>
        <w:t xml:space="preserve">, S. and van </w:t>
      </w:r>
      <w:proofErr w:type="spellStart"/>
      <w:r w:rsidRPr="00AD050F">
        <w:rPr>
          <w:rFonts w:asciiTheme="minorHAnsi" w:hAnsiTheme="minorHAnsi" w:cstheme="minorHAnsi"/>
          <w:sz w:val="24"/>
          <w:szCs w:val="24"/>
        </w:rPr>
        <w:t>Marle</w:t>
      </w:r>
      <w:proofErr w:type="spellEnd"/>
      <w:r w:rsidRPr="00AD050F">
        <w:rPr>
          <w:rFonts w:asciiTheme="minorHAnsi" w:hAnsiTheme="minorHAnsi" w:cstheme="minorHAnsi"/>
          <w:sz w:val="24"/>
          <w:szCs w:val="24"/>
        </w:rPr>
        <w:t xml:space="preserve">, H. (2020) ‘Endocrine markers of puberty timing and antisocial behaviour in </w:t>
      </w:r>
      <w:proofErr w:type="spellStart"/>
      <w:r w:rsidRPr="00AD050F">
        <w:rPr>
          <w:rFonts w:asciiTheme="minorHAnsi" w:hAnsiTheme="minorHAnsi" w:cstheme="minorHAnsi"/>
          <w:sz w:val="24"/>
          <w:szCs w:val="24"/>
        </w:rPr>
        <w:t>girls</w:t>
      </w:r>
      <w:proofErr w:type="spellEnd"/>
      <w:r w:rsidRPr="00AD050F">
        <w:rPr>
          <w:rFonts w:asciiTheme="minorHAnsi" w:hAnsiTheme="minorHAnsi" w:cstheme="minorHAnsi"/>
          <w:sz w:val="24"/>
          <w:szCs w:val="24"/>
        </w:rPr>
        <w:t xml:space="preserve"> and boys’, </w:t>
      </w:r>
      <w:r w:rsidRPr="00AD050F">
        <w:rPr>
          <w:rFonts w:asciiTheme="minorHAnsi" w:hAnsiTheme="minorHAnsi" w:cstheme="minorHAnsi"/>
          <w:i/>
          <w:iCs/>
          <w:sz w:val="24"/>
          <w:szCs w:val="24"/>
        </w:rPr>
        <w:t xml:space="preserve">Criminal Behaviour and Mental Health, Vol. 30, pp117-131. </w:t>
      </w:r>
      <w:r w:rsidRPr="00AD050F">
        <w:rPr>
          <w:rFonts w:asciiTheme="minorHAnsi" w:hAnsiTheme="minorHAnsi" w:cstheme="minorHAnsi"/>
          <w:sz w:val="24"/>
          <w:szCs w:val="24"/>
        </w:rPr>
        <w:t xml:space="preserve">[Online].  Available at: </w:t>
      </w:r>
      <w:hyperlink r:id="rId74" w:history="1">
        <w:r w:rsidRPr="00AD050F">
          <w:rPr>
            <w:rFonts w:asciiTheme="minorHAnsi" w:hAnsiTheme="minorHAnsi" w:cstheme="minorHAnsi"/>
            <w:color w:val="0000FF"/>
            <w:sz w:val="24"/>
            <w:szCs w:val="24"/>
            <w:u w:val="single"/>
          </w:rPr>
          <w:t xml:space="preserve">Endocrine markers of puberty timing and antisocial behaviour in girls and boys - </w:t>
        </w:r>
        <w:proofErr w:type="spellStart"/>
        <w:r w:rsidRPr="00AD050F">
          <w:rPr>
            <w:rFonts w:asciiTheme="minorHAnsi" w:hAnsiTheme="minorHAnsi" w:cstheme="minorHAnsi"/>
            <w:color w:val="0000FF"/>
            <w:sz w:val="24"/>
            <w:szCs w:val="24"/>
            <w:u w:val="single"/>
          </w:rPr>
          <w:t>Michielsen</w:t>
        </w:r>
        <w:proofErr w:type="spellEnd"/>
        <w:r w:rsidRPr="00AD050F">
          <w:rPr>
            <w:rFonts w:asciiTheme="minorHAnsi" w:hAnsiTheme="minorHAnsi" w:cstheme="minorHAnsi"/>
            <w:color w:val="0000FF"/>
            <w:sz w:val="24"/>
            <w:szCs w:val="24"/>
            <w:u w:val="single"/>
          </w:rPr>
          <w:t xml:space="preserve"> - 2020 - Criminal Behaviour and Mental Health - Wiley Online Library</w:t>
        </w:r>
      </w:hyperlink>
      <w:r w:rsidRPr="00AD050F">
        <w:rPr>
          <w:rFonts w:asciiTheme="minorHAnsi" w:hAnsiTheme="minorHAnsi" w:cstheme="minorHAnsi"/>
          <w:sz w:val="24"/>
          <w:szCs w:val="24"/>
        </w:rPr>
        <w:t xml:space="preserve"> (Accessed: 17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May 2021)</w:t>
      </w:r>
    </w:p>
    <w:p w14:paraId="5D0C675E"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3FE67B95"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Midouhas</w:t>
      </w:r>
      <w:proofErr w:type="spellEnd"/>
      <w:r w:rsidRPr="00AD050F">
        <w:rPr>
          <w:rFonts w:asciiTheme="minorHAnsi" w:hAnsiTheme="minorHAnsi" w:cstheme="minorHAnsi"/>
          <w:sz w:val="24"/>
          <w:szCs w:val="24"/>
        </w:rPr>
        <w:t xml:space="preserve">, E., </w:t>
      </w:r>
      <w:proofErr w:type="spellStart"/>
      <w:r w:rsidRPr="00AD050F">
        <w:rPr>
          <w:rFonts w:asciiTheme="minorHAnsi" w:hAnsiTheme="minorHAnsi" w:cstheme="minorHAnsi"/>
          <w:sz w:val="24"/>
          <w:szCs w:val="24"/>
        </w:rPr>
        <w:t>Sifaki</w:t>
      </w:r>
      <w:proofErr w:type="spellEnd"/>
      <w:r w:rsidRPr="00AD050F">
        <w:rPr>
          <w:rFonts w:asciiTheme="minorHAnsi" w:hAnsiTheme="minorHAnsi" w:cstheme="minorHAnsi"/>
          <w:sz w:val="24"/>
          <w:szCs w:val="24"/>
        </w:rPr>
        <w:t xml:space="preserve">, M., Lai, H. and </w:t>
      </w:r>
      <w:proofErr w:type="spellStart"/>
      <w:r w:rsidRPr="00AD050F">
        <w:rPr>
          <w:rFonts w:asciiTheme="minorHAnsi" w:hAnsiTheme="minorHAnsi" w:cstheme="minorHAnsi"/>
          <w:sz w:val="24"/>
          <w:szCs w:val="24"/>
        </w:rPr>
        <w:t>Flouri</w:t>
      </w:r>
      <w:proofErr w:type="spellEnd"/>
      <w:r w:rsidRPr="00AD050F">
        <w:rPr>
          <w:rFonts w:asciiTheme="minorHAnsi" w:hAnsiTheme="minorHAnsi" w:cstheme="minorHAnsi"/>
          <w:sz w:val="24"/>
          <w:szCs w:val="24"/>
        </w:rPr>
        <w:t xml:space="preserve">, E. (2021) ‘Reciprocal associations of adolescent perceptions of neighbourhood safety and problem behaviour’, </w:t>
      </w:r>
      <w:r w:rsidRPr="00AD050F">
        <w:rPr>
          <w:rFonts w:asciiTheme="minorHAnsi" w:hAnsiTheme="minorHAnsi" w:cstheme="minorHAnsi"/>
          <w:i/>
          <w:iCs/>
          <w:sz w:val="24"/>
          <w:szCs w:val="24"/>
        </w:rPr>
        <w:t xml:space="preserve">Wellbeing, Space and Society, Vol. 2. </w:t>
      </w:r>
      <w:r w:rsidRPr="00AD050F">
        <w:rPr>
          <w:rFonts w:asciiTheme="minorHAnsi" w:hAnsiTheme="minorHAnsi" w:cstheme="minorHAnsi"/>
          <w:sz w:val="24"/>
          <w:szCs w:val="24"/>
        </w:rPr>
        <w:t xml:space="preserve">[Online]. Available at: </w:t>
      </w:r>
      <w:hyperlink r:id="rId75" w:history="1">
        <w:r w:rsidRPr="00AD050F">
          <w:rPr>
            <w:rFonts w:asciiTheme="minorHAnsi" w:hAnsiTheme="minorHAnsi" w:cstheme="minorHAnsi"/>
            <w:color w:val="0000FF"/>
            <w:sz w:val="24"/>
            <w:szCs w:val="24"/>
            <w:u w:val="single"/>
          </w:rPr>
          <w:t>Reciprocal associations of adolescent perceptions of neighbourhood safety and problem behaviour - ScienceDirect</w:t>
        </w:r>
      </w:hyperlink>
      <w:r w:rsidRPr="00AD050F">
        <w:rPr>
          <w:rFonts w:asciiTheme="minorHAnsi" w:hAnsiTheme="minorHAnsi" w:cstheme="minorHAnsi"/>
          <w:sz w:val="24"/>
          <w:szCs w:val="24"/>
        </w:rPr>
        <w:t xml:space="preserve"> (Accessed: 17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May 2021)</w:t>
      </w:r>
    </w:p>
    <w:p w14:paraId="081FD554"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4847B4F5" w14:textId="77777777" w:rsidR="00F222F7" w:rsidRPr="00AD050F" w:rsidRDefault="00F222F7" w:rsidP="00F222F7">
      <w:pPr>
        <w:spacing w:after="0" w:afterAutospacing="0" w:line="240" w:lineRule="auto"/>
        <w:contextualSpacing/>
        <w:jc w:val="both"/>
        <w:rPr>
          <w:rFonts w:asciiTheme="minorHAnsi" w:hAnsiTheme="minorHAnsi" w:cstheme="minorHAnsi"/>
          <w:i/>
          <w:iCs/>
          <w:sz w:val="24"/>
          <w:szCs w:val="24"/>
        </w:rPr>
      </w:pPr>
      <w:proofErr w:type="spellStart"/>
      <w:r w:rsidRPr="00AD050F">
        <w:rPr>
          <w:rFonts w:asciiTheme="minorHAnsi" w:hAnsiTheme="minorHAnsi" w:cstheme="minorHAnsi"/>
          <w:sz w:val="24"/>
          <w:szCs w:val="24"/>
        </w:rPr>
        <w:t>Modrek</w:t>
      </w:r>
      <w:proofErr w:type="spellEnd"/>
      <w:r w:rsidRPr="00AD050F">
        <w:rPr>
          <w:rFonts w:asciiTheme="minorHAnsi" w:hAnsiTheme="minorHAnsi" w:cstheme="minorHAnsi"/>
          <w:sz w:val="24"/>
          <w:szCs w:val="24"/>
        </w:rPr>
        <w:t xml:space="preserve">, A. and Sandoval, W. (2020) ‘Can autonomy play a role in causal reasoning?’ </w:t>
      </w:r>
      <w:r w:rsidRPr="00AD050F">
        <w:rPr>
          <w:rFonts w:asciiTheme="minorHAnsi" w:hAnsiTheme="minorHAnsi" w:cstheme="minorHAnsi"/>
          <w:i/>
          <w:iCs/>
          <w:sz w:val="24"/>
          <w:szCs w:val="24"/>
        </w:rPr>
        <w:t xml:space="preserve">Cognitive Development, Vol. 54. </w:t>
      </w:r>
      <w:r w:rsidRPr="00AD050F">
        <w:rPr>
          <w:rFonts w:asciiTheme="minorHAnsi" w:hAnsiTheme="minorHAnsi" w:cstheme="minorHAnsi"/>
          <w:sz w:val="24"/>
          <w:szCs w:val="24"/>
        </w:rPr>
        <w:t xml:space="preserve">[Online].  Available at: </w:t>
      </w:r>
      <w:hyperlink r:id="rId76" w:history="1">
        <w:r w:rsidRPr="00AD050F">
          <w:rPr>
            <w:rFonts w:asciiTheme="minorHAnsi" w:hAnsiTheme="minorHAnsi" w:cstheme="minorHAnsi"/>
            <w:color w:val="0000FF"/>
            <w:sz w:val="24"/>
            <w:szCs w:val="24"/>
            <w:u w:val="single"/>
          </w:rPr>
          <w:t>Can autonomy play a role in causal reasoning? - ScienceDirect</w:t>
        </w:r>
      </w:hyperlink>
      <w:r w:rsidRPr="00AD050F">
        <w:rPr>
          <w:rFonts w:asciiTheme="minorHAnsi" w:hAnsiTheme="minorHAnsi" w:cstheme="minorHAnsi"/>
          <w:sz w:val="24"/>
          <w:szCs w:val="24"/>
        </w:rPr>
        <w:t xml:space="preserve"> (Accessed: 20</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February 2021) </w:t>
      </w:r>
      <w:r w:rsidRPr="00AD050F">
        <w:rPr>
          <w:rFonts w:asciiTheme="minorHAnsi" w:hAnsiTheme="minorHAnsi" w:cstheme="minorHAnsi"/>
          <w:i/>
          <w:iCs/>
          <w:sz w:val="24"/>
          <w:szCs w:val="24"/>
        </w:rPr>
        <w:t xml:space="preserve"> </w:t>
      </w:r>
    </w:p>
    <w:p w14:paraId="01F5F2C0" w14:textId="77777777" w:rsidR="00F222F7" w:rsidRPr="00AD050F" w:rsidRDefault="00F222F7" w:rsidP="00F222F7">
      <w:pPr>
        <w:spacing w:after="0" w:afterAutospacing="0" w:line="240" w:lineRule="auto"/>
        <w:contextualSpacing/>
        <w:jc w:val="both"/>
        <w:rPr>
          <w:rFonts w:asciiTheme="minorHAnsi" w:hAnsiTheme="minorHAnsi" w:cstheme="minorHAnsi"/>
          <w:i/>
          <w:iCs/>
          <w:sz w:val="24"/>
          <w:szCs w:val="24"/>
        </w:rPr>
      </w:pPr>
    </w:p>
    <w:p w14:paraId="536E57C3"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t xml:space="preserve">Montag, C. and </w:t>
      </w:r>
      <w:proofErr w:type="spellStart"/>
      <w:r w:rsidRPr="00AD050F">
        <w:rPr>
          <w:rFonts w:asciiTheme="minorHAnsi" w:hAnsiTheme="minorHAnsi" w:cstheme="minorHAnsi"/>
          <w:sz w:val="24"/>
          <w:szCs w:val="24"/>
        </w:rPr>
        <w:t>Elhai</w:t>
      </w:r>
      <w:proofErr w:type="spellEnd"/>
      <w:r w:rsidRPr="00AD050F">
        <w:rPr>
          <w:rFonts w:asciiTheme="minorHAnsi" w:hAnsiTheme="minorHAnsi" w:cstheme="minorHAnsi"/>
          <w:sz w:val="24"/>
          <w:szCs w:val="24"/>
        </w:rPr>
        <w:t xml:space="preserve">, J. (2020) ‘Discussing digital technology overuse in children and adolescents during the COVID-19 pandemic and beyond: On the importance of considering Affective Neuroscience Theory’ </w:t>
      </w:r>
      <w:r w:rsidRPr="00AD050F">
        <w:rPr>
          <w:rFonts w:asciiTheme="minorHAnsi" w:hAnsiTheme="minorHAnsi" w:cstheme="minorHAnsi"/>
          <w:i/>
          <w:iCs/>
          <w:sz w:val="24"/>
          <w:szCs w:val="24"/>
        </w:rPr>
        <w:t xml:space="preserve">Addictive </w:t>
      </w:r>
      <w:proofErr w:type="spellStart"/>
      <w:r w:rsidRPr="00AD050F">
        <w:rPr>
          <w:rFonts w:asciiTheme="minorHAnsi" w:hAnsiTheme="minorHAnsi" w:cstheme="minorHAnsi"/>
          <w:i/>
          <w:iCs/>
          <w:sz w:val="24"/>
          <w:szCs w:val="24"/>
        </w:rPr>
        <w:t>Behaviors</w:t>
      </w:r>
      <w:proofErr w:type="spellEnd"/>
      <w:r w:rsidRPr="00AD050F">
        <w:rPr>
          <w:rFonts w:asciiTheme="minorHAnsi" w:hAnsiTheme="minorHAnsi" w:cstheme="minorHAnsi"/>
          <w:i/>
          <w:iCs/>
          <w:sz w:val="24"/>
          <w:szCs w:val="24"/>
        </w:rPr>
        <w:t xml:space="preserve"> Reports, Vol. 12. </w:t>
      </w:r>
      <w:r w:rsidRPr="00AD050F">
        <w:rPr>
          <w:rFonts w:asciiTheme="minorHAnsi" w:hAnsiTheme="minorHAnsi" w:cstheme="minorHAnsi"/>
          <w:sz w:val="24"/>
          <w:szCs w:val="24"/>
        </w:rPr>
        <w:t xml:space="preserve">[Online].  Available at: </w:t>
      </w:r>
      <w:hyperlink r:id="rId77" w:history="1">
        <w:r w:rsidRPr="00AD050F">
          <w:rPr>
            <w:rFonts w:asciiTheme="minorHAnsi" w:hAnsiTheme="minorHAnsi" w:cstheme="minorHAnsi"/>
            <w:color w:val="0000FF"/>
            <w:sz w:val="24"/>
            <w:szCs w:val="24"/>
            <w:u w:val="single"/>
          </w:rPr>
          <w:t>Discussing digital technology overuse in children and adolescents during the COVID-19 pandemic and beyond: On the importance of considering Affective Neuroscience Theory | Elsevier Enhanced Reader</w:t>
        </w:r>
      </w:hyperlink>
      <w:r w:rsidRPr="00AD050F">
        <w:rPr>
          <w:rFonts w:asciiTheme="minorHAnsi" w:hAnsiTheme="minorHAnsi" w:cstheme="minorHAnsi"/>
          <w:sz w:val="24"/>
          <w:szCs w:val="24"/>
        </w:rPr>
        <w:t xml:space="preserve"> (Accessed: 17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June 2021)</w:t>
      </w:r>
    </w:p>
    <w:p w14:paraId="4B29AD88" w14:textId="77777777" w:rsidR="00F222F7" w:rsidRPr="00AD050F" w:rsidRDefault="00F222F7" w:rsidP="00F222F7">
      <w:pPr>
        <w:spacing w:after="0" w:afterAutospacing="0" w:line="240" w:lineRule="auto"/>
        <w:contextualSpacing/>
        <w:jc w:val="both"/>
        <w:rPr>
          <w:rFonts w:asciiTheme="minorHAnsi" w:hAnsiTheme="minorHAnsi" w:cstheme="minorHAnsi"/>
          <w:i/>
          <w:iCs/>
          <w:sz w:val="24"/>
          <w:szCs w:val="24"/>
        </w:rPr>
      </w:pPr>
    </w:p>
    <w:p w14:paraId="18F31526"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Monzonis-Carda</w:t>
      </w:r>
      <w:proofErr w:type="spellEnd"/>
      <w:r w:rsidRPr="00AD050F">
        <w:rPr>
          <w:rFonts w:asciiTheme="minorHAnsi" w:hAnsiTheme="minorHAnsi" w:cstheme="minorHAnsi"/>
          <w:sz w:val="24"/>
          <w:szCs w:val="24"/>
        </w:rPr>
        <w:t>, I., Adelantado-</w:t>
      </w:r>
      <w:proofErr w:type="spellStart"/>
      <w:r w:rsidRPr="00AD050F">
        <w:rPr>
          <w:rFonts w:asciiTheme="minorHAnsi" w:hAnsiTheme="minorHAnsi" w:cstheme="minorHAnsi"/>
          <w:sz w:val="24"/>
          <w:szCs w:val="24"/>
        </w:rPr>
        <w:t>Renau</w:t>
      </w:r>
      <w:proofErr w:type="spellEnd"/>
      <w:r w:rsidRPr="00AD050F">
        <w:rPr>
          <w:rFonts w:asciiTheme="minorHAnsi" w:hAnsiTheme="minorHAnsi" w:cstheme="minorHAnsi"/>
          <w:sz w:val="24"/>
          <w:szCs w:val="24"/>
        </w:rPr>
        <w:t xml:space="preserve">, M., Beltran-Valls, M. and </w:t>
      </w:r>
      <w:proofErr w:type="spellStart"/>
      <w:r w:rsidRPr="00AD050F">
        <w:rPr>
          <w:rFonts w:asciiTheme="minorHAnsi" w:hAnsiTheme="minorHAnsi" w:cstheme="minorHAnsi"/>
          <w:sz w:val="24"/>
          <w:szCs w:val="24"/>
        </w:rPr>
        <w:t>Moliner-Urdiales</w:t>
      </w:r>
      <w:proofErr w:type="spellEnd"/>
      <w:r w:rsidRPr="00AD050F">
        <w:rPr>
          <w:rFonts w:asciiTheme="minorHAnsi" w:hAnsiTheme="minorHAnsi" w:cstheme="minorHAnsi"/>
          <w:sz w:val="24"/>
          <w:szCs w:val="24"/>
        </w:rPr>
        <w:t xml:space="preserve">, D. (2021) ‘An examination of the association between risk of depression and academic performance according to weight status in adolescents: DADOS study’, </w:t>
      </w:r>
      <w:r w:rsidRPr="00AD050F">
        <w:rPr>
          <w:rFonts w:asciiTheme="minorHAnsi" w:hAnsiTheme="minorHAnsi" w:cstheme="minorHAnsi"/>
          <w:i/>
          <w:iCs/>
          <w:sz w:val="24"/>
          <w:szCs w:val="24"/>
        </w:rPr>
        <w:t xml:space="preserve">Journal of Affective Disorders, Vol. 290. </w:t>
      </w:r>
      <w:r w:rsidRPr="00AD050F">
        <w:rPr>
          <w:rFonts w:asciiTheme="minorHAnsi" w:hAnsiTheme="minorHAnsi" w:cstheme="minorHAnsi"/>
          <w:sz w:val="24"/>
          <w:szCs w:val="24"/>
        </w:rPr>
        <w:t xml:space="preserve">[Online]. Available at: </w:t>
      </w:r>
      <w:hyperlink r:id="rId78" w:history="1">
        <w:r w:rsidRPr="00AD050F">
          <w:rPr>
            <w:rFonts w:asciiTheme="minorHAnsi" w:hAnsiTheme="minorHAnsi" w:cstheme="minorHAnsi"/>
            <w:color w:val="0000FF"/>
            <w:sz w:val="24"/>
            <w:szCs w:val="24"/>
            <w:u w:val="single"/>
          </w:rPr>
          <w:t>An examination of the association between risk of depression and academic performance according to weight status in adolescents: DADOS study | Elsevier Enhanced Reader</w:t>
        </w:r>
      </w:hyperlink>
      <w:r w:rsidRPr="00AD050F">
        <w:rPr>
          <w:rFonts w:asciiTheme="minorHAnsi" w:hAnsiTheme="minorHAnsi" w:cstheme="minorHAnsi"/>
          <w:sz w:val="24"/>
          <w:szCs w:val="24"/>
        </w:rPr>
        <w:t xml:space="preserve">  (First accessed as a Journal Pre-Proof 23</w:t>
      </w:r>
      <w:r w:rsidRPr="00AD050F">
        <w:rPr>
          <w:rFonts w:asciiTheme="minorHAnsi" w:hAnsiTheme="minorHAnsi" w:cstheme="minorHAnsi"/>
          <w:sz w:val="24"/>
          <w:szCs w:val="24"/>
          <w:vertAlign w:val="superscript"/>
        </w:rPr>
        <w:t>rd</w:t>
      </w:r>
      <w:r w:rsidRPr="00AD050F">
        <w:rPr>
          <w:rFonts w:asciiTheme="minorHAnsi" w:hAnsiTheme="minorHAnsi" w:cstheme="minorHAnsi"/>
          <w:sz w:val="24"/>
          <w:szCs w:val="24"/>
        </w:rPr>
        <w:t xml:space="preserve"> April 2021)</w:t>
      </w:r>
    </w:p>
    <w:p w14:paraId="407F0502"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63EFEC06" w14:textId="77777777" w:rsidR="00F222F7" w:rsidRPr="00AD050F" w:rsidRDefault="00F222F7" w:rsidP="00F222F7">
      <w:pPr>
        <w:spacing w:after="0" w:afterAutospacing="0" w:line="240" w:lineRule="auto"/>
        <w:contextualSpacing/>
        <w:jc w:val="both"/>
        <w:rPr>
          <w:sz w:val="24"/>
          <w:szCs w:val="24"/>
        </w:rPr>
      </w:pPr>
      <w:proofErr w:type="spellStart"/>
      <w:r w:rsidRPr="00AD050F">
        <w:rPr>
          <w:rFonts w:asciiTheme="minorHAnsi" w:hAnsiTheme="minorHAnsi" w:cstheme="minorHAnsi"/>
          <w:sz w:val="24"/>
          <w:szCs w:val="24"/>
        </w:rPr>
        <w:t>Moriizumi</w:t>
      </w:r>
      <w:proofErr w:type="spellEnd"/>
      <w:r w:rsidRPr="00AD050F">
        <w:rPr>
          <w:rFonts w:asciiTheme="minorHAnsi" w:hAnsiTheme="minorHAnsi" w:cstheme="minorHAnsi"/>
          <w:sz w:val="24"/>
          <w:szCs w:val="24"/>
        </w:rPr>
        <w:t xml:space="preserve">, S. and Usui, S. (2020) ‘Risk-Taking by Young People in Late Adolescence Increases When They Perceive the Possibility of Their Peer “Observing Someday”’, </w:t>
      </w:r>
      <w:r w:rsidRPr="00AD050F">
        <w:rPr>
          <w:rFonts w:asciiTheme="minorHAnsi" w:hAnsiTheme="minorHAnsi" w:cstheme="minorHAnsi"/>
          <w:i/>
          <w:iCs/>
          <w:sz w:val="24"/>
          <w:szCs w:val="24"/>
        </w:rPr>
        <w:t xml:space="preserve">Japanese Psychological Research, Vol. 62, pp131-137. </w:t>
      </w:r>
      <w:r w:rsidRPr="00AD050F">
        <w:rPr>
          <w:rFonts w:asciiTheme="minorHAnsi" w:hAnsiTheme="minorHAnsi" w:cstheme="minorHAnsi"/>
          <w:sz w:val="24"/>
          <w:szCs w:val="24"/>
        </w:rPr>
        <w:t xml:space="preserve">[Online].  Available at: </w:t>
      </w:r>
      <w:hyperlink r:id="rId79" w:history="1">
        <w:r w:rsidRPr="00AD050F">
          <w:rPr>
            <w:color w:val="0000FF"/>
            <w:sz w:val="24"/>
            <w:szCs w:val="24"/>
            <w:u w:val="single"/>
          </w:rPr>
          <w:t xml:space="preserve">Risk‐Taking by Young People in Late Adolescence Increases When They Perceive the Possibility of Their Peer “Observing Someday” - </w:t>
        </w:r>
        <w:proofErr w:type="spellStart"/>
        <w:r w:rsidRPr="00AD050F">
          <w:rPr>
            <w:color w:val="0000FF"/>
            <w:sz w:val="24"/>
            <w:szCs w:val="24"/>
            <w:u w:val="single"/>
          </w:rPr>
          <w:t>Moriizumi</w:t>
        </w:r>
        <w:proofErr w:type="spellEnd"/>
        <w:r w:rsidRPr="00AD050F">
          <w:rPr>
            <w:color w:val="0000FF"/>
            <w:sz w:val="24"/>
            <w:szCs w:val="24"/>
            <w:u w:val="single"/>
          </w:rPr>
          <w:t xml:space="preserve"> - 2020 - Japanese Psychological Research - Wiley Online Library</w:t>
        </w:r>
      </w:hyperlink>
      <w:r w:rsidRPr="00AD050F">
        <w:rPr>
          <w:sz w:val="24"/>
          <w:szCs w:val="24"/>
        </w:rPr>
        <w:t xml:space="preserve"> (Accessed: 30</w:t>
      </w:r>
      <w:r w:rsidRPr="00AD050F">
        <w:rPr>
          <w:sz w:val="24"/>
          <w:szCs w:val="24"/>
          <w:vertAlign w:val="superscript"/>
        </w:rPr>
        <w:t>th</w:t>
      </w:r>
      <w:r w:rsidRPr="00AD050F">
        <w:rPr>
          <w:sz w:val="24"/>
          <w:szCs w:val="24"/>
        </w:rPr>
        <w:t xml:space="preserve"> April 2020)</w:t>
      </w:r>
    </w:p>
    <w:p w14:paraId="063E9B45" w14:textId="77777777" w:rsidR="00F222F7" w:rsidRPr="00AD050F" w:rsidRDefault="00F222F7" w:rsidP="00F222F7">
      <w:pPr>
        <w:spacing w:after="0" w:afterAutospacing="0" w:line="240" w:lineRule="auto"/>
        <w:contextualSpacing/>
        <w:jc w:val="both"/>
        <w:rPr>
          <w:sz w:val="24"/>
          <w:szCs w:val="24"/>
        </w:rPr>
      </w:pPr>
    </w:p>
    <w:p w14:paraId="2AD74790" w14:textId="77777777" w:rsidR="00F222F7" w:rsidRPr="00AD050F" w:rsidRDefault="00F222F7" w:rsidP="00F222F7">
      <w:pPr>
        <w:jc w:val="both"/>
        <w:rPr>
          <w:sz w:val="24"/>
          <w:szCs w:val="24"/>
        </w:rPr>
      </w:pPr>
      <w:r w:rsidRPr="00AD050F">
        <w:rPr>
          <w:rFonts w:asciiTheme="minorHAnsi" w:hAnsiTheme="minorHAnsi" w:cstheme="minorHAnsi"/>
          <w:sz w:val="24"/>
          <w:szCs w:val="24"/>
        </w:rPr>
        <w:t>‘Network Rail: Record Number of young people dying on railways’ (2018) BBC News, 18</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July.  Available at: </w:t>
      </w:r>
      <w:hyperlink r:id="rId80" w:history="1">
        <w:r w:rsidRPr="00AD050F">
          <w:rPr>
            <w:color w:val="0000FF"/>
            <w:sz w:val="24"/>
            <w:szCs w:val="24"/>
            <w:u w:val="single"/>
          </w:rPr>
          <w:t>Network Rail: Record number of young people dying on railways - BBC News</w:t>
        </w:r>
      </w:hyperlink>
      <w:r w:rsidRPr="00AD050F">
        <w:rPr>
          <w:rFonts w:asciiTheme="minorHAnsi" w:hAnsiTheme="minorHAnsi" w:cstheme="minorHAnsi"/>
          <w:sz w:val="24"/>
          <w:szCs w:val="24"/>
        </w:rPr>
        <w:t xml:space="preserve"> </w:t>
      </w:r>
      <w:r w:rsidRPr="00AD050F">
        <w:rPr>
          <w:sz w:val="24"/>
          <w:szCs w:val="24"/>
        </w:rPr>
        <w:t>(Accessed: 14</w:t>
      </w:r>
      <w:r w:rsidRPr="00AD050F">
        <w:rPr>
          <w:sz w:val="24"/>
          <w:szCs w:val="24"/>
          <w:vertAlign w:val="superscript"/>
        </w:rPr>
        <w:t>th</w:t>
      </w:r>
      <w:r w:rsidRPr="00AD050F">
        <w:rPr>
          <w:sz w:val="24"/>
          <w:szCs w:val="24"/>
        </w:rPr>
        <w:t xml:space="preserve"> November 2020)</w:t>
      </w:r>
    </w:p>
    <w:p w14:paraId="1FE11A35" w14:textId="77777777" w:rsidR="00F222F7" w:rsidRPr="00AD050F" w:rsidRDefault="00F222F7" w:rsidP="00F222F7">
      <w:pPr>
        <w:jc w:val="both"/>
        <w:rPr>
          <w:sz w:val="24"/>
          <w:szCs w:val="24"/>
        </w:rPr>
      </w:pPr>
      <w:bookmarkStart w:id="24" w:name="_Hlk75796313"/>
      <w:r w:rsidRPr="00AD050F">
        <w:rPr>
          <w:rFonts w:asciiTheme="minorHAnsi" w:hAnsiTheme="minorHAnsi" w:cstheme="minorHAnsi"/>
          <w:sz w:val="24"/>
          <w:szCs w:val="24"/>
        </w:rPr>
        <w:t>‘Network Rail warning after Horsham girl lay on track’ (2021) BBC News, 9th June.  Available at:</w:t>
      </w:r>
      <w:r w:rsidRPr="00AD050F">
        <w:rPr>
          <w:sz w:val="24"/>
          <w:szCs w:val="24"/>
        </w:rPr>
        <w:t xml:space="preserve"> </w:t>
      </w:r>
      <w:hyperlink r:id="rId81" w:history="1">
        <w:r w:rsidRPr="00AD050F">
          <w:rPr>
            <w:color w:val="0000FF"/>
            <w:sz w:val="24"/>
            <w:szCs w:val="24"/>
            <w:u w:val="single"/>
          </w:rPr>
          <w:t>Network Rail warning after Horsham girl lay on track - BBC News</w:t>
        </w:r>
      </w:hyperlink>
      <w:r w:rsidRPr="00AD050F">
        <w:rPr>
          <w:rFonts w:asciiTheme="minorHAnsi" w:hAnsiTheme="minorHAnsi" w:cstheme="minorHAnsi"/>
          <w:sz w:val="24"/>
          <w:szCs w:val="24"/>
        </w:rPr>
        <w:t xml:space="preserve"> </w:t>
      </w:r>
      <w:bookmarkEnd w:id="24"/>
      <w:r w:rsidRPr="00AD050F">
        <w:rPr>
          <w:sz w:val="24"/>
          <w:szCs w:val="24"/>
        </w:rPr>
        <w:t>(Accessed: 28</w:t>
      </w:r>
      <w:r w:rsidRPr="00AD050F">
        <w:rPr>
          <w:sz w:val="24"/>
          <w:szCs w:val="24"/>
          <w:vertAlign w:val="superscript"/>
        </w:rPr>
        <w:t>th</w:t>
      </w:r>
      <w:r w:rsidRPr="00AD050F">
        <w:rPr>
          <w:sz w:val="24"/>
          <w:szCs w:val="24"/>
        </w:rPr>
        <w:t xml:space="preserve"> June 2021)</w:t>
      </w:r>
    </w:p>
    <w:p w14:paraId="19B73441" w14:textId="77777777" w:rsidR="00F222F7" w:rsidRPr="00AD050F" w:rsidRDefault="00F222F7" w:rsidP="00F222F7">
      <w:pPr>
        <w:jc w:val="both"/>
        <w:rPr>
          <w:rFonts w:asciiTheme="minorHAnsi" w:hAnsiTheme="minorHAnsi" w:cstheme="minorHAnsi"/>
          <w:sz w:val="24"/>
          <w:szCs w:val="24"/>
        </w:rPr>
      </w:pPr>
      <w:r w:rsidRPr="00AD050F">
        <w:rPr>
          <w:rFonts w:asciiTheme="minorHAnsi" w:hAnsiTheme="minorHAnsi" w:cstheme="minorHAnsi"/>
          <w:sz w:val="24"/>
          <w:szCs w:val="24"/>
        </w:rPr>
        <w:t xml:space="preserve">New South Wales Government. (2014) </w:t>
      </w:r>
      <w:r w:rsidRPr="00AD050F">
        <w:rPr>
          <w:rFonts w:asciiTheme="minorHAnsi" w:hAnsiTheme="minorHAnsi" w:cstheme="minorHAnsi"/>
          <w:i/>
          <w:iCs/>
          <w:sz w:val="24"/>
          <w:szCs w:val="24"/>
        </w:rPr>
        <w:t>Youth Health Resource Kit: An Essential Guide for Workers</w:t>
      </w:r>
      <w:r w:rsidRPr="00AD050F">
        <w:rPr>
          <w:rFonts w:asciiTheme="minorHAnsi" w:hAnsiTheme="minorHAnsi" w:cstheme="minorHAnsi"/>
          <w:sz w:val="24"/>
          <w:szCs w:val="24"/>
        </w:rPr>
        <w:t xml:space="preserve">.    Available at: </w:t>
      </w:r>
      <w:hyperlink r:id="rId82" w:history="1">
        <w:r w:rsidRPr="00AD050F">
          <w:rPr>
            <w:color w:val="0000FF"/>
            <w:sz w:val="24"/>
            <w:szCs w:val="24"/>
            <w:u w:val="single"/>
          </w:rPr>
          <w:t>youth-health-resource-kit.pdf (nsw.gov.au)</w:t>
        </w:r>
      </w:hyperlink>
      <w:r w:rsidRPr="00AD050F">
        <w:rPr>
          <w:sz w:val="24"/>
          <w:szCs w:val="24"/>
        </w:rPr>
        <w:t xml:space="preserve"> (Accessed: 27</w:t>
      </w:r>
      <w:r w:rsidRPr="00AD050F">
        <w:rPr>
          <w:sz w:val="24"/>
          <w:szCs w:val="24"/>
          <w:vertAlign w:val="superscript"/>
        </w:rPr>
        <w:t>th</w:t>
      </w:r>
      <w:r w:rsidRPr="00AD050F">
        <w:rPr>
          <w:sz w:val="24"/>
          <w:szCs w:val="24"/>
        </w:rPr>
        <w:t xml:space="preserve"> March 2021)</w:t>
      </w:r>
    </w:p>
    <w:p w14:paraId="245C62A7"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sz w:val="24"/>
          <w:szCs w:val="24"/>
        </w:rPr>
        <w:t xml:space="preserve">NHS (2018) </w:t>
      </w:r>
      <w:r w:rsidRPr="00AD050F">
        <w:rPr>
          <w:rFonts w:asciiTheme="minorHAnsi" w:hAnsiTheme="minorHAnsi" w:cstheme="minorHAnsi"/>
          <w:i/>
          <w:iCs/>
          <w:sz w:val="24"/>
          <w:szCs w:val="24"/>
        </w:rPr>
        <w:t xml:space="preserve">Causes: Attention Deficit Hyperactivity Disorder.  </w:t>
      </w:r>
      <w:r w:rsidRPr="00AD050F">
        <w:rPr>
          <w:rFonts w:asciiTheme="minorHAnsi" w:hAnsiTheme="minorHAnsi" w:cstheme="minorHAnsi"/>
          <w:sz w:val="24"/>
          <w:szCs w:val="24"/>
        </w:rPr>
        <w:t xml:space="preserve">Available at: </w:t>
      </w:r>
      <w:hyperlink r:id="rId83" w:history="1">
        <w:r w:rsidRPr="00AD050F">
          <w:rPr>
            <w:rFonts w:asciiTheme="minorHAnsi" w:hAnsiTheme="minorHAnsi" w:cstheme="minorHAnsi"/>
            <w:color w:val="0000FF"/>
            <w:sz w:val="24"/>
            <w:szCs w:val="24"/>
            <w:u w:val="single"/>
          </w:rPr>
          <w:t>Attention deficit hyperactivity disorder (ADHD) - Causes - NHS (www.nhs.uk)</w:t>
        </w:r>
      </w:hyperlink>
      <w:r w:rsidRPr="00AD050F">
        <w:rPr>
          <w:rFonts w:asciiTheme="minorHAnsi" w:hAnsiTheme="minorHAnsi" w:cstheme="minorHAnsi"/>
          <w:sz w:val="24"/>
          <w:szCs w:val="24"/>
        </w:rPr>
        <w:t xml:space="preserve"> (Accessed: 8</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May 2021)</w:t>
      </w:r>
      <w:r w:rsidRPr="00AD050F">
        <w:rPr>
          <w:rFonts w:asciiTheme="minorHAnsi" w:hAnsiTheme="minorHAnsi" w:cstheme="minorHAnsi"/>
          <w:color w:val="auto"/>
          <w:sz w:val="24"/>
          <w:szCs w:val="24"/>
        </w:rPr>
        <w:t xml:space="preserve"> </w:t>
      </w:r>
    </w:p>
    <w:p w14:paraId="07416DA0"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74173524"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sz w:val="24"/>
          <w:szCs w:val="24"/>
        </w:rPr>
        <w:t xml:space="preserve">NHS (2018) </w:t>
      </w:r>
      <w:r w:rsidRPr="00AD050F">
        <w:rPr>
          <w:rFonts w:asciiTheme="minorHAnsi" w:hAnsiTheme="minorHAnsi" w:cstheme="minorHAnsi"/>
          <w:i/>
          <w:iCs/>
          <w:sz w:val="24"/>
          <w:szCs w:val="24"/>
        </w:rPr>
        <w:t xml:space="preserve">Stages of puberty: what happens to boys and girls.  </w:t>
      </w:r>
      <w:r w:rsidRPr="00AD050F">
        <w:rPr>
          <w:rFonts w:asciiTheme="minorHAnsi" w:hAnsiTheme="minorHAnsi" w:cstheme="minorHAnsi"/>
          <w:sz w:val="24"/>
          <w:szCs w:val="24"/>
        </w:rPr>
        <w:t xml:space="preserve">Available at: </w:t>
      </w:r>
      <w:hyperlink r:id="rId84" w:history="1">
        <w:r w:rsidRPr="00AD050F">
          <w:rPr>
            <w:rFonts w:asciiTheme="minorHAnsi" w:hAnsiTheme="minorHAnsi" w:cstheme="minorHAnsi"/>
            <w:color w:val="0000FF"/>
            <w:sz w:val="24"/>
            <w:szCs w:val="24"/>
            <w:u w:val="single"/>
          </w:rPr>
          <w:t>Stages of puberty: what happens to boys and girls - NHS (www.nhs.uk)</w:t>
        </w:r>
      </w:hyperlink>
      <w:r w:rsidRPr="00AD050F">
        <w:rPr>
          <w:rFonts w:asciiTheme="minorHAnsi" w:hAnsiTheme="minorHAnsi" w:cstheme="minorHAnsi"/>
          <w:sz w:val="24"/>
          <w:szCs w:val="24"/>
        </w:rPr>
        <w:t xml:space="preserve"> (Accessed: 5</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June 2021)</w:t>
      </w:r>
      <w:r w:rsidRPr="00AD050F">
        <w:rPr>
          <w:rFonts w:asciiTheme="minorHAnsi" w:hAnsiTheme="minorHAnsi" w:cstheme="minorHAnsi"/>
          <w:color w:val="auto"/>
          <w:sz w:val="24"/>
          <w:szCs w:val="24"/>
        </w:rPr>
        <w:t xml:space="preserve"> </w:t>
      </w:r>
    </w:p>
    <w:p w14:paraId="395E91C0"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7C0A4D56"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bookmarkStart w:id="25" w:name="_Hlk75703130"/>
      <w:r w:rsidRPr="00AD050F">
        <w:rPr>
          <w:rFonts w:asciiTheme="minorHAnsi" w:hAnsiTheme="minorHAnsi" w:cstheme="minorHAnsi"/>
          <w:color w:val="auto"/>
          <w:sz w:val="24"/>
          <w:szCs w:val="24"/>
        </w:rPr>
        <w:t xml:space="preserve">Office for National Statistics (2021) </w:t>
      </w:r>
      <w:r w:rsidRPr="00AD050F">
        <w:rPr>
          <w:rFonts w:asciiTheme="minorHAnsi" w:hAnsiTheme="minorHAnsi" w:cstheme="minorHAnsi"/>
          <w:i/>
          <w:iCs/>
          <w:color w:val="auto"/>
          <w:sz w:val="24"/>
          <w:szCs w:val="24"/>
        </w:rPr>
        <w:t xml:space="preserve">Avoidable Mortality in the UK: 2019. </w:t>
      </w:r>
      <w:r w:rsidRPr="00AD050F">
        <w:rPr>
          <w:rFonts w:asciiTheme="minorHAnsi" w:hAnsiTheme="minorHAnsi" w:cstheme="minorHAnsi"/>
          <w:sz w:val="24"/>
          <w:szCs w:val="24"/>
        </w:rPr>
        <w:t xml:space="preserve">[Online].  Available at: </w:t>
      </w:r>
      <w:hyperlink r:id="rId85" w:anchor="toc" w:history="1">
        <w:r w:rsidRPr="00AD050F">
          <w:rPr>
            <w:rFonts w:asciiTheme="minorHAnsi" w:hAnsiTheme="minorHAnsi" w:cstheme="minorHAnsi"/>
            <w:color w:val="0000FF"/>
            <w:sz w:val="24"/>
            <w:szCs w:val="24"/>
            <w:u w:val="single"/>
          </w:rPr>
          <w:t>https://www.ons.gov.uk/peoplepopulationandcommunity/healthandsocialcare/causesofdeath/bulletins/avoidablemortalityinenglandandwales/2019#toc</w:t>
        </w:r>
      </w:hyperlink>
      <w:r w:rsidRPr="00AD050F">
        <w:rPr>
          <w:rFonts w:asciiTheme="minorHAnsi" w:hAnsiTheme="minorHAnsi" w:cstheme="minorHAnsi"/>
          <w:sz w:val="24"/>
          <w:szCs w:val="24"/>
        </w:rPr>
        <w:t xml:space="preserve"> (Accessed: 2</w:t>
      </w:r>
      <w:r w:rsidRPr="00AD050F">
        <w:rPr>
          <w:rFonts w:asciiTheme="minorHAnsi" w:hAnsiTheme="minorHAnsi" w:cstheme="minorHAnsi"/>
          <w:sz w:val="24"/>
          <w:szCs w:val="24"/>
          <w:vertAlign w:val="superscript"/>
        </w:rPr>
        <w:t>nd</w:t>
      </w:r>
      <w:r w:rsidRPr="00AD050F">
        <w:rPr>
          <w:rFonts w:asciiTheme="minorHAnsi" w:hAnsiTheme="minorHAnsi" w:cstheme="minorHAnsi"/>
          <w:sz w:val="24"/>
          <w:szCs w:val="24"/>
        </w:rPr>
        <w:t xml:space="preserve"> May 2021)</w:t>
      </w:r>
    </w:p>
    <w:bookmarkEnd w:id="25"/>
    <w:p w14:paraId="3245CD3C"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3ADF4D57"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color w:val="auto"/>
          <w:sz w:val="24"/>
          <w:szCs w:val="24"/>
        </w:rPr>
        <w:lastRenderedPageBreak/>
        <w:t xml:space="preserve">Office for National Statistics (2021) </w:t>
      </w:r>
      <w:r w:rsidRPr="00AD050F">
        <w:rPr>
          <w:rFonts w:asciiTheme="minorHAnsi" w:hAnsiTheme="minorHAnsi" w:cstheme="minorHAnsi"/>
          <w:i/>
          <w:iCs/>
          <w:color w:val="auto"/>
          <w:sz w:val="24"/>
          <w:szCs w:val="24"/>
        </w:rPr>
        <w:t xml:space="preserve">Suicides in England and Wales: 2019 registrations. </w:t>
      </w:r>
      <w:r w:rsidRPr="00AD050F">
        <w:rPr>
          <w:rFonts w:asciiTheme="minorHAnsi" w:hAnsiTheme="minorHAnsi" w:cstheme="minorHAnsi"/>
          <w:sz w:val="24"/>
          <w:szCs w:val="24"/>
        </w:rPr>
        <w:t xml:space="preserve">[Online].  Available at: </w:t>
      </w:r>
      <w:hyperlink r:id="rId86" w:anchor="suicide-patterns-by-age" w:history="1">
        <w:r w:rsidRPr="00AD050F">
          <w:rPr>
            <w:color w:val="0000FF"/>
            <w:sz w:val="24"/>
            <w:szCs w:val="24"/>
            <w:u w:val="single"/>
          </w:rPr>
          <w:t>Suicides in England and Wales - Office for National Statistics (ons.gov.uk)</w:t>
        </w:r>
      </w:hyperlink>
      <w:r w:rsidRPr="00AD050F">
        <w:rPr>
          <w:rFonts w:asciiTheme="minorHAnsi" w:hAnsiTheme="minorHAnsi" w:cstheme="minorHAnsi"/>
          <w:sz w:val="24"/>
          <w:szCs w:val="24"/>
        </w:rPr>
        <w:t xml:space="preserve"> (Accessed: 2</w:t>
      </w:r>
      <w:r w:rsidRPr="00AD050F">
        <w:rPr>
          <w:rFonts w:asciiTheme="minorHAnsi" w:hAnsiTheme="minorHAnsi" w:cstheme="minorHAnsi"/>
          <w:sz w:val="24"/>
          <w:szCs w:val="24"/>
          <w:vertAlign w:val="superscript"/>
        </w:rPr>
        <w:t>nd</w:t>
      </w:r>
      <w:r w:rsidRPr="00AD050F">
        <w:rPr>
          <w:rFonts w:asciiTheme="minorHAnsi" w:hAnsiTheme="minorHAnsi" w:cstheme="minorHAnsi"/>
          <w:sz w:val="24"/>
          <w:szCs w:val="24"/>
        </w:rPr>
        <w:t xml:space="preserve"> May 2021)</w:t>
      </w:r>
    </w:p>
    <w:p w14:paraId="23A6D494"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523600AA" w14:textId="77777777" w:rsidR="00F222F7" w:rsidRPr="00AD050F" w:rsidRDefault="00F222F7" w:rsidP="00F222F7">
      <w:pPr>
        <w:spacing w:after="0" w:afterAutospacing="0" w:line="240" w:lineRule="auto"/>
        <w:contextualSpacing/>
        <w:jc w:val="both"/>
        <w:rPr>
          <w:sz w:val="24"/>
          <w:szCs w:val="24"/>
        </w:rPr>
      </w:pPr>
      <w:proofErr w:type="spellStart"/>
      <w:r w:rsidRPr="00AD050F">
        <w:rPr>
          <w:sz w:val="24"/>
          <w:szCs w:val="24"/>
        </w:rPr>
        <w:t>Oketah</w:t>
      </w:r>
      <w:proofErr w:type="spellEnd"/>
      <w:r w:rsidRPr="00AD050F">
        <w:rPr>
          <w:sz w:val="24"/>
          <w:szCs w:val="24"/>
        </w:rPr>
        <w:t xml:space="preserve">, N., </w:t>
      </w:r>
      <w:proofErr w:type="spellStart"/>
      <w:r w:rsidRPr="00AD050F">
        <w:rPr>
          <w:sz w:val="24"/>
          <w:szCs w:val="24"/>
        </w:rPr>
        <w:t>Wokoma</w:t>
      </w:r>
      <w:proofErr w:type="spellEnd"/>
      <w:r w:rsidRPr="00AD050F">
        <w:rPr>
          <w:sz w:val="24"/>
          <w:szCs w:val="24"/>
        </w:rPr>
        <w:t xml:space="preserve">, C., Klein, J., </w:t>
      </w:r>
      <w:proofErr w:type="spellStart"/>
      <w:r w:rsidRPr="00AD050F">
        <w:rPr>
          <w:sz w:val="24"/>
          <w:szCs w:val="24"/>
        </w:rPr>
        <w:t>Galagali</w:t>
      </w:r>
      <w:proofErr w:type="spellEnd"/>
      <w:r w:rsidRPr="00AD050F">
        <w:rPr>
          <w:sz w:val="24"/>
          <w:szCs w:val="24"/>
        </w:rPr>
        <w:t xml:space="preserve">, P, Simpson, T. and Offutt, L. (2021) ‘International Adolescent Health Week: Nothing About Them Without Them’, </w:t>
      </w:r>
      <w:r w:rsidRPr="00AD050F">
        <w:rPr>
          <w:i/>
          <w:iCs/>
          <w:sz w:val="24"/>
          <w:szCs w:val="24"/>
        </w:rPr>
        <w:t xml:space="preserve">Journal of Adolescent Health, Vol. 68, pp646-647. </w:t>
      </w:r>
      <w:r w:rsidRPr="00AD050F">
        <w:rPr>
          <w:sz w:val="24"/>
          <w:szCs w:val="24"/>
        </w:rPr>
        <w:t xml:space="preserve">[Online]. Available at: </w:t>
      </w:r>
      <w:hyperlink r:id="rId87" w:history="1">
        <w:r w:rsidRPr="00AD050F">
          <w:rPr>
            <w:color w:val="0000FF"/>
            <w:sz w:val="24"/>
            <w:szCs w:val="24"/>
            <w:u w:val="single"/>
          </w:rPr>
          <w:t>International Adolescent Health Week: Nothing About Them Without Them - ScienceDirect</w:t>
        </w:r>
      </w:hyperlink>
      <w:r w:rsidRPr="00AD050F">
        <w:rPr>
          <w:sz w:val="24"/>
          <w:szCs w:val="24"/>
        </w:rPr>
        <w:t xml:space="preserve"> (Accessed: 2</w:t>
      </w:r>
      <w:r w:rsidRPr="00AD050F">
        <w:rPr>
          <w:sz w:val="24"/>
          <w:szCs w:val="24"/>
          <w:vertAlign w:val="superscript"/>
        </w:rPr>
        <w:t>nd</w:t>
      </w:r>
      <w:r w:rsidRPr="00AD050F">
        <w:rPr>
          <w:sz w:val="24"/>
          <w:szCs w:val="24"/>
        </w:rPr>
        <w:t xml:space="preserve"> May 2021)</w:t>
      </w:r>
    </w:p>
    <w:p w14:paraId="7CC45DDC"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1451B48A"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t xml:space="preserve">O’Neal, E., Jiang, Y., Brown, K., Kearney, J and </w:t>
      </w:r>
      <w:proofErr w:type="spellStart"/>
      <w:r w:rsidRPr="00AD050F">
        <w:rPr>
          <w:rFonts w:asciiTheme="minorHAnsi" w:hAnsiTheme="minorHAnsi" w:cstheme="minorHAnsi"/>
          <w:sz w:val="24"/>
          <w:szCs w:val="24"/>
        </w:rPr>
        <w:t>Plumert</w:t>
      </w:r>
      <w:proofErr w:type="spellEnd"/>
      <w:r w:rsidRPr="00AD050F">
        <w:rPr>
          <w:rFonts w:asciiTheme="minorHAnsi" w:hAnsiTheme="minorHAnsi" w:cstheme="minorHAnsi"/>
          <w:sz w:val="24"/>
          <w:szCs w:val="24"/>
        </w:rPr>
        <w:t xml:space="preserve">, J. (2019) ‘How Does Crossing Roads with Friends Impact Risk Taking in Young Adolescents and Adults?’, </w:t>
      </w:r>
      <w:r w:rsidRPr="00AD050F">
        <w:rPr>
          <w:rFonts w:asciiTheme="minorHAnsi" w:hAnsiTheme="minorHAnsi" w:cstheme="minorHAnsi"/>
          <w:i/>
          <w:iCs/>
          <w:sz w:val="24"/>
          <w:szCs w:val="24"/>
        </w:rPr>
        <w:t xml:space="preserve">Journal of </w:t>
      </w:r>
      <w:proofErr w:type="spellStart"/>
      <w:r w:rsidRPr="00AD050F">
        <w:rPr>
          <w:rFonts w:asciiTheme="minorHAnsi" w:hAnsiTheme="minorHAnsi" w:cstheme="minorHAnsi"/>
          <w:i/>
          <w:iCs/>
          <w:sz w:val="24"/>
          <w:szCs w:val="24"/>
        </w:rPr>
        <w:t>Pediatric</w:t>
      </w:r>
      <w:proofErr w:type="spellEnd"/>
      <w:r w:rsidRPr="00AD050F">
        <w:rPr>
          <w:rFonts w:asciiTheme="minorHAnsi" w:hAnsiTheme="minorHAnsi" w:cstheme="minorHAnsi"/>
          <w:i/>
          <w:iCs/>
          <w:sz w:val="24"/>
          <w:szCs w:val="24"/>
        </w:rPr>
        <w:t xml:space="preserve"> Psychology, Vol. 44, pp726-735. </w:t>
      </w:r>
      <w:r w:rsidRPr="00AD050F">
        <w:rPr>
          <w:rFonts w:asciiTheme="minorHAnsi" w:hAnsiTheme="minorHAnsi" w:cstheme="minorHAnsi"/>
          <w:sz w:val="24"/>
          <w:szCs w:val="24"/>
        </w:rPr>
        <w:t xml:space="preserve">[Online]. Available at: </w:t>
      </w:r>
      <w:hyperlink r:id="rId88" w:history="1">
        <w:r w:rsidRPr="00AD050F">
          <w:rPr>
            <w:color w:val="0000FF"/>
            <w:sz w:val="24"/>
            <w:szCs w:val="24"/>
            <w:u w:val="single"/>
          </w:rPr>
          <w:t xml:space="preserve">How Does Crossing Roads with Friends Impact Risk Taking in Young Adolescents and Adults? | Journal of </w:t>
        </w:r>
        <w:proofErr w:type="spellStart"/>
        <w:r w:rsidRPr="00AD050F">
          <w:rPr>
            <w:color w:val="0000FF"/>
            <w:sz w:val="24"/>
            <w:szCs w:val="24"/>
            <w:u w:val="single"/>
          </w:rPr>
          <w:t>Pediatric</w:t>
        </w:r>
        <w:proofErr w:type="spellEnd"/>
        <w:r w:rsidRPr="00AD050F">
          <w:rPr>
            <w:color w:val="0000FF"/>
            <w:sz w:val="24"/>
            <w:szCs w:val="24"/>
            <w:u w:val="single"/>
          </w:rPr>
          <w:t xml:space="preserve"> Psychology | Oxford Academic (oup.com)</w:t>
        </w:r>
      </w:hyperlink>
      <w:r w:rsidRPr="00AD050F">
        <w:rPr>
          <w:sz w:val="24"/>
          <w:szCs w:val="24"/>
        </w:rPr>
        <w:t xml:space="preserve"> (Accessed: 30</w:t>
      </w:r>
      <w:r w:rsidRPr="00AD050F">
        <w:rPr>
          <w:sz w:val="24"/>
          <w:szCs w:val="24"/>
          <w:vertAlign w:val="superscript"/>
        </w:rPr>
        <w:t>th</w:t>
      </w:r>
      <w:r w:rsidRPr="00AD050F">
        <w:rPr>
          <w:sz w:val="24"/>
          <w:szCs w:val="24"/>
        </w:rPr>
        <w:t xml:space="preserve"> May 2021)</w:t>
      </w:r>
    </w:p>
    <w:p w14:paraId="1D87D01A"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7E47313C"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Papachristou</w:t>
      </w:r>
      <w:proofErr w:type="spellEnd"/>
      <w:r w:rsidRPr="00AD050F">
        <w:rPr>
          <w:rFonts w:asciiTheme="minorHAnsi" w:hAnsiTheme="minorHAnsi" w:cstheme="minorHAnsi"/>
          <w:sz w:val="24"/>
          <w:szCs w:val="24"/>
        </w:rPr>
        <w:t xml:space="preserve">, E. and </w:t>
      </w:r>
      <w:proofErr w:type="spellStart"/>
      <w:r w:rsidRPr="00AD050F">
        <w:rPr>
          <w:rFonts w:asciiTheme="minorHAnsi" w:hAnsiTheme="minorHAnsi" w:cstheme="minorHAnsi"/>
          <w:sz w:val="24"/>
          <w:szCs w:val="24"/>
        </w:rPr>
        <w:t>Flouri</w:t>
      </w:r>
      <w:proofErr w:type="spellEnd"/>
      <w:r w:rsidRPr="00AD050F">
        <w:rPr>
          <w:rFonts w:asciiTheme="minorHAnsi" w:hAnsiTheme="minorHAnsi" w:cstheme="minorHAnsi"/>
          <w:sz w:val="24"/>
          <w:szCs w:val="24"/>
        </w:rPr>
        <w:t xml:space="preserve">, E. (2020) ‘Distinct developmental trajectories of internalising and externalising symptoms in childhood: Links with mental health and risky behaviours in early adolescence’, </w:t>
      </w:r>
      <w:r w:rsidRPr="00AD050F">
        <w:rPr>
          <w:rFonts w:asciiTheme="minorHAnsi" w:hAnsiTheme="minorHAnsi" w:cstheme="minorHAnsi"/>
          <w:i/>
          <w:iCs/>
          <w:sz w:val="24"/>
          <w:szCs w:val="24"/>
        </w:rPr>
        <w:t xml:space="preserve">Journal of Affective Disorders, Vol. 276, pp1052-1060. </w:t>
      </w:r>
      <w:r w:rsidRPr="00AD050F">
        <w:rPr>
          <w:rFonts w:asciiTheme="minorHAnsi" w:hAnsiTheme="minorHAnsi" w:cstheme="minorHAnsi"/>
          <w:sz w:val="24"/>
          <w:szCs w:val="24"/>
        </w:rPr>
        <w:t xml:space="preserve">[Online].  Available at: </w:t>
      </w:r>
      <w:hyperlink r:id="rId89" w:history="1">
        <w:r w:rsidRPr="00AD050F">
          <w:rPr>
            <w:rFonts w:asciiTheme="minorHAnsi" w:hAnsiTheme="minorHAnsi" w:cstheme="minorHAnsi"/>
            <w:color w:val="0000FF"/>
            <w:sz w:val="24"/>
            <w:szCs w:val="24"/>
            <w:u w:val="single"/>
          </w:rPr>
          <w:t>Distinct developmental trajectories of internalising and externalising symptoms in childhood: Links with mental health and risky behaviours in early adolescence - ScienceDirect</w:t>
        </w:r>
      </w:hyperlink>
      <w:r w:rsidRPr="00AD050F">
        <w:rPr>
          <w:rFonts w:asciiTheme="minorHAnsi" w:hAnsiTheme="minorHAnsi" w:cstheme="minorHAnsi"/>
          <w:sz w:val="24"/>
          <w:szCs w:val="24"/>
        </w:rPr>
        <w:t xml:space="preserve">  (Accessed: 14</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January 2021)</w:t>
      </w:r>
    </w:p>
    <w:p w14:paraId="0C38C90E"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7985D41B"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t xml:space="preserve">Parmar, D., Alabaster, A., Vance Jr., S., Weintraub, M. and Lau, J. (2021) ‘Disordered Eating, Body Image Dissatisfaction, and Associated Healthcare Utilization Patterns for Sexual Minority Youth’, </w:t>
      </w:r>
      <w:r w:rsidRPr="00AD050F">
        <w:rPr>
          <w:rFonts w:asciiTheme="minorHAnsi" w:hAnsiTheme="minorHAnsi" w:cstheme="minorHAnsi"/>
          <w:i/>
          <w:iCs/>
          <w:sz w:val="24"/>
          <w:szCs w:val="24"/>
        </w:rPr>
        <w:t xml:space="preserve">Journal of Adolescent Health. </w:t>
      </w:r>
      <w:r w:rsidRPr="00AD050F">
        <w:rPr>
          <w:rFonts w:asciiTheme="minorHAnsi" w:hAnsiTheme="minorHAnsi" w:cstheme="minorHAnsi"/>
          <w:sz w:val="24"/>
          <w:szCs w:val="24"/>
        </w:rPr>
        <w:t xml:space="preserve">[Article in Press]. [Online].  Available at: </w:t>
      </w:r>
      <w:hyperlink r:id="rId90" w:history="1">
        <w:r w:rsidRPr="00AD050F">
          <w:rPr>
            <w:rFonts w:asciiTheme="minorHAnsi" w:hAnsiTheme="minorHAnsi" w:cstheme="minorHAnsi"/>
            <w:color w:val="0000FF"/>
            <w:sz w:val="24"/>
            <w:szCs w:val="24"/>
            <w:u w:val="single"/>
          </w:rPr>
          <w:t>Disordered Eating, Body Image Dissatisfaction, and Associated Healthcare Utilization Patterns for Sexual Minority Youth | Elsevier Enhanced Reader</w:t>
        </w:r>
      </w:hyperlink>
      <w:r w:rsidRPr="00AD050F">
        <w:rPr>
          <w:rFonts w:asciiTheme="minorHAnsi" w:hAnsiTheme="minorHAnsi" w:cstheme="minorHAnsi"/>
          <w:sz w:val="24"/>
          <w:szCs w:val="24"/>
        </w:rPr>
        <w:t xml:space="preserve"> (Accessed: 5</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May 2021)</w:t>
      </w:r>
    </w:p>
    <w:p w14:paraId="1E270E97"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5B677738" w14:textId="77777777" w:rsidR="00F222F7" w:rsidRPr="00AD050F" w:rsidRDefault="00F222F7" w:rsidP="00F222F7">
      <w:pPr>
        <w:spacing w:after="0" w:afterAutospacing="0" w:line="240" w:lineRule="auto"/>
        <w:contextualSpacing/>
        <w:jc w:val="both"/>
        <w:rPr>
          <w:rFonts w:asciiTheme="minorHAnsi" w:hAnsiTheme="minorHAnsi" w:cstheme="minorHAnsi"/>
          <w:i/>
          <w:iCs/>
          <w:sz w:val="24"/>
          <w:szCs w:val="24"/>
        </w:rPr>
      </w:pPr>
      <w:r w:rsidRPr="00AD050F">
        <w:rPr>
          <w:rFonts w:asciiTheme="minorHAnsi" w:hAnsiTheme="minorHAnsi" w:cstheme="minorHAnsi"/>
          <w:sz w:val="24"/>
          <w:szCs w:val="24"/>
        </w:rPr>
        <w:t xml:space="preserve">Peris, T. and Galvan, A. (2020) ‘Brain and </w:t>
      </w:r>
      <w:proofErr w:type="spellStart"/>
      <w:r w:rsidRPr="00AD050F">
        <w:rPr>
          <w:rFonts w:asciiTheme="minorHAnsi" w:hAnsiTheme="minorHAnsi" w:cstheme="minorHAnsi"/>
          <w:sz w:val="24"/>
          <w:szCs w:val="24"/>
        </w:rPr>
        <w:t>Behavior</w:t>
      </w:r>
      <w:proofErr w:type="spellEnd"/>
      <w:r w:rsidRPr="00AD050F">
        <w:rPr>
          <w:rFonts w:asciiTheme="minorHAnsi" w:hAnsiTheme="minorHAnsi" w:cstheme="minorHAnsi"/>
          <w:sz w:val="24"/>
          <w:szCs w:val="24"/>
        </w:rPr>
        <w:t xml:space="preserve"> Correlates of Risk-taking in </w:t>
      </w:r>
      <w:proofErr w:type="spellStart"/>
      <w:r w:rsidRPr="00AD050F">
        <w:rPr>
          <w:rFonts w:asciiTheme="minorHAnsi" w:hAnsiTheme="minorHAnsi" w:cstheme="minorHAnsi"/>
          <w:sz w:val="24"/>
          <w:szCs w:val="24"/>
        </w:rPr>
        <w:t>Pediatric</w:t>
      </w:r>
      <w:proofErr w:type="spellEnd"/>
      <w:r w:rsidRPr="00AD050F">
        <w:rPr>
          <w:rFonts w:asciiTheme="minorHAnsi" w:hAnsiTheme="minorHAnsi" w:cstheme="minorHAnsi"/>
          <w:sz w:val="24"/>
          <w:szCs w:val="24"/>
        </w:rPr>
        <w:t xml:space="preserve"> Anxiety Disorders’, </w:t>
      </w:r>
      <w:r w:rsidRPr="00AD050F">
        <w:rPr>
          <w:rFonts w:asciiTheme="minorHAnsi" w:hAnsiTheme="minorHAnsi" w:cstheme="minorHAnsi"/>
          <w:i/>
          <w:iCs/>
          <w:sz w:val="24"/>
          <w:szCs w:val="24"/>
        </w:rPr>
        <w:t>Biological Psychiatry.</w:t>
      </w:r>
      <w:r w:rsidRPr="00AD050F">
        <w:rPr>
          <w:rFonts w:asciiTheme="minorHAnsi" w:hAnsiTheme="minorHAnsi" w:cstheme="minorHAnsi"/>
          <w:sz w:val="24"/>
          <w:szCs w:val="24"/>
        </w:rPr>
        <w:t xml:space="preserve"> [Online]. Available at: </w:t>
      </w:r>
      <w:hyperlink r:id="rId91" w:history="1">
        <w:r w:rsidRPr="00AD050F">
          <w:rPr>
            <w:rFonts w:asciiTheme="minorHAnsi" w:hAnsiTheme="minorHAnsi" w:cstheme="minorHAnsi"/>
            <w:color w:val="0000FF"/>
            <w:sz w:val="24"/>
            <w:szCs w:val="24"/>
            <w:u w:val="single"/>
          </w:rPr>
          <w:t xml:space="preserve">Brain and </w:t>
        </w:r>
        <w:proofErr w:type="spellStart"/>
        <w:r w:rsidRPr="00AD050F">
          <w:rPr>
            <w:rFonts w:asciiTheme="minorHAnsi" w:hAnsiTheme="minorHAnsi" w:cstheme="minorHAnsi"/>
            <w:color w:val="0000FF"/>
            <w:sz w:val="24"/>
            <w:szCs w:val="24"/>
            <w:u w:val="single"/>
          </w:rPr>
          <w:t>Behavior</w:t>
        </w:r>
        <w:proofErr w:type="spellEnd"/>
        <w:r w:rsidRPr="00AD050F">
          <w:rPr>
            <w:rFonts w:asciiTheme="minorHAnsi" w:hAnsiTheme="minorHAnsi" w:cstheme="minorHAnsi"/>
            <w:color w:val="0000FF"/>
            <w:sz w:val="24"/>
            <w:szCs w:val="24"/>
            <w:u w:val="single"/>
          </w:rPr>
          <w:t xml:space="preserve"> Correlates of Risk Taking in </w:t>
        </w:r>
        <w:proofErr w:type="spellStart"/>
        <w:r w:rsidRPr="00AD050F">
          <w:rPr>
            <w:rFonts w:asciiTheme="minorHAnsi" w:hAnsiTheme="minorHAnsi" w:cstheme="minorHAnsi"/>
            <w:color w:val="0000FF"/>
            <w:sz w:val="24"/>
            <w:szCs w:val="24"/>
            <w:u w:val="single"/>
          </w:rPr>
          <w:t>Pediatric</w:t>
        </w:r>
        <w:proofErr w:type="spellEnd"/>
        <w:r w:rsidRPr="00AD050F">
          <w:rPr>
            <w:rFonts w:asciiTheme="minorHAnsi" w:hAnsiTheme="minorHAnsi" w:cstheme="minorHAnsi"/>
            <w:color w:val="0000FF"/>
            <w:sz w:val="24"/>
            <w:szCs w:val="24"/>
            <w:u w:val="single"/>
          </w:rPr>
          <w:t xml:space="preserve"> Anxiety Disorders | Elsevier Enhanced Reader</w:t>
        </w:r>
      </w:hyperlink>
      <w:r w:rsidRPr="00AD050F">
        <w:rPr>
          <w:rFonts w:asciiTheme="minorHAnsi" w:hAnsiTheme="minorHAnsi" w:cstheme="minorHAnsi"/>
          <w:sz w:val="24"/>
          <w:szCs w:val="24"/>
        </w:rPr>
        <w:t xml:space="preserve"> </w:t>
      </w:r>
      <w:r w:rsidRPr="00AD050F">
        <w:rPr>
          <w:rFonts w:asciiTheme="minorHAnsi" w:hAnsiTheme="minorHAnsi" w:cstheme="minorHAnsi"/>
          <w:i/>
          <w:iCs/>
          <w:sz w:val="24"/>
          <w:szCs w:val="24"/>
        </w:rPr>
        <w:t xml:space="preserve"> </w:t>
      </w:r>
      <w:r w:rsidRPr="00AD050F">
        <w:rPr>
          <w:rFonts w:asciiTheme="minorHAnsi" w:hAnsiTheme="minorHAnsi" w:cstheme="minorHAnsi"/>
          <w:sz w:val="24"/>
          <w:szCs w:val="24"/>
        </w:rPr>
        <w:t>(First accessed as a Journal Pre-proof 23</w:t>
      </w:r>
      <w:r w:rsidRPr="00AD050F">
        <w:rPr>
          <w:rFonts w:asciiTheme="minorHAnsi" w:hAnsiTheme="minorHAnsi" w:cstheme="minorHAnsi"/>
          <w:sz w:val="24"/>
          <w:szCs w:val="24"/>
          <w:vertAlign w:val="superscript"/>
        </w:rPr>
        <w:t>rd</w:t>
      </w:r>
      <w:r w:rsidRPr="00AD050F">
        <w:rPr>
          <w:rFonts w:asciiTheme="minorHAnsi" w:hAnsiTheme="minorHAnsi" w:cstheme="minorHAnsi"/>
          <w:sz w:val="24"/>
          <w:szCs w:val="24"/>
        </w:rPr>
        <w:t xml:space="preserve"> November 2020)</w:t>
      </w:r>
      <w:r w:rsidRPr="00AD050F">
        <w:rPr>
          <w:rFonts w:asciiTheme="minorHAnsi" w:hAnsiTheme="minorHAnsi" w:cstheme="minorHAnsi"/>
          <w:i/>
          <w:iCs/>
          <w:sz w:val="24"/>
          <w:szCs w:val="24"/>
        </w:rPr>
        <w:t xml:space="preserve"> </w:t>
      </w:r>
    </w:p>
    <w:p w14:paraId="2B557A4F"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0941EFCF"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t xml:space="preserve">Price, J., </w:t>
      </w:r>
      <w:proofErr w:type="spellStart"/>
      <w:r w:rsidRPr="00AD050F">
        <w:rPr>
          <w:rFonts w:asciiTheme="minorHAnsi" w:hAnsiTheme="minorHAnsi" w:cstheme="minorHAnsi"/>
          <w:sz w:val="24"/>
          <w:szCs w:val="24"/>
        </w:rPr>
        <w:t>Drabick</w:t>
      </w:r>
      <w:proofErr w:type="spellEnd"/>
      <w:r w:rsidRPr="00AD050F">
        <w:rPr>
          <w:rFonts w:asciiTheme="minorHAnsi" w:hAnsiTheme="minorHAnsi" w:cstheme="minorHAnsi"/>
          <w:sz w:val="24"/>
          <w:szCs w:val="24"/>
        </w:rPr>
        <w:t xml:space="preserve">, D. and Ridenour, T. (2019) ‘Association With Deviant Peers Across Adolescence: Subtypes, </w:t>
      </w:r>
      <w:proofErr w:type="gramStart"/>
      <w:r w:rsidRPr="00AD050F">
        <w:rPr>
          <w:rFonts w:asciiTheme="minorHAnsi" w:hAnsiTheme="minorHAnsi" w:cstheme="minorHAnsi"/>
          <w:sz w:val="24"/>
          <w:szCs w:val="24"/>
        </w:rPr>
        <w:t>Developmental  Patterns</w:t>
      </w:r>
      <w:proofErr w:type="gramEnd"/>
      <w:r w:rsidRPr="00AD050F">
        <w:rPr>
          <w:rFonts w:asciiTheme="minorHAnsi" w:hAnsiTheme="minorHAnsi" w:cstheme="minorHAnsi"/>
          <w:sz w:val="24"/>
          <w:szCs w:val="24"/>
        </w:rPr>
        <w:t xml:space="preserve">, and Long-Term Outcomes’, </w:t>
      </w:r>
      <w:r w:rsidRPr="00AD050F">
        <w:rPr>
          <w:rFonts w:asciiTheme="minorHAnsi" w:hAnsiTheme="minorHAnsi" w:cstheme="minorHAnsi"/>
          <w:i/>
          <w:iCs/>
          <w:sz w:val="24"/>
          <w:szCs w:val="24"/>
        </w:rPr>
        <w:t xml:space="preserve">Journal of Clinical Child &amp; Adolescent Psychology, Vol. 48, pp238-249. </w:t>
      </w:r>
      <w:r w:rsidRPr="00AD050F">
        <w:rPr>
          <w:rFonts w:asciiTheme="minorHAnsi" w:hAnsiTheme="minorHAnsi" w:cstheme="minorHAnsi"/>
          <w:sz w:val="24"/>
          <w:szCs w:val="24"/>
        </w:rPr>
        <w:t xml:space="preserve">[Online].  Available at: </w:t>
      </w:r>
      <w:hyperlink r:id="rId92" w:history="1">
        <w:r w:rsidRPr="00AD050F">
          <w:rPr>
            <w:color w:val="0000FF"/>
            <w:sz w:val="24"/>
            <w:szCs w:val="24"/>
            <w:u w:val="single"/>
          </w:rPr>
          <w:t>Association with Deviant Peers across Adolescence: Subtypes, Developmental Patterns, and Long-term Outcomes (europepmc.org)</w:t>
        </w:r>
      </w:hyperlink>
      <w:r w:rsidRPr="00AD050F">
        <w:rPr>
          <w:sz w:val="24"/>
          <w:szCs w:val="24"/>
        </w:rPr>
        <w:t xml:space="preserve"> (Accessed: 11</w:t>
      </w:r>
      <w:r w:rsidRPr="00AD050F">
        <w:rPr>
          <w:sz w:val="24"/>
          <w:szCs w:val="24"/>
          <w:vertAlign w:val="superscript"/>
        </w:rPr>
        <w:t>th</w:t>
      </w:r>
      <w:r w:rsidRPr="00AD050F">
        <w:rPr>
          <w:sz w:val="24"/>
          <w:szCs w:val="24"/>
        </w:rPr>
        <w:t xml:space="preserve"> December 2020)</w:t>
      </w:r>
    </w:p>
    <w:p w14:paraId="41999A23"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3CBB048F"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sz w:val="24"/>
          <w:szCs w:val="24"/>
        </w:rPr>
        <w:t>Prins</w:t>
      </w:r>
      <w:proofErr w:type="spellEnd"/>
      <w:r w:rsidRPr="00AD050F">
        <w:rPr>
          <w:rFonts w:asciiTheme="minorHAnsi" w:hAnsiTheme="minorHAnsi" w:cstheme="minorHAnsi"/>
          <w:sz w:val="24"/>
          <w:szCs w:val="24"/>
        </w:rPr>
        <w:t xml:space="preserve">, S., </w:t>
      </w:r>
      <w:proofErr w:type="spellStart"/>
      <w:r w:rsidRPr="00AD050F">
        <w:rPr>
          <w:rFonts w:asciiTheme="minorHAnsi" w:hAnsiTheme="minorHAnsi" w:cstheme="minorHAnsi"/>
          <w:sz w:val="24"/>
          <w:szCs w:val="24"/>
        </w:rPr>
        <w:t>Kajeepeta</w:t>
      </w:r>
      <w:proofErr w:type="spellEnd"/>
      <w:r w:rsidRPr="00AD050F">
        <w:rPr>
          <w:rFonts w:asciiTheme="minorHAnsi" w:hAnsiTheme="minorHAnsi" w:cstheme="minorHAnsi"/>
          <w:sz w:val="24"/>
          <w:szCs w:val="24"/>
        </w:rPr>
        <w:t xml:space="preserve">, S., Pearce, R., </w:t>
      </w:r>
      <w:proofErr w:type="spellStart"/>
      <w:r w:rsidRPr="00AD050F">
        <w:rPr>
          <w:rFonts w:asciiTheme="minorHAnsi" w:hAnsiTheme="minorHAnsi" w:cstheme="minorHAnsi"/>
          <w:sz w:val="24"/>
          <w:szCs w:val="24"/>
        </w:rPr>
        <w:t>Beardslee</w:t>
      </w:r>
      <w:proofErr w:type="spellEnd"/>
      <w:r w:rsidRPr="00AD050F">
        <w:rPr>
          <w:rFonts w:asciiTheme="minorHAnsi" w:hAnsiTheme="minorHAnsi" w:cstheme="minorHAnsi"/>
          <w:sz w:val="24"/>
          <w:szCs w:val="24"/>
        </w:rPr>
        <w:t xml:space="preserve">, J, </w:t>
      </w:r>
      <w:proofErr w:type="spellStart"/>
      <w:r w:rsidRPr="00AD050F">
        <w:rPr>
          <w:rFonts w:asciiTheme="minorHAnsi" w:hAnsiTheme="minorHAnsi" w:cstheme="minorHAnsi"/>
          <w:sz w:val="24"/>
          <w:szCs w:val="24"/>
        </w:rPr>
        <w:t>Pardini</w:t>
      </w:r>
      <w:proofErr w:type="spellEnd"/>
      <w:r w:rsidRPr="00AD050F">
        <w:rPr>
          <w:rFonts w:asciiTheme="minorHAnsi" w:hAnsiTheme="minorHAnsi" w:cstheme="minorHAnsi"/>
          <w:sz w:val="24"/>
          <w:szCs w:val="24"/>
        </w:rPr>
        <w:t xml:space="preserve">, D. and Cerda, M. (2021) ‘Identifying sensitive periods when changes in parenting and peer factors are associated with changes in adolescent alcohol and marijuana use’, </w:t>
      </w:r>
      <w:r w:rsidRPr="00AD050F">
        <w:rPr>
          <w:rFonts w:asciiTheme="minorHAnsi" w:hAnsiTheme="minorHAnsi" w:cstheme="minorHAnsi"/>
          <w:i/>
          <w:iCs/>
          <w:sz w:val="24"/>
          <w:szCs w:val="24"/>
        </w:rPr>
        <w:t xml:space="preserve">Social Psychiatry and Psychiatric Epidemiology, Vol. 56, pp605-617. </w:t>
      </w:r>
      <w:r w:rsidRPr="00AD050F">
        <w:rPr>
          <w:rFonts w:asciiTheme="minorHAnsi" w:hAnsiTheme="minorHAnsi" w:cstheme="minorHAnsi"/>
          <w:sz w:val="24"/>
          <w:szCs w:val="24"/>
        </w:rPr>
        <w:t xml:space="preserve">[Online]. Available at: </w:t>
      </w:r>
      <w:hyperlink r:id="rId93" w:history="1">
        <w:r w:rsidRPr="00AD050F">
          <w:rPr>
            <w:color w:val="0000FF"/>
            <w:sz w:val="24"/>
            <w:szCs w:val="24"/>
            <w:u w:val="single"/>
          </w:rPr>
          <w:t>Identifying sensitive periods when changes in parenting and peer factors are associated with changes in adolescent alcohol and marijuana use | SpringerLink</w:t>
        </w:r>
      </w:hyperlink>
      <w:r w:rsidRPr="00AD050F">
        <w:rPr>
          <w:sz w:val="24"/>
          <w:szCs w:val="24"/>
        </w:rPr>
        <w:t xml:space="preserve"> (Accessed: 3</w:t>
      </w:r>
      <w:r w:rsidRPr="00AD050F">
        <w:rPr>
          <w:sz w:val="24"/>
          <w:szCs w:val="24"/>
          <w:vertAlign w:val="superscript"/>
        </w:rPr>
        <w:t>rd</w:t>
      </w:r>
      <w:r w:rsidRPr="00AD050F">
        <w:rPr>
          <w:sz w:val="24"/>
          <w:szCs w:val="24"/>
        </w:rPr>
        <w:t xml:space="preserve"> June 2021)</w:t>
      </w:r>
      <w:r w:rsidRPr="00AD050F">
        <w:rPr>
          <w:rFonts w:asciiTheme="minorHAnsi" w:hAnsiTheme="minorHAnsi" w:cstheme="minorHAnsi"/>
          <w:sz w:val="24"/>
          <w:szCs w:val="24"/>
        </w:rPr>
        <w:t xml:space="preserve"> </w:t>
      </w:r>
    </w:p>
    <w:p w14:paraId="6DAAC59A"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4B6B951D"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lastRenderedPageBreak/>
        <w:t xml:space="preserve">Pritchard, T., Lewis, S and </w:t>
      </w:r>
      <w:proofErr w:type="spellStart"/>
      <w:r w:rsidRPr="00AD050F">
        <w:rPr>
          <w:rFonts w:asciiTheme="minorHAnsi" w:hAnsiTheme="minorHAnsi" w:cstheme="minorHAnsi"/>
          <w:sz w:val="24"/>
          <w:szCs w:val="24"/>
        </w:rPr>
        <w:t>Marcincinova</w:t>
      </w:r>
      <w:proofErr w:type="spellEnd"/>
      <w:r w:rsidRPr="00AD050F">
        <w:rPr>
          <w:rFonts w:asciiTheme="minorHAnsi" w:hAnsiTheme="minorHAnsi" w:cstheme="minorHAnsi"/>
          <w:sz w:val="24"/>
          <w:szCs w:val="24"/>
        </w:rPr>
        <w:t xml:space="preserve">, I. (2021) Needs of Youth Posting About </w:t>
      </w:r>
      <w:proofErr w:type="spellStart"/>
      <w:r w:rsidRPr="00AD050F">
        <w:rPr>
          <w:rFonts w:asciiTheme="minorHAnsi" w:hAnsiTheme="minorHAnsi" w:cstheme="minorHAnsi"/>
          <w:sz w:val="24"/>
          <w:szCs w:val="24"/>
        </w:rPr>
        <w:t>Nonsuicidal</w:t>
      </w:r>
      <w:proofErr w:type="spellEnd"/>
      <w:r w:rsidRPr="00AD050F">
        <w:rPr>
          <w:rFonts w:asciiTheme="minorHAnsi" w:hAnsiTheme="minorHAnsi" w:cstheme="minorHAnsi"/>
          <w:sz w:val="24"/>
          <w:szCs w:val="24"/>
        </w:rPr>
        <w:t xml:space="preserve"> Self-Injury: A Time-Trend Analysis’, </w:t>
      </w:r>
      <w:r w:rsidRPr="00AD050F">
        <w:rPr>
          <w:rFonts w:asciiTheme="minorHAnsi" w:hAnsiTheme="minorHAnsi" w:cstheme="minorHAnsi"/>
          <w:i/>
          <w:iCs/>
          <w:sz w:val="24"/>
          <w:szCs w:val="24"/>
        </w:rPr>
        <w:t>Journal of Adolescent Health, Vol. 68, pp532-539</w:t>
      </w:r>
      <w:r w:rsidRPr="00AD050F">
        <w:rPr>
          <w:rFonts w:asciiTheme="minorHAnsi" w:hAnsiTheme="minorHAnsi" w:cstheme="minorHAnsi"/>
          <w:sz w:val="24"/>
          <w:szCs w:val="24"/>
        </w:rPr>
        <w:t xml:space="preserve">. [Online]. Available at: </w:t>
      </w:r>
      <w:hyperlink r:id="rId94" w:history="1">
        <w:r w:rsidRPr="00AD050F">
          <w:rPr>
            <w:rFonts w:asciiTheme="minorHAnsi" w:hAnsiTheme="minorHAnsi" w:cstheme="minorHAnsi"/>
            <w:color w:val="0000FF"/>
            <w:sz w:val="24"/>
            <w:szCs w:val="24"/>
            <w:u w:val="single"/>
          </w:rPr>
          <w:t xml:space="preserve">Needs of Youth Posting About </w:t>
        </w:r>
        <w:proofErr w:type="spellStart"/>
        <w:r w:rsidRPr="00AD050F">
          <w:rPr>
            <w:rFonts w:asciiTheme="minorHAnsi" w:hAnsiTheme="minorHAnsi" w:cstheme="minorHAnsi"/>
            <w:color w:val="0000FF"/>
            <w:sz w:val="24"/>
            <w:szCs w:val="24"/>
            <w:u w:val="single"/>
          </w:rPr>
          <w:t>Nonsuicidal</w:t>
        </w:r>
        <w:proofErr w:type="spellEnd"/>
        <w:r w:rsidRPr="00AD050F">
          <w:rPr>
            <w:rFonts w:asciiTheme="minorHAnsi" w:hAnsiTheme="minorHAnsi" w:cstheme="minorHAnsi"/>
            <w:color w:val="0000FF"/>
            <w:sz w:val="24"/>
            <w:szCs w:val="24"/>
            <w:u w:val="single"/>
          </w:rPr>
          <w:t xml:space="preserve"> Self-Injury: A Time-Trend Analysis | Elsevier Enhanced Reader</w:t>
        </w:r>
      </w:hyperlink>
      <w:r w:rsidRPr="00AD050F">
        <w:rPr>
          <w:rFonts w:asciiTheme="minorHAnsi" w:hAnsiTheme="minorHAnsi" w:cstheme="minorHAnsi"/>
          <w:sz w:val="24"/>
          <w:szCs w:val="24"/>
        </w:rPr>
        <w:t xml:space="preserve"> (Accessed: 24</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March 2021)</w:t>
      </w:r>
    </w:p>
    <w:p w14:paraId="79445039"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4CC6A0FA"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sz w:val="24"/>
          <w:szCs w:val="24"/>
        </w:rPr>
        <w:t xml:space="preserve">Reinhart, S., </w:t>
      </w:r>
      <w:proofErr w:type="spellStart"/>
      <w:r w:rsidRPr="00AD050F">
        <w:rPr>
          <w:rFonts w:asciiTheme="minorHAnsi" w:hAnsiTheme="minorHAnsi" w:cstheme="minorHAnsi"/>
          <w:sz w:val="24"/>
          <w:szCs w:val="24"/>
        </w:rPr>
        <w:t>Espelage</w:t>
      </w:r>
      <w:proofErr w:type="spellEnd"/>
      <w:r w:rsidRPr="00AD050F">
        <w:rPr>
          <w:rFonts w:asciiTheme="minorHAnsi" w:hAnsiTheme="minorHAnsi" w:cstheme="minorHAnsi"/>
          <w:sz w:val="24"/>
          <w:szCs w:val="24"/>
        </w:rPr>
        <w:t xml:space="preserve">, D. and Bub, K. (2017) ‘Longitudinal Effects of Gendered Harassment Perpetration and Victimization on Mental Health Outcomes in Adolescence’, </w:t>
      </w:r>
      <w:r w:rsidRPr="00AD050F">
        <w:rPr>
          <w:rFonts w:asciiTheme="minorHAnsi" w:hAnsiTheme="minorHAnsi" w:cstheme="minorHAnsi"/>
          <w:i/>
          <w:iCs/>
          <w:sz w:val="24"/>
          <w:szCs w:val="24"/>
        </w:rPr>
        <w:t xml:space="preserve">Journal of Interpersonal Violence, Vol. 35, pp5997-6016. </w:t>
      </w:r>
      <w:r w:rsidRPr="00AD050F">
        <w:rPr>
          <w:rFonts w:asciiTheme="minorHAnsi" w:hAnsiTheme="minorHAnsi" w:cstheme="minorHAnsi"/>
          <w:sz w:val="24"/>
          <w:szCs w:val="24"/>
        </w:rPr>
        <w:t xml:space="preserve">[Online]. Available at: </w:t>
      </w:r>
      <w:hyperlink r:id="rId95" w:history="1">
        <w:r w:rsidRPr="00AD050F">
          <w:rPr>
            <w:rFonts w:asciiTheme="minorHAnsi" w:hAnsiTheme="minorHAnsi" w:cstheme="minorHAnsi"/>
            <w:color w:val="0000FF"/>
            <w:sz w:val="24"/>
            <w:szCs w:val="24"/>
            <w:u w:val="single"/>
          </w:rPr>
          <w:t>Longitudinal Effects of Gendered Harassment Perpetration and Victimization on Mental Health Outcomes in Adolescence (sagepub.com)</w:t>
        </w:r>
      </w:hyperlink>
      <w:r w:rsidRPr="00AD050F">
        <w:rPr>
          <w:rFonts w:asciiTheme="minorHAnsi" w:hAnsiTheme="minorHAnsi" w:cstheme="minorHAnsi"/>
          <w:sz w:val="24"/>
          <w:szCs w:val="24"/>
        </w:rPr>
        <w:t xml:space="preserve"> (Accessed: 17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January 2021) </w:t>
      </w:r>
    </w:p>
    <w:p w14:paraId="7B1A83D6"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4340B3F6"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color w:val="auto"/>
          <w:sz w:val="24"/>
          <w:szCs w:val="24"/>
        </w:rPr>
        <w:t xml:space="preserve">Reyna, V. and Farley, F. (2006) ‘Risk and Rationality in Adolescent Decision Making: Implications for Theory, Practice and Public Policy’, </w:t>
      </w:r>
      <w:r w:rsidRPr="00AD050F">
        <w:rPr>
          <w:rFonts w:asciiTheme="minorHAnsi" w:hAnsiTheme="minorHAnsi" w:cstheme="minorHAnsi"/>
          <w:i/>
          <w:iCs/>
          <w:color w:val="auto"/>
          <w:sz w:val="24"/>
          <w:szCs w:val="24"/>
        </w:rPr>
        <w:t>Psychological Science in the Public Interest, Vol.7</w:t>
      </w:r>
      <w:bookmarkStart w:id="26" w:name="_Hlk71372957"/>
      <w:r w:rsidRPr="00AD050F">
        <w:rPr>
          <w:rFonts w:asciiTheme="minorHAnsi" w:hAnsiTheme="minorHAnsi" w:cstheme="minorHAnsi"/>
          <w:i/>
          <w:iCs/>
          <w:color w:val="auto"/>
          <w:sz w:val="24"/>
          <w:szCs w:val="24"/>
        </w:rPr>
        <w:t xml:space="preserve">. </w:t>
      </w:r>
      <w:r w:rsidRPr="00AD050F">
        <w:rPr>
          <w:rFonts w:asciiTheme="minorHAnsi" w:eastAsiaTheme="minorHAnsi" w:hAnsiTheme="minorHAnsi" w:cstheme="minorHAnsi"/>
          <w:i/>
          <w:iCs/>
          <w:color w:val="auto"/>
          <w:sz w:val="24"/>
          <w:szCs w:val="24"/>
        </w:rPr>
        <w:t xml:space="preserve"> </w:t>
      </w:r>
      <w:r w:rsidRPr="00AD050F">
        <w:rPr>
          <w:rFonts w:asciiTheme="minorHAnsi" w:hAnsiTheme="minorHAnsi" w:cstheme="minorHAnsi"/>
          <w:sz w:val="24"/>
          <w:szCs w:val="24"/>
        </w:rPr>
        <w:t xml:space="preserve">[Online].  Available at: </w:t>
      </w:r>
      <w:bookmarkEnd w:id="26"/>
      <w:r w:rsidRPr="00AD050F">
        <w:rPr>
          <w:rFonts w:asciiTheme="minorHAnsi" w:hAnsiTheme="minorHAnsi" w:cstheme="minorHAnsi"/>
          <w:sz w:val="24"/>
          <w:szCs w:val="24"/>
        </w:rPr>
        <w:fldChar w:fldCharType="begin"/>
      </w:r>
      <w:r w:rsidRPr="00AD050F">
        <w:rPr>
          <w:rFonts w:asciiTheme="minorHAnsi" w:hAnsiTheme="minorHAnsi" w:cstheme="minorHAnsi"/>
          <w:sz w:val="24"/>
          <w:szCs w:val="24"/>
        </w:rPr>
        <w:instrText xml:space="preserve"> HYPERLINK "https://journals.sagepub.com/doi/pdf/10.1111/j.1529-1006.2006.00026.x" </w:instrText>
      </w:r>
      <w:r w:rsidRPr="00AD050F">
        <w:rPr>
          <w:rFonts w:asciiTheme="minorHAnsi" w:hAnsiTheme="minorHAnsi" w:cstheme="minorHAnsi"/>
          <w:sz w:val="24"/>
          <w:szCs w:val="24"/>
        </w:rPr>
        <w:fldChar w:fldCharType="separate"/>
      </w:r>
      <w:r w:rsidRPr="00AD050F">
        <w:rPr>
          <w:rFonts w:asciiTheme="minorHAnsi" w:hAnsiTheme="minorHAnsi" w:cstheme="minorHAnsi"/>
          <w:color w:val="0000FF"/>
          <w:sz w:val="24"/>
          <w:szCs w:val="24"/>
          <w:u w:val="single"/>
        </w:rPr>
        <w:t>Risk and Rationality in Adolescent Decision Making (sagepub.com)</w:t>
      </w:r>
      <w:r w:rsidRPr="00AD050F">
        <w:rPr>
          <w:rFonts w:asciiTheme="minorHAnsi" w:hAnsiTheme="minorHAnsi" w:cstheme="minorHAnsi"/>
          <w:color w:val="0000FF"/>
          <w:sz w:val="24"/>
          <w:szCs w:val="24"/>
          <w:u w:val="single"/>
        </w:rPr>
        <w:fldChar w:fldCharType="end"/>
      </w:r>
      <w:r w:rsidRPr="00AD050F">
        <w:rPr>
          <w:rFonts w:asciiTheme="minorHAnsi" w:hAnsiTheme="minorHAnsi" w:cstheme="minorHAnsi"/>
          <w:sz w:val="24"/>
          <w:szCs w:val="24"/>
        </w:rPr>
        <w:t xml:space="preserve"> (Accessed: 14</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November 2020)</w:t>
      </w:r>
    </w:p>
    <w:p w14:paraId="2444AABA"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79566A8C" w14:textId="77777777" w:rsidR="00F222F7" w:rsidRPr="00AD050F" w:rsidRDefault="00F222F7" w:rsidP="00F222F7">
      <w:pPr>
        <w:spacing w:after="0" w:afterAutospacing="0" w:line="240" w:lineRule="auto"/>
        <w:contextualSpacing/>
        <w:jc w:val="both"/>
        <w:rPr>
          <w:sz w:val="24"/>
          <w:szCs w:val="24"/>
        </w:rPr>
      </w:pPr>
      <w:r w:rsidRPr="00AD050F">
        <w:rPr>
          <w:rFonts w:asciiTheme="minorHAnsi" w:hAnsiTheme="minorHAnsi" w:cstheme="minorHAnsi"/>
          <w:sz w:val="24"/>
          <w:szCs w:val="24"/>
        </w:rPr>
        <w:t xml:space="preserve">Roberts, D., Alderson, M, Betancourt, J. and Bullard, C. (2021) ‘Attention-deficit hyperactivity disorder and risk-taking: A three-level meta-analytic review of </w:t>
      </w:r>
      <w:proofErr w:type="spellStart"/>
      <w:r w:rsidRPr="00AD050F">
        <w:rPr>
          <w:rFonts w:asciiTheme="minorHAnsi" w:hAnsiTheme="minorHAnsi" w:cstheme="minorHAnsi"/>
          <w:sz w:val="24"/>
          <w:szCs w:val="24"/>
        </w:rPr>
        <w:t>behavioral</w:t>
      </w:r>
      <w:proofErr w:type="spellEnd"/>
      <w:r w:rsidRPr="00AD050F">
        <w:rPr>
          <w:rFonts w:asciiTheme="minorHAnsi" w:hAnsiTheme="minorHAnsi" w:cstheme="minorHAnsi"/>
          <w:sz w:val="24"/>
          <w:szCs w:val="24"/>
        </w:rPr>
        <w:t xml:space="preserve">, self-report, and virtual reality metrics’ </w:t>
      </w:r>
      <w:r w:rsidRPr="00AD050F">
        <w:rPr>
          <w:rFonts w:asciiTheme="minorHAnsi" w:hAnsiTheme="minorHAnsi" w:cstheme="minorHAnsi"/>
          <w:i/>
          <w:iCs/>
          <w:sz w:val="24"/>
          <w:szCs w:val="24"/>
        </w:rPr>
        <w:t xml:space="preserve">Clinical Psychology Review, </w:t>
      </w:r>
      <w:r w:rsidRPr="00AD050F">
        <w:rPr>
          <w:rFonts w:asciiTheme="minorHAnsi" w:hAnsiTheme="minorHAnsi" w:cstheme="minorHAnsi"/>
          <w:sz w:val="24"/>
          <w:szCs w:val="24"/>
        </w:rPr>
        <w:t xml:space="preserve">[Journal Pre-proof]. [Online].  Available at:  </w:t>
      </w:r>
      <w:hyperlink r:id="rId96" w:history="1">
        <w:r w:rsidRPr="00AD050F">
          <w:rPr>
            <w:color w:val="0000FF"/>
            <w:sz w:val="24"/>
            <w:szCs w:val="24"/>
            <w:u w:val="single"/>
          </w:rPr>
          <w:t xml:space="preserve">Attention-deficit/hyperactivity disorder and risk-taking: A three-level meta-analytic review of </w:t>
        </w:r>
        <w:proofErr w:type="spellStart"/>
        <w:r w:rsidRPr="00AD050F">
          <w:rPr>
            <w:color w:val="0000FF"/>
            <w:sz w:val="24"/>
            <w:szCs w:val="24"/>
            <w:u w:val="single"/>
          </w:rPr>
          <w:t>behavioral</w:t>
        </w:r>
        <w:proofErr w:type="spellEnd"/>
        <w:r w:rsidRPr="00AD050F">
          <w:rPr>
            <w:color w:val="0000FF"/>
            <w:sz w:val="24"/>
            <w:szCs w:val="24"/>
            <w:u w:val="single"/>
          </w:rPr>
          <w:t>, self-report, and virtual reality metrics - ScienceDirect</w:t>
        </w:r>
      </w:hyperlink>
      <w:r w:rsidRPr="00AD050F">
        <w:rPr>
          <w:sz w:val="24"/>
          <w:szCs w:val="24"/>
        </w:rPr>
        <w:t xml:space="preserve"> (Accessed: 20</w:t>
      </w:r>
      <w:r w:rsidRPr="00AD050F">
        <w:rPr>
          <w:sz w:val="24"/>
          <w:szCs w:val="24"/>
          <w:vertAlign w:val="superscript"/>
        </w:rPr>
        <w:t>th</w:t>
      </w:r>
      <w:r w:rsidRPr="00AD050F">
        <w:rPr>
          <w:sz w:val="24"/>
          <w:szCs w:val="24"/>
        </w:rPr>
        <w:t xml:space="preserve"> May 2021)</w:t>
      </w:r>
    </w:p>
    <w:p w14:paraId="034279EB" w14:textId="77777777" w:rsidR="00F222F7" w:rsidRPr="00AD050F" w:rsidRDefault="00F222F7" w:rsidP="00F222F7">
      <w:pPr>
        <w:spacing w:after="0" w:afterAutospacing="0" w:line="240" w:lineRule="auto"/>
        <w:contextualSpacing/>
        <w:jc w:val="both"/>
        <w:rPr>
          <w:sz w:val="24"/>
          <w:szCs w:val="24"/>
        </w:rPr>
      </w:pPr>
    </w:p>
    <w:p w14:paraId="284BE5FE"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color w:val="auto"/>
          <w:sz w:val="24"/>
          <w:szCs w:val="24"/>
        </w:rPr>
        <w:t xml:space="preserve">Roberts, E., Fraser, A., Gunnell, D., </w:t>
      </w:r>
      <w:proofErr w:type="spellStart"/>
      <w:r w:rsidRPr="00AD050F">
        <w:rPr>
          <w:rFonts w:asciiTheme="minorHAnsi" w:hAnsiTheme="minorHAnsi" w:cstheme="minorHAnsi"/>
          <w:color w:val="auto"/>
          <w:sz w:val="24"/>
          <w:szCs w:val="24"/>
        </w:rPr>
        <w:t>Joinson</w:t>
      </w:r>
      <w:proofErr w:type="spellEnd"/>
      <w:r w:rsidRPr="00AD050F">
        <w:rPr>
          <w:rFonts w:asciiTheme="minorHAnsi" w:hAnsiTheme="minorHAnsi" w:cstheme="minorHAnsi"/>
          <w:color w:val="auto"/>
          <w:sz w:val="24"/>
          <w:szCs w:val="24"/>
        </w:rPr>
        <w:t xml:space="preserve">, C. and Mars, B. (2020) ‘Timing of menarche and self-harm in adolescence and adulthood: a population-based cohort study’, </w:t>
      </w:r>
      <w:r w:rsidRPr="00AD050F">
        <w:rPr>
          <w:rFonts w:asciiTheme="minorHAnsi" w:hAnsiTheme="minorHAnsi" w:cstheme="minorHAnsi"/>
          <w:i/>
          <w:iCs/>
          <w:color w:val="auto"/>
          <w:sz w:val="24"/>
          <w:szCs w:val="24"/>
        </w:rPr>
        <w:t xml:space="preserve">Psychological Medicine, Vol. 50, pp2010-2018. </w:t>
      </w:r>
      <w:r w:rsidRPr="00AD050F">
        <w:rPr>
          <w:rFonts w:asciiTheme="minorHAnsi" w:hAnsiTheme="minorHAnsi" w:cstheme="minorHAnsi"/>
          <w:color w:val="auto"/>
          <w:sz w:val="24"/>
          <w:szCs w:val="24"/>
        </w:rPr>
        <w:t xml:space="preserve">[Online]. Available at: </w:t>
      </w:r>
      <w:hyperlink r:id="rId97" w:history="1">
        <w:r w:rsidRPr="00AD050F">
          <w:rPr>
            <w:color w:val="0000FF"/>
            <w:sz w:val="24"/>
            <w:szCs w:val="24"/>
            <w:u w:val="single"/>
          </w:rPr>
          <w:t>Timing of menarche and self-harm in adolescence and adulthood: a population-based cohort study | Psychological Medicine | Cambridge Core</w:t>
        </w:r>
      </w:hyperlink>
      <w:r w:rsidRPr="00AD050F">
        <w:rPr>
          <w:sz w:val="24"/>
          <w:szCs w:val="24"/>
        </w:rPr>
        <w:t xml:space="preserve"> (Accessed: 9</w:t>
      </w:r>
      <w:r w:rsidRPr="00AD050F">
        <w:rPr>
          <w:sz w:val="24"/>
          <w:szCs w:val="24"/>
          <w:vertAlign w:val="superscript"/>
        </w:rPr>
        <w:t>th</w:t>
      </w:r>
      <w:r w:rsidRPr="00AD050F">
        <w:rPr>
          <w:sz w:val="24"/>
          <w:szCs w:val="24"/>
        </w:rPr>
        <w:t xml:space="preserve"> June 2021)</w:t>
      </w:r>
    </w:p>
    <w:p w14:paraId="02C30EE8"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101F854B"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roofErr w:type="spellStart"/>
      <w:r w:rsidRPr="00AD050F">
        <w:rPr>
          <w:rFonts w:asciiTheme="minorHAnsi" w:hAnsiTheme="minorHAnsi" w:cstheme="minorHAnsi"/>
          <w:sz w:val="24"/>
          <w:szCs w:val="24"/>
        </w:rPr>
        <w:t>Rougeaux</w:t>
      </w:r>
      <w:proofErr w:type="spellEnd"/>
      <w:r w:rsidRPr="00AD050F">
        <w:rPr>
          <w:rFonts w:asciiTheme="minorHAnsi" w:hAnsiTheme="minorHAnsi" w:cstheme="minorHAnsi"/>
          <w:sz w:val="24"/>
          <w:szCs w:val="24"/>
        </w:rPr>
        <w:t xml:space="preserve">, E., Hope, S., Viner, R., Deighton, J. and Law, C. (2020) ‘Is Mental Health Competence in Childhood Associated </w:t>
      </w:r>
      <w:proofErr w:type="gramStart"/>
      <w:r w:rsidRPr="00AD050F">
        <w:rPr>
          <w:rFonts w:asciiTheme="minorHAnsi" w:hAnsiTheme="minorHAnsi" w:cstheme="minorHAnsi"/>
          <w:sz w:val="24"/>
          <w:szCs w:val="24"/>
        </w:rPr>
        <w:t>With</w:t>
      </w:r>
      <w:proofErr w:type="gramEnd"/>
      <w:r w:rsidRPr="00AD050F">
        <w:rPr>
          <w:rFonts w:asciiTheme="minorHAnsi" w:hAnsiTheme="minorHAnsi" w:cstheme="minorHAnsi"/>
          <w:sz w:val="24"/>
          <w:szCs w:val="24"/>
        </w:rPr>
        <w:t xml:space="preserve"> Health Risk </w:t>
      </w:r>
      <w:proofErr w:type="spellStart"/>
      <w:r w:rsidRPr="00AD050F">
        <w:rPr>
          <w:rFonts w:asciiTheme="minorHAnsi" w:hAnsiTheme="minorHAnsi" w:cstheme="minorHAnsi"/>
          <w:sz w:val="24"/>
          <w:szCs w:val="24"/>
        </w:rPr>
        <w:t>Behaviors</w:t>
      </w:r>
      <w:proofErr w:type="spellEnd"/>
      <w:r w:rsidRPr="00AD050F">
        <w:rPr>
          <w:rFonts w:asciiTheme="minorHAnsi" w:hAnsiTheme="minorHAnsi" w:cstheme="minorHAnsi"/>
          <w:sz w:val="24"/>
          <w:szCs w:val="24"/>
        </w:rPr>
        <w:t xml:space="preserve"> in Adolescence? Findings From the UK Millennium Cohort Study’, </w:t>
      </w:r>
      <w:r w:rsidRPr="00AD050F">
        <w:rPr>
          <w:rFonts w:asciiTheme="minorHAnsi" w:hAnsiTheme="minorHAnsi" w:cstheme="minorHAnsi"/>
          <w:i/>
          <w:iCs/>
          <w:sz w:val="24"/>
          <w:szCs w:val="24"/>
        </w:rPr>
        <w:t xml:space="preserve">Journal of Adolescent Health, Vol. 67, pp677-684. </w:t>
      </w:r>
      <w:r w:rsidRPr="00AD050F">
        <w:rPr>
          <w:rFonts w:asciiTheme="minorHAnsi" w:hAnsiTheme="minorHAnsi" w:cstheme="minorHAnsi"/>
          <w:sz w:val="24"/>
          <w:szCs w:val="24"/>
        </w:rPr>
        <w:t xml:space="preserve">[Online]. Available at: </w:t>
      </w:r>
      <w:hyperlink r:id="rId98" w:history="1">
        <w:r w:rsidRPr="00AD050F">
          <w:rPr>
            <w:color w:val="0000FF"/>
            <w:sz w:val="24"/>
            <w:szCs w:val="24"/>
            <w:u w:val="single"/>
          </w:rPr>
          <w:t xml:space="preserve">Is Mental Health Competence in Childhood Associated </w:t>
        </w:r>
        <w:proofErr w:type="gramStart"/>
        <w:r w:rsidRPr="00AD050F">
          <w:rPr>
            <w:color w:val="0000FF"/>
            <w:sz w:val="24"/>
            <w:szCs w:val="24"/>
            <w:u w:val="single"/>
          </w:rPr>
          <w:t>With</w:t>
        </w:r>
        <w:proofErr w:type="gramEnd"/>
        <w:r w:rsidRPr="00AD050F">
          <w:rPr>
            <w:color w:val="0000FF"/>
            <w:sz w:val="24"/>
            <w:szCs w:val="24"/>
            <w:u w:val="single"/>
          </w:rPr>
          <w:t xml:space="preserve"> Health Risk </w:t>
        </w:r>
        <w:proofErr w:type="spellStart"/>
        <w:r w:rsidRPr="00AD050F">
          <w:rPr>
            <w:color w:val="0000FF"/>
            <w:sz w:val="24"/>
            <w:szCs w:val="24"/>
            <w:u w:val="single"/>
          </w:rPr>
          <w:t>Behaviors</w:t>
        </w:r>
        <w:proofErr w:type="spellEnd"/>
        <w:r w:rsidRPr="00AD050F">
          <w:rPr>
            <w:color w:val="0000FF"/>
            <w:sz w:val="24"/>
            <w:szCs w:val="24"/>
            <w:u w:val="single"/>
          </w:rPr>
          <w:t xml:space="preserve"> in Adolescence? Findings From the UK Millennium Cohort Study - ScienceDirect</w:t>
        </w:r>
      </w:hyperlink>
      <w:r w:rsidRPr="00AD050F">
        <w:rPr>
          <w:sz w:val="24"/>
          <w:szCs w:val="24"/>
        </w:rPr>
        <w:t xml:space="preserve"> (Accessed: 1</w:t>
      </w:r>
      <w:r w:rsidRPr="00AD050F">
        <w:rPr>
          <w:sz w:val="24"/>
          <w:szCs w:val="24"/>
          <w:vertAlign w:val="superscript"/>
        </w:rPr>
        <w:t>st</w:t>
      </w:r>
      <w:r w:rsidRPr="00AD050F">
        <w:rPr>
          <w:sz w:val="24"/>
          <w:szCs w:val="24"/>
        </w:rPr>
        <w:t xml:space="preserve"> July 2021)</w:t>
      </w:r>
      <w:r w:rsidRPr="00AD050F">
        <w:rPr>
          <w:rFonts w:asciiTheme="minorHAnsi" w:hAnsiTheme="minorHAnsi" w:cstheme="minorHAnsi"/>
          <w:sz w:val="28"/>
          <w:szCs w:val="28"/>
        </w:rPr>
        <w:t xml:space="preserve"> </w:t>
      </w:r>
    </w:p>
    <w:p w14:paraId="24494BC4"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2AEC6D8E"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sz w:val="24"/>
          <w:szCs w:val="24"/>
        </w:rPr>
        <w:t xml:space="preserve">Salvia, E., </w:t>
      </w:r>
      <w:proofErr w:type="spellStart"/>
      <w:r w:rsidRPr="00AD050F">
        <w:rPr>
          <w:rFonts w:asciiTheme="minorHAnsi" w:hAnsiTheme="minorHAnsi" w:cstheme="minorHAnsi"/>
          <w:sz w:val="24"/>
          <w:szCs w:val="24"/>
        </w:rPr>
        <w:t>Aite</w:t>
      </w:r>
      <w:proofErr w:type="spellEnd"/>
      <w:r w:rsidRPr="00AD050F">
        <w:rPr>
          <w:rFonts w:asciiTheme="minorHAnsi" w:hAnsiTheme="minorHAnsi" w:cstheme="minorHAnsi"/>
          <w:sz w:val="24"/>
          <w:szCs w:val="24"/>
        </w:rPr>
        <w:t xml:space="preserve">, A., Vidal, J. and Borst G. (2021) ‘Hot and cool response inhibition abilities develop linearly from late childhood to young adulthood’, </w:t>
      </w:r>
      <w:r w:rsidRPr="00AD050F">
        <w:rPr>
          <w:rFonts w:asciiTheme="minorHAnsi" w:hAnsiTheme="minorHAnsi" w:cstheme="minorHAnsi"/>
          <w:i/>
          <w:iCs/>
          <w:sz w:val="24"/>
          <w:szCs w:val="24"/>
        </w:rPr>
        <w:t>Cognitive Development, Vol.58.</w:t>
      </w:r>
      <w:r w:rsidRPr="00AD050F">
        <w:rPr>
          <w:rFonts w:asciiTheme="minorHAnsi" w:hAnsiTheme="minorHAnsi" w:cstheme="minorHAnsi"/>
          <w:i/>
          <w:iCs/>
          <w:color w:val="auto"/>
          <w:sz w:val="24"/>
          <w:szCs w:val="24"/>
        </w:rPr>
        <w:t xml:space="preserve"> </w:t>
      </w:r>
      <w:r w:rsidRPr="00AD050F">
        <w:rPr>
          <w:rFonts w:asciiTheme="minorHAnsi" w:eastAsiaTheme="minorHAnsi" w:hAnsiTheme="minorHAnsi" w:cstheme="minorHAnsi"/>
          <w:i/>
          <w:iCs/>
          <w:color w:val="auto"/>
          <w:sz w:val="24"/>
          <w:szCs w:val="24"/>
        </w:rPr>
        <w:t xml:space="preserve"> </w:t>
      </w:r>
      <w:bookmarkStart w:id="27" w:name="_Hlk74236563"/>
      <w:r w:rsidRPr="00AD050F">
        <w:rPr>
          <w:rFonts w:asciiTheme="minorHAnsi" w:hAnsiTheme="minorHAnsi" w:cstheme="minorHAnsi"/>
          <w:sz w:val="24"/>
          <w:szCs w:val="24"/>
        </w:rPr>
        <w:t xml:space="preserve">[Online].  Available at: </w:t>
      </w:r>
      <w:bookmarkEnd w:id="27"/>
      <w:r w:rsidRPr="00AD050F">
        <w:rPr>
          <w:rFonts w:asciiTheme="minorHAnsi" w:hAnsiTheme="minorHAnsi" w:cstheme="minorHAnsi"/>
          <w:sz w:val="24"/>
          <w:szCs w:val="24"/>
        </w:rPr>
        <w:fldChar w:fldCharType="begin"/>
      </w:r>
      <w:r w:rsidRPr="00AD050F">
        <w:rPr>
          <w:rFonts w:asciiTheme="minorHAnsi" w:hAnsiTheme="minorHAnsi" w:cstheme="minorHAnsi"/>
          <w:sz w:val="24"/>
          <w:szCs w:val="24"/>
        </w:rPr>
        <w:instrText xml:space="preserve"> HYPERLINK "https://www.sciencedirect.com/science/article/pii/S0885201421000344" </w:instrText>
      </w:r>
      <w:r w:rsidRPr="00AD050F">
        <w:rPr>
          <w:rFonts w:asciiTheme="minorHAnsi" w:hAnsiTheme="minorHAnsi" w:cstheme="minorHAnsi"/>
          <w:sz w:val="24"/>
          <w:szCs w:val="24"/>
        </w:rPr>
        <w:fldChar w:fldCharType="separate"/>
      </w:r>
      <w:r w:rsidRPr="00AD050F">
        <w:rPr>
          <w:rFonts w:asciiTheme="minorHAnsi" w:hAnsiTheme="minorHAnsi" w:cstheme="minorHAnsi"/>
          <w:color w:val="0000FF"/>
          <w:sz w:val="24"/>
          <w:szCs w:val="24"/>
          <w:u w:val="single"/>
        </w:rPr>
        <w:t>Hot and cool response inhibition abilities develop linearly from late childhood to young adulthood - ScienceDirect</w:t>
      </w:r>
      <w:r w:rsidRPr="00AD050F">
        <w:rPr>
          <w:rFonts w:asciiTheme="minorHAnsi" w:hAnsiTheme="minorHAnsi" w:cstheme="minorHAnsi"/>
          <w:color w:val="0000FF"/>
          <w:sz w:val="24"/>
          <w:szCs w:val="24"/>
          <w:u w:val="single"/>
        </w:rPr>
        <w:fldChar w:fldCharType="end"/>
      </w:r>
      <w:hyperlink r:id="rId99" w:history="1"/>
      <w:r w:rsidRPr="00AD050F">
        <w:rPr>
          <w:rFonts w:asciiTheme="minorHAnsi" w:hAnsiTheme="minorHAnsi" w:cstheme="minorHAnsi"/>
          <w:sz w:val="24"/>
          <w:szCs w:val="24"/>
        </w:rPr>
        <w:t xml:space="preserve"> (Accessed: 22</w:t>
      </w:r>
      <w:r w:rsidRPr="00AD050F">
        <w:rPr>
          <w:rFonts w:asciiTheme="minorHAnsi" w:hAnsiTheme="minorHAnsi" w:cstheme="minorHAnsi"/>
          <w:sz w:val="24"/>
          <w:szCs w:val="24"/>
          <w:vertAlign w:val="superscript"/>
        </w:rPr>
        <w:t>nd</w:t>
      </w:r>
      <w:r w:rsidRPr="00AD050F">
        <w:rPr>
          <w:rFonts w:asciiTheme="minorHAnsi" w:hAnsiTheme="minorHAnsi" w:cstheme="minorHAnsi"/>
          <w:sz w:val="24"/>
          <w:szCs w:val="24"/>
        </w:rPr>
        <w:t xml:space="preserve"> April 2021)</w:t>
      </w:r>
    </w:p>
    <w:p w14:paraId="4B33A1C6"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16D203D2"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color w:val="auto"/>
          <w:sz w:val="24"/>
          <w:szCs w:val="24"/>
        </w:rPr>
        <w:t>Sampasa-Kanyinga</w:t>
      </w:r>
      <w:proofErr w:type="spellEnd"/>
      <w:r w:rsidRPr="00AD050F">
        <w:rPr>
          <w:rFonts w:asciiTheme="minorHAnsi" w:hAnsiTheme="minorHAnsi" w:cstheme="minorHAnsi"/>
          <w:color w:val="auto"/>
          <w:sz w:val="24"/>
          <w:szCs w:val="24"/>
        </w:rPr>
        <w:t xml:space="preserve">, H., Colman, I., Goldfield, G., Janssen, I., Wang, J., Tremblay, M., Barnes, J., Walsh, J. and </w:t>
      </w:r>
      <w:proofErr w:type="spellStart"/>
      <w:r w:rsidRPr="00AD050F">
        <w:rPr>
          <w:rFonts w:asciiTheme="minorHAnsi" w:hAnsiTheme="minorHAnsi" w:cstheme="minorHAnsi"/>
          <w:color w:val="auto"/>
          <w:sz w:val="24"/>
          <w:szCs w:val="24"/>
        </w:rPr>
        <w:t>Chaput</w:t>
      </w:r>
      <w:proofErr w:type="spellEnd"/>
      <w:r w:rsidRPr="00AD050F">
        <w:rPr>
          <w:rFonts w:asciiTheme="minorHAnsi" w:hAnsiTheme="minorHAnsi" w:cstheme="minorHAnsi"/>
          <w:color w:val="auto"/>
          <w:sz w:val="24"/>
          <w:szCs w:val="24"/>
        </w:rPr>
        <w:t xml:space="preserve">, J. (2020) ’24-Hour Movement </w:t>
      </w:r>
      <w:proofErr w:type="spellStart"/>
      <w:r w:rsidRPr="00AD050F">
        <w:rPr>
          <w:rFonts w:asciiTheme="minorHAnsi" w:hAnsiTheme="minorHAnsi" w:cstheme="minorHAnsi"/>
          <w:color w:val="auto"/>
          <w:sz w:val="24"/>
          <w:szCs w:val="24"/>
        </w:rPr>
        <w:t>Bahaviors</w:t>
      </w:r>
      <w:proofErr w:type="spellEnd"/>
      <w:r w:rsidRPr="00AD050F">
        <w:rPr>
          <w:rFonts w:asciiTheme="minorHAnsi" w:hAnsiTheme="minorHAnsi" w:cstheme="minorHAnsi"/>
          <w:color w:val="auto"/>
          <w:sz w:val="24"/>
          <w:szCs w:val="24"/>
        </w:rPr>
        <w:t xml:space="preserve"> and Internalizing and Externalizing </w:t>
      </w:r>
      <w:proofErr w:type="spellStart"/>
      <w:r w:rsidRPr="00AD050F">
        <w:rPr>
          <w:rFonts w:asciiTheme="minorHAnsi" w:hAnsiTheme="minorHAnsi" w:cstheme="minorHAnsi"/>
          <w:color w:val="auto"/>
          <w:sz w:val="24"/>
          <w:szCs w:val="24"/>
        </w:rPr>
        <w:t>Behaviors</w:t>
      </w:r>
      <w:proofErr w:type="spellEnd"/>
      <w:r w:rsidRPr="00AD050F">
        <w:rPr>
          <w:rFonts w:asciiTheme="minorHAnsi" w:hAnsiTheme="minorHAnsi" w:cstheme="minorHAnsi"/>
          <w:color w:val="auto"/>
          <w:sz w:val="24"/>
          <w:szCs w:val="24"/>
        </w:rPr>
        <w:t xml:space="preserve"> Among Youth’, </w:t>
      </w:r>
      <w:r w:rsidRPr="00AD050F">
        <w:rPr>
          <w:rFonts w:asciiTheme="minorHAnsi" w:hAnsiTheme="minorHAnsi" w:cstheme="minorHAnsi"/>
          <w:i/>
          <w:iCs/>
          <w:color w:val="auto"/>
          <w:sz w:val="24"/>
          <w:szCs w:val="24"/>
        </w:rPr>
        <w:t xml:space="preserve">Journal of Adolescent Health, Vol. 68, pp969-977. </w:t>
      </w:r>
      <w:r w:rsidRPr="00AD050F">
        <w:rPr>
          <w:rFonts w:asciiTheme="minorHAnsi" w:hAnsiTheme="minorHAnsi" w:cstheme="minorHAnsi"/>
          <w:sz w:val="24"/>
          <w:szCs w:val="24"/>
        </w:rPr>
        <w:t xml:space="preserve">[Online].  Available at: </w:t>
      </w:r>
      <w:hyperlink r:id="rId100" w:history="1">
        <w:r w:rsidRPr="00AD050F">
          <w:rPr>
            <w:rFonts w:asciiTheme="minorHAnsi" w:hAnsiTheme="minorHAnsi" w:cstheme="minorHAnsi"/>
            <w:color w:val="0000FF"/>
            <w:sz w:val="24"/>
            <w:szCs w:val="24"/>
            <w:u w:val="single"/>
          </w:rPr>
          <w:t>https://www.sciencedirect.com/science/article/pii/S1054139X20305243</w:t>
        </w:r>
      </w:hyperlink>
      <w:r w:rsidRPr="00AD050F">
        <w:rPr>
          <w:rFonts w:asciiTheme="minorHAnsi" w:hAnsiTheme="minorHAnsi" w:cstheme="minorHAnsi"/>
          <w:sz w:val="24"/>
          <w:szCs w:val="24"/>
        </w:rPr>
        <w:t xml:space="preserve">  (Accessed: 27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April 2021)</w:t>
      </w:r>
    </w:p>
    <w:p w14:paraId="11E94F6E"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3E98F505" w14:textId="77777777" w:rsidR="00F222F7" w:rsidRPr="00F82E54" w:rsidRDefault="00F222F7" w:rsidP="00F222F7">
      <w:pPr>
        <w:jc w:val="both"/>
        <w:rPr>
          <w:rFonts w:asciiTheme="minorHAnsi" w:hAnsiTheme="minorHAnsi" w:cstheme="minorHAnsi"/>
          <w:sz w:val="24"/>
          <w:szCs w:val="24"/>
        </w:rPr>
      </w:pPr>
      <w:r w:rsidRPr="00F82E54">
        <w:rPr>
          <w:rFonts w:asciiTheme="minorHAnsi" w:hAnsiTheme="minorHAnsi" w:cstheme="minorHAnsi"/>
          <w:sz w:val="24"/>
          <w:szCs w:val="24"/>
        </w:rPr>
        <w:t xml:space="preserve">Search Institute (2021) </w:t>
      </w:r>
      <w:r w:rsidRPr="00F82E54">
        <w:rPr>
          <w:rFonts w:asciiTheme="minorHAnsi" w:hAnsiTheme="minorHAnsi" w:cstheme="minorHAnsi"/>
          <w:i/>
          <w:iCs/>
          <w:sz w:val="24"/>
          <w:szCs w:val="24"/>
        </w:rPr>
        <w:t xml:space="preserve">40 Developmental Assets. </w:t>
      </w:r>
      <w:r w:rsidRPr="00F82E54">
        <w:rPr>
          <w:rFonts w:asciiTheme="minorHAnsi" w:hAnsiTheme="minorHAnsi" w:cstheme="minorHAnsi"/>
          <w:sz w:val="24"/>
          <w:szCs w:val="24"/>
        </w:rPr>
        <w:t>Available at:</w:t>
      </w:r>
      <w:r w:rsidRPr="00F82E54">
        <w:rPr>
          <w:sz w:val="24"/>
          <w:szCs w:val="24"/>
        </w:rPr>
        <w:t xml:space="preserve"> </w:t>
      </w:r>
      <w:hyperlink r:id="rId101" w:history="1">
        <w:r w:rsidRPr="00F82E54">
          <w:rPr>
            <w:color w:val="0000FF"/>
            <w:sz w:val="24"/>
            <w:szCs w:val="24"/>
            <w:u w:val="single"/>
          </w:rPr>
          <w:t>Free Download: 40 Developmental Assets© in English and Spanish (search-institute.org)</w:t>
        </w:r>
      </w:hyperlink>
      <w:r w:rsidRPr="00F82E54">
        <w:rPr>
          <w:rFonts w:asciiTheme="minorHAnsi" w:hAnsiTheme="minorHAnsi" w:cstheme="minorHAnsi"/>
          <w:sz w:val="24"/>
          <w:szCs w:val="24"/>
        </w:rPr>
        <w:t xml:space="preserve">  (Accessed: 1</w:t>
      </w:r>
      <w:r w:rsidRPr="00F82E54">
        <w:rPr>
          <w:rFonts w:asciiTheme="minorHAnsi" w:hAnsiTheme="minorHAnsi" w:cstheme="minorHAnsi"/>
          <w:sz w:val="24"/>
          <w:szCs w:val="24"/>
          <w:vertAlign w:val="superscript"/>
        </w:rPr>
        <w:t>st</w:t>
      </w:r>
      <w:r w:rsidRPr="00F82E54">
        <w:rPr>
          <w:rFonts w:asciiTheme="minorHAnsi" w:hAnsiTheme="minorHAnsi" w:cstheme="minorHAnsi"/>
          <w:sz w:val="24"/>
          <w:szCs w:val="24"/>
        </w:rPr>
        <w:t xml:space="preserve"> July 2021)</w:t>
      </w:r>
    </w:p>
    <w:p w14:paraId="0CFC944A"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color w:val="auto"/>
          <w:sz w:val="24"/>
          <w:szCs w:val="24"/>
        </w:rPr>
        <w:t>Segalowitz</w:t>
      </w:r>
      <w:proofErr w:type="spellEnd"/>
      <w:r w:rsidRPr="00AD050F">
        <w:rPr>
          <w:rFonts w:asciiTheme="minorHAnsi" w:hAnsiTheme="minorHAnsi" w:cstheme="minorHAnsi"/>
          <w:color w:val="auto"/>
          <w:sz w:val="24"/>
          <w:szCs w:val="24"/>
        </w:rPr>
        <w:t xml:space="preserve">, S. and Luciana, M. (eds.) (2014) ‘Introduction to a special issue on reward and regulatory processes in adolescence’, </w:t>
      </w:r>
      <w:r w:rsidRPr="00AD050F">
        <w:rPr>
          <w:rFonts w:asciiTheme="minorHAnsi" w:hAnsiTheme="minorHAnsi" w:cstheme="minorHAnsi"/>
          <w:i/>
          <w:iCs/>
          <w:color w:val="auto"/>
          <w:sz w:val="24"/>
          <w:szCs w:val="24"/>
        </w:rPr>
        <w:t xml:space="preserve">Brain and Cognition, Vol. 89, pp1-2. </w:t>
      </w:r>
      <w:r w:rsidRPr="00AD050F">
        <w:rPr>
          <w:rFonts w:asciiTheme="minorHAnsi" w:eastAsiaTheme="minorHAnsi" w:hAnsiTheme="minorHAnsi" w:cstheme="minorHAnsi"/>
          <w:i/>
          <w:iCs/>
          <w:color w:val="auto"/>
          <w:sz w:val="24"/>
          <w:szCs w:val="24"/>
        </w:rPr>
        <w:t xml:space="preserve"> </w:t>
      </w:r>
      <w:r w:rsidRPr="00AD050F">
        <w:rPr>
          <w:rFonts w:asciiTheme="minorHAnsi" w:hAnsiTheme="minorHAnsi" w:cstheme="minorHAnsi"/>
          <w:sz w:val="24"/>
          <w:szCs w:val="24"/>
        </w:rPr>
        <w:t xml:space="preserve">[Online].  Available at: </w:t>
      </w:r>
      <w:hyperlink r:id="rId102" w:history="1">
        <w:r w:rsidRPr="00AD050F">
          <w:rPr>
            <w:rFonts w:asciiTheme="minorHAnsi" w:hAnsiTheme="minorHAnsi" w:cstheme="minorHAnsi"/>
            <w:color w:val="0000FF"/>
            <w:sz w:val="24"/>
            <w:szCs w:val="24"/>
            <w:u w:val="single"/>
          </w:rPr>
          <w:t>Introduction to a special issue on reward and regulatory processes in adolescence - ScienceDirect</w:t>
        </w:r>
      </w:hyperlink>
      <w:r w:rsidRPr="00AD050F">
        <w:rPr>
          <w:rFonts w:asciiTheme="minorHAnsi" w:hAnsiTheme="minorHAnsi" w:cstheme="minorHAnsi"/>
          <w:sz w:val="24"/>
          <w:szCs w:val="24"/>
        </w:rPr>
        <w:t xml:space="preserve"> (Accessed: 23</w:t>
      </w:r>
      <w:r w:rsidRPr="00AD050F">
        <w:rPr>
          <w:rFonts w:asciiTheme="minorHAnsi" w:hAnsiTheme="minorHAnsi" w:cstheme="minorHAnsi"/>
          <w:sz w:val="24"/>
          <w:szCs w:val="24"/>
          <w:vertAlign w:val="superscript"/>
        </w:rPr>
        <w:t>rd</w:t>
      </w:r>
      <w:r w:rsidRPr="00AD050F">
        <w:rPr>
          <w:rFonts w:asciiTheme="minorHAnsi" w:hAnsiTheme="minorHAnsi" w:cstheme="minorHAnsi"/>
          <w:sz w:val="24"/>
          <w:szCs w:val="24"/>
        </w:rPr>
        <w:t xml:space="preserve"> February 2021)</w:t>
      </w:r>
    </w:p>
    <w:p w14:paraId="50D19BB2"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144EDA14"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r w:rsidRPr="00AD050F">
        <w:rPr>
          <w:rFonts w:asciiTheme="minorHAnsi" w:hAnsiTheme="minorHAnsi" w:cstheme="minorHAnsi"/>
          <w:sz w:val="24"/>
          <w:szCs w:val="24"/>
        </w:rPr>
        <w:t xml:space="preserve">Smith, A., </w:t>
      </w:r>
      <w:proofErr w:type="spellStart"/>
      <w:r w:rsidRPr="00AD050F">
        <w:rPr>
          <w:rFonts w:asciiTheme="minorHAnsi" w:hAnsiTheme="minorHAnsi" w:cstheme="minorHAnsi"/>
          <w:sz w:val="24"/>
          <w:szCs w:val="24"/>
        </w:rPr>
        <w:t>Chein</w:t>
      </w:r>
      <w:proofErr w:type="spellEnd"/>
      <w:r w:rsidRPr="00AD050F">
        <w:rPr>
          <w:rFonts w:asciiTheme="minorHAnsi" w:hAnsiTheme="minorHAnsi" w:cstheme="minorHAnsi"/>
          <w:sz w:val="24"/>
          <w:szCs w:val="24"/>
        </w:rPr>
        <w:t xml:space="preserve">, J. and Steinberg, L. (2013) ‘Impact of socio-emotional context, brain development, and pubertal maturation on adolescent risk-taking’ </w:t>
      </w:r>
      <w:r w:rsidRPr="00AD050F">
        <w:rPr>
          <w:rFonts w:asciiTheme="minorHAnsi" w:hAnsiTheme="minorHAnsi" w:cstheme="minorHAnsi"/>
          <w:i/>
          <w:iCs/>
          <w:sz w:val="24"/>
          <w:szCs w:val="24"/>
        </w:rPr>
        <w:t xml:space="preserve">Hormones and </w:t>
      </w:r>
      <w:proofErr w:type="spellStart"/>
      <w:r w:rsidRPr="00AD050F">
        <w:rPr>
          <w:rFonts w:asciiTheme="minorHAnsi" w:hAnsiTheme="minorHAnsi" w:cstheme="minorHAnsi"/>
          <w:i/>
          <w:iCs/>
          <w:sz w:val="24"/>
          <w:szCs w:val="24"/>
        </w:rPr>
        <w:t>Behavior</w:t>
      </w:r>
      <w:proofErr w:type="spellEnd"/>
      <w:r w:rsidRPr="00AD050F">
        <w:rPr>
          <w:rFonts w:asciiTheme="minorHAnsi" w:hAnsiTheme="minorHAnsi" w:cstheme="minorHAnsi"/>
          <w:i/>
          <w:iCs/>
          <w:sz w:val="24"/>
          <w:szCs w:val="24"/>
        </w:rPr>
        <w:t xml:space="preserve">, Vol. 64, pp323-332. </w:t>
      </w:r>
      <w:r w:rsidRPr="00AD050F">
        <w:rPr>
          <w:rFonts w:asciiTheme="minorHAnsi" w:hAnsiTheme="minorHAnsi" w:cstheme="minorHAnsi"/>
          <w:sz w:val="24"/>
          <w:szCs w:val="24"/>
        </w:rPr>
        <w:t xml:space="preserve">[Online]. Available at: </w:t>
      </w:r>
      <w:hyperlink r:id="rId103" w:history="1">
        <w:r w:rsidRPr="00AD050F">
          <w:rPr>
            <w:rFonts w:asciiTheme="minorHAnsi" w:hAnsiTheme="minorHAnsi" w:cstheme="minorHAnsi"/>
            <w:color w:val="0000FF"/>
            <w:sz w:val="24"/>
            <w:szCs w:val="24"/>
            <w:u w:val="single"/>
          </w:rPr>
          <w:t>Impact of socio-emotional context, brain development, and pubertal maturation on adolescent risk-taking | Elsevier Enhanced Reader</w:t>
        </w:r>
      </w:hyperlink>
      <w:r w:rsidRPr="00AD050F">
        <w:rPr>
          <w:rFonts w:asciiTheme="minorHAnsi" w:hAnsiTheme="minorHAnsi" w:cstheme="minorHAnsi"/>
          <w:sz w:val="24"/>
          <w:szCs w:val="24"/>
        </w:rPr>
        <w:t xml:space="preserve"> (Accessed: 3</w:t>
      </w:r>
      <w:r w:rsidRPr="00AD050F">
        <w:rPr>
          <w:rFonts w:asciiTheme="minorHAnsi" w:hAnsiTheme="minorHAnsi" w:cstheme="minorHAnsi"/>
          <w:sz w:val="24"/>
          <w:szCs w:val="24"/>
          <w:vertAlign w:val="superscript"/>
        </w:rPr>
        <w:t>rd</w:t>
      </w:r>
      <w:r w:rsidRPr="00AD050F">
        <w:rPr>
          <w:rFonts w:asciiTheme="minorHAnsi" w:hAnsiTheme="minorHAnsi" w:cstheme="minorHAnsi"/>
          <w:sz w:val="24"/>
          <w:szCs w:val="24"/>
        </w:rPr>
        <w:t xml:space="preserve"> April 2021)</w:t>
      </w:r>
    </w:p>
    <w:p w14:paraId="3010DFA6"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1260A77E"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sz w:val="24"/>
          <w:szCs w:val="24"/>
        </w:rPr>
        <w:t xml:space="preserve">Smith, A., Reidy, D. and Norris, A. (2020) ‘Teen Dating Violence and Suicide Risk Among Bisexual Adolescents’, </w:t>
      </w:r>
      <w:r w:rsidRPr="00AD050F">
        <w:rPr>
          <w:rFonts w:asciiTheme="minorHAnsi" w:hAnsiTheme="minorHAnsi" w:cstheme="minorHAnsi"/>
          <w:i/>
          <w:iCs/>
          <w:sz w:val="24"/>
          <w:szCs w:val="24"/>
        </w:rPr>
        <w:t xml:space="preserve">Journal of Adolescent Health, Vol. 67, pp685-691. </w:t>
      </w:r>
      <w:r w:rsidRPr="00AD050F">
        <w:rPr>
          <w:rFonts w:asciiTheme="minorHAnsi" w:hAnsiTheme="minorHAnsi" w:cstheme="minorHAnsi"/>
          <w:sz w:val="24"/>
          <w:szCs w:val="24"/>
        </w:rPr>
        <w:t xml:space="preserve">[Online]. Available at: </w:t>
      </w:r>
      <w:hyperlink r:id="rId104" w:history="1">
        <w:r w:rsidRPr="00AD050F">
          <w:rPr>
            <w:rFonts w:asciiTheme="minorHAnsi" w:hAnsiTheme="minorHAnsi" w:cstheme="minorHAnsi"/>
            <w:color w:val="0000FF"/>
            <w:sz w:val="24"/>
            <w:szCs w:val="24"/>
            <w:u w:val="single"/>
          </w:rPr>
          <w:t>Teen Dating Violence and Suicide Risk Among Bisexual Adolescents | Elsevier Enhanced Reader</w:t>
        </w:r>
      </w:hyperlink>
      <w:r w:rsidRPr="00AD050F">
        <w:rPr>
          <w:rFonts w:asciiTheme="minorHAnsi" w:hAnsiTheme="minorHAnsi" w:cstheme="minorHAnsi"/>
          <w:sz w:val="24"/>
          <w:szCs w:val="24"/>
        </w:rPr>
        <w:t xml:space="preserve"> (Accessed: 27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April 2021) </w:t>
      </w:r>
    </w:p>
    <w:p w14:paraId="21064B7E"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098AD587"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color w:val="auto"/>
          <w:sz w:val="24"/>
          <w:szCs w:val="24"/>
        </w:rPr>
        <w:t xml:space="preserve">Son, D. and Padilla-Walker, L. (2020) ‘Happy Helpers: A Multidimensional and Mixed-Method Approach to Prosocial </w:t>
      </w:r>
      <w:proofErr w:type="spellStart"/>
      <w:r w:rsidRPr="00AD050F">
        <w:rPr>
          <w:rFonts w:asciiTheme="minorHAnsi" w:hAnsiTheme="minorHAnsi" w:cstheme="minorHAnsi"/>
          <w:color w:val="auto"/>
          <w:sz w:val="24"/>
          <w:szCs w:val="24"/>
        </w:rPr>
        <w:t>Behavior</w:t>
      </w:r>
      <w:proofErr w:type="spellEnd"/>
      <w:r w:rsidRPr="00AD050F">
        <w:rPr>
          <w:rFonts w:asciiTheme="minorHAnsi" w:hAnsiTheme="minorHAnsi" w:cstheme="minorHAnsi"/>
          <w:color w:val="auto"/>
          <w:sz w:val="24"/>
          <w:szCs w:val="24"/>
        </w:rPr>
        <w:t xml:space="preserve"> and Its Effects on Friendship Quality, Mental Health, and Well-Being During Adolescence’, </w:t>
      </w:r>
      <w:r w:rsidRPr="00AD050F">
        <w:rPr>
          <w:rFonts w:asciiTheme="minorHAnsi" w:hAnsiTheme="minorHAnsi" w:cstheme="minorHAnsi"/>
          <w:i/>
          <w:iCs/>
          <w:color w:val="auto"/>
          <w:sz w:val="24"/>
          <w:szCs w:val="24"/>
        </w:rPr>
        <w:t xml:space="preserve">Journal of Happiness Studies, Vol. 21, pp1705-1723. </w:t>
      </w:r>
      <w:r w:rsidRPr="00AD050F">
        <w:rPr>
          <w:rFonts w:asciiTheme="minorHAnsi" w:hAnsiTheme="minorHAnsi" w:cstheme="minorHAnsi"/>
          <w:color w:val="auto"/>
          <w:sz w:val="24"/>
          <w:szCs w:val="24"/>
        </w:rPr>
        <w:t xml:space="preserve">[Online].  Available at: </w:t>
      </w:r>
      <w:hyperlink r:id="rId105" w:history="1">
        <w:r w:rsidRPr="00AD050F">
          <w:rPr>
            <w:color w:val="0000FF"/>
            <w:sz w:val="24"/>
            <w:szCs w:val="24"/>
            <w:u w:val="single"/>
          </w:rPr>
          <w:t xml:space="preserve">Happy Helpers: A Multidimensional and Mixed-Method Approach to Prosocial </w:t>
        </w:r>
        <w:proofErr w:type="spellStart"/>
        <w:r w:rsidRPr="00AD050F">
          <w:rPr>
            <w:color w:val="0000FF"/>
            <w:sz w:val="24"/>
            <w:szCs w:val="24"/>
            <w:u w:val="single"/>
          </w:rPr>
          <w:t>Behavior</w:t>
        </w:r>
        <w:proofErr w:type="spellEnd"/>
        <w:r w:rsidRPr="00AD050F">
          <w:rPr>
            <w:color w:val="0000FF"/>
            <w:sz w:val="24"/>
            <w:szCs w:val="24"/>
            <w:u w:val="single"/>
          </w:rPr>
          <w:t xml:space="preserve"> and Its Effects on Friendship Quality, Mental Health, and Well-Being During Adolescence | SpringerLink</w:t>
        </w:r>
      </w:hyperlink>
      <w:r w:rsidRPr="00AD050F">
        <w:rPr>
          <w:sz w:val="24"/>
          <w:szCs w:val="24"/>
        </w:rPr>
        <w:t xml:space="preserve"> (Accessed: 14</w:t>
      </w:r>
      <w:r w:rsidRPr="00AD050F">
        <w:rPr>
          <w:sz w:val="24"/>
          <w:szCs w:val="24"/>
          <w:vertAlign w:val="superscript"/>
        </w:rPr>
        <w:t>th</w:t>
      </w:r>
      <w:r w:rsidRPr="00AD050F">
        <w:rPr>
          <w:sz w:val="24"/>
          <w:szCs w:val="24"/>
        </w:rPr>
        <w:t xml:space="preserve"> March 2021)</w:t>
      </w:r>
    </w:p>
    <w:p w14:paraId="2E2E4ABA"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40F57B44"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color w:val="auto"/>
          <w:sz w:val="24"/>
          <w:szCs w:val="24"/>
        </w:rPr>
        <w:t xml:space="preserve">Sultan, R., Liu, S., Hacker, K. and </w:t>
      </w:r>
      <w:proofErr w:type="spellStart"/>
      <w:r w:rsidRPr="00AD050F">
        <w:rPr>
          <w:rFonts w:asciiTheme="minorHAnsi" w:hAnsiTheme="minorHAnsi" w:cstheme="minorHAnsi"/>
          <w:color w:val="auto"/>
          <w:sz w:val="24"/>
          <w:szCs w:val="24"/>
        </w:rPr>
        <w:t>Olfson</w:t>
      </w:r>
      <w:proofErr w:type="spellEnd"/>
      <w:r w:rsidRPr="00AD050F">
        <w:rPr>
          <w:rFonts w:asciiTheme="minorHAnsi" w:hAnsiTheme="minorHAnsi" w:cstheme="minorHAnsi"/>
          <w:color w:val="auto"/>
          <w:sz w:val="24"/>
          <w:szCs w:val="24"/>
        </w:rPr>
        <w:t xml:space="preserve">, M. (2021) ‘Adolescents </w:t>
      </w:r>
      <w:proofErr w:type="gramStart"/>
      <w:r w:rsidRPr="00AD050F">
        <w:rPr>
          <w:rFonts w:asciiTheme="minorHAnsi" w:hAnsiTheme="minorHAnsi" w:cstheme="minorHAnsi"/>
          <w:color w:val="auto"/>
          <w:sz w:val="24"/>
          <w:szCs w:val="24"/>
        </w:rPr>
        <w:t>With</w:t>
      </w:r>
      <w:proofErr w:type="gramEnd"/>
      <w:r w:rsidRPr="00AD050F">
        <w:rPr>
          <w:rFonts w:asciiTheme="minorHAnsi" w:hAnsiTheme="minorHAnsi" w:cstheme="minorHAnsi"/>
          <w:color w:val="auto"/>
          <w:sz w:val="24"/>
          <w:szCs w:val="24"/>
        </w:rPr>
        <w:t xml:space="preserve"> Attention-Deficit/Hyperactivity Disorder: Adverse </w:t>
      </w:r>
      <w:proofErr w:type="spellStart"/>
      <w:r w:rsidRPr="00AD050F">
        <w:rPr>
          <w:rFonts w:asciiTheme="minorHAnsi" w:hAnsiTheme="minorHAnsi" w:cstheme="minorHAnsi"/>
          <w:color w:val="auto"/>
          <w:sz w:val="24"/>
          <w:szCs w:val="24"/>
        </w:rPr>
        <w:t>Behaviors</w:t>
      </w:r>
      <w:proofErr w:type="spellEnd"/>
      <w:r w:rsidRPr="00AD050F">
        <w:rPr>
          <w:rFonts w:asciiTheme="minorHAnsi" w:hAnsiTheme="minorHAnsi" w:cstheme="minorHAnsi"/>
          <w:color w:val="auto"/>
          <w:sz w:val="24"/>
          <w:szCs w:val="24"/>
        </w:rPr>
        <w:t xml:space="preserve"> and Comorbidity’, </w:t>
      </w:r>
      <w:r w:rsidRPr="00AD050F">
        <w:rPr>
          <w:rFonts w:asciiTheme="minorHAnsi" w:hAnsiTheme="minorHAnsi" w:cstheme="minorHAnsi"/>
          <w:i/>
          <w:iCs/>
          <w:color w:val="auto"/>
          <w:sz w:val="24"/>
          <w:szCs w:val="24"/>
        </w:rPr>
        <w:t xml:space="preserve">Journal of Adolescent Health, Vol. 68, pp284-291. </w:t>
      </w:r>
      <w:r w:rsidRPr="00AD050F">
        <w:rPr>
          <w:rFonts w:asciiTheme="minorHAnsi" w:hAnsiTheme="minorHAnsi" w:cstheme="minorHAnsi"/>
          <w:color w:val="auto"/>
          <w:sz w:val="24"/>
          <w:szCs w:val="24"/>
        </w:rPr>
        <w:t xml:space="preserve">[Online]. Available at: </w:t>
      </w:r>
      <w:hyperlink r:id="rId106" w:history="1">
        <w:r w:rsidRPr="00AD050F">
          <w:rPr>
            <w:color w:val="0000FF"/>
            <w:sz w:val="24"/>
            <w:szCs w:val="24"/>
            <w:u w:val="single"/>
          </w:rPr>
          <w:t xml:space="preserve">Adolescents </w:t>
        </w:r>
        <w:proofErr w:type="gramStart"/>
        <w:r w:rsidRPr="00AD050F">
          <w:rPr>
            <w:color w:val="0000FF"/>
            <w:sz w:val="24"/>
            <w:szCs w:val="24"/>
            <w:u w:val="single"/>
          </w:rPr>
          <w:t>With</w:t>
        </w:r>
        <w:proofErr w:type="gramEnd"/>
        <w:r w:rsidRPr="00AD050F">
          <w:rPr>
            <w:color w:val="0000FF"/>
            <w:sz w:val="24"/>
            <w:szCs w:val="24"/>
            <w:u w:val="single"/>
          </w:rPr>
          <w:t xml:space="preserve"> Attention-Deficit/Hyperactivity Disorder: Adverse </w:t>
        </w:r>
        <w:proofErr w:type="spellStart"/>
        <w:r w:rsidRPr="00AD050F">
          <w:rPr>
            <w:color w:val="0000FF"/>
            <w:sz w:val="24"/>
            <w:szCs w:val="24"/>
            <w:u w:val="single"/>
          </w:rPr>
          <w:t>Behaviors</w:t>
        </w:r>
        <w:proofErr w:type="spellEnd"/>
        <w:r w:rsidRPr="00AD050F">
          <w:rPr>
            <w:color w:val="0000FF"/>
            <w:sz w:val="24"/>
            <w:szCs w:val="24"/>
            <w:u w:val="single"/>
          </w:rPr>
          <w:t xml:space="preserve"> and Comorbidity - ScienceDirect</w:t>
        </w:r>
      </w:hyperlink>
      <w:r w:rsidRPr="00AD050F">
        <w:rPr>
          <w:sz w:val="24"/>
          <w:szCs w:val="24"/>
        </w:rPr>
        <w:t xml:space="preserve"> (Accessed 20</w:t>
      </w:r>
      <w:r w:rsidRPr="00AD050F">
        <w:rPr>
          <w:sz w:val="24"/>
          <w:szCs w:val="24"/>
          <w:vertAlign w:val="superscript"/>
        </w:rPr>
        <w:t>th</w:t>
      </w:r>
      <w:r w:rsidRPr="00AD050F">
        <w:rPr>
          <w:sz w:val="24"/>
          <w:szCs w:val="24"/>
        </w:rPr>
        <w:t xml:space="preserve"> April 2021)</w:t>
      </w:r>
    </w:p>
    <w:p w14:paraId="2486B44D"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5EBFA438"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color w:val="auto"/>
          <w:sz w:val="24"/>
          <w:szCs w:val="24"/>
        </w:rPr>
        <w:t xml:space="preserve">Syed, S., Kingsbury, M., Bennett, K., Manion, I. and Colman, I. (2020) ‘Adolescents’ knowledge of a peer’s non-suicidal self-injury and own non-suicidal self-injury and suicidality’, </w:t>
      </w:r>
      <w:r w:rsidRPr="00AD050F">
        <w:rPr>
          <w:rFonts w:asciiTheme="minorHAnsi" w:hAnsiTheme="minorHAnsi" w:cstheme="minorHAnsi"/>
          <w:i/>
          <w:iCs/>
          <w:color w:val="auto"/>
          <w:sz w:val="24"/>
          <w:szCs w:val="24"/>
        </w:rPr>
        <w:t xml:space="preserve">Acta </w:t>
      </w:r>
      <w:proofErr w:type="spellStart"/>
      <w:r w:rsidRPr="00AD050F">
        <w:rPr>
          <w:rFonts w:asciiTheme="minorHAnsi" w:hAnsiTheme="minorHAnsi" w:cstheme="minorHAnsi"/>
          <w:i/>
          <w:iCs/>
          <w:color w:val="auto"/>
          <w:sz w:val="24"/>
          <w:szCs w:val="24"/>
        </w:rPr>
        <w:t>Psychiatrica</w:t>
      </w:r>
      <w:proofErr w:type="spellEnd"/>
      <w:r w:rsidRPr="00AD050F">
        <w:rPr>
          <w:rFonts w:asciiTheme="minorHAnsi" w:hAnsiTheme="minorHAnsi" w:cstheme="minorHAnsi"/>
          <w:i/>
          <w:iCs/>
          <w:color w:val="auto"/>
          <w:sz w:val="24"/>
          <w:szCs w:val="24"/>
        </w:rPr>
        <w:t xml:space="preserve"> Scandinavica, Vol. 142, pp366-373. </w:t>
      </w:r>
      <w:r w:rsidRPr="00AD050F">
        <w:rPr>
          <w:rFonts w:asciiTheme="minorHAnsi" w:hAnsiTheme="minorHAnsi" w:cstheme="minorHAnsi"/>
          <w:color w:val="auto"/>
          <w:sz w:val="24"/>
          <w:szCs w:val="24"/>
        </w:rPr>
        <w:t xml:space="preserve">[Online].  Available at: </w:t>
      </w:r>
      <w:hyperlink r:id="rId107" w:history="1">
        <w:r w:rsidRPr="00AD050F">
          <w:rPr>
            <w:color w:val="0000FF"/>
            <w:sz w:val="24"/>
            <w:szCs w:val="24"/>
            <w:u w:val="single"/>
          </w:rPr>
          <w:t xml:space="preserve">Adolescents’ knowledge of a peer's non‐suicidal self‐injury and own non‐suicidal self‐injury and suicidality - Syed - 2020 - Acta </w:t>
        </w:r>
        <w:proofErr w:type="spellStart"/>
        <w:r w:rsidRPr="00AD050F">
          <w:rPr>
            <w:color w:val="0000FF"/>
            <w:sz w:val="24"/>
            <w:szCs w:val="24"/>
            <w:u w:val="single"/>
          </w:rPr>
          <w:t>Psychiatrica</w:t>
        </w:r>
        <w:proofErr w:type="spellEnd"/>
        <w:r w:rsidRPr="00AD050F">
          <w:rPr>
            <w:color w:val="0000FF"/>
            <w:sz w:val="24"/>
            <w:szCs w:val="24"/>
            <w:u w:val="single"/>
          </w:rPr>
          <w:t xml:space="preserve"> Scandinavica - Wiley Online Library</w:t>
        </w:r>
      </w:hyperlink>
      <w:r w:rsidRPr="00AD050F">
        <w:rPr>
          <w:sz w:val="24"/>
          <w:szCs w:val="24"/>
        </w:rPr>
        <w:t xml:space="preserve"> (Accessed: 7</w:t>
      </w:r>
      <w:r w:rsidRPr="00AD050F">
        <w:rPr>
          <w:sz w:val="24"/>
          <w:szCs w:val="24"/>
          <w:vertAlign w:val="superscript"/>
        </w:rPr>
        <w:t>th</w:t>
      </w:r>
      <w:r w:rsidRPr="00AD050F">
        <w:rPr>
          <w:sz w:val="24"/>
          <w:szCs w:val="24"/>
        </w:rPr>
        <w:t xml:space="preserve"> May 2021)</w:t>
      </w:r>
    </w:p>
    <w:p w14:paraId="790BE5A9"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5876851F"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color w:val="auto"/>
          <w:sz w:val="24"/>
          <w:szCs w:val="24"/>
        </w:rPr>
        <w:t>Torvik</w:t>
      </w:r>
      <w:proofErr w:type="spellEnd"/>
      <w:r w:rsidRPr="00AD050F">
        <w:rPr>
          <w:rFonts w:asciiTheme="minorHAnsi" w:hAnsiTheme="minorHAnsi" w:cstheme="minorHAnsi"/>
          <w:color w:val="auto"/>
          <w:sz w:val="24"/>
          <w:szCs w:val="24"/>
        </w:rPr>
        <w:t xml:space="preserve">, F., </w:t>
      </w:r>
      <w:proofErr w:type="spellStart"/>
      <w:r w:rsidRPr="00AD050F">
        <w:rPr>
          <w:rFonts w:asciiTheme="minorHAnsi" w:hAnsiTheme="minorHAnsi" w:cstheme="minorHAnsi"/>
          <w:color w:val="auto"/>
          <w:sz w:val="24"/>
          <w:szCs w:val="24"/>
        </w:rPr>
        <w:t>Flato</w:t>
      </w:r>
      <w:proofErr w:type="spellEnd"/>
      <w:r w:rsidRPr="00AD050F">
        <w:rPr>
          <w:rFonts w:asciiTheme="minorHAnsi" w:hAnsiTheme="minorHAnsi" w:cstheme="minorHAnsi"/>
          <w:color w:val="auto"/>
          <w:sz w:val="24"/>
          <w:szCs w:val="24"/>
        </w:rPr>
        <w:t xml:space="preserve">, M., McAdams, T., Colman, I., </w:t>
      </w:r>
      <w:proofErr w:type="spellStart"/>
      <w:r w:rsidRPr="00AD050F">
        <w:rPr>
          <w:rFonts w:asciiTheme="minorHAnsi" w:hAnsiTheme="minorHAnsi" w:cstheme="minorHAnsi"/>
          <w:color w:val="auto"/>
          <w:sz w:val="24"/>
          <w:szCs w:val="24"/>
        </w:rPr>
        <w:t>Silventoinen</w:t>
      </w:r>
      <w:proofErr w:type="spellEnd"/>
      <w:r w:rsidRPr="00AD050F">
        <w:rPr>
          <w:rFonts w:asciiTheme="minorHAnsi" w:hAnsiTheme="minorHAnsi" w:cstheme="minorHAnsi"/>
          <w:color w:val="auto"/>
          <w:sz w:val="24"/>
          <w:szCs w:val="24"/>
        </w:rPr>
        <w:t xml:space="preserve">, K. and Stoltenberg, C. (2021) ‘Early Puberty Is Associated </w:t>
      </w:r>
      <w:proofErr w:type="gramStart"/>
      <w:r w:rsidRPr="00AD050F">
        <w:rPr>
          <w:rFonts w:asciiTheme="minorHAnsi" w:hAnsiTheme="minorHAnsi" w:cstheme="minorHAnsi"/>
          <w:color w:val="auto"/>
          <w:sz w:val="24"/>
          <w:szCs w:val="24"/>
        </w:rPr>
        <w:t>With</w:t>
      </w:r>
      <w:proofErr w:type="gramEnd"/>
      <w:r w:rsidRPr="00AD050F">
        <w:rPr>
          <w:rFonts w:asciiTheme="minorHAnsi" w:hAnsiTheme="minorHAnsi" w:cstheme="minorHAnsi"/>
          <w:color w:val="auto"/>
          <w:sz w:val="24"/>
          <w:szCs w:val="24"/>
        </w:rPr>
        <w:t xml:space="preserve"> Higher Academic Achievement in Boys and Girls and Partially Explains Academic Sex Differences’, </w:t>
      </w:r>
      <w:r w:rsidRPr="00AD050F">
        <w:rPr>
          <w:rFonts w:asciiTheme="minorHAnsi" w:hAnsiTheme="minorHAnsi" w:cstheme="minorHAnsi"/>
          <w:i/>
          <w:iCs/>
          <w:color w:val="auto"/>
          <w:sz w:val="24"/>
          <w:szCs w:val="24"/>
        </w:rPr>
        <w:t>Journal of Adolescent Health.</w:t>
      </w:r>
      <w:r w:rsidRPr="00AD050F">
        <w:rPr>
          <w:rFonts w:asciiTheme="minorHAnsi" w:hAnsiTheme="minorHAnsi" w:cstheme="minorHAnsi"/>
          <w:color w:val="auto"/>
          <w:sz w:val="24"/>
          <w:szCs w:val="24"/>
        </w:rPr>
        <w:t xml:space="preserve"> </w:t>
      </w:r>
      <w:r w:rsidRPr="00AD050F">
        <w:rPr>
          <w:rFonts w:asciiTheme="minorHAnsi" w:eastAsiaTheme="minorHAnsi" w:hAnsiTheme="minorHAnsi" w:cstheme="minorHAnsi"/>
          <w:color w:val="auto"/>
          <w:sz w:val="24"/>
          <w:szCs w:val="24"/>
        </w:rPr>
        <w:t xml:space="preserve">[Article In Press] </w:t>
      </w:r>
      <w:r w:rsidRPr="00AD050F">
        <w:rPr>
          <w:rFonts w:asciiTheme="minorHAnsi" w:hAnsiTheme="minorHAnsi" w:cstheme="minorHAnsi"/>
          <w:sz w:val="24"/>
          <w:szCs w:val="24"/>
        </w:rPr>
        <w:t xml:space="preserve">[Online].  Available at: </w:t>
      </w:r>
      <w:hyperlink r:id="rId108" w:history="1">
        <w:r w:rsidRPr="00AD050F">
          <w:rPr>
            <w:rFonts w:asciiTheme="minorHAnsi" w:hAnsiTheme="minorHAnsi" w:cstheme="minorHAnsi"/>
            <w:color w:val="0000FF"/>
            <w:sz w:val="24"/>
            <w:szCs w:val="24"/>
            <w:u w:val="single"/>
          </w:rPr>
          <w:t>Early Puberty Is Associated With Higher Academic Achievement in Boys and Girls and Partially Explains Academic Sex Differences | Elsevier Enhanced Reader</w:t>
        </w:r>
      </w:hyperlink>
      <w:r w:rsidRPr="00AD050F">
        <w:rPr>
          <w:rFonts w:asciiTheme="minorHAnsi" w:hAnsiTheme="minorHAnsi" w:cstheme="minorHAnsi"/>
          <w:sz w:val="24"/>
          <w:szCs w:val="24"/>
        </w:rPr>
        <w:t xml:space="preserve"> (Accessed: 17</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May 2021)</w:t>
      </w:r>
    </w:p>
    <w:p w14:paraId="55DDD27F"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39E142FB"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sz w:val="24"/>
          <w:szCs w:val="24"/>
        </w:rPr>
        <w:lastRenderedPageBreak/>
        <w:t xml:space="preserve">Trinidad, J. (2021) ‘Childhood adversity and deviant peers: Considering </w:t>
      </w:r>
      <w:proofErr w:type="spellStart"/>
      <w:r w:rsidRPr="00AD050F">
        <w:rPr>
          <w:rFonts w:asciiTheme="minorHAnsi" w:hAnsiTheme="minorHAnsi" w:cstheme="minorHAnsi"/>
          <w:sz w:val="24"/>
          <w:szCs w:val="24"/>
        </w:rPr>
        <w:t>behavioral</w:t>
      </w:r>
      <w:proofErr w:type="spellEnd"/>
      <w:r w:rsidRPr="00AD050F">
        <w:rPr>
          <w:rFonts w:asciiTheme="minorHAnsi" w:hAnsiTheme="minorHAnsi" w:cstheme="minorHAnsi"/>
          <w:sz w:val="24"/>
          <w:szCs w:val="24"/>
        </w:rPr>
        <w:t xml:space="preserve"> selection and cultural socialization pathways’, </w:t>
      </w:r>
      <w:r w:rsidRPr="00AD050F">
        <w:rPr>
          <w:rFonts w:asciiTheme="minorHAnsi" w:hAnsiTheme="minorHAnsi" w:cstheme="minorHAnsi"/>
          <w:i/>
          <w:iCs/>
          <w:sz w:val="24"/>
          <w:szCs w:val="24"/>
        </w:rPr>
        <w:t xml:space="preserve">Children and Youth Services Review, Vol. 121. </w:t>
      </w:r>
      <w:r w:rsidRPr="00AD050F">
        <w:rPr>
          <w:rFonts w:asciiTheme="minorHAnsi" w:hAnsiTheme="minorHAnsi" w:cstheme="minorHAnsi"/>
          <w:sz w:val="24"/>
          <w:szCs w:val="24"/>
        </w:rPr>
        <w:t xml:space="preserve">[Online]. Available at: </w:t>
      </w:r>
      <w:hyperlink r:id="rId109" w:history="1">
        <w:r w:rsidRPr="00AD050F">
          <w:rPr>
            <w:color w:val="0000FF"/>
            <w:sz w:val="24"/>
            <w:szCs w:val="24"/>
            <w:u w:val="single"/>
          </w:rPr>
          <w:t xml:space="preserve">Childhood adversity and deviant peers: Considering </w:t>
        </w:r>
        <w:proofErr w:type="spellStart"/>
        <w:r w:rsidRPr="00AD050F">
          <w:rPr>
            <w:color w:val="0000FF"/>
            <w:sz w:val="24"/>
            <w:szCs w:val="24"/>
            <w:u w:val="single"/>
          </w:rPr>
          <w:t>behavioral</w:t>
        </w:r>
        <w:proofErr w:type="spellEnd"/>
        <w:r w:rsidRPr="00AD050F">
          <w:rPr>
            <w:color w:val="0000FF"/>
            <w:sz w:val="24"/>
            <w:szCs w:val="24"/>
            <w:u w:val="single"/>
          </w:rPr>
          <w:t xml:space="preserve"> selection and cultural socialization pathways - ScienceDirect</w:t>
        </w:r>
      </w:hyperlink>
      <w:r w:rsidRPr="00AD050F">
        <w:rPr>
          <w:sz w:val="24"/>
          <w:szCs w:val="24"/>
        </w:rPr>
        <w:t xml:space="preserve"> (Accessed: 14</w:t>
      </w:r>
      <w:r w:rsidRPr="00AD050F">
        <w:rPr>
          <w:sz w:val="24"/>
          <w:szCs w:val="24"/>
          <w:vertAlign w:val="superscript"/>
        </w:rPr>
        <w:t>th</w:t>
      </w:r>
      <w:r w:rsidRPr="00AD050F">
        <w:rPr>
          <w:sz w:val="24"/>
          <w:szCs w:val="24"/>
        </w:rPr>
        <w:t xml:space="preserve"> April 2021)</w:t>
      </w:r>
    </w:p>
    <w:p w14:paraId="11D35FCB"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750EA298"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roofErr w:type="spellStart"/>
      <w:r w:rsidRPr="00AD050F">
        <w:rPr>
          <w:rFonts w:asciiTheme="minorHAnsi" w:hAnsiTheme="minorHAnsi" w:cstheme="minorHAnsi"/>
          <w:color w:val="auto"/>
          <w:sz w:val="24"/>
          <w:szCs w:val="24"/>
        </w:rPr>
        <w:t>Tymula</w:t>
      </w:r>
      <w:proofErr w:type="spellEnd"/>
      <w:r w:rsidRPr="00AD050F">
        <w:rPr>
          <w:rFonts w:asciiTheme="minorHAnsi" w:hAnsiTheme="minorHAnsi" w:cstheme="minorHAnsi"/>
          <w:color w:val="auto"/>
          <w:sz w:val="24"/>
          <w:szCs w:val="24"/>
        </w:rPr>
        <w:t xml:space="preserve">, A. (2019) ‘An experimental study of adolescent </w:t>
      </w:r>
      <w:proofErr w:type="spellStart"/>
      <w:r w:rsidRPr="00AD050F">
        <w:rPr>
          <w:rFonts w:asciiTheme="minorHAnsi" w:hAnsiTheme="minorHAnsi" w:cstheme="minorHAnsi"/>
          <w:color w:val="auto"/>
          <w:sz w:val="24"/>
          <w:szCs w:val="24"/>
        </w:rPr>
        <w:t>behavior</w:t>
      </w:r>
      <w:proofErr w:type="spellEnd"/>
      <w:r w:rsidRPr="00AD050F">
        <w:rPr>
          <w:rFonts w:asciiTheme="minorHAnsi" w:hAnsiTheme="minorHAnsi" w:cstheme="minorHAnsi"/>
          <w:color w:val="auto"/>
          <w:sz w:val="24"/>
          <w:szCs w:val="24"/>
        </w:rPr>
        <w:t xml:space="preserve"> under peer observation: Adolescents are more impatient and inconsistent, not more risk-taking, when observed by peers’, </w:t>
      </w:r>
      <w:r w:rsidRPr="00AD050F">
        <w:rPr>
          <w:rFonts w:asciiTheme="minorHAnsi" w:hAnsiTheme="minorHAnsi" w:cstheme="minorHAnsi"/>
          <w:i/>
          <w:iCs/>
          <w:color w:val="auto"/>
          <w:sz w:val="24"/>
          <w:szCs w:val="24"/>
        </w:rPr>
        <w:t xml:space="preserve">Journal of Economic </w:t>
      </w:r>
      <w:proofErr w:type="spellStart"/>
      <w:r w:rsidRPr="00AD050F">
        <w:rPr>
          <w:rFonts w:asciiTheme="minorHAnsi" w:hAnsiTheme="minorHAnsi" w:cstheme="minorHAnsi"/>
          <w:i/>
          <w:iCs/>
          <w:color w:val="auto"/>
          <w:sz w:val="24"/>
          <w:szCs w:val="24"/>
        </w:rPr>
        <w:t>Behavior</w:t>
      </w:r>
      <w:proofErr w:type="spellEnd"/>
      <w:r w:rsidRPr="00AD050F">
        <w:rPr>
          <w:rFonts w:asciiTheme="minorHAnsi" w:hAnsiTheme="minorHAnsi" w:cstheme="minorHAnsi"/>
          <w:i/>
          <w:iCs/>
          <w:color w:val="auto"/>
          <w:sz w:val="24"/>
          <w:szCs w:val="24"/>
        </w:rPr>
        <w:t xml:space="preserve"> and Organization, Vol. 166, pp735-750. </w:t>
      </w:r>
      <w:r w:rsidRPr="00AD050F">
        <w:rPr>
          <w:rFonts w:asciiTheme="minorHAnsi" w:hAnsiTheme="minorHAnsi" w:cstheme="minorHAnsi"/>
          <w:color w:val="auto"/>
          <w:sz w:val="24"/>
          <w:szCs w:val="24"/>
        </w:rPr>
        <w:t xml:space="preserve">[Online]. Available at: </w:t>
      </w:r>
      <w:hyperlink r:id="rId110" w:history="1">
        <w:r w:rsidRPr="00AD050F">
          <w:rPr>
            <w:color w:val="0000FF"/>
            <w:sz w:val="24"/>
            <w:szCs w:val="24"/>
            <w:u w:val="single"/>
          </w:rPr>
          <w:t xml:space="preserve">An experimental study of adolescent </w:t>
        </w:r>
        <w:proofErr w:type="spellStart"/>
        <w:r w:rsidRPr="00AD050F">
          <w:rPr>
            <w:color w:val="0000FF"/>
            <w:sz w:val="24"/>
            <w:szCs w:val="24"/>
            <w:u w:val="single"/>
          </w:rPr>
          <w:t>behavior</w:t>
        </w:r>
        <w:proofErr w:type="spellEnd"/>
        <w:r w:rsidRPr="00AD050F">
          <w:rPr>
            <w:color w:val="0000FF"/>
            <w:sz w:val="24"/>
            <w:szCs w:val="24"/>
            <w:u w:val="single"/>
          </w:rPr>
          <w:t xml:space="preserve"> under peer observation: Adolescents are more impatient and inconsistent, not more risk-taking, when observed by peers | Elsevier Enhanced Reader</w:t>
        </w:r>
      </w:hyperlink>
      <w:r w:rsidRPr="00AD050F">
        <w:rPr>
          <w:sz w:val="24"/>
          <w:szCs w:val="24"/>
        </w:rPr>
        <w:t xml:space="preserve"> (Accessed: 14</w:t>
      </w:r>
      <w:r w:rsidRPr="00AD050F">
        <w:rPr>
          <w:sz w:val="24"/>
          <w:szCs w:val="24"/>
          <w:vertAlign w:val="superscript"/>
        </w:rPr>
        <w:t>th</w:t>
      </w:r>
      <w:r w:rsidRPr="00AD050F">
        <w:rPr>
          <w:sz w:val="24"/>
          <w:szCs w:val="24"/>
        </w:rPr>
        <w:t xml:space="preserve"> April 2021)</w:t>
      </w:r>
    </w:p>
    <w:p w14:paraId="4D8095BB"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58FD1228"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roofErr w:type="spellStart"/>
      <w:r w:rsidRPr="00AD050F">
        <w:rPr>
          <w:rFonts w:asciiTheme="minorHAnsi" w:hAnsiTheme="minorHAnsi" w:cstheme="minorHAnsi"/>
          <w:color w:val="auto"/>
          <w:sz w:val="24"/>
          <w:szCs w:val="24"/>
        </w:rPr>
        <w:t>Ullsperger</w:t>
      </w:r>
      <w:proofErr w:type="spellEnd"/>
      <w:r w:rsidRPr="00AD050F">
        <w:rPr>
          <w:rFonts w:asciiTheme="minorHAnsi" w:hAnsiTheme="minorHAnsi" w:cstheme="minorHAnsi"/>
          <w:color w:val="auto"/>
          <w:sz w:val="24"/>
          <w:szCs w:val="24"/>
        </w:rPr>
        <w:t xml:space="preserve">, J. and Nikolas, M. (2017) ‘A meta-analytic review of the association between pubertal timing and psychopathology in adolescence: Are there sex differences in risk?’, </w:t>
      </w:r>
      <w:r w:rsidRPr="00AD050F">
        <w:rPr>
          <w:rFonts w:asciiTheme="minorHAnsi" w:hAnsiTheme="minorHAnsi" w:cstheme="minorHAnsi"/>
          <w:i/>
          <w:iCs/>
          <w:color w:val="auto"/>
          <w:sz w:val="24"/>
          <w:szCs w:val="24"/>
        </w:rPr>
        <w:t xml:space="preserve">Psychological Bulletin, Vol. 143, pp-903-938. </w:t>
      </w:r>
      <w:bookmarkStart w:id="28" w:name="_Hlk74237033"/>
      <w:r w:rsidRPr="00AD050F">
        <w:rPr>
          <w:rFonts w:asciiTheme="minorHAnsi" w:hAnsiTheme="minorHAnsi" w:cstheme="minorHAnsi"/>
          <w:i/>
          <w:iCs/>
          <w:color w:val="auto"/>
          <w:sz w:val="24"/>
          <w:szCs w:val="24"/>
        </w:rPr>
        <w:t xml:space="preserve"> </w:t>
      </w:r>
      <w:r w:rsidRPr="00AD050F">
        <w:rPr>
          <w:rFonts w:asciiTheme="minorHAnsi" w:hAnsiTheme="minorHAnsi" w:cstheme="minorHAnsi"/>
          <w:sz w:val="24"/>
          <w:szCs w:val="24"/>
        </w:rPr>
        <w:t xml:space="preserve">[Online]. Available at: </w:t>
      </w:r>
      <w:bookmarkEnd w:id="28"/>
      <w:r w:rsidRPr="00AD050F">
        <w:rPr>
          <w:rFonts w:asciiTheme="minorHAnsi" w:hAnsiTheme="minorHAnsi" w:cstheme="minorHAnsi"/>
          <w:sz w:val="24"/>
          <w:szCs w:val="24"/>
        </w:rPr>
        <w:fldChar w:fldCharType="begin"/>
      </w:r>
      <w:r w:rsidRPr="00AD050F">
        <w:rPr>
          <w:rFonts w:asciiTheme="minorHAnsi" w:hAnsiTheme="minorHAnsi" w:cstheme="minorHAnsi"/>
          <w:sz w:val="24"/>
          <w:szCs w:val="24"/>
        </w:rPr>
        <w:instrText xml:space="preserve"> HYPERLINK "https://web-b-ebscohost-com.ezproxy.uwtsd.ac.uk/ehost/pdfviewer/pdfviewer?vid=1&amp;sid=f4adc621-cb27-4988-8190-e8b39667bad0%40sessionmgr101" </w:instrText>
      </w:r>
      <w:r w:rsidRPr="00AD050F">
        <w:rPr>
          <w:rFonts w:asciiTheme="minorHAnsi" w:hAnsiTheme="minorHAnsi" w:cstheme="minorHAnsi"/>
          <w:sz w:val="24"/>
          <w:szCs w:val="24"/>
        </w:rPr>
        <w:fldChar w:fldCharType="separate"/>
      </w:r>
      <w:r w:rsidRPr="00AD050F">
        <w:rPr>
          <w:rFonts w:asciiTheme="minorHAnsi" w:hAnsiTheme="minorHAnsi" w:cstheme="minorHAnsi"/>
          <w:color w:val="0000FF"/>
          <w:sz w:val="24"/>
          <w:szCs w:val="24"/>
          <w:u w:val="single"/>
        </w:rPr>
        <w:t>A meta-analytic review of the association between pubertal timing and psych...: EBSCOhost (uwtsd.ac.uk)</w:t>
      </w:r>
      <w:r w:rsidRPr="00AD050F">
        <w:rPr>
          <w:rFonts w:asciiTheme="minorHAnsi" w:hAnsiTheme="minorHAnsi" w:cstheme="minorHAnsi"/>
          <w:sz w:val="24"/>
          <w:szCs w:val="24"/>
        </w:rPr>
        <w:fldChar w:fldCharType="end"/>
      </w:r>
      <w:r w:rsidRPr="00AD050F">
        <w:rPr>
          <w:rFonts w:asciiTheme="minorHAnsi" w:hAnsiTheme="minorHAnsi" w:cstheme="minorHAnsi"/>
          <w:i/>
          <w:iCs/>
          <w:color w:val="auto"/>
          <w:sz w:val="24"/>
          <w:szCs w:val="24"/>
        </w:rPr>
        <w:t xml:space="preserve"> </w:t>
      </w:r>
      <w:r w:rsidRPr="00AD050F">
        <w:rPr>
          <w:rFonts w:asciiTheme="minorHAnsi" w:hAnsiTheme="minorHAnsi" w:cstheme="minorHAnsi"/>
          <w:color w:val="auto"/>
          <w:sz w:val="24"/>
          <w:szCs w:val="24"/>
        </w:rPr>
        <w:t xml:space="preserve"> (Accessed: 15</w:t>
      </w:r>
      <w:r w:rsidRPr="00AD050F">
        <w:rPr>
          <w:rFonts w:asciiTheme="minorHAnsi" w:hAnsiTheme="minorHAnsi" w:cstheme="minorHAnsi"/>
          <w:color w:val="auto"/>
          <w:sz w:val="24"/>
          <w:szCs w:val="24"/>
          <w:vertAlign w:val="superscript"/>
        </w:rPr>
        <w:t>th</w:t>
      </w:r>
      <w:r w:rsidRPr="00AD050F">
        <w:rPr>
          <w:rFonts w:asciiTheme="minorHAnsi" w:hAnsiTheme="minorHAnsi" w:cstheme="minorHAnsi"/>
          <w:color w:val="auto"/>
          <w:sz w:val="24"/>
          <w:szCs w:val="24"/>
        </w:rPr>
        <w:t xml:space="preserve"> May 2021)</w:t>
      </w:r>
    </w:p>
    <w:p w14:paraId="7FAE5F98"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5F964CF8" w14:textId="77777777" w:rsidR="00F222F7" w:rsidRPr="00AD050F" w:rsidRDefault="00F222F7" w:rsidP="00F222F7">
      <w:pPr>
        <w:spacing w:after="0" w:afterAutospacing="0" w:line="240" w:lineRule="auto"/>
        <w:contextualSpacing/>
        <w:jc w:val="both"/>
        <w:rPr>
          <w:rFonts w:asciiTheme="minorHAnsi" w:hAnsiTheme="minorHAnsi" w:cstheme="minorHAnsi"/>
          <w:i/>
          <w:iCs/>
          <w:color w:val="auto"/>
          <w:sz w:val="24"/>
          <w:szCs w:val="24"/>
        </w:rPr>
      </w:pPr>
      <w:proofErr w:type="spellStart"/>
      <w:r w:rsidRPr="00AD050F">
        <w:rPr>
          <w:rFonts w:asciiTheme="minorHAnsi" w:hAnsiTheme="minorHAnsi" w:cstheme="minorHAnsi"/>
          <w:color w:val="auto"/>
          <w:sz w:val="24"/>
          <w:szCs w:val="24"/>
        </w:rPr>
        <w:t>Unicef</w:t>
      </w:r>
      <w:proofErr w:type="spellEnd"/>
      <w:r w:rsidRPr="00AD050F">
        <w:rPr>
          <w:rFonts w:asciiTheme="minorHAnsi" w:hAnsiTheme="minorHAnsi" w:cstheme="minorHAnsi"/>
          <w:color w:val="auto"/>
          <w:sz w:val="24"/>
          <w:szCs w:val="24"/>
        </w:rPr>
        <w:t xml:space="preserve"> (2019) </w:t>
      </w:r>
      <w:r w:rsidRPr="00AD050F">
        <w:rPr>
          <w:rFonts w:asciiTheme="minorHAnsi" w:hAnsiTheme="minorHAnsi" w:cstheme="minorHAnsi"/>
          <w:i/>
          <w:iCs/>
          <w:color w:val="auto"/>
          <w:sz w:val="24"/>
          <w:szCs w:val="24"/>
        </w:rPr>
        <w:t xml:space="preserve">The United Nations Convention on the Rights of the Child. </w:t>
      </w:r>
      <w:r w:rsidRPr="00AD050F">
        <w:rPr>
          <w:rFonts w:asciiTheme="minorHAnsi" w:hAnsiTheme="minorHAnsi" w:cstheme="minorHAnsi"/>
          <w:color w:val="auto"/>
          <w:sz w:val="24"/>
          <w:szCs w:val="24"/>
        </w:rPr>
        <w:t xml:space="preserve">Available at: </w:t>
      </w:r>
      <w:r w:rsidRPr="00AD050F">
        <w:rPr>
          <w:rFonts w:asciiTheme="minorHAnsi" w:hAnsiTheme="minorHAnsi" w:cstheme="minorHAnsi"/>
          <w:i/>
          <w:iCs/>
          <w:color w:val="auto"/>
          <w:sz w:val="24"/>
          <w:szCs w:val="24"/>
        </w:rPr>
        <w:t xml:space="preserve"> </w:t>
      </w:r>
      <w:hyperlink r:id="rId111" w:history="1">
        <w:r w:rsidRPr="00AD050F">
          <w:rPr>
            <w:color w:val="0000FF"/>
            <w:sz w:val="24"/>
            <w:szCs w:val="24"/>
            <w:u w:val="single"/>
          </w:rPr>
          <w:t>Convention on the Rights of the Child text | UNICEF</w:t>
        </w:r>
      </w:hyperlink>
      <w:r w:rsidRPr="00AD050F">
        <w:rPr>
          <w:sz w:val="24"/>
          <w:szCs w:val="24"/>
        </w:rPr>
        <w:t xml:space="preserve"> (Accessed: 6</w:t>
      </w:r>
      <w:r w:rsidRPr="00AD050F">
        <w:rPr>
          <w:sz w:val="24"/>
          <w:szCs w:val="24"/>
          <w:vertAlign w:val="superscript"/>
        </w:rPr>
        <w:t>th</w:t>
      </w:r>
      <w:r w:rsidRPr="00AD050F">
        <w:rPr>
          <w:sz w:val="24"/>
          <w:szCs w:val="24"/>
        </w:rPr>
        <w:t xml:space="preserve"> July 2021)</w:t>
      </w:r>
    </w:p>
    <w:p w14:paraId="24139E96"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1FB7A7D4"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color w:val="auto"/>
          <w:sz w:val="24"/>
          <w:szCs w:val="24"/>
        </w:rPr>
        <w:t xml:space="preserve">University College London, Centre for Longitudinal Studies (2021) </w:t>
      </w:r>
      <w:r w:rsidRPr="00AD050F">
        <w:rPr>
          <w:rFonts w:asciiTheme="minorHAnsi" w:hAnsiTheme="minorHAnsi" w:cstheme="minorHAnsi"/>
          <w:i/>
          <w:iCs/>
          <w:color w:val="auto"/>
          <w:sz w:val="24"/>
          <w:szCs w:val="24"/>
        </w:rPr>
        <w:t xml:space="preserve">Millennium Cohort Study. </w:t>
      </w:r>
      <w:r w:rsidRPr="00AD050F">
        <w:rPr>
          <w:rFonts w:asciiTheme="minorHAnsi" w:hAnsiTheme="minorHAnsi" w:cstheme="minorHAnsi"/>
          <w:color w:val="auto"/>
          <w:sz w:val="24"/>
          <w:szCs w:val="24"/>
        </w:rPr>
        <w:t xml:space="preserve">Available at: </w:t>
      </w:r>
      <w:hyperlink r:id="rId112" w:history="1">
        <w:r w:rsidRPr="00AD050F">
          <w:rPr>
            <w:color w:val="0000FF"/>
            <w:sz w:val="24"/>
            <w:szCs w:val="24"/>
            <w:u w:val="single"/>
          </w:rPr>
          <w:t>CLS | Millennium Cohort Study (ucl.ac.uk)</w:t>
        </w:r>
      </w:hyperlink>
      <w:r w:rsidRPr="00AD050F">
        <w:rPr>
          <w:sz w:val="24"/>
          <w:szCs w:val="24"/>
        </w:rPr>
        <w:t xml:space="preserve"> (Accessed: 5</w:t>
      </w:r>
      <w:r w:rsidRPr="00AD050F">
        <w:rPr>
          <w:sz w:val="24"/>
          <w:szCs w:val="24"/>
          <w:vertAlign w:val="superscript"/>
        </w:rPr>
        <w:t>th</w:t>
      </w:r>
      <w:r w:rsidRPr="00AD050F">
        <w:rPr>
          <w:sz w:val="24"/>
          <w:szCs w:val="24"/>
        </w:rPr>
        <w:t xml:space="preserve"> July 2021)</w:t>
      </w:r>
    </w:p>
    <w:p w14:paraId="63AE207E"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2A216F9F" w14:textId="77777777" w:rsidR="00F222F7" w:rsidRPr="00AD050F" w:rsidRDefault="00F222F7" w:rsidP="00F222F7">
      <w:pPr>
        <w:jc w:val="both"/>
        <w:rPr>
          <w:rFonts w:asciiTheme="minorHAnsi" w:hAnsiTheme="minorHAnsi" w:cstheme="minorHAnsi"/>
          <w:sz w:val="24"/>
          <w:szCs w:val="24"/>
        </w:rPr>
      </w:pPr>
      <w:r w:rsidRPr="00AD050F">
        <w:rPr>
          <w:rFonts w:asciiTheme="minorHAnsi" w:hAnsiTheme="minorHAnsi" w:cstheme="minorHAnsi"/>
          <w:sz w:val="24"/>
          <w:szCs w:val="24"/>
        </w:rPr>
        <w:t xml:space="preserve">University of Bristol (2021) </w:t>
      </w:r>
      <w:r w:rsidRPr="00AD050F">
        <w:rPr>
          <w:rFonts w:asciiTheme="minorHAnsi" w:hAnsiTheme="minorHAnsi" w:cstheme="minorHAnsi"/>
          <w:i/>
          <w:iCs/>
          <w:sz w:val="24"/>
          <w:szCs w:val="24"/>
        </w:rPr>
        <w:t xml:space="preserve">Avon Longitudinal Study of Parents and Children. </w:t>
      </w:r>
      <w:r w:rsidRPr="00AD050F">
        <w:rPr>
          <w:rFonts w:asciiTheme="minorHAnsi" w:hAnsiTheme="minorHAnsi" w:cstheme="minorHAnsi"/>
          <w:sz w:val="24"/>
          <w:szCs w:val="24"/>
        </w:rPr>
        <w:t xml:space="preserve">Available at: </w:t>
      </w:r>
      <w:hyperlink r:id="rId113" w:history="1">
        <w:r w:rsidRPr="00AD050F">
          <w:rPr>
            <w:color w:val="0000FF"/>
            <w:sz w:val="24"/>
            <w:szCs w:val="24"/>
            <w:u w:val="single"/>
          </w:rPr>
          <w:t>Avon Longitudinal Study of Parents and Children | Avon Longitudinal Study of Parents and Children | University of Bristol</w:t>
        </w:r>
      </w:hyperlink>
      <w:r w:rsidRPr="00AD050F">
        <w:rPr>
          <w:rFonts w:asciiTheme="minorHAnsi" w:hAnsiTheme="minorHAnsi" w:cstheme="minorHAnsi"/>
          <w:i/>
          <w:iCs/>
          <w:sz w:val="24"/>
          <w:szCs w:val="24"/>
        </w:rPr>
        <w:t xml:space="preserve"> </w:t>
      </w:r>
      <w:r w:rsidRPr="00AD050F">
        <w:rPr>
          <w:rFonts w:asciiTheme="minorHAnsi" w:hAnsiTheme="minorHAnsi" w:cstheme="minorHAnsi"/>
          <w:sz w:val="24"/>
          <w:szCs w:val="24"/>
        </w:rPr>
        <w:t>(Accessed: 5</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July 2021)</w:t>
      </w:r>
    </w:p>
    <w:p w14:paraId="5FC3E52D"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roofErr w:type="spellStart"/>
      <w:r w:rsidRPr="00AD050F">
        <w:rPr>
          <w:rFonts w:asciiTheme="minorHAnsi" w:hAnsiTheme="minorHAnsi" w:cstheme="minorHAnsi"/>
          <w:color w:val="auto"/>
          <w:sz w:val="24"/>
          <w:szCs w:val="24"/>
        </w:rPr>
        <w:t>Viau</w:t>
      </w:r>
      <w:proofErr w:type="spellEnd"/>
      <w:r w:rsidRPr="00AD050F">
        <w:rPr>
          <w:rFonts w:asciiTheme="minorHAnsi" w:hAnsiTheme="minorHAnsi" w:cstheme="minorHAnsi"/>
          <w:color w:val="auto"/>
          <w:sz w:val="24"/>
          <w:szCs w:val="24"/>
        </w:rPr>
        <w:t xml:space="preserve">, S., </w:t>
      </w:r>
      <w:proofErr w:type="spellStart"/>
      <w:r w:rsidRPr="00AD050F">
        <w:rPr>
          <w:rFonts w:asciiTheme="minorHAnsi" w:hAnsiTheme="minorHAnsi" w:cstheme="minorHAnsi"/>
          <w:color w:val="auto"/>
          <w:sz w:val="24"/>
          <w:szCs w:val="24"/>
        </w:rPr>
        <w:t>Denault</w:t>
      </w:r>
      <w:proofErr w:type="spellEnd"/>
      <w:r w:rsidRPr="00AD050F">
        <w:rPr>
          <w:rFonts w:asciiTheme="minorHAnsi" w:hAnsiTheme="minorHAnsi" w:cstheme="minorHAnsi"/>
          <w:color w:val="auto"/>
          <w:sz w:val="24"/>
          <w:szCs w:val="24"/>
        </w:rPr>
        <w:t xml:space="preserve">, A., Dionne, G., </w:t>
      </w:r>
      <w:proofErr w:type="spellStart"/>
      <w:r w:rsidRPr="00AD050F">
        <w:rPr>
          <w:rFonts w:asciiTheme="minorHAnsi" w:hAnsiTheme="minorHAnsi" w:cstheme="minorHAnsi"/>
          <w:color w:val="auto"/>
          <w:sz w:val="24"/>
          <w:szCs w:val="24"/>
        </w:rPr>
        <w:t>Brendgen</w:t>
      </w:r>
      <w:proofErr w:type="spellEnd"/>
      <w:r w:rsidRPr="00AD050F">
        <w:rPr>
          <w:rFonts w:asciiTheme="minorHAnsi" w:hAnsiTheme="minorHAnsi" w:cstheme="minorHAnsi"/>
          <w:color w:val="auto"/>
          <w:sz w:val="24"/>
          <w:szCs w:val="24"/>
        </w:rPr>
        <w:t xml:space="preserve">, M., Geoffroy, M., Cote, S., Larose, S., </w:t>
      </w:r>
      <w:proofErr w:type="spellStart"/>
      <w:r w:rsidRPr="00AD050F">
        <w:rPr>
          <w:rFonts w:asciiTheme="minorHAnsi" w:hAnsiTheme="minorHAnsi" w:cstheme="minorHAnsi"/>
          <w:color w:val="auto"/>
          <w:sz w:val="24"/>
          <w:szCs w:val="24"/>
        </w:rPr>
        <w:t>Vitaro</w:t>
      </w:r>
      <w:proofErr w:type="spellEnd"/>
      <w:r w:rsidRPr="00AD050F">
        <w:rPr>
          <w:rFonts w:asciiTheme="minorHAnsi" w:hAnsiTheme="minorHAnsi" w:cstheme="minorHAnsi"/>
          <w:color w:val="auto"/>
          <w:sz w:val="24"/>
          <w:szCs w:val="24"/>
        </w:rPr>
        <w:t xml:space="preserve">, F., Tremblay, R. and Boivin, M. (2020) ‘Joint Trajectories of Peer Cyber and Traditional Victimization in Adolescence: A Look at Risk Factors’, </w:t>
      </w:r>
      <w:r w:rsidRPr="00AD050F">
        <w:rPr>
          <w:rFonts w:asciiTheme="minorHAnsi" w:hAnsiTheme="minorHAnsi" w:cstheme="minorHAnsi"/>
          <w:i/>
          <w:iCs/>
          <w:color w:val="auto"/>
          <w:sz w:val="24"/>
          <w:szCs w:val="24"/>
        </w:rPr>
        <w:t xml:space="preserve">Journal of Early Adolescence, Vol. 40, pp936-965. </w:t>
      </w:r>
      <w:r w:rsidRPr="00AD050F">
        <w:rPr>
          <w:rFonts w:asciiTheme="minorHAnsi" w:hAnsiTheme="minorHAnsi" w:cstheme="minorHAnsi"/>
          <w:color w:val="auto"/>
          <w:sz w:val="24"/>
          <w:szCs w:val="24"/>
        </w:rPr>
        <w:t xml:space="preserve">[Online]. Available at: </w:t>
      </w:r>
      <w:hyperlink r:id="rId114" w:history="1">
        <w:r w:rsidRPr="00AD050F">
          <w:rPr>
            <w:color w:val="0000FF"/>
            <w:sz w:val="24"/>
            <w:szCs w:val="24"/>
            <w:u w:val="single"/>
          </w:rPr>
          <w:t>Joint Trajectories of Peer Cyber and Traditional Victimization in Adolescence: A Look at Risk Factors (sagepub.com)</w:t>
        </w:r>
      </w:hyperlink>
      <w:r w:rsidRPr="00AD050F">
        <w:rPr>
          <w:sz w:val="24"/>
          <w:szCs w:val="24"/>
        </w:rPr>
        <w:t xml:space="preserve"> (Accessed: 23</w:t>
      </w:r>
      <w:r w:rsidRPr="00AD050F">
        <w:rPr>
          <w:sz w:val="24"/>
          <w:szCs w:val="24"/>
          <w:vertAlign w:val="superscript"/>
        </w:rPr>
        <w:t>rd</w:t>
      </w:r>
      <w:r w:rsidRPr="00AD050F">
        <w:rPr>
          <w:sz w:val="24"/>
          <w:szCs w:val="24"/>
        </w:rPr>
        <w:t xml:space="preserve"> April 2021) </w:t>
      </w:r>
    </w:p>
    <w:p w14:paraId="793BD4F2"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076553CF"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roofErr w:type="spellStart"/>
      <w:r w:rsidRPr="00AD050F">
        <w:rPr>
          <w:rFonts w:asciiTheme="minorHAnsi" w:hAnsiTheme="minorHAnsi" w:cstheme="minorHAnsi"/>
          <w:color w:val="auto"/>
          <w:sz w:val="24"/>
          <w:szCs w:val="24"/>
        </w:rPr>
        <w:t>Vorobyev</w:t>
      </w:r>
      <w:proofErr w:type="spellEnd"/>
      <w:r w:rsidRPr="00AD050F">
        <w:rPr>
          <w:rFonts w:asciiTheme="minorHAnsi" w:hAnsiTheme="minorHAnsi" w:cstheme="minorHAnsi"/>
          <w:color w:val="auto"/>
          <w:sz w:val="24"/>
          <w:szCs w:val="24"/>
        </w:rPr>
        <w:t xml:space="preserve">, V., Kwon, M., Moe, D., </w:t>
      </w:r>
      <w:proofErr w:type="spellStart"/>
      <w:r w:rsidRPr="00AD050F">
        <w:rPr>
          <w:rFonts w:asciiTheme="minorHAnsi" w:hAnsiTheme="minorHAnsi" w:cstheme="minorHAnsi"/>
          <w:color w:val="auto"/>
          <w:sz w:val="24"/>
          <w:szCs w:val="24"/>
        </w:rPr>
        <w:t>Parkkola</w:t>
      </w:r>
      <w:proofErr w:type="spellEnd"/>
      <w:r w:rsidRPr="00AD050F">
        <w:rPr>
          <w:rFonts w:asciiTheme="minorHAnsi" w:hAnsiTheme="minorHAnsi" w:cstheme="minorHAnsi"/>
          <w:color w:val="auto"/>
          <w:sz w:val="24"/>
          <w:szCs w:val="24"/>
        </w:rPr>
        <w:t xml:space="preserve">, R. and </w:t>
      </w:r>
      <w:proofErr w:type="spellStart"/>
      <w:r w:rsidRPr="00AD050F">
        <w:rPr>
          <w:rFonts w:asciiTheme="minorHAnsi" w:hAnsiTheme="minorHAnsi" w:cstheme="minorHAnsi"/>
          <w:color w:val="auto"/>
          <w:sz w:val="24"/>
          <w:szCs w:val="24"/>
        </w:rPr>
        <w:t>Hamalainen</w:t>
      </w:r>
      <w:proofErr w:type="spellEnd"/>
      <w:r w:rsidRPr="00AD050F">
        <w:rPr>
          <w:rFonts w:asciiTheme="minorHAnsi" w:hAnsiTheme="minorHAnsi" w:cstheme="minorHAnsi"/>
          <w:color w:val="auto"/>
          <w:sz w:val="24"/>
          <w:szCs w:val="24"/>
        </w:rPr>
        <w:t xml:space="preserve">, H. (2015) ‘Risk-Taking </w:t>
      </w:r>
      <w:proofErr w:type="spellStart"/>
      <w:r w:rsidRPr="00AD050F">
        <w:rPr>
          <w:rFonts w:asciiTheme="minorHAnsi" w:hAnsiTheme="minorHAnsi" w:cstheme="minorHAnsi"/>
          <w:color w:val="auto"/>
          <w:sz w:val="24"/>
          <w:szCs w:val="24"/>
        </w:rPr>
        <w:t>Behavior</w:t>
      </w:r>
      <w:proofErr w:type="spellEnd"/>
      <w:r w:rsidRPr="00AD050F">
        <w:rPr>
          <w:rFonts w:asciiTheme="minorHAnsi" w:hAnsiTheme="minorHAnsi" w:cstheme="minorHAnsi"/>
          <w:color w:val="auto"/>
          <w:sz w:val="24"/>
          <w:szCs w:val="24"/>
        </w:rPr>
        <w:t xml:space="preserve"> in a Computerized Driving Task: Brain Activation Correlates of Decision-Making, Outcome, and Peer Influence in Male Adolescents’, </w:t>
      </w:r>
      <w:proofErr w:type="spellStart"/>
      <w:r w:rsidRPr="00AD050F">
        <w:rPr>
          <w:rFonts w:asciiTheme="minorHAnsi" w:hAnsiTheme="minorHAnsi" w:cstheme="minorHAnsi"/>
          <w:i/>
          <w:iCs/>
          <w:color w:val="auto"/>
          <w:sz w:val="24"/>
          <w:szCs w:val="24"/>
        </w:rPr>
        <w:t>PLoS</w:t>
      </w:r>
      <w:proofErr w:type="spellEnd"/>
      <w:r w:rsidRPr="00AD050F">
        <w:rPr>
          <w:rFonts w:asciiTheme="minorHAnsi" w:hAnsiTheme="minorHAnsi" w:cstheme="minorHAnsi"/>
          <w:i/>
          <w:iCs/>
          <w:color w:val="auto"/>
          <w:sz w:val="24"/>
          <w:szCs w:val="24"/>
        </w:rPr>
        <w:t xml:space="preserve"> One, Vol. 10. </w:t>
      </w:r>
      <w:r w:rsidRPr="00AD050F">
        <w:rPr>
          <w:rFonts w:asciiTheme="minorHAnsi" w:hAnsiTheme="minorHAnsi" w:cstheme="minorHAnsi"/>
          <w:color w:val="auto"/>
          <w:sz w:val="24"/>
          <w:szCs w:val="24"/>
        </w:rPr>
        <w:t xml:space="preserve">[Online]. Available at: </w:t>
      </w:r>
      <w:hyperlink r:id="rId115" w:history="1">
        <w:r w:rsidRPr="00AD050F">
          <w:rPr>
            <w:color w:val="0000FF"/>
            <w:sz w:val="24"/>
            <w:szCs w:val="24"/>
            <w:u w:val="single"/>
          </w:rPr>
          <w:t xml:space="preserve">Risk-Taking </w:t>
        </w:r>
        <w:proofErr w:type="spellStart"/>
        <w:r w:rsidRPr="00AD050F">
          <w:rPr>
            <w:color w:val="0000FF"/>
            <w:sz w:val="24"/>
            <w:szCs w:val="24"/>
            <w:u w:val="single"/>
          </w:rPr>
          <w:t>Behavior</w:t>
        </w:r>
        <w:proofErr w:type="spellEnd"/>
        <w:r w:rsidRPr="00AD050F">
          <w:rPr>
            <w:color w:val="0000FF"/>
            <w:sz w:val="24"/>
            <w:szCs w:val="24"/>
            <w:u w:val="single"/>
          </w:rPr>
          <w:t xml:space="preserve"> in a Computerized Driving Task: Brain Activation Correlates of Decision-Making, Outcome, and Peer Influence in Male Adolescents (nih.gov)</w:t>
        </w:r>
      </w:hyperlink>
      <w:r w:rsidRPr="00AD050F">
        <w:rPr>
          <w:sz w:val="24"/>
          <w:szCs w:val="24"/>
        </w:rPr>
        <w:t xml:space="preserve"> (Accessed: 11</w:t>
      </w:r>
      <w:r w:rsidRPr="00AD050F">
        <w:rPr>
          <w:sz w:val="24"/>
          <w:szCs w:val="24"/>
          <w:vertAlign w:val="superscript"/>
        </w:rPr>
        <w:t>th</w:t>
      </w:r>
      <w:r w:rsidRPr="00AD050F">
        <w:rPr>
          <w:sz w:val="24"/>
          <w:szCs w:val="24"/>
        </w:rPr>
        <w:t xml:space="preserve"> December 2020) </w:t>
      </w:r>
    </w:p>
    <w:p w14:paraId="554CE478"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01E5B93F"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roofErr w:type="spellStart"/>
      <w:r w:rsidRPr="00AD050F">
        <w:rPr>
          <w:rFonts w:asciiTheme="minorHAnsi" w:hAnsiTheme="minorHAnsi" w:cstheme="minorHAnsi"/>
          <w:color w:val="auto"/>
          <w:sz w:val="24"/>
          <w:szCs w:val="24"/>
        </w:rPr>
        <w:t>Wartberg</w:t>
      </w:r>
      <w:proofErr w:type="spellEnd"/>
      <w:r w:rsidRPr="00AD050F">
        <w:rPr>
          <w:rFonts w:asciiTheme="minorHAnsi" w:hAnsiTheme="minorHAnsi" w:cstheme="minorHAnsi"/>
          <w:color w:val="auto"/>
          <w:sz w:val="24"/>
          <w:szCs w:val="24"/>
        </w:rPr>
        <w:t xml:space="preserve">, L. and </w:t>
      </w:r>
      <w:proofErr w:type="spellStart"/>
      <w:r w:rsidRPr="00AD050F">
        <w:rPr>
          <w:rFonts w:asciiTheme="minorHAnsi" w:hAnsiTheme="minorHAnsi" w:cstheme="minorHAnsi"/>
          <w:color w:val="auto"/>
          <w:sz w:val="24"/>
          <w:szCs w:val="24"/>
        </w:rPr>
        <w:t>Kammerl</w:t>
      </w:r>
      <w:proofErr w:type="spellEnd"/>
      <w:r w:rsidRPr="00AD050F">
        <w:rPr>
          <w:rFonts w:asciiTheme="minorHAnsi" w:hAnsiTheme="minorHAnsi" w:cstheme="minorHAnsi"/>
          <w:color w:val="auto"/>
          <w:sz w:val="24"/>
          <w:szCs w:val="24"/>
        </w:rPr>
        <w:t xml:space="preserve">, R. (2020) ‘Empirical Relationships between Problematic Alcohol Use and a Problematic Use of Video Games, Social Media and the Internet and Their Associations to Mental Health in Adolescence’, </w:t>
      </w:r>
      <w:r w:rsidRPr="00AD050F">
        <w:rPr>
          <w:rFonts w:asciiTheme="minorHAnsi" w:hAnsiTheme="minorHAnsi" w:cstheme="minorHAnsi"/>
          <w:i/>
          <w:iCs/>
          <w:sz w:val="24"/>
          <w:szCs w:val="24"/>
        </w:rPr>
        <w:t xml:space="preserve">International Journal of Environmental Research and Public Health, Vol. 17. </w:t>
      </w:r>
      <w:r w:rsidRPr="00AD050F">
        <w:rPr>
          <w:rFonts w:asciiTheme="minorHAnsi" w:hAnsiTheme="minorHAnsi" w:cstheme="minorHAnsi"/>
          <w:sz w:val="24"/>
          <w:szCs w:val="24"/>
        </w:rPr>
        <w:t xml:space="preserve">[Online]. Available at: </w:t>
      </w:r>
      <w:r w:rsidRPr="00AD050F">
        <w:rPr>
          <w:rFonts w:asciiTheme="minorHAnsi" w:hAnsiTheme="minorHAnsi" w:cstheme="minorHAnsi"/>
          <w:color w:val="auto"/>
          <w:sz w:val="24"/>
          <w:szCs w:val="24"/>
        </w:rPr>
        <w:t xml:space="preserve">    </w:t>
      </w:r>
      <w:hyperlink r:id="rId116" w:history="1">
        <w:r w:rsidRPr="00AD050F">
          <w:rPr>
            <w:rFonts w:asciiTheme="minorHAnsi" w:hAnsiTheme="minorHAnsi" w:cstheme="minorHAnsi"/>
            <w:color w:val="0000FF"/>
            <w:sz w:val="24"/>
            <w:szCs w:val="24"/>
            <w:u w:val="single"/>
          </w:rPr>
          <w:t xml:space="preserve">IJERPH | Free Full-Text | Empirical Relationships between Problematic Alcohol Use and a Problematic Use of Video Games, Social </w:t>
        </w:r>
        <w:r w:rsidRPr="00AD050F">
          <w:rPr>
            <w:rFonts w:asciiTheme="minorHAnsi" w:hAnsiTheme="minorHAnsi" w:cstheme="minorHAnsi"/>
            <w:color w:val="0000FF"/>
            <w:sz w:val="24"/>
            <w:szCs w:val="24"/>
            <w:u w:val="single"/>
          </w:rPr>
          <w:lastRenderedPageBreak/>
          <w:t>Media and the Internet and Their Associations to Mental Health in Adolescence | HTML (mdpi.com)</w:t>
        </w:r>
      </w:hyperlink>
      <w:r w:rsidRPr="00AD050F">
        <w:rPr>
          <w:rFonts w:asciiTheme="minorHAnsi" w:hAnsiTheme="minorHAnsi" w:cstheme="minorHAnsi"/>
          <w:sz w:val="24"/>
          <w:szCs w:val="24"/>
        </w:rPr>
        <w:t xml:space="preserve"> (Accessed: 4</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February 2021)</w:t>
      </w:r>
    </w:p>
    <w:p w14:paraId="65005DB5"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5A17CEF5" w14:textId="77777777" w:rsidR="00F222F7" w:rsidRPr="00AD050F" w:rsidRDefault="00F222F7" w:rsidP="00F222F7">
      <w:pPr>
        <w:spacing w:after="160" w:afterAutospacing="0" w:line="259" w:lineRule="auto"/>
        <w:rPr>
          <w:rFonts w:cs="Calibri"/>
          <w:color w:val="auto"/>
          <w:sz w:val="24"/>
          <w:szCs w:val="24"/>
        </w:rPr>
      </w:pPr>
      <w:r w:rsidRPr="00AD050F">
        <w:rPr>
          <w:rFonts w:cs="Calibri"/>
          <w:color w:val="auto"/>
          <w:sz w:val="24"/>
          <w:szCs w:val="24"/>
        </w:rPr>
        <w:t xml:space="preserve">Welsh Government. (2019) Youth Work Strategy for Wales, Cardiff: Welsh Government.  [Online].  Available at: </w:t>
      </w:r>
      <w:hyperlink r:id="rId117" w:history="1">
        <w:r w:rsidRPr="00AD050F">
          <w:rPr>
            <w:rFonts w:cs="Calibri"/>
            <w:color w:val="0563C1"/>
            <w:sz w:val="24"/>
            <w:szCs w:val="24"/>
            <w:u w:val="single"/>
          </w:rPr>
          <w:t>https://gov.wales/sites/default/files/publications/2019-06/youth-work-strategy-for-wales.pdf</w:t>
        </w:r>
      </w:hyperlink>
      <w:r w:rsidRPr="00AD050F">
        <w:rPr>
          <w:rFonts w:cs="Calibri"/>
          <w:color w:val="auto"/>
          <w:sz w:val="24"/>
          <w:szCs w:val="24"/>
        </w:rPr>
        <w:t xml:space="preserve">  (Accessed: 16</w:t>
      </w:r>
      <w:r w:rsidRPr="00AD050F">
        <w:rPr>
          <w:rFonts w:cs="Calibri"/>
          <w:color w:val="auto"/>
          <w:sz w:val="24"/>
          <w:szCs w:val="24"/>
          <w:vertAlign w:val="superscript"/>
        </w:rPr>
        <w:t>th</w:t>
      </w:r>
      <w:r w:rsidRPr="00AD050F">
        <w:rPr>
          <w:rFonts w:cs="Calibri"/>
          <w:color w:val="auto"/>
          <w:sz w:val="24"/>
          <w:szCs w:val="24"/>
        </w:rPr>
        <w:t xml:space="preserve"> March 2020)</w:t>
      </w:r>
    </w:p>
    <w:p w14:paraId="5E6B748E"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5B634679"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roofErr w:type="spellStart"/>
      <w:r w:rsidRPr="00AD050F">
        <w:rPr>
          <w:rFonts w:asciiTheme="minorHAnsi" w:hAnsiTheme="minorHAnsi" w:cstheme="minorHAnsi"/>
          <w:sz w:val="24"/>
          <w:szCs w:val="24"/>
        </w:rPr>
        <w:t>Wesche</w:t>
      </w:r>
      <w:proofErr w:type="spellEnd"/>
      <w:r w:rsidRPr="00AD050F">
        <w:rPr>
          <w:rFonts w:asciiTheme="minorHAnsi" w:hAnsiTheme="minorHAnsi" w:cstheme="minorHAnsi"/>
          <w:sz w:val="24"/>
          <w:szCs w:val="24"/>
        </w:rPr>
        <w:t xml:space="preserve">, R., </w:t>
      </w:r>
      <w:proofErr w:type="spellStart"/>
      <w:r w:rsidRPr="00AD050F">
        <w:rPr>
          <w:rFonts w:asciiTheme="minorHAnsi" w:hAnsiTheme="minorHAnsi" w:cstheme="minorHAnsi"/>
          <w:sz w:val="24"/>
          <w:szCs w:val="24"/>
        </w:rPr>
        <w:t>Kreager</w:t>
      </w:r>
      <w:proofErr w:type="spellEnd"/>
      <w:r w:rsidRPr="00AD050F">
        <w:rPr>
          <w:rFonts w:asciiTheme="minorHAnsi" w:hAnsiTheme="minorHAnsi" w:cstheme="minorHAnsi"/>
          <w:sz w:val="24"/>
          <w:szCs w:val="24"/>
        </w:rPr>
        <w:t xml:space="preserve">, D., Feinberg, M. and Lefkowitz, E. (2019) ‘Peer Acceptance and Sexual </w:t>
      </w:r>
      <w:proofErr w:type="spellStart"/>
      <w:r w:rsidRPr="00AD050F">
        <w:rPr>
          <w:rFonts w:asciiTheme="minorHAnsi" w:hAnsiTheme="minorHAnsi" w:cstheme="minorHAnsi"/>
          <w:sz w:val="24"/>
          <w:szCs w:val="24"/>
        </w:rPr>
        <w:t>Behaviors</w:t>
      </w:r>
      <w:proofErr w:type="spellEnd"/>
      <w:r w:rsidRPr="00AD050F">
        <w:rPr>
          <w:rFonts w:asciiTheme="minorHAnsi" w:hAnsiTheme="minorHAnsi" w:cstheme="minorHAnsi"/>
          <w:sz w:val="24"/>
          <w:szCs w:val="24"/>
        </w:rPr>
        <w:t xml:space="preserve"> from Adolescence to Young Adulthood’, </w:t>
      </w:r>
      <w:r w:rsidRPr="00AD050F">
        <w:rPr>
          <w:rFonts w:asciiTheme="minorHAnsi" w:hAnsiTheme="minorHAnsi" w:cstheme="minorHAnsi"/>
          <w:i/>
          <w:iCs/>
          <w:sz w:val="24"/>
          <w:szCs w:val="24"/>
        </w:rPr>
        <w:t xml:space="preserve">Journal of Youth and Adolescence, Vol. 48, pp996-1008. </w:t>
      </w:r>
      <w:r w:rsidRPr="00AD050F">
        <w:rPr>
          <w:rFonts w:asciiTheme="minorHAnsi" w:hAnsiTheme="minorHAnsi" w:cstheme="minorHAnsi"/>
          <w:sz w:val="24"/>
          <w:szCs w:val="24"/>
        </w:rPr>
        <w:t xml:space="preserve">[Online]. Available at: </w:t>
      </w:r>
      <w:hyperlink r:id="rId118" w:history="1">
        <w:r w:rsidRPr="00AD050F">
          <w:rPr>
            <w:color w:val="0000FF"/>
            <w:sz w:val="24"/>
            <w:szCs w:val="24"/>
            <w:u w:val="single"/>
          </w:rPr>
          <w:t xml:space="preserve">Peer Acceptance and Sexual </w:t>
        </w:r>
        <w:proofErr w:type="spellStart"/>
        <w:r w:rsidRPr="00AD050F">
          <w:rPr>
            <w:color w:val="0000FF"/>
            <w:sz w:val="24"/>
            <w:szCs w:val="24"/>
            <w:u w:val="single"/>
          </w:rPr>
          <w:t>Behaviors</w:t>
        </w:r>
        <w:proofErr w:type="spellEnd"/>
        <w:r w:rsidRPr="00AD050F">
          <w:rPr>
            <w:color w:val="0000FF"/>
            <w:sz w:val="24"/>
            <w:szCs w:val="24"/>
            <w:u w:val="single"/>
          </w:rPr>
          <w:t xml:space="preserve"> from Adolescence to Young Adulthood | SpringerLink</w:t>
        </w:r>
      </w:hyperlink>
      <w:r w:rsidRPr="00AD050F">
        <w:rPr>
          <w:sz w:val="24"/>
          <w:szCs w:val="24"/>
        </w:rPr>
        <w:t xml:space="preserve"> (Accessed: 11</w:t>
      </w:r>
      <w:r w:rsidRPr="00AD050F">
        <w:rPr>
          <w:sz w:val="24"/>
          <w:szCs w:val="24"/>
          <w:vertAlign w:val="superscript"/>
        </w:rPr>
        <w:t>th</w:t>
      </w:r>
      <w:r w:rsidRPr="00AD050F">
        <w:rPr>
          <w:sz w:val="24"/>
          <w:szCs w:val="24"/>
        </w:rPr>
        <w:t xml:space="preserve"> March 2021)</w:t>
      </w:r>
    </w:p>
    <w:p w14:paraId="0A937676"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563452ED"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color w:val="auto"/>
          <w:sz w:val="24"/>
          <w:szCs w:val="24"/>
        </w:rPr>
        <w:t xml:space="preserve">White, A. and </w:t>
      </w:r>
      <w:proofErr w:type="spellStart"/>
      <w:r w:rsidRPr="00AD050F">
        <w:rPr>
          <w:rFonts w:asciiTheme="minorHAnsi" w:hAnsiTheme="minorHAnsi" w:cstheme="minorHAnsi"/>
          <w:color w:val="auto"/>
          <w:sz w:val="24"/>
          <w:szCs w:val="24"/>
        </w:rPr>
        <w:t>Swartzwelder</w:t>
      </w:r>
      <w:proofErr w:type="spellEnd"/>
      <w:r w:rsidRPr="00AD050F">
        <w:rPr>
          <w:rFonts w:asciiTheme="minorHAnsi" w:hAnsiTheme="minorHAnsi" w:cstheme="minorHAnsi"/>
          <w:color w:val="auto"/>
          <w:sz w:val="24"/>
          <w:szCs w:val="24"/>
        </w:rPr>
        <w:t xml:space="preserve">, S. (2013) </w:t>
      </w:r>
      <w:r w:rsidRPr="00AD050F">
        <w:rPr>
          <w:rFonts w:asciiTheme="minorHAnsi" w:hAnsiTheme="minorHAnsi" w:cstheme="minorHAnsi"/>
          <w:i/>
          <w:iCs/>
          <w:color w:val="auto"/>
          <w:sz w:val="24"/>
          <w:szCs w:val="24"/>
        </w:rPr>
        <w:t xml:space="preserve">What Are They Thinking?!: The straight Facts about the Risk-Taking, Social-Networking, Still-Developing Teen Brain.  </w:t>
      </w:r>
      <w:r w:rsidRPr="00AD050F">
        <w:rPr>
          <w:rFonts w:asciiTheme="minorHAnsi" w:hAnsiTheme="minorHAnsi" w:cstheme="minorHAnsi"/>
          <w:color w:val="auto"/>
          <w:sz w:val="24"/>
          <w:szCs w:val="24"/>
        </w:rPr>
        <w:t>New York: Norton &amp; Company.</w:t>
      </w:r>
    </w:p>
    <w:p w14:paraId="305E2192"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263A9EDB"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color w:val="auto"/>
          <w:sz w:val="24"/>
          <w:szCs w:val="24"/>
        </w:rPr>
        <w:t>Wojciechowski, T. (2019) ‘</w:t>
      </w:r>
      <w:proofErr w:type="gramStart"/>
      <w:r w:rsidRPr="00AD050F">
        <w:rPr>
          <w:rFonts w:asciiTheme="minorHAnsi" w:hAnsiTheme="minorHAnsi" w:cstheme="minorHAnsi"/>
          <w:color w:val="auto"/>
          <w:sz w:val="24"/>
          <w:szCs w:val="24"/>
        </w:rPr>
        <w:t>Post-traumatic</w:t>
      </w:r>
      <w:proofErr w:type="gramEnd"/>
      <w:r w:rsidRPr="00AD050F">
        <w:rPr>
          <w:rFonts w:asciiTheme="minorHAnsi" w:hAnsiTheme="minorHAnsi" w:cstheme="minorHAnsi"/>
          <w:color w:val="auto"/>
          <w:sz w:val="24"/>
          <w:szCs w:val="24"/>
        </w:rPr>
        <w:t xml:space="preserve"> stress disorder and having antisocial peers in adolescence are risk factors for the development of antisocial personality disorder’, </w:t>
      </w:r>
      <w:r w:rsidRPr="00AD050F">
        <w:rPr>
          <w:rFonts w:asciiTheme="minorHAnsi" w:hAnsiTheme="minorHAnsi" w:cstheme="minorHAnsi"/>
          <w:i/>
          <w:iCs/>
          <w:color w:val="auto"/>
          <w:sz w:val="24"/>
          <w:szCs w:val="24"/>
        </w:rPr>
        <w:t xml:space="preserve">Psychiatry Research, Vol. 274, pp263-268. </w:t>
      </w:r>
      <w:r w:rsidRPr="00AD050F">
        <w:rPr>
          <w:rFonts w:asciiTheme="minorHAnsi" w:hAnsiTheme="minorHAnsi" w:cstheme="minorHAnsi"/>
          <w:color w:val="auto"/>
          <w:sz w:val="24"/>
          <w:szCs w:val="24"/>
        </w:rPr>
        <w:t xml:space="preserve">[Online]. Available at: </w:t>
      </w:r>
      <w:hyperlink r:id="rId119" w:history="1">
        <w:proofErr w:type="gramStart"/>
        <w:r w:rsidRPr="00AD050F">
          <w:rPr>
            <w:color w:val="0000FF"/>
            <w:sz w:val="24"/>
            <w:szCs w:val="24"/>
            <w:u w:val="single"/>
          </w:rPr>
          <w:t>Post-traumatic</w:t>
        </w:r>
        <w:proofErr w:type="gramEnd"/>
        <w:r w:rsidRPr="00AD050F">
          <w:rPr>
            <w:color w:val="0000FF"/>
            <w:sz w:val="24"/>
            <w:szCs w:val="24"/>
            <w:u w:val="single"/>
          </w:rPr>
          <w:t xml:space="preserve"> stress disorder and having antisocial peers in adolescence are risk factors for the development of antisocial personality disorder - ScienceDirect</w:t>
        </w:r>
      </w:hyperlink>
      <w:r w:rsidRPr="00AD050F">
        <w:rPr>
          <w:sz w:val="24"/>
          <w:szCs w:val="24"/>
        </w:rPr>
        <w:t xml:space="preserve"> (Accessed: 17</w:t>
      </w:r>
      <w:r w:rsidRPr="00AD050F">
        <w:rPr>
          <w:sz w:val="24"/>
          <w:szCs w:val="24"/>
          <w:vertAlign w:val="superscript"/>
        </w:rPr>
        <w:t>th</w:t>
      </w:r>
      <w:r w:rsidRPr="00AD050F">
        <w:rPr>
          <w:sz w:val="24"/>
          <w:szCs w:val="24"/>
        </w:rPr>
        <w:t xml:space="preserve"> March 2021)</w:t>
      </w:r>
      <w:r w:rsidRPr="00AD050F">
        <w:rPr>
          <w:rFonts w:asciiTheme="minorHAnsi" w:hAnsiTheme="minorHAnsi" w:cstheme="minorHAnsi"/>
          <w:color w:val="auto"/>
          <w:sz w:val="24"/>
          <w:szCs w:val="24"/>
        </w:rPr>
        <w:t xml:space="preserve">  </w:t>
      </w:r>
    </w:p>
    <w:p w14:paraId="31ECEF9B"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69B0E20D"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r w:rsidRPr="00AD050F">
        <w:rPr>
          <w:rFonts w:asciiTheme="minorHAnsi" w:hAnsiTheme="minorHAnsi" w:cstheme="minorHAnsi"/>
          <w:color w:val="auto"/>
          <w:sz w:val="24"/>
          <w:szCs w:val="24"/>
        </w:rPr>
        <w:t xml:space="preserve">WHO (2021) </w:t>
      </w:r>
      <w:r w:rsidRPr="00AD050F">
        <w:rPr>
          <w:rFonts w:asciiTheme="minorHAnsi" w:hAnsiTheme="minorHAnsi" w:cstheme="minorHAnsi"/>
          <w:i/>
          <w:iCs/>
          <w:color w:val="auto"/>
          <w:sz w:val="24"/>
          <w:szCs w:val="24"/>
        </w:rPr>
        <w:t xml:space="preserve">Strengthening Data on Adolescent Health. </w:t>
      </w:r>
      <w:r w:rsidRPr="00AD050F">
        <w:rPr>
          <w:rFonts w:asciiTheme="minorHAnsi" w:hAnsiTheme="minorHAnsi" w:cstheme="minorHAnsi"/>
          <w:color w:val="auto"/>
          <w:sz w:val="24"/>
          <w:szCs w:val="24"/>
        </w:rPr>
        <w:t xml:space="preserve">Available at: </w:t>
      </w:r>
      <w:hyperlink r:id="rId120" w:anchor=":~:text=WHO%20created%20the%20Maternal%20Newborn%20Child%20and%20Adolescent,fill%20gaps%20and%20supports%20global%20and%20national%20monitoring." w:history="1">
        <w:r w:rsidRPr="00AD050F">
          <w:rPr>
            <w:color w:val="0000FF"/>
            <w:sz w:val="24"/>
            <w:szCs w:val="24"/>
            <w:u w:val="single"/>
          </w:rPr>
          <w:t>Strengthening data on adolescent health (who.int)</w:t>
        </w:r>
      </w:hyperlink>
      <w:r w:rsidRPr="00AD050F">
        <w:rPr>
          <w:sz w:val="24"/>
          <w:szCs w:val="24"/>
        </w:rPr>
        <w:t xml:space="preserve"> (Accessed: 14</w:t>
      </w:r>
      <w:r w:rsidRPr="00AD050F">
        <w:rPr>
          <w:sz w:val="24"/>
          <w:szCs w:val="24"/>
          <w:vertAlign w:val="superscript"/>
        </w:rPr>
        <w:t>th</w:t>
      </w:r>
      <w:r w:rsidRPr="00AD050F">
        <w:rPr>
          <w:sz w:val="24"/>
          <w:szCs w:val="24"/>
        </w:rPr>
        <w:t xml:space="preserve"> June 2021)</w:t>
      </w:r>
    </w:p>
    <w:p w14:paraId="41DCF745" w14:textId="77777777" w:rsidR="00F222F7" w:rsidRPr="00AD050F" w:rsidRDefault="00F222F7" w:rsidP="00F222F7">
      <w:pPr>
        <w:spacing w:after="0" w:afterAutospacing="0" w:line="240" w:lineRule="auto"/>
        <w:contextualSpacing/>
        <w:jc w:val="both"/>
        <w:rPr>
          <w:rFonts w:asciiTheme="minorHAnsi" w:hAnsiTheme="minorHAnsi" w:cstheme="minorHAnsi"/>
          <w:color w:val="auto"/>
          <w:sz w:val="24"/>
          <w:szCs w:val="24"/>
        </w:rPr>
      </w:pPr>
    </w:p>
    <w:p w14:paraId="5506F725" w14:textId="77777777" w:rsidR="00F222F7" w:rsidRPr="00AD050F" w:rsidRDefault="00F222F7" w:rsidP="00F222F7">
      <w:pPr>
        <w:spacing w:after="0" w:afterAutospacing="0" w:line="240" w:lineRule="auto"/>
        <w:contextualSpacing/>
        <w:jc w:val="both"/>
        <w:rPr>
          <w:sz w:val="24"/>
          <w:szCs w:val="24"/>
        </w:rPr>
      </w:pPr>
      <w:r w:rsidRPr="00AD050F">
        <w:rPr>
          <w:rFonts w:asciiTheme="minorHAnsi" w:hAnsiTheme="minorHAnsi" w:cstheme="minorHAnsi"/>
          <w:color w:val="auto"/>
          <w:sz w:val="24"/>
          <w:szCs w:val="24"/>
        </w:rPr>
        <w:t xml:space="preserve">Youth Justice Board and Ministry of Justice (2021) </w:t>
      </w:r>
      <w:r w:rsidRPr="00AD050F">
        <w:rPr>
          <w:rFonts w:asciiTheme="minorHAnsi" w:hAnsiTheme="minorHAnsi" w:cstheme="minorHAnsi"/>
          <w:i/>
          <w:iCs/>
          <w:color w:val="auto"/>
          <w:sz w:val="24"/>
          <w:szCs w:val="24"/>
        </w:rPr>
        <w:t>Youth Justice Statistics 2019/20</w:t>
      </w:r>
      <w:r w:rsidRPr="00AD050F">
        <w:rPr>
          <w:rFonts w:asciiTheme="minorHAnsi" w:hAnsiTheme="minorHAnsi" w:cstheme="minorHAnsi"/>
          <w:color w:val="auto"/>
          <w:sz w:val="24"/>
          <w:szCs w:val="24"/>
        </w:rPr>
        <w:t xml:space="preserve">. [Online]. Available at:  </w:t>
      </w:r>
      <w:hyperlink r:id="rId121" w:history="1">
        <w:r w:rsidRPr="00AD050F">
          <w:rPr>
            <w:color w:val="0000FF"/>
            <w:sz w:val="24"/>
            <w:szCs w:val="24"/>
            <w:u w:val="single"/>
          </w:rPr>
          <w:t>youth-justice-statistics-2019-2020.pdf (publishing.service.gov.uk)</w:t>
        </w:r>
      </w:hyperlink>
      <w:r w:rsidRPr="00AD050F">
        <w:rPr>
          <w:sz w:val="24"/>
          <w:szCs w:val="24"/>
        </w:rPr>
        <w:t xml:space="preserve"> (Accessed: 28</w:t>
      </w:r>
      <w:r w:rsidRPr="00AD050F">
        <w:rPr>
          <w:sz w:val="24"/>
          <w:szCs w:val="24"/>
          <w:vertAlign w:val="superscript"/>
        </w:rPr>
        <w:t>th</w:t>
      </w:r>
      <w:r w:rsidRPr="00AD050F">
        <w:rPr>
          <w:sz w:val="24"/>
          <w:szCs w:val="24"/>
        </w:rPr>
        <w:t xml:space="preserve"> June 2021)</w:t>
      </w:r>
    </w:p>
    <w:p w14:paraId="0744218F" w14:textId="77777777" w:rsidR="00F222F7" w:rsidRPr="00AD050F" w:rsidRDefault="00F222F7" w:rsidP="00F222F7">
      <w:pPr>
        <w:spacing w:after="0" w:afterAutospacing="0" w:line="240" w:lineRule="auto"/>
        <w:contextualSpacing/>
        <w:jc w:val="both"/>
        <w:rPr>
          <w:sz w:val="24"/>
          <w:szCs w:val="24"/>
        </w:rPr>
      </w:pPr>
    </w:p>
    <w:p w14:paraId="5BC819A1" w14:textId="77777777" w:rsidR="00F222F7" w:rsidRPr="00AD050F" w:rsidRDefault="00F222F7" w:rsidP="00F222F7">
      <w:pPr>
        <w:spacing w:after="160" w:afterAutospacing="0" w:line="276" w:lineRule="auto"/>
        <w:rPr>
          <w:rFonts w:eastAsia="Times New Roman" w:cstheme="minorHAnsi"/>
          <w:bCs/>
          <w:sz w:val="24"/>
          <w:szCs w:val="24"/>
          <w:lang w:eastAsia="en-GB"/>
        </w:rPr>
      </w:pPr>
      <w:r w:rsidRPr="00AD050F">
        <w:rPr>
          <w:rFonts w:eastAsia="Times New Roman" w:cstheme="minorHAnsi"/>
          <w:bCs/>
          <w:sz w:val="24"/>
          <w:szCs w:val="24"/>
          <w:lang w:eastAsia="en-GB"/>
        </w:rPr>
        <w:t xml:space="preserve">Youth Work in Wales Review Group, (2018) </w:t>
      </w:r>
      <w:r w:rsidRPr="00AD050F">
        <w:rPr>
          <w:rFonts w:eastAsia="Times New Roman" w:cstheme="minorHAnsi"/>
          <w:bCs/>
          <w:i/>
          <w:sz w:val="24"/>
          <w:szCs w:val="24"/>
          <w:lang w:eastAsia="en-GB"/>
        </w:rPr>
        <w:t xml:space="preserve">Youth Work in Wales: Principles and Purposes.  </w:t>
      </w:r>
      <w:r w:rsidRPr="00AD050F">
        <w:rPr>
          <w:rFonts w:eastAsia="Times New Roman" w:cstheme="minorHAnsi"/>
          <w:bCs/>
          <w:sz w:val="24"/>
          <w:szCs w:val="24"/>
          <w:lang w:eastAsia="en-GB"/>
        </w:rPr>
        <w:t xml:space="preserve">Welsh Assembly Government. </w:t>
      </w:r>
    </w:p>
    <w:p w14:paraId="268C158C"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roofErr w:type="spellStart"/>
      <w:r w:rsidRPr="00AD050F">
        <w:rPr>
          <w:rFonts w:asciiTheme="minorHAnsi" w:eastAsiaTheme="minorHAnsi" w:hAnsiTheme="minorHAnsi" w:cstheme="minorHAnsi"/>
          <w:color w:val="auto"/>
          <w:sz w:val="24"/>
          <w:szCs w:val="24"/>
        </w:rPr>
        <w:t>Zarrabi</w:t>
      </w:r>
      <w:proofErr w:type="spellEnd"/>
      <w:r w:rsidRPr="00AD050F">
        <w:rPr>
          <w:rFonts w:asciiTheme="minorHAnsi" w:eastAsiaTheme="minorHAnsi" w:hAnsiTheme="minorHAnsi" w:cstheme="minorHAnsi"/>
          <w:color w:val="auto"/>
          <w:sz w:val="24"/>
          <w:szCs w:val="24"/>
        </w:rPr>
        <w:t xml:space="preserve">, G. (2020) </w:t>
      </w:r>
      <w:r w:rsidRPr="00AD050F">
        <w:rPr>
          <w:rFonts w:asciiTheme="minorHAnsi" w:eastAsiaTheme="minorHAnsi" w:hAnsiTheme="minorHAnsi" w:cstheme="minorHAnsi"/>
          <w:i/>
          <w:iCs/>
          <w:color w:val="auto"/>
          <w:sz w:val="24"/>
          <w:szCs w:val="24"/>
        </w:rPr>
        <w:t>Adolescent Risk Taking, Impulsivity and Brain Development</w:t>
      </w:r>
      <w:r w:rsidRPr="00AD050F">
        <w:rPr>
          <w:rFonts w:asciiTheme="minorHAnsi" w:eastAsiaTheme="minorHAnsi" w:hAnsiTheme="minorHAnsi" w:cstheme="minorHAnsi"/>
          <w:color w:val="auto"/>
          <w:sz w:val="24"/>
          <w:szCs w:val="24"/>
        </w:rPr>
        <w:t xml:space="preserve">. </w:t>
      </w:r>
      <w:r w:rsidRPr="00AD050F">
        <w:rPr>
          <w:rFonts w:asciiTheme="minorHAnsi" w:hAnsiTheme="minorHAnsi" w:cstheme="minorHAnsi"/>
          <w:sz w:val="24"/>
          <w:szCs w:val="24"/>
        </w:rPr>
        <w:t xml:space="preserve">[Online].  Available at: </w:t>
      </w:r>
      <w:hyperlink r:id="rId122" w:anchor=":~:text=Unfortunately%2C%20teens%20are%20especially%20at%20risk%20for%20impulsive,and%20cognitive%20developmental%20process%20during%20the%20adolescence%20period" w:history="1">
        <w:r w:rsidRPr="00AD050F">
          <w:rPr>
            <w:rFonts w:asciiTheme="minorHAnsi" w:hAnsiTheme="minorHAnsi" w:cstheme="minorHAnsi"/>
            <w:color w:val="0000FF"/>
            <w:sz w:val="24"/>
            <w:szCs w:val="24"/>
            <w:u w:val="single"/>
          </w:rPr>
          <w:t>Adolescent Risk Taking, Impulsivity, and Brain Development (harbormentalhealth.com)</w:t>
        </w:r>
      </w:hyperlink>
      <w:r w:rsidRPr="00AD050F">
        <w:rPr>
          <w:rFonts w:asciiTheme="minorHAnsi" w:hAnsiTheme="minorHAnsi" w:cstheme="minorHAnsi"/>
          <w:sz w:val="24"/>
          <w:szCs w:val="24"/>
        </w:rPr>
        <w:t xml:space="preserve">    (</w:t>
      </w:r>
      <w:r w:rsidRPr="00AD050F">
        <w:rPr>
          <w:rFonts w:asciiTheme="minorHAnsi" w:eastAsiaTheme="minorHAnsi" w:hAnsiTheme="minorHAnsi" w:cstheme="minorHAnsi"/>
          <w:color w:val="auto"/>
          <w:sz w:val="24"/>
          <w:szCs w:val="24"/>
        </w:rPr>
        <w:t>Accessed: 13</w:t>
      </w:r>
      <w:r w:rsidRPr="00AD050F">
        <w:rPr>
          <w:rFonts w:asciiTheme="minorHAnsi" w:eastAsiaTheme="minorHAnsi" w:hAnsiTheme="minorHAnsi" w:cstheme="minorHAnsi"/>
          <w:color w:val="auto"/>
          <w:sz w:val="24"/>
          <w:szCs w:val="24"/>
          <w:vertAlign w:val="superscript"/>
        </w:rPr>
        <w:t>th</w:t>
      </w:r>
      <w:r w:rsidRPr="00AD050F">
        <w:rPr>
          <w:rFonts w:asciiTheme="minorHAnsi" w:eastAsiaTheme="minorHAnsi" w:hAnsiTheme="minorHAnsi" w:cstheme="minorHAnsi"/>
          <w:color w:val="auto"/>
          <w:sz w:val="24"/>
          <w:szCs w:val="24"/>
        </w:rPr>
        <w:t xml:space="preserve"> Jan 2021)</w:t>
      </w:r>
    </w:p>
    <w:p w14:paraId="67237074" w14:textId="77777777" w:rsidR="00F222F7" w:rsidRPr="00AD050F" w:rsidRDefault="00F222F7" w:rsidP="00F222F7">
      <w:pPr>
        <w:spacing w:after="0" w:afterAutospacing="0" w:line="240" w:lineRule="auto"/>
        <w:contextualSpacing/>
        <w:jc w:val="both"/>
        <w:rPr>
          <w:rFonts w:asciiTheme="minorHAnsi" w:eastAsiaTheme="minorHAnsi" w:hAnsiTheme="minorHAnsi" w:cstheme="minorHAnsi"/>
          <w:color w:val="auto"/>
          <w:sz w:val="24"/>
          <w:szCs w:val="24"/>
        </w:rPr>
      </w:pPr>
    </w:p>
    <w:p w14:paraId="559DEEC0"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bookmarkStart w:id="29" w:name="_Hlk74302644"/>
      <w:proofErr w:type="spellStart"/>
      <w:r w:rsidRPr="00AD050F">
        <w:rPr>
          <w:rFonts w:asciiTheme="minorHAnsi" w:eastAsiaTheme="minorHAnsi" w:hAnsiTheme="minorHAnsi" w:cstheme="minorHAnsi"/>
          <w:color w:val="auto"/>
          <w:sz w:val="24"/>
          <w:szCs w:val="24"/>
        </w:rPr>
        <w:t>Zehr</w:t>
      </w:r>
      <w:proofErr w:type="spellEnd"/>
      <w:r w:rsidRPr="00AD050F">
        <w:rPr>
          <w:rFonts w:asciiTheme="minorHAnsi" w:eastAsiaTheme="minorHAnsi" w:hAnsiTheme="minorHAnsi" w:cstheme="minorHAnsi"/>
          <w:color w:val="auto"/>
          <w:sz w:val="24"/>
          <w:szCs w:val="24"/>
        </w:rPr>
        <w:t xml:space="preserve">, J., </w:t>
      </w:r>
      <w:proofErr w:type="spellStart"/>
      <w:r w:rsidRPr="00AD050F">
        <w:rPr>
          <w:rFonts w:asciiTheme="minorHAnsi" w:eastAsiaTheme="minorHAnsi" w:hAnsiTheme="minorHAnsi" w:cstheme="minorHAnsi"/>
          <w:color w:val="auto"/>
          <w:sz w:val="24"/>
          <w:szCs w:val="24"/>
        </w:rPr>
        <w:t>Culbert</w:t>
      </w:r>
      <w:proofErr w:type="spellEnd"/>
      <w:r w:rsidRPr="00AD050F">
        <w:rPr>
          <w:rFonts w:asciiTheme="minorHAnsi" w:eastAsiaTheme="minorHAnsi" w:hAnsiTheme="minorHAnsi" w:cstheme="minorHAnsi"/>
          <w:color w:val="auto"/>
          <w:sz w:val="24"/>
          <w:szCs w:val="24"/>
        </w:rPr>
        <w:t xml:space="preserve">, K., Sisk, C. and </w:t>
      </w:r>
      <w:proofErr w:type="spellStart"/>
      <w:r w:rsidRPr="00AD050F">
        <w:rPr>
          <w:rFonts w:asciiTheme="minorHAnsi" w:eastAsiaTheme="minorHAnsi" w:hAnsiTheme="minorHAnsi" w:cstheme="minorHAnsi"/>
          <w:color w:val="auto"/>
          <w:sz w:val="24"/>
          <w:szCs w:val="24"/>
        </w:rPr>
        <w:t>Klump</w:t>
      </w:r>
      <w:proofErr w:type="spellEnd"/>
      <w:r w:rsidRPr="00AD050F">
        <w:rPr>
          <w:rFonts w:asciiTheme="minorHAnsi" w:eastAsiaTheme="minorHAnsi" w:hAnsiTheme="minorHAnsi" w:cstheme="minorHAnsi"/>
          <w:color w:val="auto"/>
          <w:sz w:val="24"/>
          <w:szCs w:val="24"/>
        </w:rPr>
        <w:t xml:space="preserve">, K. (2007) ‘An association of early puberty with disordered eating and anxiety in a population of undergraduate women and men’, </w:t>
      </w:r>
      <w:r w:rsidRPr="00AD050F">
        <w:rPr>
          <w:rFonts w:asciiTheme="minorHAnsi" w:eastAsiaTheme="minorHAnsi" w:hAnsiTheme="minorHAnsi" w:cstheme="minorHAnsi"/>
          <w:i/>
          <w:iCs/>
          <w:color w:val="auto"/>
          <w:sz w:val="24"/>
          <w:szCs w:val="24"/>
        </w:rPr>
        <w:t xml:space="preserve">Hormones and </w:t>
      </w:r>
      <w:proofErr w:type="spellStart"/>
      <w:r w:rsidRPr="00AD050F">
        <w:rPr>
          <w:rFonts w:asciiTheme="minorHAnsi" w:eastAsiaTheme="minorHAnsi" w:hAnsiTheme="minorHAnsi" w:cstheme="minorHAnsi"/>
          <w:i/>
          <w:iCs/>
          <w:color w:val="auto"/>
          <w:sz w:val="24"/>
          <w:szCs w:val="24"/>
        </w:rPr>
        <w:t>Behavior</w:t>
      </w:r>
      <w:proofErr w:type="spellEnd"/>
      <w:r w:rsidRPr="00AD050F">
        <w:rPr>
          <w:rFonts w:asciiTheme="minorHAnsi" w:eastAsiaTheme="minorHAnsi" w:hAnsiTheme="minorHAnsi" w:cstheme="minorHAnsi"/>
          <w:i/>
          <w:iCs/>
          <w:color w:val="auto"/>
          <w:sz w:val="24"/>
          <w:szCs w:val="24"/>
        </w:rPr>
        <w:t xml:space="preserve">, Vol. 52, pp427-435. </w:t>
      </w:r>
      <w:r w:rsidRPr="00AD050F">
        <w:rPr>
          <w:rFonts w:asciiTheme="minorHAnsi" w:hAnsiTheme="minorHAnsi" w:cstheme="minorHAnsi"/>
          <w:sz w:val="24"/>
          <w:szCs w:val="24"/>
        </w:rPr>
        <w:t xml:space="preserve">[Online]. Available at:  </w:t>
      </w:r>
      <w:hyperlink r:id="rId123" w:history="1">
        <w:r w:rsidRPr="00AD050F">
          <w:rPr>
            <w:rFonts w:asciiTheme="minorHAnsi" w:hAnsiTheme="minorHAnsi" w:cstheme="minorHAnsi"/>
            <w:color w:val="0000FF"/>
            <w:sz w:val="24"/>
            <w:szCs w:val="24"/>
            <w:u w:val="single"/>
          </w:rPr>
          <w:t>doi:10.1016/j.yhbeh.2007.06.005 | Elsevier Enhanced Reader</w:t>
        </w:r>
      </w:hyperlink>
      <w:r w:rsidRPr="00AD050F">
        <w:rPr>
          <w:rFonts w:asciiTheme="minorHAnsi" w:hAnsiTheme="minorHAnsi" w:cstheme="minorHAnsi"/>
          <w:sz w:val="24"/>
          <w:szCs w:val="24"/>
        </w:rPr>
        <w:t xml:space="preserve"> (Accessed: 13</w:t>
      </w:r>
      <w:r w:rsidRPr="00AD050F">
        <w:rPr>
          <w:rFonts w:asciiTheme="minorHAnsi" w:hAnsiTheme="minorHAnsi" w:cstheme="minorHAnsi"/>
          <w:sz w:val="24"/>
          <w:szCs w:val="24"/>
          <w:vertAlign w:val="superscript"/>
        </w:rPr>
        <w:t>th</w:t>
      </w:r>
      <w:r w:rsidRPr="00AD050F">
        <w:rPr>
          <w:rFonts w:asciiTheme="minorHAnsi" w:hAnsiTheme="minorHAnsi" w:cstheme="minorHAnsi"/>
          <w:sz w:val="24"/>
          <w:szCs w:val="24"/>
        </w:rPr>
        <w:t xml:space="preserve"> November 2020)</w:t>
      </w:r>
    </w:p>
    <w:p w14:paraId="26DD2912" w14:textId="77777777" w:rsidR="00F222F7" w:rsidRPr="00AD050F" w:rsidRDefault="00F222F7" w:rsidP="00F222F7">
      <w:pPr>
        <w:spacing w:after="0" w:afterAutospacing="0" w:line="240" w:lineRule="auto"/>
        <w:contextualSpacing/>
        <w:jc w:val="both"/>
        <w:rPr>
          <w:rFonts w:asciiTheme="minorHAnsi" w:hAnsiTheme="minorHAnsi" w:cstheme="minorHAnsi"/>
          <w:sz w:val="24"/>
          <w:szCs w:val="24"/>
        </w:rPr>
      </w:pPr>
    </w:p>
    <w:p w14:paraId="7E1B7667" w14:textId="44474B33" w:rsidR="00113EBB" w:rsidRDefault="00F222F7" w:rsidP="00113EBB">
      <w:pPr>
        <w:spacing w:after="0" w:afterAutospacing="0" w:line="240" w:lineRule="auto"/>
        <w:contextualSpacing/>
        <w:jc w:val="both"/>
        <w:rPr>
          <w:rFonts w:asciiTheme="majorHAnsi" w:eastAsiaTheme="majorEastAsia" w:hAnsiTheme="majorHAnsi" w:cstheme="majorBidi"/>
          <w:color w:val="2F5496" w:themeColor="accent1" w:themeShade="BF"/>
          <w:sz w:val="32"/>
          <w:szCs w:val="32"/>
        </w:rPr>
      </w:pPr>
      <w:proofErr w:type="spellStart"/>
      <w:r w:rsidRPr="00AD050F">
        <w:rPr>
          <w:rFonts w:asciiTheme="minorHAnsi" w:hAnsiTheme="minorHAnsi" w:cstheme="minorHAnsi"/>
          <w:sz w:val="24"/>
          <w:szCs w:val="24"/>
        </w:rPr>
        <w:t>Zelazny</w:t>
      </w:r>
      <w:proofErr w:type="spellEnd"/>
      <w:r w:rsidRPr="00AD050F">
        <w:rPr>
          <w:rFonts w:asciiTheme="minorHAnsi" w:hAnsiTheme="minorHAnsi" w:cstheme="minorHAnsi"/>
          <w:sz w:val="24"/>
          <w:szCs w:val="24"/>
        </w:rPr>
        <w:t xml:space="preserve">, J., Stanley, B., Porta, G., Mann, J., Oquendo, M., </w:t>
      </w:r>
      <w:proofErr w:type="spellStart"/>
      <w:r w:rsidRPr="00AD050F">
        <w:rPr>
          <w:rFonts w:asciiTheme="minorHAnsi" w:hAnsiTheme="minorHAnsi" w:cstheme="minorHAnsi"/>
          <w:sz w:val="24"/>
          <w:szCs w:val="24"/>
        </w:rPr>
        <w:t>Birmaher</w:t>
      </w:r>
      <w:proofErr w:type="spellEnd"/>
      <w:r w:rsidRPr="00AD050F">
        <w:rPr>
          <w:rFonts w:asciiTheme="minorHAnsi" w:hAnsiTheme="minorHAnsi" w:cstheme="minorHAnsi"/>
          <w:sz w:val="24"/>
          <w:szCs w:val="24"/>
        </w:rPr>
        <w:t xml:space="preserve">, B., </w:t>
      </w:r>
      <w:proofErr w:type="spellStart"/>
      <w:r w:rsidRPr="00AD050F">
        <w:rPr>
          <w:rFonts w:asciiTheme="minorHAnsi" w:hAnsiTheme="minorHAnsi" w:cstheme="minorHAnsi"/>
          <w:sz w:val="24"/>
          <w:szCs w:val="24"/>
        </w:rPr>
        <w:t>Melhem</w:t>
      </w:r>
      <w:proofErr w:type="spellEnd"/>
      <w:r w:rsidRPr="00AD050F">
        <w:rPr>
          <w:rFonts w:asciiTheme="minorHAnsi" w:hAnsiTheme="minorHAnsi" w:cstheme="minorHAnsi"/>
          <w:sz w:val="24"/>
          <w:szCs w:val="24"/>
        </w:rPr>
        <w:t xml:space="preserve">, N. and Brent, D. (2021) ‘Risk factors for pre-adolescent onset suicidal </w:t>
      </w:r>
      <w:proofErr w:type="spellStart"/>
      <w:r w:rsidRPr="00AD050F">
        <w:rPr>
          <w:rFonts w:asciiTheme="minorHAnsi" w:hAnsiTheme="minorHAnsi" w:cstheme="minorHAnsi"/>
          <w:sz w:val="24"/>
          <w:szCs w:val="24"/>
        </w:rPr>
        <w:t>behavior</w:t>
      </w:r>
      <w:proofErr w:type="spellEnd"/>
      <w:r w:rsidRPr="00AD050F">
        <w:rPr>
          <w:rFonts w:asciiTheme="minorHAnsi" w:hAnsiTheme="minorHAnsi" w:cstheme="minorHAnsi"/>
          <w:sz w:val="24"/>
          <w:szCs w:val="24"/>
        </w:rPr>
        <w:t xml:space="preserve"> in a high-risk sample of youth’, </w:t>
      </w:r>
      <w:r w:rsidRPr="00AD050F">
        <w:rPr>
          <w:rFonts w:asciiTheme="minorHAnsi" w:hAnsiTheme="minorHAnsi" w:cstheme="minorHAnsi"/>
          <w:i/>
          <w:iCs/>
          <w:sz w:val="24"/>
          <w:szCs w:val="24"/>
        </w:rPr>
        <w:t xml:space="preserve">Journal of Affective Disorders, Vol. 290, pp292-299. </w:t>
      </w:r>
      <w:r w:rsidRPr="00AD050F">
        <w:rPr>
          <w:rFonts w:asciiTheme="minorHAnsi" w:hAnsiTheme="minorHAnsi" w:cstheme="minorHAnsi"/>
          <w:sz w:val="24"/>
          <w:szCs w:val="24"/>
        </w:rPr>
        <w:t xml:space="preserve">[Online]. Available at: </w:t>
      </w:r>
      <w:hyperlink r:id="rId124" w:history="1">
        <w:r w:rsidRPr="00AD050F">
          <w:rPr>
            <w:color w:val="0000FF"/>
            <w:sz w:val="24"/>
            <w:szCs w:val="24"/>
            <w:u w:val="single"/>
          </w:rPr>
          <w:t xml:space="preserve">Risk factors for pre-adolescent onset suicidal </w:t>
        </w:r>
        <w:proofErr w:type="spellStart"/>
        <w:r w:rsidRPr="00AD050F">
          <w:rPr>
            <w:color w:val="0000FF"/>
            <w:sz w:val="24"/>
            <w:szCs w:val="24"/>
            <w:u w:val="single"/>
          </w:rPr>
          <w:t>behavior</w:t>
        </w:r>
        <w:proofErr w:type="spellEnd"/>
        <w:r w:rsidRPr="00AD050F">
          <w:rPr>
            <w:color w:val="0000FF"/>
            <w:sz w:val="24"/>
            <w:szCs w:val="24"/>
            <w:u w:val="single"/>
          </w:rPr>
          <w:t xml:space="preserve"> in a high-risk sample of youth - ScienceDirect</w:t>
        </w:r>
      </w:hyperlink>
      <w:r w:rsidRPr="00AD050F">
        <w:rPr>
          <w:sz w:val="24"/>
          <w:szCs w:val="24"/>
        </w:rPr>
        <w:t xml:space="preserve"> (Accessed: 31</w:t>
      </w:r>
      <w:r w:rsidRPr="00AD050F">
        <w:rPr>
          <w:sz w:val="24"/>
          <w:szCs w:val="24"/>
          <w:vertAlign w:val="superscript"/>
        </w:rPr>
        <w:t>st</w:t>
      </w:r>
      <w:r w:rsidRPr="00AD050F">
        <w:rPr>
          <w:sz w:val="24"/>
          <w:szCs w:val="24"/>
        </w:rPr>
        <w:t xml:space="preserve"> May 2021)</w:t>
      </w:r>
      <w:bookmarkEnd w:id="29"/>
    </w:p>
    <w:p w14:paraId="3CF8A552" w14:textId="6B357D79" w:rsidR="00113EBB" w:rsidRPr="00113EBB" w:rsidRDefault="00113EBB" w:rsidP="00113EBB">
      <w:pPr>
        <w:keepNext/>
        <w:keepLines/>
        <w:spacing w:before="240" w:after="0"/>
        <w:jc w:val="both"/>
        <w:outlineLvl w:val="0"/>
        <w:rPr>
          <w:rFonts w:asciiTheme="majorHAnsi" w:eastAsiaTheme="majorEastAsia" w:hAnsiTheme="majorHAnsi" w:cstheme="majorBidi"/>
          <w:color w:val="2F5496" w:themeColor="accent1" w:themeShade="BF"/>
          <w:sz w:val="32"/>
          <w:szCs w:val="32"/>
        </w:rPr>
      </w:pPr>
      <w:bookmarkStart w:id="30" w:name="_Toc76631148"/>
      <w:r w:rsidRPr="00113EBB">
        <w:rPr>
          <w:rFonts w:asciiTheme="majorHAnsi" w:eastAsiaTheme="majorEastAsia" w:hAnsiTheme="majorHAnsi" w:cstheme="majorBidi"/>
          <w:color w:val="2F5496" w:themeColor="accent1" w:themeShade="BF"/>
          <w:sz w:val="32"/>
          <w:szCs w:val="32"/>
        </w:rPr>
        <w:lastRenderedPageBreak/>
        <w:t>6.0 Bibliography</w:t>
      </w:r>
      <w:bookmarkEnd w:id="30"/>
    </w:p>
    <w:p w14:paraId="29EB1707" w14:textId="77777777" w:rsidR="00113EBB" w:rsidRPr="00113EBB" w:rsidRDefault="00113EBB" w:rsidP="00113EBB">
      <w:pPr>
        <w:suppressAutoHyphens/>
        <w:spacing w:after="160" w:afterAutospacing="0" w:line="256" w:lineRule="auto"/>
        <w:jc w:val="both"/>
        <w:rPr>
          <w:rFonts w:asciiTheme="minorHAnsi" w:hAnsiTheme="minorHAnsi" w:cstheme="minorHAnsi"/>
          <w:sz w:val="24"/>
          <w:szCs w:val="24"/>
        </w:rPr>
      </w:pPr>
      <w:r w:rsidRPr="00113EBB">
        <w:rPr>
          <w:rFonts w:asciiTheme="minorHAnsi" w:hAnsiTheme="minorHAnsi" w:cstheme="minorHAnsi"/>
          <w:bCs/>
          <w:color w:val="000000" w:themeColor="text1"/>
          <w:sz w:val="24"/>
          <w:szCs w:val="24"/>
        </w:rPr>
        <w:t xml:space="preserve">Anderson, K. and Priebe, S. (2021) ‘Concepts of Resilience in Adolescent Mental Health Research’, </w:t>
      </w:r>
      <w:r w:rsidRPr="00113EBB">
        <w:rPr>
          <w:rFonts w:asciiTheme="minorHAnsi" w:hAnsiTheme="minorHAnsi" w:cstheme="minorHAnsi"/>
          <w:bCs/>
          <w:i/>
          <w:iCs/>
          <w:color w:val="000000" w:themeColor="text1"/>
          <w:sz w:val="24"/>
          <w:szCs w:val="24"/>
        </w:rPr>
        <w:t xml:space="preserve">Journal of Adolescent Health. </w:t>
      </w:r>
      <w:r w:rsidRPr="00113EBB">
        <w:rPr>
          <w:rFonts w:asciiTheme="minorHAnsi" w:hAnsiTheme="minorHAnsi" w:cstheme="minorHAnsi"/>
          <w:bCs/>
          <w:color w:val="000000" w:themeColor="text1"/>
          <w:sz w:val="24"/>
          <w:szCs w:val="24"/>
        </w:rPr>
        <w:t xml:space="preserve">[Online]. Available at: </w:t>
      </w:r>
      <w:hyperlink r:id="rId125" w:history="1">
        <w:r w:rsidRPr="00113EBB">
          <w:rPr>
            <w:rFonts w:asciiTheme="minorHAnsi" w:hAnsiTheme="minorHAnsi" w:cstheme="minorHAnsi"/>
            <w:color w:val="0000FF"/>
            <w:sz w:val="24"/>
            <w:szCs w:val="24"/>
            <w:u w:val="single"/>
          </w:rPr>
          <w:t>Concepts of Resilience in Adolescent Mental Health Research - ScienceDirect</w:t>
        </w:r>
      </w:hyperlink>
      <w:r w:rsidRPr="00113EBB">
        <w:rPr>
          <w:rFonts w:asciiTheme="minorHAnsi" w:hAnsiTheme="minorHAnsi" w:cstheme="minorHAnsi"/>
          <w:sz w:val="24"/>
          <w:szCs w:val="24"/>
        </w:rPr>
        <w:t xml:space="preserve"> (First accessed as an Article in Press 13</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May 2021)</w:t>
      </w:r>
    </w:p>
    <w:p w14:paraId="3ADF3206" w14:textId="77777777" w:rsidR="00113EBB" w:rsidRPr="00113EBB" w:rsidRDefault="00113EBB" w:rsidP="00113EBB">
      <w:pPr>
        <w:jc w:val="both"/>
        <w:rPr>
          <w:rFonts w:asciiTheme="minorHAnsi" w:hAnsiTheme="minorHAnsi" w:cstheme="minorHAnsi"/>
          <w:sz w:val="24"/>
          <w:szCs w:val="24"/>
        </w:rPr>
      </w:pPr>
      <w:proofErr w:type="spellStart"/>
      <w:r w:rsidRPr="00113EBB">
        <w:rPr>
          <w:rFonts w:asciiTheme="minorHAnsi" w:hAnsiTheme="minorHAnsi" w:cstheme="minorHAnsi"/>
          <w:sz w:val="24"/>
          <w:szCs w:val="24"/>
        </w:rPr>
        <w:t>Baardstu</w:t>
      </w:r>
      <w:proofErr w:type="spellEnd"/>
      <w:r w:rsidRPr="00113EBB">
        <w:rPr>
          <w:rFonts w:asciiTheme="minorHAnsi" w:hAnsiTheme="minorHAnsi" w:cstheme="minorHAnsi"/>
          <w:sz w:val="24"/>
          <w:szCs w:val="24"/>
        </w:rPr>
        <w:t xml:space="preserve">, S., </w:t>
      </w:r>
      <w:proofErr w:type="spellStart"/>
      <w:r w:rsidRPr="00113EBB">
        <w:rPr>
          <w:rFonts w:asciiTheme="minorHAnsi" w:hAnsiTheme="minorHAnsi" w:cstheme="minorHAnsi"/>
          <w:sz w:val="24"/>
          <w:szCs w:val="24"/>
        </w:rPr>
        <w:t>Coplan</w:t>
      </w:r>
      <w:proofErr w:type="spellEnd"/>
      <w:r w:rsidRPr="00113EBB">
        <w:rPr>
          <w:rFonts w:asciiTheme="minorHAnsi" w:hAnsiTheme="minorHAnsi" w:cstheme="minorHAnsi"/>
          <w:sz w:val="24"/>
          <w:szCs w:val="24"/>
        </w:rPr>
        <w:t xml:space="preserve">, R., </w:t>
      </w:r>
      <w:proofErr w:type="spellStart"/>
      <w:r w:rsidRPr="00113EBB">
        <w:rPr>
          <w:rFonts w:asciiTheme="minorHAnsi" w:hAnsiTheme="minorHAnsi" w:cstheme="minorHAnsi"/>
          <w:sz w:val="24"/>
          <w:szCs w:val="24"/>
        </w:rPr>
        <w:t>Karevold</w:t>
      </w:r>
      <w:proofErr w:type="spellEnd"/>
      <w:r w:rsidRPr="00113EBB">
        <w:rPr>
          <w:rFonts w:asciiTheme="minorHAnsi" w:hAnsiTheme="minorHAnsi" w:cstheme="minorHAnsi"/>
          <w:sz w:val="24"/>
          <w:szCs w:val="24"/>
        </w:rPr>
        <w:t xml:space="preserve">, E., </w:t>
      </w:r>
      <w:proofErr w:type="spellStart"/>
      <w:r w:rsidRPr="00113EBB">
        <w:rPr>
          <w:rFonts w:asciiTheme="minorHAnsi" w:hAnsiTheme="minorHAnsi" w:cstheme="minorHAnsi"/>
          <w:sz w:val="24"/>
          <w:szCs w:val="24"/>
        </w:rPr>
        <w:t>Laceulle</w:t>
      </w:r>
      <w:proofErr w:type="spellEnd"/>
      <w:r w:rsidRPr="00113EBB">
        <w:rPr>
          <w:rFonts w:asciiTheme="minorHAnsi" w:hAnsiTheme="minorHAnsi" w:cstheme="minorHAnsi"/>
          <w:sz w:val="24"/>
          <w:szCs w:val="24"/>
        </w:rPr>
        <w:t xml:space="preserve">, O. and von </w:t>
      </w:r>
      <w:proofErr w:type="spellStart"/>
      <w:r w:rsidRPr="00113EBB">
        <w:rPr>
          <w:rFonts w:asciiTheme="minorHAnsi" w:hAnsiTheme="minorHAnsi" w:cstheme="minorHAnsi"/>
          <w:sz w:val="24"/>
          <w:szCs w:val="24"/>
        </w:rPr>
        <w:t>Soest</w:t>
      </w:r>
      <w:proofErr w:type="spellEnd"/>
      <w:r w:rsidRPr="00113EBB">
        <w:rPr>
          <w:rFonts w:asciiTheme="minorHAnsi" w:hAnsiTheme="minorHAnsi" w:cstheme="minorHAnsi"/>
          <w:sz w:val="24"/>
          <w:szCs w:val="24"/>
        </w:rPr>
        <w:t xml:space="preserve">, T. (2019) ‘Longitudinal Pathways </w:t>
      </w:r>
      <w:proofErr w:type="gramStart"/>
      <w:r w:rsidRPr="00113EBB">
        <w:rPr>
          <w:rFonts w:asciiTheme="minorHAnsi" w:hAnsiTheme="minorHAnsi" w:cstheme="minorHAnsi"/>
          <w:sz w:val="24"/>
          <w:szCs w:val="24"/>
        </w:rPr>
        <w:t>From</w:t>
      </w:r>
      <w:proofErr w:type="gramEnd"/>
      <w:r w:rsidRPr="00113EBB">
        <w:rPr>
          <w:rFonts w:asciiTheme="minorHAnsi" w:hAnsiTheme="minorHAnsi" w:cstheme="minorHAnsi"/>
          <w:sz w:val="24"/>
          <w:szCs w:val="24"/>
        </w:rPr>
        <w:t xml:space="preserve"> Shyness in Early Childhood to Personality in Adolescence: Do Peers Matter?’, </w:t>
      </w:r>
      <w:r w:rsidRPr="00113EBB">
        <w:rPr>
          <w:rFonts w:asciiTheme="minorHAnsi" w:hAnsiTheme="minorHAnsi" w:cstheme="minorHAnsi"/>
          <w:i/>
          <w:iCs/>
          <w:sz w:val="24"/>
          <w:szCs w:val="24"/>
        </w:rPr>
        <w:t xml:space="preserve">Journal of Research on Adolescence, Vol. 30, pp362-379. </w:t>
      </w:r>
      <w:r w:rsidRPr="00113EBB">
        <w:rPr>
          <w:rFonts w:asciiTheme="minorHAnsi" w:hAnsiTheme="minorHAnsi" w:cstheme="minorHAnsi"/>
          <w:sz w:val="24"/>
          <w:szCs w:val="24"/>
        </w:rPr>
        <w:t xml:space="preserve">[Online]. Available at: </w:t>
      </w:r>
      <w:hyperlink r:id="rId126" w:history="1">
        <w:r w:rsidRPr="00113EBB">
          <w:rPr>
            <w:rFonts w:asciiTheme="minorHAnsi" w:hAnsiTheme="minorHAnsi" w:cstheme="minorHAnsi"/>
            <w:color w:val="0000FF"/>
            <w:sz w:val="24"/>
            <w:szCs w:val="24"/>
            <w:u w:val="single"/>
          </w:rPr>
          <w:t xml:space="preserve">Longitudinal Pathways </w:t>
        </w:r>
        <w:proofErr w:type="gramStart"/>
        <w:r w:rsidRPr="00113EBB">
          <w:rPr>
            <w:rFonts w:asciiTheme="minorHAnsi" w:hAnsiTheme="minorHAnsi" w:cstheme="minorHAnsi"/>
            <w:color w:val="0000FF"/>
            <w:sz w:val="24"/>
            <w:szCs w:val="24"/>
            <w:u w:val="single"/>
          </w:rPr>
          <w:t>From</w:t>
        </w:r>
        <w:proofErr w:type="gramEnd"/>
        <w:r w:rsidRPr="00113EBB">
          <w:rPr>
            <w:rFonts w:asciiTheme="minorHAnsi" w:hAnsiTheme="minorHAnsi" w:cstheme="minorHAnsi"/>
            <w:color w:val="0000FF"/>
            <w:sz w:val="24"/>
            <w:szCs w:val="24"/>
            <w:u w:val="single"/>
          </w:rPr>
          <w:t xml:space="preserve"> Shyness in Early Childhood to Personality in Adolescence: Do Peers Matter? - </w:t>
        </w:r>
        <w:proofErr w:type="spellStart"/>
        <w:r w:rsidRPr="00113EBB">
          <w:rPr>
            <w:rFonts w:asciiTheme="minorHAnsi" w:hAnsiTheme="minorHAnsi" w:cstheme="minorHAnsi"/>
            <w:color w:val="0000FF"/>
            <w:sz w:val="24"/>
            <w:szCs w:val="24"/>
            <w:u w:val="single"/>
          </w:rPr>
          <w:t>Baardstu</w:t>
        </w:r>
        <w:proofErr w:type="spellEnd"/>
        <w:r w:rsidRPr="00113EBB">
          <w:rPr>
            <w:rFonts w:asciiTheme="minorHAnsi" w:hAnsiTheme="minorHAnsi" w:cstheme="minorHAnsi"/>
            <w:color w:val="0000FF"/>
            <w:sz w:val="24"/>
            <w:szCs w:val="24"/>
            <w:u w:val="single"/>
          </w:rPr>
          <w:t xml:space="preserve"> - 2020 - Journal of Research on Adolescence - Wiley Online Library</w:t>
        </w:r>
      </w:hyperlink>
      <w:r w:rsidRPr="00113EBB">
        <w:rPr>
          <w:rFonts w:asciiTheme="minorHAnsi" w:hAnsiTheme="minorHAnsi" w:cstheme="minorHAnsi"/>
          <w:sz w:val="24"/>
          <w:szCs w:val="24"/>
        </w:rPr>
        <w:t xml:space="preserve"> (Accessed: 23</w:t>
      </w:r>
      <w:r w:rsidRPr="00113EBB">
        <w:rPr>
          <w:rFonts w:asciiTheme="minorHAnsi" w:hAnsiTheme="minorHAnsi" w:cstheme="minorHAnsi"/>
          <w:sz w:val="24"/>
          <w:szCs w:val="24"/>
          <w:vertAlign w:val="superscript"/>
        </w:rPr>
        <w:t>rd</w:t>
      </w:r>
      <w:r w:rsidRPr="00113EBB">
        <w:rPr>
          <w:rFonts w:asciiTheme="minorHAnsi" w:hAnsiTheme="minorHAnsi" w:cstheme="minorHAnsi"/>
          <w:sz w:val="24"/>
          <w:szCs w:val="24"/>
        </w:rPr>
        <w:t xml:space="preserve"> February 2021)</w:t>
      </w:r>
    </w:p>
    <w:p w14:paraId="1F8ED8CA" w14:textId="77777777" w:rsidR="00113EBB" w:rsidRPr="00113EBB" w:rsidRDefault="00113EBB" w:rsidP="00113EBB">
      <w:pPr>
        <w:jc w:val="both"/>
        <w:rPr>
          <w:rFonts w:asciiTheme="minorHAnsi" w:hAnsiTheme="minorHAnsi" w:cstheme="minorHAnsi"/>
          <w:sz w:val="24"/>
          <w:szCs w:val="24"/>
        </w:rPr>
      </w:pPr>
      <w:proofErr w:type="spellStart"/>
      <w:r w:rsidRPr="00113EBB">
        <w:rPr>
          <w:rFonts w:asciiTheme="minorHAnsi" w:hAnsiTheme="minorHAnsi" w:cstheme="minorHAnsi"/>
          <w:sz w:val="24"/>
          <w:szCs w:val="24"/>
        </w:rPr>
        <w:t>Baltruschat</w:t>
      </w:r>
      <w:proofErr w:type="spellEnd"/>
      <w:r w:rsidRPr="00113EBB">
        <w:rPr>
          <w:rFonts w:asciiTheme="minorHAnsi" w:hAnsiTheme="minorHAnsi" w:cstheme="minorHAnsi"/>
          <w:sz w:val="24"/>
          <w:szCs w:val="24"/>
        </w:rPr>
        <w:t xml:space="preserve">, S., </w:t>
      </w:r>
      <w:proofErr w:type="spellStart"/>
      <w:r w:rsidRPr="00113EBB">
        <w:rPr>
          <w:rFonts w:asciiTheme="minorHAnsi" w:hAnsiTheme="minorHAnsi" w:cstheme="minorHAnsi"/>
          <w:sz w:val="24"/>
          <w:szCs w:val="24"/>
        </w:rPr>
        <w:t>Megias</w:t>
      </w:r>
      <w:proofErr w:type="spellEnd"/>
      <w:r w:rsidRPr="00113EBB">
        <w:rPr>
          <w:rFonts w:asciiTheme="minorHAnsi" w:hAnsiTheme="minorHAnsi" w:cstheme="minorHAnsi"/>
          <w:sz w:val="24"/>
          <w:szCs w:val="24"/>
        </w:rPr>
        <w:t xml:space="preserve">-Robles, A., Candido, A., Maldonado, A. and Catena, A. (2021) ‘Social and Non-social Brain Areas in Risk Behaviour: The Role of Social Context’, </w:t>
      </w:r>
      <w:r w:rsidRPr="00113EBB">
        <w:rPr>
          <w:rFonts w:asciiTheme="minorHAnsi" w:hAnsiTheme="minorHAnsi" w:cstheme="minorHAnsi"/>
          <w:i/>
          <w:iCs/>
          <w:sz w:val="24"/>
          <w:szCs w:val="24"/>
        </w:rPr>
        <w:t xml:space="preserve">Neuroscience. </w:t>
      </w:r>
      <w:r w:rsidRPr="00113EBB">
        <w:rPr>
          <w:rFonts w:asciiTheme="minorHAnsi" w:hAnsiTheme="minorHAnsi" w:cstheme="minorHAnsi"/>
          <w:sz w:val="24"/>
          <w:szCs w:val="24"/>
        </w:rPr>
        <w:t xml:space="preserve">[Online]. Available at: </w:t>
      </w:r>
      <w:hyperlink r:id="rId127" w:history="1">
        <w:r w:rsidRPr="00113EBB">
          <w:rPr>
            <w:rFonts w:asciiTheme="minorHAnsi" w:hAnsiTheme="minorHAnsi" w:cstheme="minorHAnsi"/>
            <w:color w:val="0000FF"/>
            <w:sz w:val="24"/>
            <w:szCs w:val="24"/>
            <w:u w:val="single"/>
          </w:rPr>
          <w:t>Social and Non-social Brain Areas in Risk Behaviour: The Role of Social Context - ScienceDirect</w:t>
        </w:r>
      </w:hyperlink>
      <w:r w:rsidRPr="00113EBB">
        <w:rPr>
          <w:rFonts w:asciiTheme="minorHAnsi" w:hAnsiTheme="minorHAnsi" w:cstheme="minorHAnsi"/>
          <w:i/>
          <w:iCs/>
          <w:sz w:val="24"/>
          <w:szCs w:val="24"/>
        </w:rPr>
        <w:t xml:space="preserve"> </w:t>
      </w:r>
      <w:r w:rsidRPr="00113EBB">
        <w:rPr>
          <w:rFonts w:asciiTheme="minorHAnsi" w:hAnsiTheme="minorHAnsi" w:cstheme="minorHAnsi"/>
          <w:sz w:val="24"/>
          <w:szCs w:val="24"/>
        </w:rPr>
        <w:t>(First accessed as an Article in Press 9</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May 2021)</w:t>
      </w:r>
    </w:p>
    <w:p w14:paraId="461F713C" w14:textId="77777777" w:rsidR="00113EBB" w:rsidRPr="00113EBB" w:rsidRDefault="00113EBB" w:rsidP="00113EBB">
      <w:pPr>
        <w:suppressAutoHyphens/>
        <w:spacing w:after="160" w:afterAutospacing="0" w:line="256" w:lineRule="auto"/>
        <w:jc w:val="both"/>
        <w:rPr>
          <w:rFonts w:asciiTheme="minorHAnsi" w:hAnsiTheme="minorHAnsi" w:cstheme="minorHAnsi"/>
          <w:i/>
          <w:iCs/>
          <w:sz w:val="24"/>
          <w:szCs w:val="24"/>
        </w:rPr>
      </w:pPr>
      <w:proofErr w:type="spellStart"/>
      <w:r w:rsidRPr="00113EBB">
        <w:rPr>
          <w:rFonts w:asciiTheme="minorHAnsi" w:hAnsiTheme="minorHAnsi" w:cstheme="minorHAnsi"/>
          <w:sz w:val="24"/>
          <w:szCs w:val="24"/>
        </w:rPr>
        <w:t>Bilsky</w:t>
      </w:r>
      <w:proofErr w:type="spellEnd"/>
      <w:r w:rsidRPr="00113EBB">
        <w:rPr>
          <w:rFonts w:asciiTheme="minorHAnsi" w:hAnsiTheme="minorHAnsi" w:cstheme="minorHAnsi"/>
          <w:sz w:val="24"/>
          <w:szCs w:val="24"/>
        </w:rPr>
        <w:t xml:space="preserve">, S., </w:t>
      </w:r>
      <w:proofErr w:type="spellStart"/>
      <w:r w:rsidRPr="00113EBB">
        <w:rPr>
          <w:rFonts w:asciiTheme="minorHAnsi" w:hAnsiTheme="minorHAnsi" w:cstheme="minorHAnsi"/>
          <w:sz w:val="24"/>
          <w:szCs w:val="24"/>
        </w:rPr>
        <w:t>Luber</w:t>
      </w:r>
      <w:proofErr w:type="spellEnd"/>
      <w:r w:rsidRPr="00113EBB">
        <w:rPr>
          <w:rFonts w:asciiTheme="minorHAnsi" w:hAnsiTheme="minorHAnsi" w:cstheme="minorHAnsi"/>
          <w:sz w:val="24"/>
          <w:szCs w:val="24"/>
        </w:rPr>
        <w:t xml:space="preserve">, M., Cloutier, R., </w:t>
      </w:r>
      <w:proofErr w:type="spellStart"/>
      <w:r w:rsidRPr="00113EBB">
        <w:rPr>
          <w:rFonts w:asciiTheme="minorHAnsi" w:hAnsiTheme="minorHAnsi" w:cstheme="minorHAnsi"/>
          <w:sz w:val="24"/>
          <w:szCs w:val="24"/>
        </w:rPr>
        <w:t>Dietch</w:t>
      </w:r>
      <w:proofErr w:type="spellEnd"/>
      <w:r w:rsidRPr="00113EBB">
        <w:rPr>
          <w:rFonts w:asciiTheme="minorHAnsi" w:hAnsiTheme="minorHAnsi" w:cstheme="minorHAnsi"/>
          <w:sz w:val="24"/>
          <w:szCs w:val="24"/>
        </w:rPr>
        <w:t xml:space="preserve">, J., Taylor, D. and Friedman, H. (2021) ‘Cigarette use, anxiety, and insomnia from adolescence to early adulthood: A longitudinal indirect effects test’, </w:t>
      </w:r>
      <w:r w:rsidRPr="00113EBB">
        <w:rPr>
          <w:rFonts w:asciiTheme="minorHAnsi" w:hAnsiTheme="minorHAnsi" w:cstheme="minorHAnsi"/>
          <w:i/>
          <w:iCs/>
          <w:sz w:val="24"/>
          <w:szCs w:val="24"/>
        </w:rPr>
        <w:t xml:space="preserve">Addictive </w:t>
      </w:r>
      <w:proofErr w:type="spellStart"/>
      <w:r w:rsidRPr="00113EBB">
        <w:rPr>
          <w:rFonts w:asciiTheme="minorHAnsi" w:hAnsiTheme="minorHAnsi" w:cstheme="minorHAnsi"/>
          <w:i/>
          <w:iCs/>
          <w:sz w:val="24"/>
          <w:szCs w:val="24"/>
        </w:rPr>
        <w:t>Behaviors</w:t>
      </w:r>
      <w:proofErr w:type="spellEnd"/>
      <w:r w:rsidRPr="00113EBB">
        <w:rPr>
          <w:rFonts w:asciiTheme="minorHAnsi" w:hAnsiTheme="minorHAnsi" w:cstheme="minorHAnsi"/>
          <w:i/>
          <w:iCs/>
          <w:sz w:val="24"/>
          <w:szCs w:val="24"/>
        </w:rPr>
        <w:t xml:space="preserve">, Vol. 120. </w:t>
      </w:r>
      <w:r w:rsidRPr="00113EBB">
        <w:rPr>
          <w:rFonts w:asciiTheme="minorHAnsi" w:hAnsiTheme="minorHAnsi" w:cstheme="minorHAnsi"/>
          <w:sz w:val="24"/>
          <w:szCs w:val="24"/>
        </w:rPr>
        <w:t xml:space="preserve">[Online]. Available at: </w:t>
      </w:r>
      <w:hyperlink r:id="rId128" w:history="1">
        <w:r w:rsidRPr="00113EBB">
          <w:rPr>
            <w:rFonts w:asciiTheme="minorHAnsi" w:hAnsiTheme="minorHAnsi" w:cstheme="minorHAnsi"/>
            <w:color w:val="0000FF"/>
            <w:sz w:val="24"/>
            <w:szCs w:val="24"/>
            <w:u w:val="single"/>
          </w:rPr>
          <w:t>Cigarette use, anxiety, and insomnia from adolescence to early adulthood: A longitudinal indirect effects test - ScienceDirect</w:t>
        </w:r>
      </w:hyperlink>
      <w:r w:rsidRPr="00113EBB">
        <w:rPr>
          <w:rFonts w:asciiTheme="minorHAnsi" w:hAnsiTheme="minorHAnsi" w:cstheme="minorHAnsi"/>
          <w:sz w:val="24"/>
          <w:szCs w:val="24"/>
        </w:rPr>
        <w:t xml:space="preserve">  (Accessed: 27</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May 2021)</w:t>
      </w:r>
      <w:r w:rsidRPr="00113EBB">
        <w:rPr>
          <w:rFonts w:asciiTheme="minorHAnsi" w:hAnsiTheme="minorHAnsi" w:cstheme="minorHAnsi"/>
          <w:i/>
          <w:iCs/>
          <w:sz w:val="24"/>
          <w:szCs w:val="24"/>
        </w:rPr>
        <w:t xml:space="preserve"> </w:t>
      </w:r>
    </w:p>
    <w:p w14:paraId="3F47D8F3" w14:textId="77777777" w:rsidR="00113EBB" w:rsidRPr="00113EBB" w:rsidRDefault="00113EBB" w:rsidP="00113EBB">
      <w:pPr>
        <w:suppressAutoHyphens/>
        <w:spacing w:after="160" w:afterAutospacing="0" w:line="256" w:lineRule="auto"/>
        <w:jc w:val="both"/>
        <w:rPr>
          <w:rFonts w:asciiTheme="minorHAnsi" w:hAnsiTheme="minorHAnsi" w:cstheme="minorHAnsi"/>
          <w:sz w:val="24"/>
          <w:szCs w:val="24"/>
        </w:rPr>
      </w:pPr>
      <w:proofErr w:type="spellStart"/>
      <w:r w:rsidRPr="00113EBB">
        <w:rPr>
          <w:rFonts w:asciiTheme="minorHAnsi" w:hAnsiTheme="minorHAnsi" w:cstheme="minorHAnsi"/>
          <w:sz w:val="24"/>
          <w:szCs w:val="24"/>
        </w:rPr>
        <w:t>Brieant</w:t>
      </w:r>
      <w:proofErr w:type="spellEnd"/>
      <w:r w:rsidRPr="00113EBB">
        <w:rPr>
          <w:rFonts w:asciiTheme="minorHAnsi" w:hAnsiTheme="minorHAnsi" w:cstheme="minorHAnsi"/>
          <w:sz w:val="24"/>
          <w:szCs w:val="24"/>
        </w:rPr>
        <w:t xml:space="preserve">, A., </w:t>
      </w:r>
      <w:proofErr w:type="spellStart"/>
      <w:r w:rsidRPr="00113EBB">
        <w:rPr>
          <w:rFonts w:asciiTheme="minorHAnsi" w:hAnsiTheme="minorHAnsi" w:cstheme="minorHAnsi"/>
          <w:sz w:val="24"/>
          <w:szCs w:val="24"/>
        </w:rPr>
        <w:t>Peviani</w:t>
      </w:r>
      <w:proofErr w:type="spellEnd"/>
      <w:r w:rsidRPr="00113EBB">
        <w:rPr>
          <w:rFonts w:asciiTheme="minorHAnsi" w:hAnsiTheme="minorHAnsi" w:cstheme="minorHAnsi"/>
          <w:sz w:val="24"/>
          <w:szCs w:val="24"/>
        </w:rPr>
        <w:t xml:space="preserve">, K., Lee, J., King-Casas, B. and Kim-Spoon, J. (2020) ‘Socioeconomic Risk for Adolescent Cognitive Control and Emerging Risk-Taking </w:t>
      </w:r>
      <w:proofErr w:type="spellStart"/>
      <w:r w:rsidRPr="00113EBB">
        <w:rPr>
          <w:rFonts w:asciiTheme="minorHAnsi" w:hAnsiTheme="minorHAnsi" w:cstheme="minorHAnsi"/>
          <w:sz w:val="24"/>
          <w:szCs w:val="24"/>
        </w:rPr>
        <w:t>Behaviors</w:t>
      </w:r>
      <w:proofErr w:type="spellEnd"/>
      <w:r w:rsidRPr="00113EBB">
        <w:rPr>
          <w:rFonts w:asciiTheme="minorHAnsi" w:hAnsiTheme="minorHAnsi" w:cstheme="minorHAnsi"/>
          <w:sz w:val="24"/>
          <w:szCs w:val="24"/>
        </w:rPr>
        <w:t xml:space="preserve">’, </w:t>
      </w:r>
      <w:r w:rsidRPr="00113EBB">
        <w:rPr>
          <w:rFonts w:asciiTheme="minorHAnsi" w:hAnsiTheme="minorHAnsi" w:cstheme="minorHAnsi"/>
          <w:i/>
          <w:iCs/>
          <w:sz w:val="24"/>
          <w:szCs w:val="24"/>
        </w:rPr>
        <w:t xml:space="preserve">Journal of Research on Adolescence, Vol. 31, pp71-84. </w:t>
      </w:r>
      <w:r w:rsidRPr="00113EBB">
        <w:rPr>
          <w:rFonts w:asciiTheme="minorHAnsi" w:hAnsiTheme="minorHAnsi" w:cstheme="minorHAnsi"/>
          <w:sz w:val="24"/>
          <w:szCs w:val="24"/>
        </w:rPr>
        <w:t xml:space="preserve">[Online]. Available at: </w:t>
      </w:r>
      <w:hyperlink r:id="rId129" w:history="1">
        <w:r w:rsidRPr="00113EBB">
          <w:rPr>
            <w:rFonts w:asciiTheme="minorHAnsi" w:hAnsiTheme="minorHAnsi" w:cstheme="minorHAnsi"/>
            <w:color w:val="0000FF"/>
            <w:sz w:val="24"/>
            <w:szCs w:val="24"/>
            <w:u w:val="single"/>
          </w:rPr>
          <w:t xml:space="preserve">Socioeconomic Risk for Adolescent Cognitive Control and Emerging Risk‐Taking </w:t>
        </w:r>
        <w:proofErr w:type="spellStart"/>
        <w:r w:rsidRPr="00113EBB">
          <w:rPr>
            <w:rFonts w:asciiTheme="minorHAnsi" w:hAnsiTheme="minorHAnsi" w:cstheme="minorHAnsi"/>
            <w:color w:val="0000FF"/>
            <w:sz w:val="24"/>
            <w:szCs w:val="24"/>
            <w:u w:val="single"/>
          </w:rPr>
          <w:t>Behaviors</w:t>
        </w:r>
        <w:proofErr w:type="spellEnd"/>
        <w:r w:rsidRPr="00113EBB">
          <w:rPr>
            <w:rFonts w:asciiTheme="minorHAnsi" w:hAnsiTheme="minorHAnsi" w:cstheme="minorHAnsi"/>
            <w:color w:val="0000FF"/>
            <w:sz w:val="24"/>
            <w:szCs w:val="24"/>
            <w:u w:val="single"/>
          </w:rPr>
          <w:t xml:space="preserve"> (wiley.com)</w:t>
        </w:r>
      </w:hyperlink>
      <w:r w:rsidRPr="00113EBB">
        <w:rPr>
          <w:rFonts w:asciiTheme="minorHAnsi" w:hAnsiTheme="minorHAnsi" w:cstheme="minorHAnsi"/>
          <w:sz w:val="24"/>
          <w:szCs w:val="24"/>
        </w:rPr>
        <w:t xml:space="preserve"> (Accessed: 17</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April 2021)</w:t>
      </w:r>
    </w:p>
    <w:p w14:paraId="425AA710" w14:textId="77777777" w:rsidR="00113EBB" w:rsidRPr="00113EBB" w:rsidRDefault="00113EBB" w:rsidP="00113EBB">
      <w:pPr>
        <w:suppressAutoHyphens/>
        <w:spacing w:after="160" w:afterAutospacing="0" w:line="256" w:lineRule="auto"/>
        <w:jc w:val="both"/>
        <w:rPr>
          <w:rFonts w:asciiTheme="minorHAnsi" w:hAnsiTheme="minorHAnsi" w:cstheme="minorHAnsi"/>
          <w:bCs/>
          <w:color w:val="000000" w:themeColor="text1"/>
          <w:sz w:val="24"/>
          <w:szCs w:val="24"/>
        </w:rPr>
      </w:pPr>
      <w:r w:rsidRPr="00113EBB">
        <w:rPr>
          <w:rFonts w:asciiTheme="minorHAnsi" w:hAnsiTheme="minorHAnsi" w:cstheme="minorHAnsi"/>
          <w:bCs/>
          <w:color w:val="000000" w:themeColor="text1"/>
          <w:sz w:val="24"/>
          <w:szCs w:val="24"/>
        </w:rPr>
        <w:t xml:space="preserve">Caso, L., Greco, A., Florio, E. and </w:t>
      </w:r>
      <w:proofErr w:type="spellStart"/>
      <w:r w:rsidRPr="00113EBB">
        <w:rPr>
          <w:rFonts w:asciiTheme="minorHAnsi" w:hAnsiTheme="minorHAnsi" w:cstheme="minorHAnsi"/>
          <w:bCs/>
          <w:color w:val="000000" w:themeColor="text1"/>
          <w:sz w:val="24"/>
          <w:szCs w:val="24"/>
        </w:rPr>
        <w:t>Palena</w:t>
      </w:r>
      <w:proofErr w:type="spellEnd"/>
      <w:r w:rsidRPr="00113EBB">
        <w:rPr>
          <w:rFonts w:asciiTheme="minorHAnsi" w:hAnsiTheme="minorHAnsi" w:cstheme="minorHAnsi"/>
          <w:bCs/>
          <w:color w:val="000000" w:themeColor="text1"/>
          <w:sz w:val="24"/>
          <w:szCs w:val="24"/>
        </w:rPr>
        <w:t xml:space="preserve">, N. (2021) ‘Assessment of Family, Peers, and Externalizing Behaviour Dimensions in Adolescence: The Proposal of a Comprehensive Instrument (FPEB)’, </w:t>
      </w:r>
      <w:r w:rsidRPr="00113EBB">
        <w:rPr>
          <w:rFonts w:asciiTheme="minorHAnsi" w:hAnsiTheme="minorHAnsi" w:cstheme="minorHAnsi"/>
          <w:bCs/>
          <w:i/>
          <w:iCs/>
          <w:color w:val="000000" w:themeColor="text1"/>
          <w:sz w:val="24"/>
          <w:szCs w:val="24"/>
        </w:rPr>
        <w:t xml:space="preserve">International Journal of Environmental Research and Public Health, Vol. 18. </w:t>
      </w:r>
      <w:r w:rsidRPr="00113EBB">
        <w:rPr>
          <w:rFonts w:asciiTheme="minorHAnsi" w:hAnsiTheme="minorHAnsi" w:cstheme="minorHAnsi"/>
          <w:bCs/>
          <w:color w:val="000000" w:themeColor="text1"/>
          <w:sz w:val="24"/>
          <w:szCs w:val="24"/>
        </w:rPr>
        <w:t xml:space="preserve">[Online]. Available at: </w:t>
      </w:r>
      <w:hyperlink r:id="rId130" w:history="1">
        <w:r w:rsidRPr="00113EBB">
          <w:rPr>
            <w:rFonts w:asciiTheme="minorHAnsi" w:hAnsiTheme="minorHAnsi" w:cstheme="minorHAnsi"/>
            <w:color w:val="0000FF"/>
            <w:sz w:val="24"/>
            <w:szCs w:val="24"/>
            <w:u w:val="single"/>
          </w:rPr>
          <w:t>IJERPH | Free Full-Text | Assessment of Family, Peers, and Externalising Behaviour Dimensions in Adolescence: The Proposal of a Comprehensive Instrument (FPEB) | HTML (mdpi.com)</w:t>
        </w:r>
      </w:hyperlink>
      <w:r w:rsidRPr="00113EBB">
        <w:rPr>
          <w:rFonts w:asciiTheme="minorHAnsi" w:hAnsiTheme="minorHAnsi" w:cstheme="minorHAnsi"/>
          <w:sz w:val="24"/>
          <w:szCs w:val="24"/>
        </w:rPr>
        <w:t xml:space="preserve"> (Accessed: 18</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April 2021)</w:t>
      </w:r>
    </w:p>
    <w:p w14:paraId="2AC7E0EA"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r w:rsidRPr="00113EBB">
        <w:rPr>
          <w:rFonts w:asciiTheme="minorHAnsi" w:eastAsiaTheme="minorHAnsi" w:hAnsiTheme="minorHAnsi" w:cstheme="minorHAnsi"/>
          <w:color w:val="auto"/>
          <w:sz w:val="24"/>
          <w:szCs w:val="24"/>
        </w:rPr>
        <w:t xml:space="preserve">Chang, L., Chang, Y., Wu, C., Chang, J., Yen, L. and Chang, H. (2021) ‘Resilience buffers the effects of sleep problems on the trajectory of suicidal ideation from adolescence through young adulthood’, </w:t>
      </w:r>
      <w:r w:rsidRPr="00113EBB">
        <w:rPr>
          <w:rFonts w:asciiTheme="minorHAnsi" w:eastAsiaTheme="minorHAnsi" w:hAnsiTheme="minorHAnsi" w:cstheme="minorHAnsi"/>
          <w:i/>
          <w:iCs/>
          <w:color w:val="auto"/>
          <w:sz w:val="24"/>
          <w:szCs w:val="24"/>
        </w:rPr>
        <w:t xml:space="preserve">Social Science &amp; Medicine, Vol. 279. </w:t>
      </w:r>
      <w:r w:rsidRPr="00113EBB">
        <w:rPr>
          <w:rFonts w:asciiTheme="minorHAnsi" w:eastAsiaTheme="minorHAnsi" w:hAnsiTheme="minorHAnsi" w:cstheme="minorHAnsi"/>
          <w:color w:val="auto"/>
          <w:sz w:val="24"/>
          <w:szCs w:val="24"/>
        </w:rPr>
        <w:t xml:space="preserve">[Online]. Available at: </w:t>
      </w:r>
      <w:hyperlink r:id="rId131" w:history="1">
        <w:r w:rsidRPr="00113EBB">
          <w:rPr>
            <w:rFonts w:asciiTheme="minorHAnsi" w:hAnsiTheme="minorHAnsi" w:cstheme="minorHAnsi"/>
            <w:color w:val="0000FF"/>
            <w:sz w:val="24"/>
            <w:szCs w:val="24"/>
            <w:u w:val="single"/>
          </w:rPr>
          <w:t>Resilience buffers the effects of sleep problems on the trajectory of suicidal ideation from adolescence through young adulthood - ScienceDirect</w:t>
        </w:r>
      </w:hyperlink>
      <w:r w:rsidRPr="00113EBB">
        <w:rPr>
          <w:rFonts w:asciiTheme="minorHAnsi" w:hAnsiTheme="minorHAnsi" w:cstheme="minorHAnsi"/>
          <w:sz w:val="24"/>
          <w:szCs w:val="24"/>
        </w:rPr>
        <w:t xml:space="preserve"> (Accessed: 22</w:t>
      </w:r>
      <w:r w:rsidRPr="00113EBB">
        <w:rPr>
          <w:rFonts w:asciiTheme="minorHAnsi" w:hAnsiTheme="minorHAnsi" w:cstheme="minorHAnsi"/>
          <w:sz w:val="24"/>
          <w:szCs w:val="24"/>
          <w:vertAlign w:val="superscript"/>
        </w:rPr>
        <w:t>nd</w:t>
      </w:r>
      <w:r w:rsidRPr="00113EBB">
        <w:rPr>
          <w:rFonts w:asciiTheme="minorHAnsi" w:hAnsiTheme="minorHAnsi" w:cstheme="minorHAnsi"/>
          <w:sz w:val="24"/>
          <w:szCs w:val="24"/>
        </w:rPr>
        <w:t xml:space="preserve"> May 2021)</w:t>
      </w:r>
      <w:r w:rsidRPr="00113EBB">
        <w:rPr>
          <w:rFonts w:asciiTheme="minorHAnsi" w:eastAsiaTheme="minorHAnsi" w:hAnsiTheme="minorHAnsi" w:cstheme="minorHAnsi"/>
          <w:color w:val="auto"/>
          <w:sz w:val="24"/>
          <w:szCs w:val="24"/>
        </w:rPr>
        <w:t xml:space="preserve"> </w:t>
      </w:r>
    </w:p>
    <w:p w14:paraId="510C2B27"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5AE04F35"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r w:rsidRPr="00113EBB">
        <w:rPr>
          <w:rFonts w:asciiTheme="minorHAnsi" w:eastAsiaTheme="minorHAnsi" w:hAnsiTheme="minorHAnsi" w:cstheme="minorHAnsi"/>
          <w:color w:val="auto"/>
          <w:sz w:val="24"/>
          <w:szCs w:val="24"/>
        </w:rPr>
        <w:t xml:space="preserve">Claro, A., Boulanger, M. and Shaw, S. (2015) ‘Targeting Vulnerabilities to Risky </w:t>
      </w:r>
      <w:proofErr w:type="spellStart"/>
      <w:r w:rsidRPr="00113EBB">
        <w:rPr>
          <w:rFonts w:asciiTheme="minorHAnsi" w:eastAsiaTheme="minorHAnsi" w:hAnsiTheme="minorHAnsi" w:cstheme="minorHAnsi"/>
          <w:color w:val="auto"/>
          <w:sz w:val="24"/>
          <w:szCs w:val="24"/>
        </w:rPr>
        <w:t>Behavior</w:t>
      </w:r>
      <w:proofErr w:type="spellEnd"/>
      <w:r w:rsidRPr="00113EBB">
        <w:rPr>
          <w:rFonts w:asciiTheme="minorHAnsi" w:eastAsiaTheme="minorHAnsi" w:hAnsiTheme="minorHAnsi" w:cstheme="minorHAnsi"/>
          <w:color w:val="auto"/>
          <w:sz w:val="24"/>
          <w:szCs w:val="24"/>
        </w:rPr>
        <w:t xml:space="preserve">: </w:t>
      </w:r>
      <w:proofErr w:type="gramStart"/>
      <w:r w:rsidRPr="00113EBB">
        <w:rPr>
          <w:rFonts w:asciiTheme="minorHAnsi" w:eastAsiaTheme="minorHAnsi" w:hAnsiTheme="minorHAnsi" w:cstheme="minorHAnsi"/>
          <w:color w:val="auto"/>
          <w:sz w:val="24"/>
          <w:szCs w:val="24"/>
        </w:rPr>
        <w:t>an</w:t>
      </w:r>
      <w:proofErr w:type="gramEnd"/>
      <w:r w:rsidRPr="00113EBB">
        <w:rPr>
          <w:rFonts w:asciiTheme="minorHAnsi" w:eastAsiaTheme="minorHAnsi" w:hAnsiTheme="minorHAnsi" w:cstheme="minorHAnsi"/>
          <w:color w:val="auto"/>
          <w:sz w:val="24"/>
          <w:szCs w:val="24"/>
        </w:rPr>
        <w:t xml:space="preserve"> Intervention for Promoting Adaptive Emotion Regulation in Adolescents’, </w:t>
      </w:r>
      <w:r w:rsidRPr="00113EBB">
        <w:rPr>
          <w:rFonts w:asciiTheme="minorHAnsi" w:eastAsiaTheme="minorHAnsi" w:hAnsiTheme="minorHAnsi" w:cstheme="minorHAnsi"/>
          <w:i/>
          <w:iCs/>
          <w:color w:val="auto"/>
          <w:sz w:val="24"/>
          <w:szCs w:val="24"/>
        </w:rPr>
        <w:t xml:space="preserve">Contemporary School Psychology, Vol. 19, pp330-339. </w:t>
      </w:r>
      <w:r w:rsidRPr="00113EBB">
        <w:rPr>
          <w:rFonts w:asciiTheme="minorHAnsi" w:eastAsiaTheme="minorHAnsi" w:hAnsiTheme="minorHAnsi" w:cstheme="minorHAnsi"/>
          <w:color w:val="auto"/>
          <w:sz w:val="24"/>
          <w:szCs w:val="24"/>
        </w:rPr>
        <w:t xml:space="preserve">[Online]. Available at: </w:t>
      </w:r>
      <w:hyperlink r:id="rId132" w:history="1">
        <w:r w:rsidRPr="00113EBB">
          <w:rPr>
            <w:rFonts w:asciiTheme="minorHAnsi" w:hAnsiTheme="minorHAnsi" w:cstheme="minorHAnsi"/>
            <w:color w:val="0000FF"/>
            <w:sz w:val="24"/>
            <w:szCs w:val="24"/>
            <w:u w:val="single"/>
          </w:rPr>
          <w:t xml:space="preserve">Targeting Vulnerabilities to </w:t>
        </w:r>
        <w:r w:rsidRPr="00113EBB">
          <w:rPr>
            <w:rFonts w:asciiTheme="minorHAnsi" w:hAnsiTheme="minorHAnsi" w:cstheme="minorHAnsi"/>
            <w:color w:val="0000FF"/>
            <w:sz w:val="24"/>
            <w:szCs w:val="24"/>
            <w:u w:val="single"/>
          </w:rPr>
          <w:lastRenderedPageBreak/>
          <w:t xml:space="preserve">Risky </w:t>
        </w:r>
        <w:proofErr w:type="spellStart"/>
        <w:r w:rsidRPr="00113EBB">
          <w:rPr>
            <w:rFonts w:asciiTheme="minorHAnsi" w:hAnsiTheme="minorHAnsi" w:cstheme="minorHAnsi"/>
            <w:color w:val="0000FF"/>
            <w:sz w:val="24"/>
            <w:szCs w:val="24"/>
            <w:u w:val="single"/>
          </w:rPr>
          <w:t>Behavior</w:t>
        </w:r>
        <w:proofErr w:type="spellEnd"/>
        <w:r w:rsidRPr="00113EBB">
          <w:rPr>
            <w:rFonts w:asciiTheme="minorHAnsi" w:hAnsiTheme="minorHAnsi" w:cstheme="minorHAnsi"/>
            <w:color w:val="0000FF"/>
            <w:sz w:val="24"/>
            <w:szCs w:val="24"/>
            <w:u w:val="single"/>
          </w:rPr>
          <w:t xml:space="preserve">: </w:t>
        </w:r>
        <w:proofErr w:type="gramStart"/>
        <w:r w:rsidRPr="00113EBB">
          <w:rPr>
            <w:rFonts w:asciiTheme="minorHAnsi" w:hAnsiTheme="minorHAnsi" w:cstheme="minorHAnsi"/>
            <w:color w:val="0000FF"/>
            <w:sz w:val="24"/>
            <w:szCs w:val="24"/>
            <w:u w:val="single"/>
          </w:rPr>
          <w:t>an</w:t>
        </w:r>
        <w:proofErr w:type="gramEnd"/>
        <w:r w:rsidRPr="00113EBB">
          <w:rPr>
            <w:rFonts w:asciiTheme="minorHAnsi" w:hAnsiTheme="minorHAnsi" w:cstheme="minorHAnsi"/>
            <w:color w:val="0000FF"/>
            <w:sz w:val="24"/>
            <w:szCs w:val="24"/>
            <w:u w:val="single"/>
          </w:rPr>
          <w:t xml:space="preserve"> Intervention for Promoting Adaptive Emotion Regulation in Adolescents | SpringerLink</w:t>
        </w:r>
      </w:hyperlink>
      <w:r w:rsidRPr="00113EBB">
        <w:rPr>
          <w:rFonts w:asciiTheme="minorHAnsi" w:hAnsiTheme="minorHAnsi" w:cstheme="minorHAnsi"/>
          <w:sz w:val="24"/>
          <w:szCs w:val="24"/>
        </w:rPr>
        <w:t xml:space="preserve"> (Accessed: 13</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April 2021)</w:t>
      </w:r>
    </w:p>
    <w:p w14:paraId="6A4B8E80"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6FA6B411" w14:textId="77777777" w:rsidR="00113EBB" w:rsidRPr="00113EBB" w:rsidRDefault="00113EBB" w:rsidP="00113EBB">
      <w:pPr>
        <w:suppressAutoHyphens/>
        <w:spacing w:after="160" w:afterAutospacing="0" w:line="256" w:lineRule="auto"/>
        <w:jc w:val="both"/>
        <w:rPr>
          <w:rFonts w:asciiTheme="minorHAnsi" w:hAnsiTheme="minorHAnsi" w:cstheme="minorHAnsi"/>
          <w:color w:val="0000FF"/>
          <w:sz w:val="24"/>
          <w:szCs w:val="24"/>
          <w:u w:val="single"/>
        </w:rPr>
      </w:pPr>
      <w:r w:rsidRPr="00113EBB">
        <w:rPr>
          <w:rFonts w:asciiTheme="minorHAnsi" w:hAnsiTheme="minorHAnsi" w:cstheme="minorHAnsi"/>
          <w:bCs/>
          <w:color w:val="000000" w:themeColor="text1"/>
          <w:sz w:val="24"/>
          <w:szCs w:val="24"/>
        </w:rPr>
        <w:t xml:space="preserve">CLD Standards Council Scotland, (2019) </w:t>
      </w:r>
      <w:r w:rsidRPr="00113EBB">
        <w:rPr>
          <w:rFonts w:asciiTheme="minorHAnsi" w:eastAsia="SimSun" w:hAnsiTheme="minorHAnsi" w:cstheme="minorHAnsi"/>
          <w:bCs/>
          <w:i/>
          <w:iCs/>
          <w:sz w:val="24"/>
          <w:szCs w:val="24"/>
        </w:rPr>
        <w:t xml:space="preserve">Youth Work National Occupational Standards.  </w:t>
      </w:r>
      <w:r w:rsidRPr="00113EBB">
        <w:rPr>
          <w:rFonts w:asciiTheme="minorHAnsi" w:hAnsiTheme="minorHAnsi" w:cstheme="minorHAnsi"/>
          <w:sz w:val="24"/>
          <w:szCs w:val="24"/>
        </w:rPr>
        <w:t xml:space="preserve">[Online].  Available at: </w:t>
      </w:r>
      <w:hyperlink r:id="rId133" w:history="1">
        <w:r w:rsidRPr="00113EBB">
          <w:rPr>
            <w:rFonts w:asciiTheme="minorHAnsi" w:hAnsiTheme="minorHAnsi" w:cstheme="minorHAnsi"/>
            <w:color w:val="0000FF"/>
            <w:sz w:val="24"/>
            <w:szCs w:val="24"/>
            <w:u w:val="single"/>
          </w:rPr>
          <w:t>National Occupational Standards | CLD Standards Council for Scotland</w:t>
        </w:r>
      </w:hyperlink>
    </w:p>
    <w:p w14:paraId="6956DBC5"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r w:rsidRPr="00113EBB">
        <w:rPr>
          <w:rFonts w:asciiTheme="minorHAnsi" w:eastAsiaTheme="minorHAnsi" w:hAnsiTheme="minorHAnsi" w:cstheme="minorHAnsi"/>
          <w:color w:val="auto"/>
          <w:sz w:val="24"/>
          <w:szCs w:val="24"/>
        </w:rPr>
        <w:t xml:space="preserve">Coleman, J. and Farrell, A. (2021) ‘The influence of exposure to violence on adolescents’ physical aggression: The protective influence of peers’, </w:t>
      </w:r>
      <w:r w:rsidRPr="00113EBB">
        <w:rPr>
          <w:rFonts w:asciiTheme="minorHAnsi" w:eastAsiaTheme="minorHAnsi" w:hAnsiTheme="minorHAnsi" w:cstheme="minorHAnsi"/>
          <w:i/>
          <w:iCs/>
          <w:color w:val="auto"/>
          <w:sz w:val="24"/>
          <w:szCs w:val="24"/>
        </w:rPr>
        <w:t xml:space="preserve">Journal of Adolescence, Vol. 90, pp53-65. </w:t>
      </w:r>
      <w:r w:rsidRPr="00113EBB">
        <w:rPr>
          <w:rFonts w:asciiTheme="minorHAnsi" w:eastAsiaTheme="minorHAnsi" w:hAnsiTheme="minorHAnsi" w:cstheme="minorHAnsi"/>
          <w:color w:val="auto"/>
          <w:sz w:val="24"/>
          <w:szCs w:val="24"/>
        </w:rPr>
        <w:t xml:space="preserve">[Online]. Available at: </w:t>
      </w:r>
      <w:hyperlink r:id="rId134" w:history="1">
        <w:r w:rsidRPr="00113EBB">
          <w:rPr>
            <w:rFonts w:asciiTheme="minorHAnsi" w:hAnsiTheme="minorHAnsi" w:cstheme="minorHAnsi"/>
            <w:color w:val="0000FF"/>
            <w:sz w:val="24"/>
            <w:szCs w:val="24"/>
            <w:u w:val="single"/>
          </w:rPr>
          <w:t>The influence of exposure to violence on adolescents’ physical aggression: The protective influence of peers - ScienceDirect</w:t>
        </w:r>
      </w:hyperlink>
      <w:r w:rsidRPr="00113EBB">
        <w:rPr>
          <w:rFonts w:asciiTheme="minorHAnsi" w:hAnsiTheme="minorHAnsi" w:cstheme="minorHAnsi"/>
          <w:sz w:val="24"/>
          <w:szCs w:val="24"/>
        </w:rPr>
        <w:t xml:space="preserve"> (Accessed: 21</w:t>
      </w:r>
      <w:r w:rsidRPr="00113EBB">
        <w:rPr>
          <w:rFonts w:asciiTheme="minorHAnsi" w:hAnsiTheme="minorHAnsi" w:cstheme="minorHAnsi"/>
          <w:sz w:val="24"/>
          <w:szCs w:val="24"/>
          <w:vertAlign w:val="superscript"/>
        </w:rPr>
        <w:t>st</w:t>
      </w:r>
      <w:r w:rsidRPr="00113EBB">
        <w:rPr>
          <w:rFonts w:asciiTheme="minorHAnsi" w:hAnsiTheme="minorHAnsi" w:cstheme="minorHAnsi"/>
          <w:sz w:val="24"/>
          <w:szCs w:val="24"/>
        </w:rPr>
        <w:t xml:space="preserve"> June 2021)</w:t>
      </w:r>
    </w:p>
    <w:p w14:paraId="443A0E7A"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i/>
          <w:iCs/>
          <w:color w:val="auto"/>
          <w:sz w:val="24"/>
          <w:szCs w:val="24"/>
        </w:rPr>
      </w:pPr>
      <w:r w:rsidRPr="00113EBB">
        <w:rPr>
          <w:rFonts w:asciiTheme="minorHAnsi" w:eastAsiaTheme="minorHAnsi" w:hAnsiTheme="minorHAnsi" w:cstheme="minorHAnsi"/>
          <w:i/>
          <w:iCs/>
          <w:color w:val="auto"/>
          <w:sz w:val="24"/>
          <w:szCs w:val="24"/>
        </w:rPr>
        <w:t xml:space="preserve"> </w:t>
      </w:r>
    </w:p>
    <w:p w14:paraId="024A261B"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r w:rsidRPr="00113EBB">
        <w:rPr>
          <w:rFonts w:asciiTheme="minorHAnsi" w:eastAsiaTheme="minorHAnsi" w:hAnsiTheme="minorHAnsi" w:cstheme="minorHAnsi"/>
          <w:color w:val="auto"/>
          <w:sz w:val="24"/>
          <w:szCs w:val="24"/>
        </w:rPr>
        <w:t xml:space="preserve">Coleman, J. and </w:t>
      </w:r>
      <w:proofErr w:type="spellStart"/>
      <w:r w:rsidRPr="00113EBB">
        <w:rPr>
          <w:rFonts w:asciiTheme="minorHAnsi" w:eastAsiaTheme="minorHAnsi" w:hAnsiTheme="minorHAnsi" w:cstheme="minorHAnsi"/>
          <w:color w:val="auto"/>
          <w:sz w:val="24"/>
          <w:szCs w:val="24"/>
        </w:rPr>
        <w:t>Hagell</w:t>
      </w:r>
      <w:proofErr w:type="spellEnd"/>
      <w:r w:rsidRPr="00113EBB">
        <w:rPr>
          <w:rFonts w:asciiTheme="minorHAnsi" w:eastAsiaTheme="minorHAnsi" w:hAnsiTheme="minorHAnsi" w:cstheme="minorHAnsi"/>
          <w:color w:val="auto"/>
          <w:sz w:val="24"/>
          <w:szCs w:val="24"/>
        </w:rPr>
        <w:t>, A. (eds.) (2007) A</w:t>
      </w:r>
      <w:r w:rsidRPr="00113EBB">
        <w:rPr>
          <w:rFonts w:asciiTheme="minorHAnsi" w:eastAsiaTheme="minorHAnsi" w:hAnsiTheme="minorHAnsi" w:cstheme="minorHAnsi"/>
          <w:i/>
          <w:iCs/>
          <w:color w:val="auto"/>
          <w:sz w:val="24"/>
          <w:szCs w:val="24"/>
        </w:rPr>
        <w:t xml:space="preserve">dolescence, Risk and Resilience: Against the Odds. </w:t>
      </w:r>
      <w:r w:rsidRPr="00113EBB">
        <w:rPr>
          <w:rFonts w:asciiTheme="minorHAnsi" w:eastAsiaTheme="minorHAnsi" w:hAnsiTheme="minorHAnsi" w:cstheme="minorHAnsi"/>
          <w:color w:val="auto"/>
          <w:sz w:val="24"/>
          <w:szCs w:val="24"/>
        </w:rPr>
        <w:t>Chichester: John Wiley &amp; Sons.</w:t>
      </w:r>
    </w:p>
    <w:p w14:paraId="71A48DBB"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50DE3A6B"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r w:rsidRPr="00113EBB">
        <w:rPr>
          <w:rFonts w:asciiTheme="minorHAnsi" w:eastAsiaTheme="minorHAnsi" w:hAnsiTheme="minorHAnsi" w:cstheme="minorHAnsi"/>
          <w:color w:val="auto"/>
          <w:sz w:val="24"/>
          <w:szCs w:val="24"/>
        </w:rPr>
        <w:t>Colonna, R., Hand, C., Holmes, J. and Alvarez, L. (2021) ‘Young drivers’ determinants of driving under the influence of cannabis: Findings from the Youth Cannabis and Driving Survey (</w:t>
      </w:r>
      <w:proofErr w:type="spellStart"/>
      <w:r w:rsidRPr="00113EBB">
        <w:rPr>
          <w:rFonts w:asciiTheme="minorHAnsi" w:eastAsiaTheme="minorHAnsi" w:hAnsiTheme="minorHAnsi" w:cstheme="minorHAnsi"/>
          <w:color w:val="auto"/>
          <w:sz w:val="24"/>
          <w:szCs w:val="24"/>
        </w:rPr>
        <w:t>YouCanDS</w:t>
      </w:r>
      <w:proofErr w:type="spellEnd"/>
      <w:r w:rsidRPr="00113EBB">
        <w:rPr>
          <w:rFonts w:asciiTheme="minorHAnsi" w:eastAsiaTheme="minorHAnsi" w:hAnsiTheme="minorHAnsi" w:cstheme="minorHAnsi"/>
          <w:color w:val="auto"/>
          <w:sz w:val="24"/>
          <w:szCs w:val="24"/>
        </w:rPr>
        <w:t xml:space="preserve">)’, </w:t>
      </w:r>
      <w:r w:rsidRPr="00113EBB">
        <w:rPr>
          <w:rFonts w:asciiTheme="minorHAnsi" w:eastAsiaTheme="minorHAnsi" w:hAnsiTheme="minorHAnsi" w:cstheme="minorHAnsi"/>
          <w:i/>
          <w:iCs/>
          <w:color w:val="auto"/>
          <w:sz w:val="24"/>
          <w:szCs w:val="24"/>
        </w:rPr>
        <w:t xml:space="preserve">Journal of Safety Research. </w:t>
      </w:r>
      <w:r w:rsidRPr="00113EBB">
        <w:rPr>
          <w:rFonts w:asciiTheme="minorHAnsi" w:eastAsiaTheme="minorHAnsi" w:hAnsiTheme="minorHAnsi" w:cstheme="minorHAnsi"/>
          <w:color w:val="auto"/>
          <w:sz w:val="24"/>
          <w:szCs w:val="24"/>
        </w:rPr>
        <w:t xml:space="preserve">[Online]. Available at: </w:t>
      </w:r>
      <w:hyperlink r:id="rId135" w:history="1">
        <w:r w:rsidRPr="00113EBB">
          <w:rPr>
            <w:rFonts w:asciiTheme="minorHAnsi" w:hAnsiTheme="minorHAnsi" w:cstheme="minorHAnsi"/>
            <w:color w:val="0000FF"/>
            <w:sz w:val="24"/>
            <w:szCs w:val="24"/>
            <w:u w:val="single"/>
          </w:rPr>
          <w:t>Young drivers' determinants of driving under the influence of cannabis: Findings from the Youth Cannabis and Driving Survey (</w:t>
        </w:r>
        <w:proofErr w:type="spellStart"/>
        <w:r w:rsidRPr="00113EBB">
          <w:rPr>
            <w:rFonts w:asciiTheme="minorHAnsi" w:hAnsiTheme="minorHAnsi" w:cstheme="minorHAnsi"/>
            <w:color w:val="0000FF"/>
            <w:sz w:val="24"/>
            <w:szCs w:val="24"/>
            <w:u w:val="single"/>
          </w:rPr>
          <w:t>YouCanDS</w:t>
        </w:r>
        <w:proofErr w:type="spellEnd"/>
        <w:r w:rsidRPr="00113EBB">
          <w:rPr>
            <w:rFonts w:asciiTheme="minorHAnsi" w:hAnsiTheme="minorHAnsi" w:cstheme="minorHAnsi"/>
            <w:color w:val="0000FF"/>
            <w:sz w:val="24"/>
            <w:szCs w:val="24"/>
            <w:u w:val="single"/>
          </w:rPr>
          <w:t>) - ScienceDirect</w:t>
        </w:r>
      </w:hyperlink>
      <w:r w:rsidRPr="00113EBB">
        <w:rPr>
          <w:rFonts w:asciiTheme="minorHAnsi" w:eastAsiaTheme="minorHAnsi" w:hAnsiTheme="minorHAnsi" w:cstheme="minorHAnsi"/>
          <w:color w:val="auto"/>
          <w:sz w:val="24"/>
          <w:szCs w:val="24"/>
        </w:rPr>
        <w:t xml:space="preserve">  (First accessed as an Article in Press 5</w:t>
      </w:r>
      <w:r w:rsidRPr="00113EBB">
        <w:rPr>
          <w:rFonts w:asciiTheme="minorHAnsi" w:eastAsiaTheme="minorHAnsi" w:hAnsiTheme="minorHAnsi" w:cstheme="minorHAnsi"/>
          <w:color w:val="auto"/>
          <w:sz w:val="24"/>
          <w:szCs w:val="24"/>
          <w:vertAlign w:val="superscript"/>
        </w:rPr>
        <w:t>th</w:t>
      </w:r>
      <w:r w:rsidRPr="00113EBB">
        <w:rPr>
          <w:rFonts w:asciiTheme="minorHAnsi" w:eastAsiaTheme="minorHAnsi" w:hAnsiTheme="minorHAnsi" w:cstheme="minorHAnsi"/>
          <w:color w:val="auto"/>
          <w:sz w:val="24"/>
          <w:szCs w:val="24"/>
        </w:rPr>
        <w:t xml:space="preserve"> May 2021)</w:t>
      </w:r>
    </w:p>
    <w:p w14:paraId="7873F29C"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132F3F6A"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r w:rsidRPr="00113EBB">
        <w:rPr>
          <w:rFonts w:asciiTheme="minorHAnsi" w:eastAsiaTheme="minorHAnsi" w:hAnsiTheme="minorHAnsi" w:cstheme="minorHAnsi"/>
          <w:color w:val="auto"/>
          <w:sz w:val="24"/>
          <w:szCs w:val="24"/>
        </w:rPr>
        <w:t xml:space="preserve">Connolly, E., Jackson, D. and </w:t>
      </w:r>
      <w:proofErr w:type="spellStart"/>
      <w:r w:rsidRPr="00113EBB">
        <w:rPr>
          <w:rFonts w:asciiTheme="minorHAnsi" w:eastAsiaTheme="minorHAnsi" w:hAnsiTheme="minorHAnsi" w:cstheme="minorHAnsi"/>
          <w:color w:val="auto"/>
          <w:sz w:val="24"/>
          <w:szCs w:val="24"/>
        </w:rPr>
        <w:t>Semenza</w:t>
      </w:r>
      <w:proofErr w:type="spellEnd"/>
      <w:r w:rsidRPr="00113EBB">
        <w:rPr>
          <w:rFonts w:asciiTheme="minorHAnsi" w:eastAsiaTheme="minorHAnsi" w:hAnsiTheme="minorHAnsi" w:cstheme="minorHAnsi"/>
          <w:color w:val="auto"/>
          <w:sz w:val="24"/>
          <w:szCs w:val="24"/>
        </w:rPr>
        <w:t xml:space="preserve">, D. (2021) ‘Quality over quantity?  Using sibling comparisons to examine relations between sleep quality, sleep duration, and delinquency’, </w:t>
      </w:r>
      <w:r w:rsidRPr="00113EBB">
        <w:rPr>
          <w:rFonts w:asciiTheme="minorHAnsi" w:eastAsiaTheme="minorHAnsi" w:hAnsiTheme="minorHAnsi" w:cstheme="minorHAnsi"/>
          <w:i/>
          <w:iCs/>
          <w:color w:val="auto"/>
          <w:sz w:val="24"/>
          <w:szCs w:val="24"/>
        </w:rPr>
        <w:t xml:space="preserve">Social Science &amp; Medicine, Vol. 280. </w:t>
      </w:r>
      <w:r w:rsidRPr="00113EBB">
        <w:rPr>
          <w:rFonts w:asciiTheme="minorHAnsi" w:eastAsiaTheme="minorHAnsi" w:hAnsiTheme="minorHAnsi" w:cstheme="minorHAnsi"/>
          <w:color w:val="auto"/>
          <w:sz w:val="24"/>
          <w:szCs w:val="24"/>
        </w:rPr>
        <w:t xml:space="preserve">[Online]. Available at: </w:t>
      </w:r>
      <w:hyperlink r:id="rId136" w:history="1">
        <w:r w:rsidRPr="00113EBB">
          <w:rPr>
            <w:rFonts w:asciiTheme="minorHAnsi" w:hAnsiTheme="minorHAnsi" w:cstheme="minorHAnsi"/>
            <w:color w:val="0000FF"/>
            <w:sz w:val="24"/>
            <w:szCs w:val="24"/>
            <w:u w:val="single"/>
          </w:rPr>
          <w:t>Quality over quantity? Using sibling comparisons to examine relations between sleep quality, sleep duration, and delinquency - ScienceDirect</w:t>
        </w:r>
      </w:hyperlink>
      <w:r w:rsidRPr="00113EBB">
        <w:rPr>
          <w:rFonts w:asciiTheme="minorHAnsi" w:hAnsiTheme="minorHAnsi" w:cstheme="minorHAnsi"/>
          <w:sz w:val="24"/>
          <w:szCs w:val="24"/>
        </w:rPr>
        <w:t xml:space="preserve"> (Accessed: 2</w:t>
      </w:r>
      <w:r w:rsidRPr="00113EBB">
        <w:rPr>
          <w:rFonts w:asciiTheme="minorHAnsi" w:hAnsiTheme="minorHAnsi" w:cstheme="minorHAnsi"/>
          <w:sz w:val="24"/>
          <w:szCs w:val="24"/>
          <w:vertAlign w:val="superscript"/>
        </w:rPr>
        <w:t>nd</w:t>
      </w:r>
      <w:r w:rsidRPr="00113EBB">
        <w:rPr>
          <w:rFonts w:asciiTheme="minorHAnsi" w:hAnsiTheme="minorHAnsi" w:cstheme="minorHAnsi"/>
          <w:sz w:val="24"/>
          <w:szCs w:val="24"/>
        </w:rPr>
        <w:t xml:space="preserve"> June 2021)</w:t>
      </w:r>
      <w:r w:rsidRPr="00113EBB">
        <w:rPr>
          <w:rFonts w:asciiTheme="minorHAnsi" w:eastAsiaTheme="minorHAnsi" w:hAnsiTheme="minorHAnsi" w:cstheme="minorHAnsi"/>
          <w:color w:val="auto"/>
          <w:sz w:val="24"/>
          <w:szCs w:val="24"/>
        </w:rPr>
        <w:t xml:space="preserve"> </w:t>
      </w:r>
    </w:p>
    <w:p w14:paraId="16A078FD"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254E2D38"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r w:rsidRPr="00113EBB">
        <w:rPr>
          <w:rFonts w:asciiTheme="minorHAnsi" w:eastAsiaTheme="minorHAnsi" w:hAnsiTheme="minorHAnsi" w:cstheme="minorHAnsi"/>
          <w:color w:val="auto"/>
          <w:sz w:val="24"/>
          <w:szCs w:val="24"/>
        </w:rPr>
        <w:t xml:space="preserve">Corbett, B., Feeney, A.  and McCormack, T. (2021) ‘Interpersonal regret and prosocial risk taking in children’, </w:t>
      </w:r>
      <w:r w:rsidRPr="00113EBB">
        <w:rPr>
          <w:rFonts w:asciiTheme="minorHAnsi" w:eastAsiaTheme="minorHAnsi" w:hAnsiTheme="minorHAnsi" w:cstheme="minorHAnsi"/>
          <w:i/>
          <w:iCs/>
          <w:color w:val="auto"/>
          <w:sz w:val="24"/>
          <w:szCs w:val="24"/>
        </w:rPr>
        <w:t xml:space="preserve">Cognitive Development, Vol. 58. </w:t>
      </w:r>
      <w:r w:rsidRPr="00113EBB">
        <w:rPr>
          <w:rFonts w:asciiTheme="minorHAnsi" w:eastAsiaTheme="minorHAnsi" w:hAnsiTheme="minorHAnsi" w:cstheme="minorHAnsi"/>
          <w:color w:val="auto"/>
          <w:sz w:val="24"/>
          <w:szCs w:val="24"/>
        </w:rPr>
        <w:t xml:space="preserve">[Online]. Available at: </w:t>
      </w:r>
      <w:hyperlink r:id="rId137" w:history="1">
        <w:r w:rsidRPr="00113EBB">
          <w:rPr>
            <w:rFonts w:asciiTheme="minorHAnsi" w:hAnsiTheme="minorHAnsi" w:cstheme="minorHAnsi"/>
            <w:color w:val="0000FF"/>
            <w:sz w:val="24"/>
            <w:szCs w:val="24"/>
            <w:u w:val="single"/>
          </w:rPr>
          <w:t>Interpersonal regret and prosocial risk taking in children - ScienceDirect</w:t>
        </w:r>
      </w:hyperlink>
      <w:r w:rsidRPr="00113EBB">
        <w:rPr>
          <w:rFonts w:asciiTheme="minorHAnsi" w:hAnsiTheme="minorHAnsi" w:cstheme="minorHAnsi"/>
          <w:sz w:val="24"/>
          <w:szCs w:val="24"/>
        </w:rPr>
        <w:t xml:space="preserve"> (Accessed: 30</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March 2021)</w:t>
      </w:r>
    </w:p>
    <w:p w14:paraId="432996BC"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2D887886"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i/>
          <w:iCs/>
          <w:color w:val="auto"/>
          <w:sz w:val="24"/>
          <w:szCs w:val="24"/>
        </w:rPr>
      </w:pPr>
      <w:r w:rsidRPr="00113EBB">
        <w:rPr>
          <w:rFonts w:asciiTheme="minorHAnsi" w:hAnsiTheme="minorHAnsi" w:cstheme="minorHAnsi"/>
          <w:sz w:val="24"/>
          <w:szCs w:val="24"/>
        </w:rPr>
        <w:t xml:space="preserve">Donoghue, C. </w:t>
      </w:r>
      <w:proofErr w:type="spellStart"/>
      <w:r w:rsidRPr="00113EBB">
        <w:rPr>
          <w:rFonts w:asciiTheme="minorHAnsi" w:hAnsiTheme="minorHAnsi" w:cstheme="minorHAnsi"/>
          <w:sz w:val="24"/>
          <w:szCs w:val="24"/>
        </w:rPr>
        <w:t>Bonillas</w:t>
      </w:r>
      <w:proofErr w:type="spellEnd"/>
      <w:r w:rsidRPr="00113EBB">
        <w:rPr>
          <w:rFonts w:asciiTheme="minorHAnsi" w:hAnsiTheme="minorHAnsi" w:cstheme="minorHAnsi"/>
          <w:sz w:val="24"/>
          <w:szCs w:val="24"/>
        </w:rPr>
        <w:t xml:space="preserve">, C., Moreno, J., Cardoza, O. and Cheung, M. (2017) ‘Young people’s perceptions of advice about sexual risk taking’, </w:t>
      </w:r>
      <w:r w:rsidRPr="00113EBB">
        <w:rPr>
          <w:rFonts w:asciiTheme="minorHAnsi" w:hAnsiTheme="minorHAnsi" w:cstheme="minorHAnsi"/>
          <w:i/>
          <w:iCs/>
          <w:sz w:val="24"/>
          <w:szCs w:val="24"/>
        </w:rPr>
        <w:t xml:space="preserve">Sex Education, Vol. 17, pp73-85. </w:t>
      </w:r>
      <w:r w:rsidRPr="00113EBB">
        <w:rPr>
          <w:rFonts w:asciiTheme="minorHAnsi" w:hAnsiTheme="minorHAnsi" w:cstheme="minorHAnsi"/>
          <w:sz w:val="24"/>
          <w:szCs w:val="24"/>
        </w:rPr>
        <w:t xml:space="preserve">[Online]. Available at: </w:t>
      </w:r>
      <w:hyperlink r:id="rId138" w:history="1">
        <w:r w:rsidRPr="00113EBB">
          <w:rPr>
            <w:rFonts w:asciiTheme="minorHAnsi" w:hAnsiTheme="minorHAnsi" w:cstheme="minorHAnsi"/>
            <w:color w:val="0000FF"/>
            <w:sz w:val="24"/>
            <w:szCs w:val="24"/>
            <w:u w:val="single"/>
          </w:rPr>
          <w:t>Young people’s perceptions of advice about sexual risk taking: Sex Education: Vol 17, No 1 (tandfonline.com)</w:t>
        </w:r>
      </w:hyperlink>
      <w:r w:rsidRPr="00113EBB">
        <w:rPr>
          <w:rFonts w:asciiTheme="minorHAnsi" w:hAnsiTheme="minorHAnsi" w:cstheme="minorHAnsi"/>
          <w:sz w:val="24"/>
          <w:szCs w:val="24"/>
        </w:rPr>
        <w:t xml:space="preserve"> (Accessed: 4</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February 2021)</w:t>
      </w:r>
      <w:r w:rsidRPr="00113EBB">
        <w:rPr>
          <w:rFonts w:asciiTheme="minorHAnsi" w:eastAsiaTheme="minorHAnsi" w:hAnsiTheme="minorHAnsi" w:cstheme="minorHAnsi"/>
          <w:i/>
          <w:iCs/>
          <w:color w:val="auto"/>
          <w:sz w:val="24"/>
          <w:szCs w:val="24"/>
        </w:rPr>
        <w:t xml:space="preserve"> </w:t>
      </w:r>
    </w:p>
    <w:p w14:paraId="6784786E"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600D064D"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roofErr w:type="spellStart"/>
      <w:r w:rsidRPr="00113EBB">
        <w:rPr>
          <w:rFonts w:asciiTheme="minorHAnsi" w:eastAsiaTheme="minorHAnsi" w:hAnsiTheme="minorHAnsi" w:cstheme="minorHAnsi"/>
          <w:color w:val="auto"/>
          <w:sz w:val="24"/>
          <w:szCs w:val="24"/>
        </w:rPr>
        <w:t>Duell</w:t>
      </w:r>
      <w:proofErr w:type="spellEnd"/>
      <w:r w:rsidRPr="00113EBB">
        <w:rPr>
          <w:rFonts w:asciiTheme="minorHAnsi" w:eastAsiaTheme="minorHAnsi" w:hAnsiTheme="minorHAnsi" w:cstheme="minorHAnsi"/>
          <w:color w:val="auto"/>
          <w:sz w:val="24"/>
          <w:szCs w:val="24"/>
        </w:rPr>
        <w:t xml:space="preserve">, N. and Steinberg, L. (2019) ‘Positive Risk Taking in Adolescence’, </w:t>
      </w:r>
      <w:r w:rsidRPr="00113EBB">
        <w:rPr>
          <w:rFonts w:asciiTheme="minorHAnsi" w:eastAsiaTheme="minorHAnsi" w:hAnsiTheme="minorHAnsi" w:cstheme="minorHAnsi"/>
          <w:i/>
          <w:iCs/>
          <w:color w:val="auto"/>
          <w:sz w:val="24"/>
          <w:szCs w:val="24"/>
        </w:rPr>
        <w:t xml:space="preserve">Child Development Perspectives. </w:t>
      </w:r>
      <w:r w:rsidRPr="00113EBB">
        <w:rPr>
          <w:rFonts w:asciiTheme="minorHAnsi" w:eastAsiaTheme="minorHAnsi" w:hAnsiTheme="minorHAnsi" w:cstheme="minorHAnsi"/>
          <w:color w:val="auto"/>
          <w:sz w:val="24"/>
          <w:szCs w:val="24"/>
        </w:rPr>
        <w:t xml:space="preserve">[Online]. Available at: </w:t>
      </w:r>
      <w:hyperlink r:id="rId139" w:history="1">
        <w:r w:rsidRPr="00113EBB">
          <w:rPr>
            <w:rFonts w:asciiTheme="minorHAnsi" w:hAnsiTheme="minorHAnsi" w:cstheme="minorHAnsi"/>
            <w:color w:val="0000FF"/>
            <w:sz w:val="24"/>
            <w:szCs w:val="24"/>
            <w:u w:val="single"/>
          </w:rPr>
          <w:t>Positive Risk Taking in Adolescence - PubMed (nih.gov)</w:t>
        </w:r>
      </w:hyperlink>
      <w:r w:rsidRPr="00113EBB">
        <w:rPr>
          <w:rFonts w:asciiTheme="minorHAnsi" w:hAnsiTheme="minorHAnsi" w:cstheme="minorHAnsi"/>
          <w:sz w:val="24"/>
          <w:szCs w:val="24"/>
        </w:rPr>
        <w:t xml:space="preserve"> (Accessed: 13</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April 2021)</w:t>
      </w:r>
    </w:p>
    <w:p w14:paraId="6EB798DA"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146FDE15"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i/>
          <w:iCs/>
          <w:color w:val="auto"/>
          <w:sz w:val="24"/>
          <w:szCs w:val="24"/>
        </w:rPr>
      </w:pPr>
      <w:r w:rsidRPr="00113EBB">
        <w:rPr>
          <w:rFonts w:asciiTheme="minorHAnsi" w:eastAsiaTheme="minorHAnsi" w:hAnsiTheme="minorHAnsi" w:cstheme="minorHAnsi"/>
          <w:color w:val="auto"/>
          <w:sz w:val="24"/>
          <w:szCs w:val="24"/>
        </w:rPr>
        <w:t>Exner-</w:t>
      </w:r>
      <w:proofErr w:type="spellStart"/>
      <w:r w:rsidRPr="00113EBB">
        <w:rPr>
          <w:rFonts w:asciiTheme="minorHAnsi" w:eastAsiaTheme="minorHAnsi" w:hAnsiTheme="minorHAnsi" w:cstheme="minorHAnsi"/>
          <w:color w:val="auto"/>
          <w:sz w:val="24"/>
          <w:szCs w:val="24"/>
        </w:rPr>
        <w:t>Cortens</w:t>
      </w:r>
      <w:proofErr w:type="spellEnd"/>
      <w:r w:rsidRPr="00113EBB">
        <w:rPr>
          <w:rFonts w:asciiTheme="minorHAnsi" w:eastAsiaTheme="minorHAnsi" w:hAnsiTheme="minorHAnsi" w:cstheme="minorHAnsi"/>
          <w:color w:val="auto"/>
          <w:sz w:val="24"/>
          <w:szCs w:val="24"/>
        </w:rPr>
        <w:t xml:space="preserve">, D., Baker, E. and Craig, W. (2021) ‘The National Prevalence of Adolescent Dating Violence in Canada’, </w:t>
      </w:r>
      <w:r w:rsidRPr="00113EBB">
        <w:rPr>
          <w:rFonts w:asciiTheme="minorHAnsi" w:eastAsiaTheme="minorHAnsi" w:hAnsiTheme="minorHAnsi" w:cstheme="minorHAnsi"/>
          <w:i/>
          <w:iCs/>
          <w:color w:val="auto"/>
          <w:sz w:val="24"/>
          <w:szCs w:val="24"/>
        </w:rPr>
        <w:t xml:space="preserve">Journal of Adolescent Health, </w:t>
      </w:r>
      <w:r w:rsidRPr="00113EBB">
        <w:rPr>
          <w:rFonts w:asciiTheme="minorHAnsi" w:eastAsiaTheme="minorHAnsi" w:hAnsiTheme="minorHAnsi" w:cstheme="minorHAnsi"/>
          <w:color w:val="auto"/>
          <w:sz w:val="24"/>
          <w:szCs w:val="24"/>
        </w:rPr>
        <w:t xml:space="preserve">[Article </w:t>
      </w:r>
      <w:proofErr w:type="gramStart"/>
      <w:r w:rsidRPr="00113EBB">
        <w:rPr>
          <w:rFonts w:asciiTheme="minorHAnsi" w:eastAsiaTheme="minorHAnsi" w:hAnsiTheme="minorHAnsi" w:cstheme="minorHAnsi"/>
          <w:color w:val="auto"/>
          <w:sz w:val="24"/>
          <w:szCs w:val="24"/>
        </w:rPr>
        <w:t>In</w:t>
      </w:r>
      <w:proofErr w:type="gramEnd"/>
      <w:r w:rsidRPr="00113EBB">
        <w:rPr>
          <w:rFonts w:asciiTheme="minorHAnsi" w:eastAsiaTheme="minorHAnsi" w:hAnsiTheme="minorHAnsi" w:cstheme="minorHAnsi"/>
          <w:color w:val="auto"/>
          <w:sz w:val="24"/>
          <w:szCs w:val="24"/>
        </w:rPr>
        <w:t xml:space="preserve"> Press</w:t>
      </w:r>
      <w:bookmarkStart w:id="31" w:name="_Hlk70941393"/>
      <w:r w:rsidRPr="00113EBB">
        <w:rPr>
          <w:rFonts w:asciiTheme="minorHAnsi" w:eastAsiaTheme="minorHAnsi" w:hAnsiTheme="minorHAnsi" w:cstheme="minorHAnsi"/>
          <w:color w:val="auto"/>
          <w:sz w:val="24"/>
          <w:szCs w:val="24"/>
        </w:rPr>
        <w:t xml:space="preserve">] </w:t>
      </w:r>
      <w:r w:rsidRPr="00113EBB">
        <w:rPr>
          <w:rFonts w:asciiTheme="minorHAnsi" w:hAnsiTheme="minorHAnsi" w:cstheme="minorHAnsi"/>
          <w:sz w:val="24"/>
          <w:szCs w:val="24"/>
        </w:rPr>
        <w:t xml:space="preserve">[Online].  </w:t>
      </w:r>
      <w:bookmarkEnd w:id="31"/>
      <w:r w:rsidRPr="00113EBB">
        <w:rPr>
          <w:rFonts w:asciiTheme="minorHAnsi" w:hAnsiTheme="minorHAnsi" w:cstheme="minorHAnsi"/>
          <w:sz w:val="24"/>
          <w:szCs w:val="24"/>
        </w:rPr>
        <w:t xml:space="preserve">Available at: </w:t>
      </w:r>
      <w:r w:rsidRPr="00113EBB">
        <w:rPr>
          <w:rFonts w:asciiTheme="minorHAnsi" w:eastAsiaTheme="minorHAnsi" w:hAnsiTheme="minorHAnsi" w:cstheme="minorHAnsi"/>
          <w:i/>
          <w:iCs/>
          <w:color w:val="auto"/>
          <w:sz w:val="24"/>
          <w:szCs w:val="24"/>
        </w:rPr>
        <w:t xml:space="preserve"> </w:t>
      </w:r>
      <w:hyperlink r:id="rId140" w:anchor=":~:text=The%20national%20prevalence%20of%20adolescent%20dating%20violence%20%28ADV%29,prevalence%20and%20correlates%20of%20ADV%20victimization%20and%20perpetration." w:history="1">
        <w:r w:rsidRPr="00113EBB">
          <w:rPr>
            <w:rFonts w:asciiTheme="minorHAnsi" w:hAnsiTheme="minorHAnsi" w:cstheme="minorHAnsi"/>
            <w:color w:val="0000FF"/>
            <w:sz w:val="24"/>
            <w:szCs w:val="24"/>
            <w:u w:val="single"/>
          </w:rPr>
          <w:t>https://www.sciencedirect.com/science/article/pii/S1054139X21000653#:~:text=The%20national%20prevalence%20of%20adolescent%20dating%20violence%20%28ADV%29,prevalence%20and%20correlates%20of%20ADV%20victimization%20and%20perpetration.</w:t>
        </w:r>
      </w:hyperlink>
      <w:r w:rsidRPr="00113EBB">
        <w:rPr>
          <w:rFonts w:asciiTheme="minorHAnsi" w:hAnsiTheme="minorHAnsi" w:cstheme="minorHAnsi"/>
          <w:sz w:val="24"/>
          <w:szCs w:val="24"/>
        </w:rPr>
        <w:t xml:space="preserve">  (Accessed: 14</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April 2021)</w:t>
      </w:r>
    </w:p>
    <w:p w14:paraId="22A77AE9"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0E2307BA"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r w:rsidRPr="00113EBB">
        <w:rPr>
          <w:rFonts w:asciiTheme="minorHAnsi" w:hAnsiTheme="minorHAnsi" w:cstheme="minorHAnsi"/>
          <w:sz w:val="24"/>
          <w:szCs w:val="24"/>
        </w:rPr>
        <w:t xml:space="preserve">Felton, A., Wright, N. and Stacey, G. (2017) ‘Therapeutic risk-taking: a justifiable choice’, </w:t>
      </w:r>
      <w:proofErr w:type="spellStart"/>
      <w:r w:rsidRPr="00113EBB">
        <w:rPr>
          <w:rFonts w:asciiTheme="minorHAnsi" w:hAnsiTheme="minorHAnsi" w:cstheme="minorHAnsi"/>
          <w:i/>
          <w:iCs/>
          <w:sz w:val="24"/>
          <w:szCs w:val="24"/>
        </w:rPr>
        <w:t>BJPsych</w:t>
      </w:r>
      <w:proofErr w:type="spellEnd"/>
      <w:r w:rsidRPr="00113EBB">
        <w:rPr>
          <w:rFonts w:asciiTheme="minorHAnsi" w:hAnsiTheme="minorHAnsi" w:cstheme="minorHAnsi"/>
          <w:i/>
          <w:iCs/>
          <w:sz w:val="24"/>
          <w:szCs w:val="24"/>
        </w:rPr>
        <w:t xml:space="preserve"> Advances, Vol. 23, pp81-88. </w:t>
      </w:r>
      <w:r w:rsidRPr="00113EBB">
        <w:rPr>
          <w:rFonts w:asciiTheme="minorHAnsi" w:hAnsiTheme="minorHAnsi" w:cstheme="minorHAnsi"/>
          <w:sz w:val="24"/>
          <w:szCs w:val="24"/>
        </w:rPr>
        <w:t xml:space="preserve">[Online]. Available at: </w:t>
      </w:r>
      <w:hyperlink r:id="rId141" w:history="1">
        <w:r w:rsidRPr="00113EBB">
          <w:rPr>
            <w:rFonts w:asciiTheme="minorHAnsi" w:hAnsiTheme="minorHAnsi" w:cstheme="minorHAnsi"/>
            <w:color w:val="0000FF"/>
            <w:sz w:val="24"/>
            <w:szCs w:val="24"/>
            <w:u w:val="single"/>
          </w:rPr>
          <w:t xml:space="preserve">Therapeutic risk-taking: A justifiable choice | </w:t>
        </w:r>
        <w:proofErr w:type="spellStart"/>
        <w:r w:rsidRPr="00113EBB">
          <w:rPr>
            <w:rFonts w:asciiTheme="minorHAnsi" w:hAnsiTheme="minorHAnsi" w:cstheme="minorHAnsi"/>
            <w:color w:val="0000FF"/>
            <w:sz w:val="24"/>
            <w:szCs w:val="24"/>
            <w:u w:val="single"/>
          </w:rPr>
          <w:t>BJPsych</w:t>
        </w:r>
        <w:proofErr w:type="spellEnd"/>
        <w:r w:rsidRPr="00113EBB">
          <w:rPr>
            <w:rFonts w:asciiTheme="minorHAnsi" w:hAnsiTheme="minorHAnsi" w:cstheme="minorHAnsi"/>
            <w:color w:val="0000FF"/>
            <w:sz w:val="24"/>
            <w:szCs w:val="24"/>
            <w:u w:val="single"/>
          </w:rPr>
          <w:t xml:space="preserve"> Advances | Cambridge Core</w:t>
        </w:r>
      </w:hyperlink>
      <w:r w:rsidRPr="00113EBB">
        <w:rPr>
          <w:rFonts w:asciiTheme="minorHAnsi" w:hAnsiTheme="minorHAnsi" w:cstheme="minorHAnsi"/>
          <w:sz w:val="24"/>
          <w:szCs w:val="24"/>
        </w:rPr>
        <w:t xml:space="preserve"> (Accessed: 16</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April 2021) </w:t>
      </w:r>
    </w:p>
    <w:p w14:paraId="70EC1E31"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2D4F43C6"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r w:rsidRPr="00113EBB">
        <w:rPr>
          <w:rFonts w:asciiTheme="minorHAnsi" w:eastAsiaTheme="minorHAnsi" w:hAnsiTheme="minorHAnsi" w:cstheme="minorHAnsi"/>
          <w:color w:val="auto"/>
          <w:sz w:val="24"/>
          <w:szCs w:val="24"/>
        </w:rPr>
        <w:t xml:space="preserve">Geldard, K. (ed.) (2009) </w:t>
      </w:r>
      <w:r w:rsidRPr="00113EBB">
        <w:rPr>
          <w:rFonts w:asciiTheme="minorHAnsi" w:eastAsiaTheme="minorHAnsi" w:hAnsiTheme="minorHAnsi" w:cstheme="minorHAnsi"/>
          <w:i/>
          <w:iCs/>
          <w:color w:val="auto"/>
          <w:sz w:val="24"/>
          <w:szCs w:val="24"/>
        </w:rPr>
        <w:t xml:space="preserve">Practical Interventions for Young People at Risk. </w:t>
      </w:r>
      <w:r w:rsidRPr="00113EBB">
        <w:rPr>
          <w:rFonts w:asciiTheme="minorHAnsi" w:eastAsiaTheme="minorHAnsi" w:hAnsiTheme="minorHAnsi" w:cstheme="minorHAnsi"/>
          <w:color w:val="auto"/>
          <w:sz w:val="24"/>
          <w:szCs w:val="24"/>
        </w:rPr>
        <w:t>London: SAGE.</w:t>
      </w:r>
    </w:p>
    <w:p w14:paraId="54E7D413"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5CBFD23D"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roofErr w:type="spellStart"/>
      <w:r w:rsidRPr="00113EBB">
        <w:rPr>
          <w:rFonts w:asciiTheme="minorHAnsi" w:eastAsiaTheme="minorHAnsi" w:hAnsiTheme="minorHAnsi" w:cstheme="minorHAnsi"/>
          <w:color w:val="auto"/>
          <w:sz w:val="24"/>
          <w:szCs w:val="24"/>
        </w:rPr>
        <w:t>Guthold</w:t>
      </w:r>
      <w:proofErr w:type="spellEnd"/>
      <w:r w:rsidRPr="00113EBB">
        <w:rPr>
          <w:rFonts w:asciiTheme="minorHAnsi" w:eastAsiaTheme="minorHAnsi" w:hAnsiTheme="minorHAnsi" w:cstheme="minorHAnsi"/>
          <w:color w:val="auto"/>
          <w:sz w:val="24"/>
          <w:szCs w:val="24"/>
        </w:rPr>
        <w:t xml:space="preserve">, R., </w:t>
      </w:r>
      <w:proofErr w:type="spellStart"/>
      <w:r w:rsidRPr="00113EBB">
        <w:rPr>
          <w:rFonts w:asciiTheme="minorHAnsi" w:eastAsiaTheme="minorHAnsi" w:hAnsiTheme="minorHAnsi" w:cstheme="minorHAnsi"/>
          <w:color w:val="auto"/>
          <w:sz w:val="24"/>
          <w:szCs w:val="24"/>
        </w:rPr>
        <w:t>Baltag</w:t>
      </w:r>
      <w:proofErr w:type="spellEnd"/>
      <w:r w:rsidRPr="00113EBB">
        <w:rPr>
          <w:rFonts w:asciiTheme="minorHAnsi" w:eastAsiaTheme="minorHAnsi" w:hAnsiTheme="minorHAnsi" w:cstheme="minorHAnsi"/>
          <w:color w:val="auto"/>
          <w:sz w:val="24"/>
          <w:szCs w:val="24"/>
        </w:rPr>
        <w:t xml:space="preserve">, V., </w:t>
      </w:r>
      <w:proofErr w:type="spellStart"/>
      <w:r w:rsidRPr="00113EBB">
        <w:rPr>
          <w:rFonts w:asciiTheme="minorHAnsi" w:eastAsiaTheme="minorHAnsi" w:hAnsiTheme="minorHAnsi" w:cstheme="minorHAnsi"/>
          <w:color w:val="auto"/>
          <w:sz w:val="24"/>
          <w:szCs w:val="24"/>
        </w:rPr>
        <w:t>Katwan</w:t>
      </w:r>
      <w:proofErr w:type="spellEnd"/>
      <w:r w:rsidRPr="00113EBB">
        <w:rPr>
          <w:rFonts w:asciiTheme="minorHAnsi" w:eastAsiaTheme="minorHAnsi" w:hAnsiTheme="minorHAnsi" w:cstheme="minorHAnsi"/>
          <w:color w:val="auto"/>
          <w:sz w:val="24"/>
          <w:szCs w:val="24"/>
        </w:rPr>
        <w:t xml:space="preserve">, E., Lopez, G., Diaz, T. and Ross, D. (2021) ‘Easy Access to the Latest Global, Regional and National Adolescent Health Data: The World Health Organization Maternal, </w:t>
      </w:r>
      <w:proofErr w:type="spellStart"/>
      <w:r w:rsidRPr="00113EBB">
        <w:rPr>
          <w:rFonts w:asciiTheme="minorHAnsi" w:eastAsiaTheme="minorHAnsi" w:hAnsiTheme="minorHAnsi" w:cstheme="minorHAnsi"/>
          <w:color w:val="auto"/>
          <w:sz w:val="24"/>
          <w:szCs w:val="24"/>
        </w:rPr>
        <w:t>Newborn</w:t>
      </w:r>
      <w:proofErr w:type="spellEnd"/>
      <w:r w:rsidRPr="00113EBB">
        <w:rPr>
          <w:rFonts w:asciiTheme="minorHAnsi" w:eastAsiaTheme="minorHAnsi" w:hAnsiTheme="minorHAnsi" w:cstheme="minorHAnsi"/>
          <w:color w:val="auto"/>
          <w:sz w:val="24"/>
          <w:szCs w:val="24"/>
        </w:rPr>
        <w:t xml:space="preserve">, Child, and Adolescent Health and Ageing Data Portal’, </w:t>
      </w:r>
      <w:r w:rsidRPr="00113EBB">
        <w:rPr>
          <w:rFonts w:asciiTheme="minorHAnsi" w:eastAsiaTheme="minorHAnsi" w:hAnsiTheme="minorHAnsi" w:cstheme="minorHAnsi"/>
          <w:i/>
          <w:iCs/>
          <w:color w:val="auto"/>
          <w:sz w:val="24"/>
          <w:szCs w:val="24"/>
        </w:rPr>
        <w:t xml:space="preserve">Journal of Adolescent Health, Vol. 68, pp243-244. </w:t>
      </w:r>
      <w:r w:rsidRPr="00113EBB">
        <w:rPr>
          <w:rFonts w:asciiTheme="minorHAnsi" w:eastAsiaTheme="minorHAnsi" w:hAnsiTheme="minorHAnsi" w:cstheme="minorHAnsi"/>
          <w:color w:val="auto"/>
          <w:sz w:val="24"/>
          <w:szCs w:val="24"/>
        </w:rPr>
        <w:t xml:space="preserve">[Online]. Available at: </w:t>
      </w:r>
      <w:hyperlink r:id="rId142" w:history="1">
        <w:r w:rsidRPr="00113EBB">
          <w:rPr>
            <w:rFonts w:asciiTheme="minorHAnsi" w:hAnsiTheme="minorHAnsi" w:cstheme="minorHAnsi"/>
            <w:color w:val="0000FF"/>
            <w:sz w:val="24"/>
            <w:szCs w:val="24"/>
            <w:u w:val="single"/>
          </w:rPr>
          <w:t xml:space="preserve">Easy Access to the Latest Global, Regional, and National Adolescent Health Data: The World Health Organization Maternal, </w:t>
        </w:r>
        <w:proofErr w:type="spellStart"/>
        <w:r w:rsidRPr="00113EBB">
          <w:rPr>
            <w:rFonts w:asciiTheme="minorHAnsi" w:hAnsiTheme="minorHAnsi" w:cstheme="minorHAnsi"/>
            <w:color w:val="0000FF"/>
            <w:sz w:val="24"/>
            <w:szCs w:val="24"/>
            <w:u w:val="single"/>
          </w:rPr>
          <w:t>Newborn</w:t>
        </w:r>
        <w:proofErr w:type="spellEnd"/>
        <w:r w:rsidRPr="00113EBB">
          <w:rPr>
            <w:rFonts w:asciiTheme="minorHAnsi" w:hAnsiTheme="minorHAnsi" w:cstheme="minorHAnsi"/>
            <w:color w:val="0000FF"/>
            <w:sz w:val="24"/>
            <w:szCs w:val="24"/>
            <w:u w:val="single"/>
          </w:rPr>
          <w:t>, Child, and Adolescent Health and Ageing Data Portal - ScienceDirect</w:t>
        </w:r>
      </w:hyperlink>
      <w:r w:rsidRPr="00113EBB">
        <w:rPr>
          <w:rFonts w:asciiTheme="minorHAnsi" w:hAnsiTheme="minorHAnsi" w:cstheme="minorHAnsi"/>
          <w:sz w:val="24"/>
          <w:szCs w:val="24"/>
        </w:rPr>
        <w:t xml:space="preserve"> (Accessed: 19</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March 2021)</w:t>
      </w:r>
      <w:r w:rsidRPr="00113EBB">
        <w:rPr>
          <w:rFonts w:asciiTheme="minorHAnsi" w:eastAsiaTheme="minorHAnsi" w:hAnsiTheme="minorHAnsi" w:cstheme="minorHAnsi"/>
          <w:color w:val="auto"/>
          <w:sz w:val="24"/>
          <w:szCs w:val="24"/>
        </w:rPr>
        <w:t xml:space="preserve"> </w:t>
      </w:r>
    </w:p>
    <w:p w14:paraId="45F1593C"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56F91BED"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roofErr w:type="spellStart"/>
      <w:r w:rsidRPr="00113EBB">
        <w:rPr>
          <w:rFonts w:asciiTheme="minorHAnsi" w:eastAsiaTheme="minorHAnsi" w:hAnsiTheme="minorHAnsi" w:cstheme="minorHAnsi"/>
          <w:color w:val="auto"/>
          <w:sz w:val="24"/>
          <w:szCs w:val="24"/>
        </w:rPr>
        <w:t>Hallingberg</w:t>
      </w:r>
      <w:proofErr w:type="spellEnd"/>
      <w:r w:rsidRPr="00113EBB">
        <w:rPr>
          <w:rFonts w:asciiTheme="minorHAnsi" w:eastAsiaTheme="minorHAnsi" w:hAnsiTheme="minorHAnsi" w:cstheme="minorHAnsi"/>
          <w:color w:val="auto"/>
          <w:sz w:val="24"/>
          <w:szCs w:val="24"/>
        </w:rPr>
        <w:t xml:space="preserve">, B., Van </w:t>
      </w:r>
      <w:proofErr w:type="spellStart"/>
      <w:r w:rsidRPr="00113EBB">
        <w:rPr>
          <w:rFonts w:asciiTheme="minorHAnsi" w:eastAsiaTheme="minorHAnsi" w:hAnsiTheme="minorHAnsi" w:cstheme="minorHAnsi"/>
          <w:color w:val="auto"/>
          <w:sz w:val="24"/>
          <w:szCs w:val="24"/>
        </w:rPr>
        <w:t>Goozen</w:t>
      </w:r>
      <w:proofErr w:type="spellEnd"/>
      <w:r w:rsidRPr="00113EBB">
        <w:rPr>
          <w:rFonts w:asciiTheme="minorHAnsi" w:eastAsiaTheme="minorHAnsi" w:hAnsiTheme="minorHAnsi" w:cstheme="minorHAnsi"/>
          <w:color w:val="auto"/>
          <w:sz w:val="24"/>
          <w:szCs w:val="24"/>
        </w:rPr>
        <w:t xml:space="preserve">, S. and Moore, S. (2016) ‘Characteristics associated with risk taking behaviours predict young people’s participation in organised activities’, </w:t>
      </w:r>
      <w:r w:rsidRPr="00113EBB">
        <w:rPr>
          <w:rFonts w:asciiTheme="minorHAnsi" w:eastAsiaTheme="minorHAnsi" w:hAnsiTheme="minorHAnsi" w:cstheme="minorHAnsi"/>
          <w:i/>
          <w:iCs/>
          <w:color w:val="auto"/>
          <w:sz w:val="24"/>
          <w:szCs w:val="24"/>
        </w:rPr>
        <w:t xml:space="preserve">Journal of Adolescence, Vol. 53, pp189-194. </w:t>
      </w:r>
      <w:r w:rsidRPr="00113EBB">
        <w:rPr>
          <w:rFonts w:asciiTheme="minorHAnsi" w:eastAsiaTheme="minorHAnsi" w:hAnsiTheme="minorHAnsi" w:cstheme="minorHAnsi"/>
          <w:color w:val="auto"/>
          <w:sz w:val="24"/>
          <w:szCs w:val="24"/>
        </w:rPr>
        <w:t xml:space="preserve">[Online]. Available at: </w:t>
      </w:r>
      <w:hyperlink r:id="rId143" w:history="1">
        <w:r w:rsidRPr="00113EBB">
          <w:rPr>
            <w:rFonts w:asciiTheme="minorHAnsi" w:hAnsiTheme="minorHAnsi" w:cstheme="minorHAnsi"/>
            <w:color w:val="0000FF"/>
            <w:sz w:val="24"/>
            <w:szCs w:val="24"/>
            <w:u w:val="single"/>
          </w:rPr>
          <w:t>Characteristics associated with risk taking behaviours predict young people's participation in organised activities - ScienceDirect</w:t>
        </w:r>
      </w:hyperlink>
      <w:r w:rsidRPr="00113EBB">
        <w:rPr>
          <w:rFonts w:asciiTheme="minorHAnsi" w:hAnsiTheme="minorHAnsi" w:cstheme="minorHAnsi"/>
          <w:sz w:val="24"/>
          <w:szCs w:val="24"/>
        </w:rPr>
        <w:t xml:space="preserve"> (Accessed: 20</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November 2020)</w:t>
      </w:r>
    </w:p>
    <w:p w14:paraId="2DB137BA"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02B3B23E"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r w:rsidRPr="00113EBB">
        <w:rPr>
          <w:rFonts w:asciiTheme="minorHAnsi" w:eastAsiaTheme="minorHAnsi" w:hAnsiTheme="minorHAnsi" w:cstheme="minorHAnsi"/>
          <w:color w:val="auto"/>
          <w:sz w:val="24"/>
          <w:szCs w:val="24"/>
        </w:rPr>
        <w:t xml:space="preserve">Hayes, N. (1994) </w:t>
      </w:r>
      <w:r w:rsidRPr="00113EBB">
        <w:rPr>
          <w:rFonts w:asciiTheme="minorHAnsi" w:eastAsiaTheme="minorHAnsi" w:hAnsiTheme="minorHAnsi" w:cstheme="minorHAnsi"/>
          <w:i/>
          <w:iCs/>
          <w:color w:val="auto"/>
          <w:sz w:val="24"/>
          <w:szCs w:val="24"/>
        </w:rPr>
        <w:t xml:space="preserve">Foundations of Psychology: An Introductory Text. </w:t>
      </w:r>
      <w:r w:rsidRPr="00113EBB">
        <w:rPr>
          <w:rFonts w:asciiTheme="minorHAnsi" w:eastAsiaTheme="minorHAnsi" w:hAnsiTheme="minorHAnsi" w:cstheme="minorHAnsi"/>
          <w:color w:val="auto"/>
          <w:sz w:val="24"/>
          <w:szCs w:val="24"/>
        </w:rPr>
        <w:t>London: Routledge.</w:t>
      </w:r>
    </w:p>
    <w:p w14:paraId="42C99591"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4A7BB97D"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r w:rsidRPr="00113EBB">
        <w:rPr>
          <w:rFonts w:asciiTheme="minorHAnsi" w:eastAsiaTheme="minorHAnsi" w:hAnsiTheme="minorHAnsi" w:cstheme="minorHAnsi"/>
          <w:color w:val="auto"/>
          <w:sz w:val="24"/>
          <w:szCs w:val="24"/>
        </w:rPr>
        <w:t xml:space="preserve">Henderson, S., Holland, J., </w:t>
      </w:r>
      <w:proofErr w:type="spellStart"/>
      <w:r w:rsidRPr="00113EBB">
        <w:rPr>
          <w:rFonts w:asciiTheme="minorHAnsi" w:eastAsiaTheme="minorHAnsi" w:hAnsiTheme="minorHAnsi" w:cstheme="minorHAnsi"/>
          <w:color w:val="auto"/>
          <w:sz w:val="24"/>
          <w:szCs w:val="24"/>
        </w:rPr>
        <w:t>McGrellis</w:t>
      </w:r>
      <w:proofErr w:type="spellEnd"/>
      <w:r w:rsidRPr="00113EBB">
        <w:rPr>
          <w:rFonts w:asciiTheme="minorHAnsi" w:eastAsiaTheme="minorHAnsi" w:hAnsiTheme="minorHAnsi" w:cstheme="minorHAnsi"/>
          <w:color w:val="auto"/>
          <w:sz w:val="24"/>
          <w:szCs w:val="24"/>
        </w:rPr>
        <w:t xml:space="preserve">, S., Sharpe, S. and Thomson, R. (2007) </w:t>
      </w:r>
      <w:r w:rsidRPr="00113EBB">
        <w:rPr>
          <w:rFonts w:asciiTheme="minorHAnsi" w:eastAsiaTheme="minorHAnsi" w:hAnsiTheme="minorHAnsi" w:cstheme="minorHAnsi"/>
          <w:i/>
          <w:iCs/>
          <w:color w:val="auto"/>
          <w:sz w:val="24"/>
          <w:szCs w:val="24"/>
        </w:rPr>
        <w:t xml:space="preserve">Inventing adulthoods: a biographical approach to youth transitions. </w:t>
      </w:r>
      <w:r w:rsidRPr="00113EBB">
        <w:rPr>
          <w:rFonts w:asciiTheme="minorHAnsi" w:eastAsiaTheme="minorHAnsi" w:hAnsiTheme="minorHAnsi" w:cstheme="minorHAnsi"/>
          <w:color w:val="auto"/>
          <w:sz w:val="24"/>
          <w:szCs w:val="24"/>
        </w:rPr>
        <w:t>London: SAGE.</w:t>
      </w:r>
    </w:p>
    <w:p w14:paraId="0787CAC7"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7F7AEA03"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r w:rsidRPr="00113EBB">
        <w:rPr>
          <w:rFonts w:asciiTheme="minorHAnsi" w:eastAsiaTheme="minorHAnsi" w:hAnsiTheme="minorHAnsi" w:cstheme="minorHAnsi"/>
          <w:color w:val="auto"/>
          <w:sz w:val="24"/>
          <w:szCs w:val="24"/>
        </w:rPr>
        <w:t xml:space="preserve">Jorgensen, S., </w:t>
      </w:r>
      <w:proofErr w:type="spellStart"/>
      <w:r w:rsidRPr="00113EBB">
        <w:rPr>
          <w:rFonts w:asciiTheme="minorHAnsi" w:eastAsiaTheme="minorHAnsi" w:hAnsiTheme="minorHAnsi" w:cstheme="minorHAnsi"/>
          <w:color w:val="auto"/>
          <w:sz w:val="24"/>
          <w:szCs w:val="24"/>
        </w:rPr>
        <w:t>Thygesen</w:t>
      </w:r>
      <w:proofErr w:type="spellEnd"/>
      <w:r w:rsidRPr="00113EBB">
        <w:rPr>
          <w:rFonts w:asciiTheme="minorHAnsi" w:eastAsiaTheme="minorHAnsi" w:hAnsiTheme="minorHAnsi" w:cstheme="minorHAnsi"/>
          <w:color w:val="auto"/>
          <w:sz w:val="24"/>
          <w:szCs w:val="24"/>
        </w:rPr>
        <w:t xml:space="preserve">, L., Michelsen, S. Due, P., </w:t>
      </w:r>
      <w:proofErr w:type="spellStart"/>
      <w:r w:rsidRPr="00113EBB">
        <w:rPr>
          <w:rFonts w:asciiTheme="minorHAnsi" w:eastAsiaTheme="minorHAnsi" w:hAnsiTheme="minorHAnsi" w:cstheme="minorHAnsi"/>
          <w:color w:val="auto"/>
          <w:sz w:val="24"/>
          <w:szCs w:val="24"/>
        </w:rPr>
        <w:t>Bidstrup</w:t>
      </w:r>
      <w:proofErr w:type="spellEnd"/>
      <w:r w:rsidRPr="00113EBB">
        <w:rPr>
          <w:rFonts w:asciiTheme="minorHAnsi" w:eastAsiaTheme="minorHAnsi" w:hAnsiTheme="minorHAnsi" w:cstheme="minorHAnsi"/>
          <w:color w:val="auto"/>
          <w:sz w:val="24"/>
          <w:szCs w:val="24"/>
        </w:rPr>
        <w:t xml:space="preserve">, P., </w:t>
      </w:r>
      <w:proofErr w:type="spellStart"/>
      <w:r w:rsidRPr="00113EBB">
        <w:rPr>
          <w:rFonts w:asciiTheme="minorHAnsi" w:eastAsiaTheme="minorHAnsi" w:hAnsiTheme="minorHAnsi" w:cstheme="minorHAnsi"/>
          <w:color w:val="auto"/>
          <w:sz w:val="24"/>
          <w:szCs w:val="24"/>
        </w:rPr>
        <w:t>Hoeg</w:t>
      </w:r>
      <w:proofErr w:type="spellEnd"/>
      <w:r w:rsidRPr="00113EBB">
        <w:rPr>
          <w:rFonts w:asciiTheme="minorHAnsi" w:eastAsiaTheme="minorHAnsi" w:hAnsiTheme="minorHAnsi" w:cstheme="minorHAnsi"/>
          <w:color w:val="auto"/>
          <w:sz w:val="24"/>
          <w:szCs w:val="24"/>
        </w:rPr>
        <w:t xml:space="preserve">, B. and Andersen, A. (2020) ‘Why Do Some Adolescents Manage Despite Parental Illness?  Identifying Promotive Factors’, </w:t>
      </w:r>
      <w:r w:rsidRPr="00113EBB">
        <w:rPr>
          <w:rFonts w:asciiTheme="minorHAnsi" w:eastAsiaTheme="minorHAnsi" w:hAnsiTheme="minorHAnsi" w:cstheme="minorHAnsi"/>
          <w:i/>
          <w:iCs/>
          <w:color w:val="auto"/>
          <w:sz w:val="24"/>
          <w:szCs w:val="24"/>
        </w:rPr>
        <w:t xml:space="preserve">Journal of Adolescent Health. </w:t>
      </w:r>
      <w:r w:rsidRPr="00113EBB">
        <w:rPr>
          <w:rFonts w:asciiTheme="minorHAnsi" w:eastAsiaTheme="minorHAnsi" w:hAnsiTheme="minorHAnsi" w:cstheme="minorHAnsi"/>
          <w:color w:val="auto"/>
          <w:sz w:val="24"/>
          <w:szCs w:val="24"/>
        </w:rPr>
        <w:t xml:space="preserve">[Online]. Available at: </w:t>
      </w:r>
      <w:hyperlink r:id="rId144" w:history="1">
        <w:r w:rsidRPr="00113EBB">
          <w:rPr>
            <w:rFonts w:asciiTheme="minorHAnsi" w:hAnsiTheme="minorHAnsi" w:cstheme="minorHAnsi"/>
            <w:color w:val="0000FF"/>
            <w:sz w:val="24"/>
            <w:szCs w:val="24"/>
            <w:u w:val="single"/>
          </w:rPr>
          <w:t>Why Do Some Adolescents Manage Despite Parental Illness? Identifying Promotive Factors - ScienceDirect</w:t>
        </w:r>
      </w:hyperlink>
      <w:r w:rsidRPr="00113EBB">
        <w:rPr>
          <w:rFonts w:asciiTheme="minorHAnsi" w:hAnsiTheme="minorHAnsi" w:cstheme="minorHAnsi"/>
          <w:sz w:val="24"/>
          <w:szCs w:val="24"/>
        </w:rPr>
        <w:t xml:space="preserve"> (First accessed as an Article in Press 24</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April 2021)</w:t>
      </w:r>
      <w:r w:rsidRPr="00113EBB">
        <w:rPr>
          <w:rFonts w:asciiTheme="minorHAnsi" w:eastAsiaTheme="minorHAnsi" w:hAnsiTheme="minorHAnsi" w:cstheme="minorHAnsi"/>
          <w:i/>
          <w:iCs/>
          <w:color w:val="auto"/>
          <w:sz w:val="24"/>
          <w:szCs w:val="24"/>
        </w:rPr>
        <w:t xml:space="preserve"> </w:t>
      </w:r>
      <w:r w:rsidRPr="00113EBB">
        <w:rPr>
          <w:rFonts w:asciiTheme="minorHAnsi" w:eastAsiaTheme="minorHAnsi" w:hAnsiTheme="minorHAnsi" w:cstheme="minorHAnsi"/>
          <w:color w:val="auto"/>
          <w:sz w:val="24"/>
          <w:szCs w:val="24"/>
        </w:rPr>
        <w:t xml:space="preserve"> </w:t>
      </w:r>
    </w:p>
    <w:p w14:paraId="29707E5C"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5BAC6045"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roofErr w:type="spellStart"/>
      <w:r w:rsidRPr="00113EBB">
        <w:rPr>
          <w:rFonts w:asciiTheme="minorHAnsi" w:eastAsiaTheme="minorHAnsi" w:hAnsiTheme="minorHAnsi" w:cstheme="minorHAnsi"/>
          <w:color w:val="auto"/>
          <w:sz w:val="24"/>
          <w:szCs w:val="24"/>
        </w:rPr>
        <w:t>Kutok</w:t>
      </w:r>
      <w:proofErr w:type="spellEnd"/>
      <w:r w:rsidRPr="00113EBB">
        <w:rPr>
          <w:rFonts w:asciiTheme="minorHAnsi" w:eastAsiaTheme="minorHAnsi" w:hAnsiTheme="minorHAnsi" w:cstheme="minorHAnsi"/>
          <w:color w:val="auto"/>
          <w:sz w:val="24"/>
          <w:szCs w:val="24"/>
        </w:rPr>
        <w:t xml:space="preserve">, E., </w:t>
      </w:r>
      <w:proofErr w:type="spellStart"/>
      <w:r w:rsidRPr="00113EBB">
        <w:rPr>
          <w:rFonts w:asciiTheme="minorHAnsi" w:eastAsiaTheme="minorHAnsi" w:hAnsiTheme="minorHAnsi" w:cstheme="minorHAnsi"/>
          <w:color w:val="auto"/>
          <w:sz w:val="24"/>
          <w:szCs w:val="24"/>
        </w:rPr>
        <w:t>Doria</w:t>
      </w:r>
      <w:proofErr w:type="spellEnd"/>
      <w:r w:rsidRPr="00113EBB">
        <w:rPr>
          <w:rFonts w:asciiTheme="minorHAnsi" w:eastAsiaTheme="minorHAnsi" w:hAnsiTheme="minorHAnsi" w:cstheme="minorHAnsi"/>
          <w:color w:val="auto"/>
          <w:sz w:val="24"/>
          <w:szCs w:val="24"/>
        </w:rPr>
        <w:t xml:space="preserve">, N., </w:t>
      </w:r>
      <w:proofErr w:type="spellStart"/>
      <w:r w:rsidRPr="00113EBB">
        <w:rPr>
          <w:rFonts w:asciiTheme="minorHAnsi" w:eastAsiaTheme="minorHAnsi" w:hAnsiTheme="minorHAnsi" w:cstheme="minorHAnsi"/>
          <w:color w:val="auto"/>
          <w:sz w:val="24"/>
          <w:szCs w:val="24"/>
        </w:rPr>
        <w:t>Dunsiger</w:t>
      </w:r>
      <w:proofErr w:type="spellEnd"/>
      <w:r w:rsidRPr="00113EBB">
        <w:rPr>
          <w:rFonts w:asciiTheme="minorHAnsi" w:eastAsiaTheme="minorHAnsi" w:hAnsiTheme="minorHAnsi" w:cstheme="minorHAnsi"/>
          <w:color w:val="auto"/>
          <w:sz w:val="24"/>
          <w:szCs w:val="24"/>
        </w:rPr>
        <w:t xml:space="preserve">, S., </w:t>
      </w:r>
      <w:proofErr w:type="spellStart"/>
      <w:r w:rsidRPr="00113EBB">
        <w:rPr>
          <w:rFonts w:asciiTheme="minorHAnsi" w:eastAsiaTheme="minorHAnsi" w:hAnsiTheme="minorHAnsi" w:cstheme="minorHAnsi"/>
          <w:color w:val="auto"/>
          <w:sz w:val="24"/>
          <w:szCs w:val="24"/>
        </w:rPr>
        <w:t>Patena</w:t>
      </w:r>
      <w:proofErr w:type="spellEnd"/>
      <w:r w:rsidRPr="00113EBB">
        <w:rPr>
          <w:rFonts w:asciiTheme="minorHAnsi" w:eastAsiaTheme="minorHAnsi" w:hAnsiTheme="minorHAnsi" w:cstheme="minorHAnsi"/>
          <w:color w:val="auto"/>
          <w:sz w:val="24"/>
          <w:szCs w:val="24"/>
        </w:rPr>
        <w:t xml:space="preserve">, J., Nugent, N., </w:t>
      </w:r>
      <w:proofErr w:type="spellStart"/>
      <w:r w:rsidRPr="00113EBB">
        <w:rPr>
          <w:rFonts w:asciiTheme="minorHAnsi" w:eastAsiaTheme="minorHAnsi" w:hAnsiTheme="minorHAnsi" w:cstheme="minorHAnsi"/>
          <w:color w:val="auto"/>
          <w:sz w:val="24"/>
          <w:szCs w:val="24"/>
        </w:rPr>
        <w:t>Riese</w:t>
      </w:r>
      <w:proofErr w:type="spellEnd"/>
      <w:r w:rsidRPr="00113EBB">
        <w:rPr>
          <w:rFonts w:asciiTheme="minorHAnsi" w:eastAsiaTheme="minorHAnsi" w:hAnsiTheme="minorHAnsi" w:cstheme="minorHAnsi"/>
          <w:color w:val="auto"/>
          <w:sz w:val="24"/>
          <w:szCs w:val="24"/>
        </w:rPr>
        <w:t xml:space="preserve">, A., Rosen, R. and Ranney, M. (2021) ‘Feasibility and Cost of Using Instagram to Recruit Adolescents to a Remote Intervention’, </w:t>
      </w:r>
      <w:r w:rsidRPr="00113EBB">
        <w:rPr>
          <w:rFonts w:asciiTheme="minorHAnsi" w:eastAsiaTheme="minorHAnsi" w:hAnsiTheme="minorHAnsi" w:cstheme="minorHAnsi"/>
          <w:i/>
          <w:iCs/>
          <w:color w:val="auto"/>
          <w:sz w:val="24"/>
          <w:szCs w:val="24"/>
        </w:rPr>
        <w:t xml:space="preserve">Journal of Adolescent Health. </w:t>
      </w:r>
      <w:r w:rsidRPr="00113EBB">
        <w:rPr>
          <w:rFonts w:asciiTheme="minorHAnsi" w:eastAsiaTheme="minorHAnsi" w:hAnsiTheme="minorHAnsi" w:cstheme="minorHAnsi"/>
          <w:color w:val="auto"/>
          <w:sz w:val="24"/>
          <w:szCs w:val="24"/>
        </w:rPr>
        <w:t xml:space="preserve">[Online]. Available at: </w:t>
      </w:r>
      <w:hyperlink r:id="rId145" w:history="1">
        <w:r w:rsidRPr="00113EBB">
          <w:rPr>
            <w:rFonts w:asciiTheme="minorHAnsi" w:hAnsiTheme="minorHAnsi" w:cstheme="minorHAnsi"/>
            <w:color w:val="0000FF"/>
            <w:sz w:val="24"/>
            <w:szCs w:val="24"/>
            <w:u w:val="single"/>
          </w:rPr>
          <w:t>Feasibility and Cost of Using Instagram to Recruit Adolescents to a Remote Intervention - ScienceDirect</w:t>
        </w:r>
      </w:hyperlink>
      <w:r w:rsidRPr="00113EBB">
        <w:rPr>
          <w:rFonts w:asciiTheme="minorHAnsi" w:hAnsiTheme="minorHAnsi" w:cstheme="minorHAnsi"/>
          <w:sz w:val="24"/>
          <w:szCs w:val="24"/>
        </w:rPr>
        <w:t xml:space="preserve">  (First accessed as an Article in Press 7</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May 2021) </w:t>
      </w:r>
    </w:p>
    <w:p w14:paraId="7EF61087" w14:textId="77777777" w:rsidR="00113EBB" w:rsidRPr="00113EBB" w:rsidRDefault="00113EBB" w:rsidP="00113EBB">
      <w:pPr>
        <w:spacing w:after="0" w:afterAutospacing="0" w:line="240" w:lineRule="auto"/>
        <w:contextualSpacing/>
        <w:jc w:val="both"/>
        <w:rPr>
          <w:rFonts w:asciiTheme="minorHAnsi" w:eastAsiaTheme="minorHAnsi" w:hAnsiTheme="minorHAnsi" w:cstheme="minorHAnsi"/>
          <w:color w:val="auto"/>
          <w:sz w:val="24"/>
          <w:szCs w:val="24"/>
        </w:rPr>
      </w:pPr>
    </w:p>
    <w:p w14:paraId="40E5069A"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r w:rsidRPr="00113EBB">
        <w:rPr>
          <w:rFonts w:asciiTheme="minorHAnsi" w:hAnsiTheme="minorHAnsi" w:cstheme="minorHAnsi"/>
          <w:color w:val="auto"/>
          <w:sz w:val="24"/>
          <w:szCs w:val="24"/>
        </w:rPr>
        <w:t>Lightfoot, C. (1997)</w:t>
      </w:r>
      <w:r w:rsidRPr="00113EBB">
        <w:rPr>
          <w:rFonts w:asciiTheme="minorHAnsi" w:hAnsiTheme="minorHAnsi" w:cstheme="minorHAnsi"/>
          <w:i/>
          <w:iCs/>
          <w:color w:val="auto"/>
          <w:sz w:val="24"/>
          <w:szCs w:val="24"/>
        </w:rPr>
        <w:t xml:space="preserve"> The Culture of Adolescent Risk-Taking. </w:t>
      </w:r>
      <w:r w:rsidRPr="00113EBB">
        <w:rPr>
          <w:rFonts w:asciiTheme="minorHAnsi" w:hAnsiTheme="minorHAnsi" w:cstheme="minorHAnsi"/>
          <w:color w:val="auto"/>
          <w:sz w:val="24"/>
          <w:szCs w:val="24"/>
        </w:rPr>
        <w:t xml:space="preserve"> New York: The Guilford Press.</w:t>
      </w:r>
    </w:p>
    <w:p w14:paraId="2D3B09A7"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
    <w:p w14:paraId="4CEE1EFD"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r w:rsidRPr="00113EBB">
        <w:rPr>
          <w:rFonts w:asciiTheme="minorHAnsi" w:hAnsiTheme="minorHAnsi" w:cstheme="minorHAnsi"/>
          <w:color w:val="auto"/>
          <w:sz w:val="24"/>
          <w:szCs w:val="24"/>
        </w:rPr>
        <w:t xml:space="preserve">Long, F. (2018) ‘Young people, risk-taking and improving risk communications to adolescents’, </w:t>
      </w:r>
      <w:r w:rsidRPr="00113EBB">
        <w:rPr>
          <w:rFonts w:asciiTheme="minorHAnsi" w:hAnsiTheme="minorHAnsi" w:cstheme="minorHAnsi"/>
          <w:i/>
          <w:iCs/>
          <w:color w:val="auto"/>
          <w:sz w:val="24"/>
          <w:szCs w:val="24"/>
        </w:rPr>
        <w:t xml:space="preserve">Youth and Policy. </w:t>
      </w:r>
      <w:r w:rsidRPr="00113EBB">
        <w:rPr>
          <w:rFonts w:asciiTheme="minorHAnsi" w:hAnsiTheme="minorHAnsi" w:cstheme="minorHAnsi"/>
          <w:color w:val="auto"/>
          <w:sz w:val="24"/>
          <w:szCs w:val="24"/>
        </w:rPr>
        <w:t xml:space="preserve">[Online]. Available at: </w:t>
      </w:r>
      <w:hyperlink r:id="rId146" w:history="1">
        <w:r w:rsidRPr="00113EBB">
          <w:rPr>
            <w:rFonts w:asciiTheme="minorHAnsi" w:hAnsiTheme="minorHAnsi" w:cstheme="minorHAnsi"/>
            <w:color w:val="0000FF"/>
            <w:sz w:val="24"/>
            <w:szCs w:val="24"/>
            <w:u w:val="single"/>
          </w:rPr>
          <w:t>Young people, risk-taking and improving risk communications to adolescents – Youth &amp; Policy (youthandpolicy.org)</w:t>
        </w:r>
      </w:hyperlink>
      <w:r w:rsidRPr="00113EBB">
        <w:rPr>
          <w:rFonts w:asciiTheme="minorHAnsi" w:hAnsiTheme="minorHAnsi" w:cstheme="minorHAnsi"/>
          <w:sz w:val="24"/>
          <w:szCs w:val="24"/>
        </w:rPr>
        <w:t xml:space="preserve"> (Accessed: 11</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December 2020)</w:t>
      </w:r>
      <w:r w:rsidRPr="00113EBB">
        <w:rPr>
          <w:rFonts w:asciiTheme="minorHAnsi" w:hAnsiTheme="minorHAnsi" w:cstheme="minorHAnsi"/>
          <w:color w:val="auto"/>
          <w:sz w:val="24"/>
          <w:szCs w:val="24"/>
        </w:rPr>
        <w:t xml:space="preserve"> </w:t>
      </w:r>
    </w:p>
    <w:p w14:paraId="6627A926"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
    <w:p w14:paraId="1A90FD76"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r w:rsidRPr="00113EBB">
        <w:rPr>
          <w:rFonts w:asciiTheme="minorHAnsi" w:hAnsiTheme="minorHAnsi" w:cstheme="minorHAnsi"/>
          <w:color w:val="auto"/>
          <w:sz w:val="24"/>
          <w:szCs w:val="24"/>
        </w:rPr>
        <w:lastRenderedPageBreak/>
        <w:t xml:space="preserve">Ma, M., Brooks-Russell, A., </w:t>
      </w:r>
      <w:proofErr w:type="spellStart"/>
      <w:r w:rsidRPr="00113EBB">
        <w:rPr>
          <w:rFonts w:asciiTheme="minorHAnsi" w:hAnsiTheme="minorHAnsi" w:cstheme="minorHAnsi"/>
          <w:color w:val="auto"/>
          <w:sz w:val="24"/>
          <w:szCs w:val="24"/>
        </w:rPr>
        <w:t>Orejobi</w:t>
      </w:r>
      <w:proofErr w:type="spellEnd"/>
      <w:r w:rsidRPr="00113EBB">
        <w:rPr>
          <w:rFonts w:asciiTheme="minorHAnsi" w:hAnsiTheme="minorHAnsi" w:cstheme="minorHAnsi"/>
          <w:color w:val="auto"/>
          <w:sz w:val="24"/>
          <w:szCs w:val="24"/>
        </w:rPr>
        <w:t xml:space="preserve">, S. and Johnson, R. (2021) ‘Does Being Old for Grade in High School Predict Sexual Risk </w:t>
      </w:r>
      <w:proofErr w:type="spellStart"/>
      <w:r w:rsidRPr="00113EBB">
        <w:rPr>
          <w:rFonts w:asciiTheme="minorHAnsi" w:hAnsiTheme="minorHAnsi" w:cstheme="minorHAnsi"/>
          <w:color w:val="auto"/>
          <w:sz w:val="24"/>
          <w:szCs w:val="24"/>
        </w:rPr>
        <w:t>Behaviors</w:t>
      </w:r>
      <w:proofErr w:type="spellEnd"/>
      <w:r w:rsidRPr="00113EBB">
        <w:rPr>
          <w:rFonts w:asciiTheme="minorHAnsi" w:hAnsiTheme="minorHAnsi" w:cstheme="minorHAnsi"/>
          <w:color w:val="auto"/>
          <w:sz w:val="24"/>
          <w:szCs w:val="24"/>
        </w:rPr>
        <w:t xml:space="preserve">, Beyond Grade-Level Effects?’, </w:t>
      </w:r>
      <w:r w:rsidRPr="00113EBB">
        <w:rPr>
          <w:rFonts w:asciiTheme="minorHAnsi" w:hAnsiTheme="minorHAnsi" w:cstheme="minorHAnsi"/>
          <w:i/>
          <w:iCs/>
          <w:color w:val="auto"/>
          <w:sz w:val="24"/>
          <w:szCs w:val="24"/>
        </w:rPr>
        <w:t xml:space="preserve">Journal of Adolescent Health, Vol. 68, pp1014-1016. </w:t>
      </w:r>
      <w:r w:rsidRPr="00113EBB">
        <w:rPr>
          <w:rFonts w:asciiTheme="minorHAnsi" w:hAnsiTheme="minorHAnsi" w:cstheme="minorHAnsi"/>
          <w:color w:val="auto"/>
          <w:sz w:val="24"/>
          <w:szCs w:val="24"/>
        </w:rPr>
        <w:t xml:space="preserve">[Online]. Available at:  </w:t>
      </w:r>
      <w:hyperlink r:id="rId147" w:history="1">
        <w:r w:rsidRPr="00113EBB">
          <w:rPr>
            <w:rFonts w:asciiTheme="minorHAnsi" w:hAnsiTheme="minorHAnsi" w:cstheme="minorHAnsi"/>
            <w:color w:val="0000FF"/>
            <w:sz w:val="24"/>
            <w:szCs w:val="24"/>
            <w:u w:val="single"/>
          </w:rPr>
          <w:t xml:space="preserve">Does Being Old for Grade in High School Predicts Sexual Risk </w:t>
        </w:r>
        <w:proofErr w:type="spellStart"/>
        <w:r w:rsidRPr="00113EBB">
          <w:rPr>
            <w:rFonts w:asciiTheme="minorHAnsi" w:hAnsiTheme="minorHAnsi" w:cstheme="minorHAnsi"/>
            <w:color w:val="0000FF"/>
            <w:sz w:val="24"/>
            <w:szCs w:val="24"/>
            <w:u w:val="single"/>
          </w:rPr>
          <w:t>Behaviors</w:t>
        </w:r>
        <w:proofErr w:type="spellEnd"/>
        <w:r w:rsidRPr="00113EBB">
          <w:rPr>
            <w:rFonts w:asciiTheme="minorHAnsi" w:hAnsiTheme="minorHAnsi" w:cstheme="minorHAnsi"/>
            <w:color w:val="0000FF"/>
            <w:sz w:val="24"/>
            <w:szCs w:val="24"/>
            <w:u w:val="single"/>
          </w:rPr>
          <w:t>, Beyond Grade-Level Effects? - ScienceDirect</w:t>
        </w:r>
      </w:hyperlink>
      <w:r w:rsidRPr="00113EBB">
        <w:rPr>
          <w:rFonts w:asciiTheme="minorHAnsi" w:hAnsiTheme="minorHAnsi" w:cstheme="minorHAnsi"/>
          <w:sz w:val="24"/>
          <w:szCs w:val="24"/>
        </w:rPr>
        <w:t xml:space="preserve"> (Accessed 9</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June 2021)</w:t>
      </w:r>
    </w:p>
    <w:p w14:paraId="47584580"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206F0ABB"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r w:rsidRPr="00113EBB">
        <w:rPr>
          <w:rFonts w:asciiTheme="minorHAnsi" w:hAnsiTheme="minorHAnsi" w:cstheme="minorHAnsi"/>
          <w:sz w:val="24"/>
          <w:szCs w:val="24"/>
        </w:rPr>
        <w:t xml:space="preserve">Mallet, P. and </w:t>
      </w:r>
      <w:proofErr w:type="spellStart"/>
      <w:r w:rsidRPr="00113EBB">
        <w:rPr>
          <w:rFonts w:asciiTheme="minorHAnsi" w:hAnsiTheme="minorHAnsi" w:cstheme="minorHAnsi"/>
          <w:sz w:val="24"/>
          <w:szCs w:val="24"/>
        </w:rPr>
        <w:t>Vignoli</w:t>
      </w:r>
      <w:proofErr w:type="spellEnd"/>
      <w:r w:rsidRPr="00113EBB">
        <w:rPr>
          <w:rFonts w:asciiTheme="minorHAnsi" w:hAnsiTheme="minorHAnsi" w:cstheme="minorHAnsi"/>
          <w:sz w:val="24"/>
          <w:szCs w:val="24"/>
        </w:rPr>
        <w:t xml:space="preserve">, E. (2007) ‘Intensity seeking and novelty seeking: Their relationship to adolescent risk </w:t>
      </w:r>
      <w:proofErr w:type="spellStart"/>
      <w:r w:rsidRPr="00113EBB">
        <w:rPr>
          <w:rFonts w:asciiTheme="minorHAnsi" w:hAnsiTheme="minorHAnsi" w:cstheme="minorHAnsi"/>
          <w:sz w:val="24"/>
          <w:szCs w:val="24"/>
        </w:rPr>
        <w:t>behavior</w:t>
      </w:r>
      <w:proofErr w:type="spellEnd"/>
      <w:r w:rsidRPr="00113EBB">
        <w:rPr>
          <w:rFonts w:asciiTheme="minorHAnsi" w:hAnsiTheme="minorHAnsi" w:cstheme="minorHAnsi"/>
          <w:sz w:val="24"/>
          <w:szCs w:val="24"/>
        </w:rPr>
        <w:t xml:space="preserve"> and occupational interests’, </w:t>
      </w:r>
      <w:r w:rsidRPr="00113EBB">
        <w:rPr>
          <w:rFonts w:asciiTheme="minorHAnsi" w:hAnsiTheme="minorHAnsi" w:cstheme="minorHAnsi"/>
          <w:i/>
          <w:iCs/>
          <w:sz w:val="24"/>
          <w:szCs w:val="24"/>
        </w:rPr>
        <w:t xml:space="preserve">Personality and Individual Differences, Vol. 43, pp2011-2021. </w:t>
      </w:r>
      <w:r w:rsidRPr="00113EBB">
        <w:rPr>
          <w:rFonts w:asciiTheme="minorHAnsi" w:hAnsiTheme="minorHAnsi" w:cstheme="minorHAnsi"/>
          <w:sz w:val="24"/>
          <w:szCs w:val="24"/>
        </w:rPr>
        <w:t xml:space="preserve">[Online]. Available at: </w:t>
      </w:r>
      <w:hyperlink r:id="rId148" w:history="1">
        <w:r w:rsidRPr="00113EBB">
          <w:rPr>
            <w:rFonts w:asciiTheme="minorHAnsi" w:hAnsiTheme="minorHAnsi" w:cstheme="minorHAnsi"/>
            <w:color w:val="0000FF"/>
            <w:sz w:val="24"/>
            <w:szCs w:val="24"/>
            <w:u w:val="single"/>
          </w:rPr>
          <w:t xml:space="preserve">Intensity seeking and novelty seeking: Their relationship to adolescent risk </w:t>
        </w:r>
        <w:proofErr w:type="spellStart"/>
        <w:r w:rsidRPr="00113EBB">
          <w:rPr>
            <w:rFonts w:asciiTheme="minorHAnsi" w:hAnsiTheme="minorHAnsi" w:cstheme="minorHAnsi"/>
            <w:color w:val="0000FF"/>
            <w:sz w:val="24"/>
            <w:szCs w:val="24"/>
            <w:u w:val="single"/>
          </w:rPr>
          <w:t>behavior</w:t>
        </w:r>
        <w:proofErr w:type="spellEnd"/>
        <w:r w:rsidRPr="00113EBB">
          <w:rPr>
            <w:rFonts w:asciiTheme="minorHAnsi" w:hAnsiTheme="minorHAnsi" w:cstheme="minorHAnsi"/>
            <w:color w:val="0000FF"/>
            <w:sz w:val="24"/>
            <w:szCs w:val="24"/>
            <w:u w:val="single"/>
          </w:rPr>
          <w:t xml:space="preserve"> and occupational interests - ScienceDirect</w:t>
        </w:r>
      </w:hyperlink>
      <w:r w:rsidRPr="00113EBB">
        <w:rPr>
          <w:rFonts w:asciiTheme="minorHAnsi" w:hAnsiTheme="minorHAnsi" w:cstheme="minorHAnsi"/>
          <w:sz w:val="24"/>
          <w:szCs w:val="24"/>
        </w:rPr>
        <w:t xml:space="preserve"> (Accessed: 14</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November 2020) </w:t>
      </w:r>
    </w:p>
    <w:p w14:paraId="5EFB697F"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6E0B0480"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r w:rsidRPr="00113EBB">
        <w:rPr>
          <w:rFonts w:asciiTheme="minorHAnsi" w:hAnsiTheme="minorHAnsi" w:cstheme="minorHAnsi"/>
          <w:sz w:val="24"/>
          <w:szCs w:val="24"/>
        </w:rPr>
        <w:t xml:space="preserve">Matson, P., Chung, S., Fortenberry, J., </w:t>
      </w:r>
      <w:proofErr w:type="spellStart"/>
      <w:r w:rsidRPr="00113EBB">
        <w:rPr>
          <w:rFonts w:asciiTheme="minorHAnsi" w:hAnsiTheme="minorHAnsi" w:cstheme="minorHAnsi"/>
          <w:sz w:val="24"/>
          <w:szCs w:val="24"/>
        </w:rPr>
        <w:t>Hassmiller</w:t>
      </w:r>
      <w:proofErr w:type="spellEnd"/>
      <w:r w:rsidRPr="00113EBB">
        <w:rPr>
          <w:rFonts w:asciiTheme="minorHAnsi" w:hAnsiTheme="minorHAnsi" w:cstheme="minorHAnsi"/>
          <w:sz w:val="24"/>
          <w:szCs w:val="24"/>
        </w:rPr>
        <w:t xml:space="preserve">, K. and Ellen, J. (2021) ‘The Impact of Relationship Stressors on Trust and </w:t>
      </w:r>
      <w:proofErr w:type="spellStart"/>
      <w:r w:rsidRPr="00113EBB">
        <w:rPr>
          <w:rFonts w:asciiTheme="minorHAnsi" w:hAnsiTheme="minorHAnsi" w:cstheme="minorHAnsi"/>
          <w:sz w:val="24"/>
          <w:szCs w:val="24"/>
        </w:rPr>
        <w:t>Prorelationship</w:t>
      </w:r>
      <w:proofErr w:type="spellEnd"/>
      <w:r w:rsidRPr="00113EBB">
        <w:rPr>
          <w:rFonts w:asciiTheme="minorHAnsi" w:hAnsiTheme="minorHAnsi" w:cstheme="minorHAnsi"/>
          <w:sz w:val="24"/>
          <w:szCs w:val="24"/>
        </w:rPr>
        <w:t xml:space="preserve"> </w:t>
      </w:r>
      <w:proofErr w:type="spellStart"/>
      <w:r w:rsidRPr="00113EBB">
        <w:rPr>
          <w:rFonts w:asciiTheme="minorHAnsi" w:hAnsiTheme="minorHAnsi" w:cstheme="minorHAnsi"/>
          <w:sz w:val="24"/>
          <w:szCs w:val="24"/>
        </w:rPr>
        <w:t>Behavior</w:t>
      </w:r>
      <w:proofErr w:type="spellEnd"/>
      <w:r w:rsidRPr="00113EBB">
        <w:rPr>
          <w:rFonts w:asciiTheme="minorHAnsi" w:hAnsiTheme="minorHAnsi" w:cstheme="minorHAnsi"/>
          <w:sz w:val="24"/>
          <w:szCs w:val="24"/>
        </w:rPr>
        <w:t xml:space="preserve"> Within Adolescent Romantic Relationships: A Systems Approach’, </w:t>
      </w:r>
      <w:r w:rsidRPr="00113EBB">
        <w:rPr>
          <w:rFonts w:asciiTheme="minorHAnsi" w:hAnsiTheme="minorHAnsi" w:cstheme="minorHAnsi"/>
          <w:i/>
          <w:iCs/>
          <w:sz w:val="24"/>
          <w:szCs w:val="24"/>
        </w:rPr>
        <w:t xml:space="preserve">Journal of Adolescent Health, Vol. 68, pp558-564. </w:t>
      </w:r>
      <w:r w:rsidRPr="00113EBB">
        <w:rPr>
          <w:rFonts w:asciiTheme="minorHAnsi" w:hAnsiTheme="minorHAnsi" w:cstheme="minorHAnsi"/>
          <w:sz w:val="24"/>
          <w:szCs w:val="24"/>
        </w:rPr>
        <w:t xml:space="preserve">[Online]. Available at: </w:t>
      </w:r>
      <w:hyperlink r:id="rId149" w:history="1">
        <w:r w:rsidRPr="00113EBB">
          <w:rPr>
            <w:rFonts w:asciiTheme="minorHAnsi" w:hAnsiTheme="minorHAnsi" w:cstheme="minorHAnsi"/>
            <w:color w:val="0000FF"/>
            <w:sz w:val="24"/>
            <w:szCs w:val="24"/>
            <w:u w:val="single"/>
          </w:rPr>
          <w:t xml:space="preserve">The Impact of Relationship Stressors on Trust and </w:t>
        </w:r>
        <w:proofErr w:type="spellStart"/>
        <w:r w:rsidRPr="00113EBB">
          <w:rPr>
            <w:rFonts w:asciiTheme="minorHAnsi" w:hAnsiTheme="minorHAnsi" w:cstheme="minorHAnsi"/>
            <w:color w:val="0000FF"/>
            <w:sz w:val="24"/>
            <w:szCs w:val="24"/>
            <w:u w:val="single"/>
          </w:rPr>
          <w:t>Prorelationship</w:t>
        </w:r>
        <w:proofErr w:type="spellEnd"/>
        <w:r w:rsidRPr="00113EBB">
          <w:rPr>
            <w:rFonts w:asciiTheme="minorHAnsi" w:hAnsiTheme="minorHAnsi" w:cstheme="minorHAnsi"/>
            <w:color w:val="0000FF"/>
            <w:sz w:val="24"/>
            <w:szCs w:val="24"/>
            <w:u w:val="single"/>
          </w:rPr>
          <w:t xml:space="preserve"> </w:t>
        </w:r>
        <w:proofErr w:type="spellStart"/>
        <w:r w:rsidRPr="00113EBB">
          <w:rPr>
            <w:rFonts w:asciiTheme="minorHAnsi" w:hAnsiTheme="minorHAnsi" w:cstheme="minorHAnsi"/>
            <w:color w:val="0000FF"/>
            <w:sz w:val="24"/>
            <w:szCs w:val="24"/>
            <w:u w:val="single"/>
          </w:rPr>
          <w:t>Behavior</w:t>
        </w:r>
        <w:proofErr w:type="spellEnd"/>
        <w:r w:rsidRPr="00113EBB">
          <w:rPr>
            <w:rFonts w:asciiTheme="minorHAnsi" w:hAnsiTheme="minorHAnsi" w:cstheme="minorHAnsi"/>
            <w:color w:val="0000FF"/>
            <w:sz w:val="24"/>
            <w:szCs w:val="24"/>
            <w:u w:val="single"/>
          </w:rPr>
          <w:t xml:space="preserve"> Within Adolescent Romantic Relationships: A Systems Approach - ScienceDirect</w:t>
        </w:r>
      </w:hyperlink>
      <w:r w:rsidRPr="00113EBB">
        <w:rPr>
          <w:rFonts w:asciiTheme="minorHAnsi" w:hAnsiTheme="minorHAnsi" w:cstheme="minorHAnsi"/>
          <w:sz w:val="24"/>
          <w:szCs w:val="24"/>
        </w:rPr>
        <w:t xml:space="preserve"> (Accessed: 22</w:t>
      </w:r>
      <w:r w:rsidRPr="00113EBB">
        <w:rPr>
          <w:rFonts w:asciiTheme="minorHAnsi" w:hAnsiTheme="minorHAnsi" w:cstheme="minorHAnsi"/>
          <w:sz w:val="24"/>
          <w:szCs w:val="24"/>
          <w:vertAlign w:val="superscript"/>
        </w:rPr>
        <w:t>nd</w:t>
      </w:r>
      <w:r w:rsidRPr="00113EBB">
        <w:rPr>
          <w:rFonts w:asciiTheme="minorHAnsi" w:hAnsiTheme="minorHAnsi" w:cstheme="minorHAnsi"/>
          <w:sz w:val="24"/>
          <w:szCs w:val="24"/>
        </w:rPr>
        <w:t xml:space="preserve"> April 2021) </w:t>
      </w:r>
    </w:p>
    <w:p w14:paraId="37B89AC3"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4015F2D9"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r w:rsidRPr="00113EBB">
        <w:rPr>
          <w:rFonts w:asciiTheme="minorHAnsi" w:hAnsiTheme="minorHAnsi" w:cstheme="minorHAnsi"/>
          <w:sz w:val="24"/>
          <w:szCs w:val="24"/>
        </w:rPr>
        <w:t xml:space="preserve">Messer, L., Halladay, C., Hofert, G. and Sheppard, B. (2021) ‘Youth Assets and Associations </w:t>
      </w:r>
      <w:proofErr w:type="gramStart"/>
      <w:r w:rsidRPr="00113EBB">
        <w:rPr>
          <w:rFonts w:asciiTheme="minorHAnsi" w:hAnsiTheme="minorHAnsi" w:cstheme="minorHAnsi"/>
          <w:sz w:val="24"/>
          <w:szCs w:val="24"/>
        </w:rPr>
        <w:t>With</w:t>
      </w:r>
      <w:proofErr w:type="gramEnd"/>
      <w:r w:rsidRPr="00113EBB">
        <w:rPr>
          <w:rFonts w:asciiTheme="minorHAnsi" w:hAnsiTheme="minorHAnsi" w:cstheme="minorHAnsi"/>
          <w:sz w:val="24"/>
          <w:szCs w:val="24"/>
        </w:rPr>
        <w:t xml:space="preserve"> Adolescent Risk Taking’, </w:t>
      </w:r>
      <w:r w:rsidRPr="00113EBB">
        <w:rPr>
          <w:rFonts w:asciiTheme="minorHAnsi" w:hAnsiTheme="minorHAnsi" w:cstheme="minorHAnsi"/>
          <w:i/>
          <w:iCs/>
          <w:sz w:val="24"/>
          <w:szCs w:val="24"/>
        </w:rPr>
        <w:t xml:space="preserve">Journal of School Health, Vol. 91, pp37-49. </w:t>
      </w:r>
      <w:r w:rsidRPr="00113EBB">
        <w:rPr>
          <w:rFonts w:asciiTheme="minorHAnsi" w:hAnsiTheme="minorHAnsi" w:cstheme="minorHAnsi"/>
          <w:sz w:val="24"/>
          <w:szCs w:val="24"/>
        </w:rPr>
        <w:t xml:space="preserve">[Online]. Available at: </w:t>
      </w:r>
      <w:hyperlink r:id="rId150" w:history="1">
        <w:r w:rsidRPr="00113EBB">
          <w:rPr>
            <w:rFonts w:asciiTheme="minorHAnsi" w:hAnsiTheme="minorHAnsi" w:cstheme="minorHAnsi"/>
            <w:color w:val="0000FF"/>
            <w:sz w:val="24"/>
            <w:szCs w:val="24"/>
            <w:u w:val="single"/>
          </w:rPr>
          <w:t xml:space="preserve">Youth Assets and Associations </w:t>
        </w:r>
        <w:proofErr w:type="gramStart"/>
        <w:r w:rsidRPr="00113EBB">
          <w:rPr>
            <w:rFonts w:asciiTheme="minorHAnsi" w:hAnsiTheme="minorHAnsi" w:cstheme="minorHAnsi"/>
            <w:color w:val="0000FF"/>
            <w:sz w:val="24"/>
            <w:szCs w:val="24"/>
            <w:u w:val="single"/>
          </w:rPr>
          <w:t>With</w:t>
        </w:r>
        <w:proofErr w:type="gramEnd"/>
        <w:r w:rsidRPr="00113EBB">
          <w:rPr>
            <w:rFonts w:asciiTheme="minorHAnsi" w:hAnsiTheme="minorHAnsi" w:cstheme="minorHAnsi"/>
            <w:color w:val="0000FF"/>
            <w:sz w:val="24"/>
            <w:szCs w:val="24"/>
            <w:u w:val="single"/>
          </w:rPr>
          <w:t xml:space="preserve"> Adolescent Risk Taking (wiley.com)</w:t>
        </w:r>
      </w:hyperlink>
      <w:r w:rsidRPr="00113EBB">
        <w:rPr>
          <w:rFonts w:asciiTheme="minorHAnsi" w:hAnsiTheme="minorHAnsi" w:cstheme="minorHAnsi"/>
          <w:sz w:val="24"/>
          <w:szCs w:val="24"/>
        </w:rPr>
        <w:t xml:space="preserve"> (Accessed: 22</w:t>
      </w:r>
      <w:r w:rsidRPr="00113EBB">
        <w:rPr>
          <w:rFonts w:asciiTheme="minorHAnsi" w:hAnsiTheme="minorHAnsi" w:cstheme="minorHAnsi"/>
          <w:sz w:val="24"/>
          <w:szCs w:val="24"/>
          <w:vertAlign w:val="superscript"/>
        </w:rPr>
        <w:t>nd</w:t>
      </w:r>
      <w:r w:rsidRPr="00113EBB">
        <w:rPr>
          <w:rFonts w:asciiTheme="minorHAnsi" w:hAnsiTheme="minorHAnsi" w:cstheme="minorHAnsi"/>
          <w:sz w:val="24"/>
          <w:szCs w:val="24"/>
        </w:rPr>
        <w:t xml:space="preserve"> June 2021)</w:t>
      </w:r>
    </w:p>
    <w:p w14:paraId="251237AA"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46EE3D83"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r w:rsidRPr="00113EBB">
        <w:rPr>
          <w:rFonts w:asciiTheme="minorHAnsi" w:hAnsiTheme="minorHAnsi" w:cstheme="minorHAnsi"/>
          <w:sz w:val="24"/>
          <w:szCs w:val="24"/>
        </w:rPr>
        <w:t xml:space="preserve">Paiva, A., Cunha, M., Xavier, A., Marques, M., </w:t>
      </w:r>
      <w:proofErr w:type="spellStart"/>
      <w:r w:rsidRPr="00113EBB">
        <w:rPr>
          <w:rFonts w:asciiTheme="minorHAnsi" w:hAnsiTheme="minorHAnsi" w:cstheme="minorHAnsi"/>
          <w:sz w:val="24"/>
          <w:szCs w:val="24"/>
        </w:rPr>
        <w:t>Simoes</w:t>
      </w:r>
      <w:proofErr w:type="spellEnd"/>
      <w:r w:rsidRPr="00113EBB">
        <w:rPr>
          <w:rFonts w:asciiTheme="minorHAnsi" w:hAnsiTheme="minorHAnsi" w:cstheme="minorHAnsi"/>
          <w:sz w:val="24"/>
          <w:szCs w:val="24"/>
        </w:rPr>
        <w:t xml:space="preserve">, S. and Santo, H. (2013) ‘Exploratory study of risk-taking and self-harm behaviours in adolescents: prevalence, characteristics and its relationship to attachment styles’, </w:t>
      </w:r>
      <w:r w:rsidRPr="00113EBB">
        <w:rPr>
          <w:rFonts w:asciiTheme="minorHAnsi" w:hAnsiTheme="minorHAnsi" w:cstheme="minorHAnsi"/>
          <w:i/>
          <w:iCs/>
          <w:sz w:val="24"/>
          <w:szCs w:val="24"/>
        </w:rPr>
        <w:t xml:space="preserve">European Psychiatry, Vol. 28, p1. </w:t>
      </w:r>
      <w:r w:rsidRPr="00113EBB">
        <w:rPr>
          <w:rFonts w:asciiTheme="minorHAnsi" w:hAnsiTheme="minorHAnsi" w:cstheme="minorHAnsi"/>
          <w:sz w:val="24"/>
          <w:szCs w:val="24"/>
        </w:rPr>
        <w:t xml:space="preserve">[Online]. Available at: </w:t>
      </w:r>
      <w:hyperlink r:id="rId151" w:history="1">
        <w:r w:rsidRPr="00113EBB">
          <w:rPr>
            <w:rFonts w:asciiTheme="minorHAnsi" w:hAnsiTheme="minorHAnsi" w:cstheme="minorHAnsi"/>
            <w:color w:val="0000FF"/>
            <w:sz w:val="24"/>
            <w:szCs w:val="24"/>
            <w:u w:val="single"/>
          </w:rPr>
          <w:t>1513 – Exploratory study of risk-taking and self-harm behaviours in adolescents: prevalence, characteristics and its relationship to attachment styles - ScienceDirect</w:t>
        </w:r>
      </w:hyperlink>
      <w:r w:rsidRPr="00113EBB">
        <w:rPr>
          <w:rFonts w:asciiTheme="minorHAnsi" w:hAnsiTheme="minorHAnsi" w:cstheme="minorHAnsi"/>
          <w:sz w:val="24"/>
          <w:szCs w:val="24"/>
        </w:rPr>
        <w:t xml:space="preserve"> (Accessed 17</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March 2021)</w:t>
      </w:r>
    </w:p>
    <w:p w14:paraId="3CBAB2BE"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6167E8EE"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roofErr w:type="spellStart"/>
      <w:r w:rsidRPr="00113EBB">
        <w:rPr>
          <w:rFonts w:asciiTheme="minorHAnsi" w:hAnsiTheme="minorHAnsi" w:cstheme="minorHAnsi"/>
          <w:sz w:val="24"/>
          <w:szCs w:val="24"/>
        </w:rPr>
        <w:t>Pechorro</w:t>
      </w:r>
      <w:proofErr w:type="spellEnd"/>
      <w:r w:rsidRPr="00113EBB">
        <w:rPr>
          <w:rFonts w:asciiTheme="minorHAnsi" w:hAnsiTheme="minorHAnsi" w:cstheme="minorHAnsi"/>
          <w:sz w:val="24"/>
          <w:szCs w:val="24"/>
        </w:rPr>
        <w:t xml:space="preserve">, P., da Silva, D., </w:t>
      </w:r>
      <w:proofErr w:type="spellStart"/>
      <w:r w:rsidRPr="00113EBB">
        <w:rPr>
          <w:rFonts w:asciiTheme="minorHAnsi" w:hAnsiTheme="minorHAnsi" w:cstheme="minorHAnsi"/>
          <w:sz w:val="24"/>
          <w:szCs w:val="24"/>
        </w:rPr>
        <w:t>Andershed</w:t>
      </w:r>
      <w:proofErr w:type="spellEnd"/>
      <w:r w:rsidRPr="00113EBB">
        <w:rPr>
          <w:rFonts w:asciiTheme="minorHAnsi" w:hAnsiTheme="minorHAnsi" w:cstheme="minorHAnsi"/>
          <w:sz w:val="24"/>
          <w:szCs w:val="24"/>
        </w:rPr>
        <w:t xml:space="preserve">, H., </w:t>
      </w:r>
      <w:proofErr w:type="spellStart"/>
      <w:r w:rsidRPr="00113EBB">
        <w:rPr>
          <w:rFonts w:asciiTheme="minorHAnsi" w:hAnsiTheme="minorHAnsi" w:cstheme="minorHAnsi"/>
          <w:sz w:val="24"/>
          <w:szCs w:val="24"/>
        </w:rPr>
        <w:t>Rijo</w:t>
      </w:r>
      <w:proofErr w:type="spellEnd"/>
      <w:r w:rsidRPr="00113EBB">
        <w:rPr>
          <w:rFonts w:asciiTheme="minorHAnsi" w:hAnsiTheme="minorHAnsi" w:cstheme="minorHAnsi"/>
          <w:sz w:val="24"/>
          <w:szCs w:val="24"/>
        </w:rPr>
        <w:t xml:space="preserve">, D. and Goncalves, R. (2016) ‘The Youth Psychopathic Traits Inventory: Measurement Invariance and Psychometric Properties among Portuguese Youths’, </w:t>
      </w:r>
      <w:r w:rsidRPr="00113EBB">
        <w:rPr>
          <w:rFonts w:asciiTheme="minorHAnsi" w:hAnsiTheme="minorHAnsi" w:cstheme="minorHAnsi"/>
          <w:i/>
          <w:iCs/>
          <w:sz w:val="24"/>
          <w:szCs w:val="24"/>
        </w:rPr>
        <w:t xml:space="preserve">International Journal of Environmental Research and Public Health, Vol. 13. </w:t>
      </w:r>
      <w:r w:rsidRPr="00113EBB">
        <w:rPr>
          <w:rFonts w:asciiTheme="minorHAnsi" w:hAnsiTheme="minorHAnsi" w:cstheme="minorHAnsi"/>
          <w:sz w:val="24"/>
          <w:szCs w:val="24"/>
        </w:rPr>
        <w:t xml:space="preserve">[Online]. Available at: </w:t>
      </w:r>
      <w:hyperlink r:id="rId152" w:history="1">
        <w:r w:rsidRPr="00113EBB">
          <w:rPr>
            <w:rFonts w:asciiTheme="minorHAnsi" w:hAnsiTheme="minorHAnsi" w:cstheme="minorHAnsi"/>
            <w:color w:val="0000FF"/>
            <w:sz w:val="24"/>
            <w:szCs w:val="24"/>
            <w:u w:val="single"/>
          </w:rPr>
          <w:t>IJERPH | Free Full-Text | The Youth Psychopathic Traits Inventory: Measurement Invariance and Psychometric Properties among Portuguese Youths | HTML (mdpi.com)</w:t>
        </w:r>
      </w:hyperlink>
      <w:r w:rsidRPr="00113EBB">
        <w:rPr>
          <w:rFonts w:asciiTheme="minorHAnsi" w:hAnsiTheme="minorHAnsi" w:cstheme="minorHAnsi"/>
          <w:sz w:val="24"/>
          <w:szCs w:val="24"/>
        </w:rPr>
        <w:t xml:space="preserve"> (Accessed: 2</w:t>
      </w:r>
      <w:r w:rsidRPr="00113EBB">
        <w:rPr>
          <w:rFonts w:asciiTheme="minorHAnsi" w:hAnsiTheme="minorHAnsi" w:cstheme="minorHAnsi"/>
          <w:sz w:val="24"/>
          <w:szCs w:val="24"/>
          <w:vertAlign w:val="superscript"/>
        </w:rPr>
        <w:t>nd</w:t>
      </w:r>
      <w:r w:rsidRPr="00113EBB">
        <w:rPr>
          <w:rFonts w:asciiTheme="minorHAnsi" w:hAnsiTheme="minorHAnsi" w:cstheme="minorHAnsi"/>
          <w:sz w:val="24"/>
          <w:szCs w:val="24"/>
        </w:rPr>
        <w:t xml:space="preserve"> May 2021)</w:t>
      </w:r>
    </w:p>
    <w:p w14:paraId="6A5FDE5B"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7AE23879"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r w:rsidRPr="00113EBB">
        <w:rPr>
          <w:rFonts w:asciiTheme="minorHAnsi" w:hAnsiTheme="minorHAnsi" w:cstheme="minorHAnsi"/>
          <w:sz w:val="24"/>
          <w:szCs w:val="24"/>
        </w:rPr>
        <w:t xml:space="preserve">Pickett, W., Berg, R. and </w:t>
      </w:r>
      <w:proofErr w:type="spellStart"/>
      <w:r w:rsidRPr="00113EBB">
        <w:rPr>
          <w:rFonts w:asciiTheme="minorHAnsi" w:hAnsiTheme="minorHAnsi" w:cstheme="minorHAnsi"/>
          <w:sz w:val="24"/>
          <w:szCs w:val="24"/>
        </w:rPr>
        <w:t>Marlenga</w:t>
      </w:r>
      <w:proofErr w:type="spellEnd"/>
      <w:r w:rsidRPr="00113EBB">
        <w:rPr>
          <w:rFonts w:asciiTheme="minorHAnsi" w:hAnsiTheme="minorHAnsi" w:cstheme="minorHAnsi"/>
          <w:sz w:val="24"/>
          <w:szCs w:val="24"/>
        </w:rPr>
        <w:t xml:space="preserve">, B. (2018) ‘Health and Well-Being Among Young People </w:t>
      </w:r>
      <w:proofErr w:type="gramStart"/>
      <w:r w:rsidRPr="00113EBB">
        <w:rPr>
          <w:rFonts w:asciiTheme="minorHAnsi" w:hAnsiTheme="minorHAnsi" w:cstheme="minorHAnsi"/>
          <w:sz w:val="24"/>
          <w:szCs w:val="24"/>
        </w:rPr>
        <w:t>From</w:t>
      </w:r>
      <w:proofErr w:type="gramEnd"/>
      <w:r w:rsidRPr="00113EBB">
        <w:rPr>
          <w:rFonts w:asciiTheme="minorHAnsi" w:hAnsiTheme="minorHAnsi" w:cstheme="minorHAnsi"/>
          <w:sz w:val="24"/>
          <w:szCs w:val="24"/>
        </w:rPr>
        <w:t xml:space="preserve"> Canadian Farms: Associations With a Culture of Risk-Taking’, </w:t>
      </w:r>
      <w:r w:rsidRPr="00113EBB">
        <w:rPr>
          <w:rFonts w:asciiTheme="minorHAnsi" w:hAnsiTheme="minorHAnsi" w:cstheme="minorHAnsi"/>
          <w:i/>
          <w:iCs/>
          <w:sz w:val="24"/>
          <w:szCs w:val="24"/>
        </w:rPr>
        <w:t xml:space="preserve">The Journal of Rural Health, Vol. 34, pp275-282. </w:t>
      </w:r>
      <w:r w:rsidRPr="00113EBB">
        <w:rPr>
          <w:rFonts w:asciiTheme="minorHAnsi" w:hAnsiTheme="minorHAnsi" w:cstheme="minorHAnsi"/>
          <w:sz w:val="24"/>
          <w:szCs w:val="24"/>
        </w:rPr>
        <w:t xml:space="preserve">[Online]. Available at: </w:t>
      </w:r>
      <w:hyperlink r:id="rId153" w:history="1">
        <w:r w:rsidRPr="00113EBB">
          <w:rPr>
            <w:rFonts w:asciiTheme="minorHAnsi" w:hAnsiTheme="minorHAnsi" w:cstheme="minorHAnsi"/>
            <w:color w:val="0000FF"/>
            <w:sz w:val="24"/>
            <w:szCs w:val="24"/>
            <w:u w:val="single"/>
          </w:rPr>
          <w:t>Health and Well‐Being Among Young People From Canadian Farms: Associations With a Culture of Risk‐Taking - Pickett - 2018 - The Journal of Rural Health - Wiley Online Library</w:t>
        </w:r>
      </w:hyperlink>
      <w:r w:rsidRPr="00113EBB">
        <w:rPr>
          <w:rFonts w:asciiTheme="minorHAnsi" w:hAnsiTheme="minorHAnsi" w:cstheme="minorHAnsi"/>
          <w:sz w:val="24"/>
          <w:szCs w:val="24"/>
        </w:rPr>
        <w:t xml:space="preserve"> (Accessed: 11</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December 2020)</w:t>
      </w:r>
    </w:p>
    <w:p w14:paraId="539D7DFB"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5BF6E21F"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roofErr w:type="spellStart"/>
      <w:r w:rsidRPr="00113EBB">
        <w:rPr>
          <w:rFonts w:asciiTheme="minorHAnsi" w:hAnsiTheme="minorHAnsi" w:cstheme="minorHAnsi"/>
          <w:sz w:val="24"/>
          <w:szCs w:val="24"/>
        </w:rPr>
        <w:t>Piovesan</w:t>
      </w:r>
      <w:proofErr w:type="spellEnd"/>
      <w:r w:rsidRPr="00113EBB">
        <w:rPr>
          <w:rFonts w:asciiTheme="minorHAnsi" w:hAnsiTheme="minorHAnsi" w:cstheme="minorHAnsi"/>
          <w:sz w:val="24"/>
          <w:szCs w:val="24"/>
        </w:rPr>
        <w:t xml:space="preserve">, M. and </w:t>
      </w:r>
      <w:proofErr w:type="spellStart"/>
      <w:r w:rsidRPr="00113EBB">
        <w:rPr>
          <w:rFonts w:asciiTheme="minorHAnsi" w:hAnsiTheme="minorHAnsi" w:cstheme="minorHAnsi"/>
          <w:sz w:val="24"/>
          <w:szCs w:val="24"/>
        </w:rPr>
        <w:t>Willadsen</w:t>
      </w:r>
      <w:proofErr w:type="spellEnd"/>
      <w:r w:rsidRPr="00113EBB">
        <w:rPr>
          <w:rFonts w:asciiTheme="minorHAnsi" w:hAnsiTheme="minorHAnsi" w:cstheme="minorHAnsi"/>
          <w:sz w:val="24"/>
          <w:szCs w:val="24"/>
        </w:rPr>
        <w:t xml:space="preserve">, H. (2021) ‘Risk preferences and personality traits in children and adolescents’, </w:t>
      </w:r>
      <w:r w:rsidRPr="00113EBB">
        <w:rPr>
          <w:rFonts w:asciiTheme="minorHAnsi" w:hAnsiTheme="minorHAnsi" w:cstheme="minorHAnsi"/>
          <w:i/>
          <w:iCs/>
          <w:sz w:val="24"/>
          <w:szCs w:val="24"/>
        </w:rPr>
        <w:t xml:space="preserve">Journal of Economic </w:t>
      </w:r>
      <w:proofErr w:type="spellStart"/>
      <w:r w:rsidRPr="00113EBB">
        <w:rPr>
          <w:rFonts w:asciiTheme="minorHAnsi" w:hAnsiTheme="minorHAnsi" w:cstheme="minorHAnsi"/>
          <w:i/>
          <w:iCs/>
          <w:sz w:val="24"/>
          <w:szCs w:val="24"/>
        </w:rPr>
        <w:t>Behavior</w:t>
      </w:r>
      <w:proofErr w:type="spellEnd"/>
      <w:r w:rsidRPr="00113EBB">
        <w:rPr>
          <w:rFonts w:asciiTheme="minorHAnsi" w:hAnsiTheme="minorHAnsi" w:cstheme="minorHAnsi"/>
          <w:i/>
          <w:iCs/>
          <w:sz w:val="24"/>
          <w:szCs w:val="24"/>
        </w:rPr>
        <w:t xml:space="preserve"> and Organization, Vol. 186, pp523-532. </w:t>
      </w:r>
      <w:r w:rsidRPr="00113EBB">
        <w:rPr>
          <w:rFonts w:asciiTheme="minorHAnsi" w:hAnsiTheme="minorHAnsi" w:cstheme="minorHAnsi"/>
          <w:sz w:val="24"/>
          <w:szCs w:val="24"/>
        </w:rPr>
        <w:t xml:space="preserve">[Online]. </w:t>
      </w:r>
      <w:r w:rsidRPr="00113EBB">
        <w:rPr>
          <w:rFonts w:asciiTheme="minorHAnsi" w:hAnsiTheme="minorHAnsi" w:cstheme="minorHAnsi"/>
          <w:sz w:val="24"/>
          <w:szCs w:val="24"/>
        </w:rPr>
        <w:lastRenderedPageBreak/>
        <w:t xml:space="preserve">Available at: </w:t>
      </w:r>
      <w:hyperlink r:id="rId154" w:history="1">
        <w:r w:rsidRPr="00113EBB">
          <w:rPr>
            <w:rFonts w:asciiTheme="minorHAnsi" w:hAnsiTheme="minorHAnsi" w:cstheme="minorHAnsi"/>
            <w:color w:val="0000FF"/>
            <w:sz w:val="24"/>
            <w:szCs w:val="24"/>
            <w:u w:val="single"/>
          </w:rPr>
          <w:t>Risk preferences and personality traits in children and adolescents - ScienceDirect</w:t>
        </w:r>
      </w:hyperlink>
      <w:r w:rsidRPr="00113EBB">
        <w:rPr>
          <w:rFonts w:asciiTheme="minorHAnsi" w:hAnsiTheme="minorHAnsi" w:cstheme="minorHAnsi"/>
          <w:sz w:val="24"/>
          <w:szCs w:val="24"/>
        </w:rPr>
        <w:t xml:space="preserve"> (Accessed: 24</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June 2021) </w:t>
      </w:r>
    </w:p>
    <w:p w14:paraId="294D943B"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
    <w:p w14:paraId="203C7487"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roofErr w:type="spellStart"/>
      <w:r w:rsidRPr="00113EBB">
        <w:rPr>
          <w:rFonts w:asciiTheme="minorHAnsi" w:hAnsiTheme="minorHAnsi" w:cstheme="minorHAnsi"/>
          <w:color w:val="auto"/>
          <w:sz w:val="24"/>
          <w:szCs w:val="24"/>
        </w:rPr>
        <w:t>Reniers</w:t>
      </w:r>
      <w:proofErr w:type="spellEnd"/>
      <w:r w:rsidRPr="00113EBB">
        <w:rPr>
          <w:rFonts w:asciiTheme="minorHAnsi" w:hAnsiTheme="minorHAnsi" w:cstheme="minorHAnsi"/>
          <w:color w:val="auto"/>
          <w:sz w:val="24"/>
          <w:szCs w:val="24"/>
        </w:rPr>
        <w:t xml:space="preserve">, R., Murphy, L., Lin, A., </w:t>
      </w:r>
      <w:proofErr w:type="spellStart"/>
      <w:r w:rsidRPr="00113EBB">
        <w:rPr>
          <w:rFonts w:asciiTheme="minorHAnsi" w:hAnsiTheme="minorHAnsi" w:cstheme="minorHAnsi"/>
          <w:color w:val="auto"/>
          <w:sz w:val="24"/>
          <w:szCs w:val="24"/>
        </w:rPr>
        <w:t>Barolome</w:t>
      </w:r>
      <w:proofErr w:type="spellEnd"/>
      <w:r w:rsidRPr="00113EBB">
        <w:rPr>
          <w:rFonts w:asciiTheme="minorHAnsi" w:hAnsiTheme="minorHAnsi" w:cstheme="minorHAnsi"/>
          <w:color w:val="auto"/>
          <w:sz w:val="24"/>
          <w:szCs w:val="24"/>
        </w:rPr>
        <w:t xml:space="preserve">, S. and Wood, S. (2016) ‘Risk Perception and Risk-Taking Behaviour during Adolescence: The Influence of Personality and Gender’, </w:t>
      </w:r>
      <w:proofErr w:type="spellStart"/>
      <w:r w:rsidRPr="00113EBB">
        <w:rPr>
          <w:rFonts w:asciiTheme="minorHAnsi" w:hAnsiTheme="minorHAnsi" w:cstheme="minorHAnsi"/>
          <w:i/>
          <w:iCs/>
          <w:color w:val="auto"/>
          <w:sz w:val="24"/>
          <w:szCs w:val="24"/>
        </w:rPr>
        <w:t>PLoS</w:t>
      </w:r>
      <w:proofErr w:type="spellEnd"/>
      <w:r w:rsidRPr="00113EBB">
        <w:rPr>
          <w:rFonts w:asciiTheme="minorHAnsi" w:hAnsiTheme="minorHAnsi" w:cstheme="minorHAnsi"/>
          <w:i/>
          <w:iCs/>
          <w:color w:val="auto"/>
          <w:sz w:val="24"/>
          <w:szCs w:val="24"/>
        </w:rPr>
        <w:t xml:space="preserve"> ONE, Vol.11. </w:t>
      </w:r>
      <w:r w:rsidRPr="00113EBB">
        <w:rPr>
          <w:rFonts w:asciiTheme="minorHAnsi" w:hAnsiTheme="minorHAnsi" w:cstheme="minorHAnsi"/>
          <w:color w:val="auto"/>
          <w:sz w:val="24"/>
          <w:szCs w:val="24"/>
        </w:rPr>
        <w:t xml:space="preserve">[Online]. Available at: </w:t>
      </w:r>
      <w:hyperlink r:id="rId155" w:history="1">
        <w:r w:rsidRPr="00113EBB">
          <w:rPr>
            <w:rFonts w:asciiTheme="minorHAnsi" w:hAnsiTheme="minorHAnsi" w:cstheme="minorHAnsi"/>
            <w:color w:val="0000FF"/>
            <w:sz w:val="24"/>
            <w:szCs w:val="24"/>
            <w:u w:val="single"/>
          </w:rPr>
          <w:t>Risk Perception and Risk-Taking Behaviour during Adolescence: The Influence of Personality and Gender (plos.org)</w:t>
        </w:r>
      </w:hyperlink>
      <w:r w:rsidRPr="00113EBB">
        <w:rPr>
          <w:rFonts w:asciiTheme="minorHAnsi" w:hAnsiTheme="minorHAnsi" w:cstheme="minorHAnsi"/>
          <w:sz w:val="24"/>
          <w:szCs w:val="24"/>
        </w:rPr>
        <w:t xml:space="preserve"> (Accessed 24</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November 2020)</w:t>
      </w:r>
      <w:r w:rsidRPr="00113EBB">
        <w:rPr>
          <w:rFonts w:asciiTheme="minorHAnsi" w:hAnsiTheme="minorHAnsi" w:cstheme="minorHAnsi"/>
          <w:i/>
          <w:iCs/>
          <w:color w:val="auto"/>
          <w:sz w:val="24"/>
          <w:szCs w:val="24"/>
        </w:rPr>
        <w:t xml:space="preserve"> </w:t>
      </w:r>
      <w:r w:rsidRPr="00113EBB">
        <w:rPr>
          <w:rFonts w:asciiTheme="minorHAnsi" w:hAnsiTheme="minorHAnsi" w:cstheme="minorHAnsi"/>
          <w:color w:val="auto"/>
          <w:sz w:val="24"/>
          <w:szCs w:val="24"/>
        </w:rPr>
        <w:t xml:space="preserve"> </w:t>
      </w:r>
    </w:p>
    <w:p w14:paraId="4A4F1165"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
    <w:p w14:paraId="565B2BED"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r w:rsidRPr="00113EBB">
        <w:rPr>
          <w:rFonts w:asciiTheme="minorHAnsi" w:hAnsiTheme="minorHAnsi" w:cstheme="minorHAnsi"/>
          <w:color w:val="auto"/>
          <w:sz w:val="24"/>
          <w:szCs w:val="24"/>
        </w:rPr>
        <w:t xml:space="preserve">Robinson, A. (2015) ‘Is teenage risk-taking vital for our species?’ </w:t>
      </w:r>
      <w:r w:rsidRPr="00113EBB">
        <w:rPr>
          <w:rFonts w:asciiTheme="minorHAnsi" w:hAnsiTheme="minorHAnsi" w:cstheme="minorHAnsi"/>
          <w:i/>
          <w:iCs/>
          <w:color w:val="auto"/>
          <w:sz w:val="24"/>
          <w:szCs w:val="24"/>
        </w:rPr>
        <w:t xml:space="preserve">The Guardian, </w:t>
      </w:r>
      <w:r w:rsidRPr="00113EBB">
        <w:rPr>
          <w:rFonts w:asciiTheme="minorHAnsi" w:hAnsiTheme="minorHAnsi" w:cstheme="minorHAnsi"/>
          <w:color w:val="auto"/>
          <w:sz w:val="24"/>
          <w:szCs w:val="24"/>
        </w:rPr>
        <w:t>19</w:t>
      </w:r>
      <w:r w:rsidRPr="00113EBB">
        <w:rPr>
          <w:rFonts w:asciiTheme="minorHAnsi" w:hAnsiTheme="minorHAnsi" w:cstheme="minorHAnsi"/>
          <w:color w:val="auto"/>
          <w:sz w:val="24"/>
          <w:szCs w:val="24"/>
          <w:vertAlign w:val="superscript"/>
        </w:rPr>
        <w:t>th</w:t>
      </w:r>
      <w:r w:rsidRPr="00113EBB">
        <w:rPr>
          <w:rFonts w:asciiTheme="minorHAnsi" w:hAnsiTheme="minorHAnsi" w:cstheme="minorHAnsi"/>
          <w:color w:val="auto"/>
          <w:sz w:val="24"/>
          <w:szCs w:val="24"/>
        </w:rPr>
        <w:t xml:space="preserve"> October [Online].  Available at: </w:t>
      </w:r>
      <w:hyperlink r:id="rId156" w:history="1">
        <w:r w:rsidRPr="00113EBB">
          <w:rPr>
            <w:rFonts w:asciiTheme="minorHAnsi" w:hAnsiTheme="minorHAnsi" w:cstheme="minorHAnsi"/>
            <w:color w:val="0000FF"/>
            <w:sz w:val="24"/>
            <w:szCs w:val="24"/>
            <w:u w:val="single"/>
          </w:rPr>
          <w:t>Is teenage risk-taking vital for our species? | Family | The Guardian</w:t>
        </w:r>
      </w:hyperlink>
      <w:r w:rsidRPr="00113EBB">
        <w:rPr>
          <w:rFonts w:asciiTheme="minorHAnsi" w:hAnsiTheme="minorHAnsi" w:cstheme="minorHAnsi"/>
          <w:sz w:val="24"/>
          <w:szCs w:val="24"/>
        </w:rPr>
        <w:t xml:space="preserve"> (Accessed: 23</w:t>
      </w:r>
      <w:r w:rsidRPr="00113EBB">
        <w:rPr>
          <w:rFonts w:asciiTheme="minorHAnsi" w:hAnsiTheme="minorHAnsi" w:cstheme="minorHAnsi"/>
          <w:sz w:val="24"/>
          <w:szCs w:val="24"/>
          <w:vertAlign w:val="superscript"/>
        </w:rPr>
        <w:t>rd</w:t>
      </w:r>
      <w:r w:rsidRPr="00113EBB">
        <w:rPr>
          <w:rFonts w:asciiTheme="minorHAnsi" w:hAnsiTheme="minorHAnsi" w:cstheme="minorHAnsi"/>
          <w:sz w:val="24"/>
          <w:szCs w:val="24"/>
        </w:rPr>
        <w:t xml:space="preserve"> November 2020)</w:t>
      </w:r>
    </w:p>
    <w:p w14:paraId="02B113F2"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
    <w:p w14:paraId="5E56CD28"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r w:rsidRPr="00113EBB">
        <w:rPr>
          <w:rFonts w:asciiTheme="minorHAnsi" w:hAnsiTheme="minorHAnsi" w:cstheme="minorHAnsi"/>
          <w:sz w:val="24"/>
          <w:szCs w:val="24"/>
        </w:rPr>
        <w:t xml:space="preserve">Rogers, C., Lee, T., Fry, C. and </w:t>
      </w:r>
      <w:proofErr w:type="spellStart"/>
      <w:r w:rsidRPr="00113EBB">
        <w:rPr>
          <w:rFonts w:asciiTheme="minorHAnsi" w:hAnsiTheme="minorHAnsi" w:cstheme="minorHAnsi"/>
          <w:sz w:val="24"/>
          <w:szCs w:val="24"/>
        </w:rPr>
        <w:t>Telzer</w:t>
      </w:r>
      <w:proofErr w:type="spellEnd"/>
      <w:r w:rsidRPr="00113EBB">
        <w:rPr>
          <w:rFonts w:asciiTheme="minorHAnsi" w:hAnsiTheme="minorHAnsi" w:cstheme="minorHAnsi"/>
          <w:sz w:val="24"/>
          <w:szCs w:val="24"/>
        </w:rPr>
        <w:t xml:space="preserve">, E. (2021) ‘Where You Lead, I Will Follow: Exploring Sibling Similarity in Brain and </w:t>
      </w:r>
      <w:proofErr w:type="spellStart"/>
      <w:r w:rsidRPr="00113EBB">
        <w:rPr>
          <w:rFonts w:asciiTheme="minorHAnsi" w:hAnsiTheme="minorHAnsi" w:cstheme="minorHAnsi"/>
          <w:sz w:val="24"/>
          <w:szCs w:val="24"/>
        </w:rPr>
        <w:t>Behavior</w:t>
      </w:r>
      <w:proofErr w:type="spellEnd"/>
      <w:r w:rsidRPr="00113EBB">
        <w:rPr>
          <w:rFonts w:asciiTheme="minorHAnsi" w:hAnsiTheme="minorHAnsi" w:cstheme="minorHAnsi"/>
          <w:sz w:val="24"/>
          <w:szCs w:val="24"/>
        </w:rPr>
        <w:t xml:space="preserve"> During Risky Decision Making’, </w:t>
      </w:r>
      <w:r w:rsidRPr="00113EBB">
        <w:rPr>
          <w:rFonts w:asciiTheme="minorHAnsi" w:hAnsiTheme="minorHAnsi" w:cstheme="minorHAnsi"/>
          <w:i/>
          <w:iCs/>
          <w:sz w:val="24"/>
          <w:szCs w:val="24"/>
        </w:rPr>
        <w:t>Journal of Research on Adolescence, Vol.31, pp34-51</w:t>
      </w:r>
      <w:bookmarkStart w:id="32" w:name="_Hlk71994058"/>
      <w:r w:rsidRPr="00113EBB">
        <w:rPr>
          <w:rFonts w:asciiTheme="minorHAnsi" w:hAnsiTheme="minorHAnsi" w:cstheme="minorHAnsi"/>
          <w:i/>
          <w:iCs/>
          <w:sz w:val="24"/>
          <w:szCs w:val="24"/>
        </w:rPr>
        <w:t>.</w:t>
      </w:r>
      <w:r w:rsidRPr="00113EBB">
        <w:rPr>
          <w:rFonts w:asciiTheme="minorHAnsi" w:hAnsiTheme="minorHAnsi" w:cstheme="minorHAnsi"/>
          <w:i/>
          <w:iCs/>
          <w:color w:val="auto"/>
          <w:sz w:val="24"/>
          <w:szCs w:val="24"/>
        </w:rPr>
        <w:t xml:space="preserve"> </w:t>
      </w:r>
      <w:r w:rsidRPr="00113EBB">
        <w:rPr>
          <w:rFonts w:asciiTheme="minorHAnsi" w:eastAsiaTheme="minorHAnsi" w:hAnsiTheme="minorHAnsi" w:cstheme="minorHAnsi"/>
          <w:i/>
          <w:iCs/>
          <w:color w:val="auto"/>
          <w:sz w:val="24"/>
          <w:szCs w:val="24"/>
        </w:rPr>
        <w:t xml:space="preserve"> </w:t>
      </w:r>
      <w:r w:rsidRPr="00113EBB">
        <w:rPr>
          <w:rFonts w:asciiTheme="minorHAnsi" w:hAnsiTheme="minorHAnsi" w:cstheme="minorHAnsi"/>
          <w:sz w:val="24"/>
          <w:szCs w:val="24"/>
        </w:rPr>
        <w:t xml:space="preserve">[Online].  Available at: </w:t>
      </w:r>
      <w:bookmarkEnd w:id="32"/>
      <w:r w:rsidRPr="00113EBB">
        <w:rPr>
          <w:rFonts w:asciiTheme="minorHAnsi" w:hAnsiTheme="minorHAnsi" w:cstheme="minorHAnsi"/>
          <w:sz w:val="24"/>
          <w:szCs w:val="24"/>
        </w:rPr>
        <w:fldChar w:fldCharType="begin"/>
      </w:r>
      <w:r w:rsidRPr="00113EBB">
        <w:rPr>
          <w:rFonts w:asciiTheme="minorHAnsi" w:hAnsiTheme="minorHAnsi" w:cstheme="minorHAnsi"/>
          <w:sz w:val="24"/>
          <w:szCs w:val="24"/>
        </w:rPr>
        <w:instrText xml:space="preserve"> HYPERLINK "https://www.ncbi.nlm.nih.gov/pmc/articles/PMC7984028/" </w:instrText>
      </w:r>
      <w:r w:rsidRPr="00113EBB">
        <w:rPr>
          <w:rFonts w:asciiTheme="minorHAnsi" w:hAnsiTheme="minorHAnsi" w:cstheme="minorHAnsi"/>
          <w:sz w:val="24"/>
          <w:szCs w:val="24"/>
        </w:rPr>
        <w:fldChar w:fldCharType="separate"/>
      </w:r>
      <w:r w:rsidRPr="00113EBB">
        <w:rPr>
          <w:rFonts w:asciiTheme="minorHAnsi" w:hAnsiTheme="minorHAnsi" w:cstheme="minorHAnsi"/>
          <w:color w:val="0000FF"/>
          <w:sz w:val="24"/>
          <w:szCs w:val="24"/>
          <w:u w:val="single"/>
        </w:rPr>
        <w:t xml:space="preserve">Where You Lead, I Will Follow: Exploring Sibling Similarity in Brain and </w:t>
      </w:r>
      <w:proofErr w:type="spellStart"/>
      <w:r w:rsidRPr="00113EBB">
        <w:rPr>
          <w:rFonts w:asciiTheme="minorHAnsi" w:hAnsiTheme="minorHAnsi" w:cstheme="minorHAnsi"/>
          <w:color w:val="0000FF"/>
          <w:sz w:val="24"/>
          <w:szCs w:val="24"/>
          <w:u w:val="single"/>
        </w:rPr>
        <w:t>Behavior</w:t>
      </w:r>
      <w:proofErr w:type="spellEnd"/>
      <w:r w:rsidRPr="00113EBB">
        <w:rPr>
          <w:rFonts w:asciiTheme="minorHAnsi" w:hAnsiTheme="minorHAnsi" w:cstheme="minorHAnsi"/>
          <w:color w:val="0000FF"/>
          <w:sz w:val="24"/>
          <w:szCs w:val="24"/>
          <w:u w:val="single"/>
        </w:rPr>
        <w:t xml:space="preserve"> During Risky Decision Making (nih.gov)</w:t>
      </w:r>
      <w:r w:rsidRPr="00113EBB">
        <w:rPr>
          <w:rFonts w:asciiTheme="minorHAnsi" w:hAnsiTheme="minorHAnsi" w:cstheme="minorHAnsi"/>
          <w:color w:val="0000FF"/>
          <w:sz w:val="24"/>
          <w:szCs w:val="24"/>
          <w:u w:val="single"/>
        </w:rPr>
        <w:fldChar w:fldCharType="end"/>
      </w:r>
      <w:r w:rsidRPr="00113EBB">
        <w:rPr>
          <w:rFonts w:asciiTheme="minorHAnsi" w:hAnsiTheme="minorHAnsi" w:cstheme="minorHAnsi"/>
          <w:sz w:val="24"/>
          <w:szCs w:val="24"/>
        </w:rPr>
        <w:t xml:space="preserve"> (Accessed: 2</w:t>
      </w:r>
      <w:r w:rsidRPr="00113EBB">
        <w:rPr>
          <w:rFonts w:asciiTheme="minorHAnsi" w:hAnsiTheme="minorHAnsi" w:cstheme="minorHAnsi"/>
          <w:sz w:val="24"/>
          <w:szCs w:val="24"/>
          <w:vertAlign w:val="superscript"/>
        </w:rPr>
        <w:t>nd</w:t>
      </w:r>
      <w:r w:rsidRPr="00113EBB">
        <w:rPr>
          <w:rFonts w:asciiTheme="minorHAnsi" w:hAnsiTheme="minorHAnsi" w:cstheme="minorHAnsi"/>
          <w:sz w:val="24"/>
          <w:szCs w:val="24"/>
        </w:rPr>
        <w:t xml:space="preserve"> May 2021)</w:t>
      </w:r>
    </w:p>
    <w:p w14:paraId="430951BF"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5791F18A"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roofErr w:type="spellStart"/>
      <w:r w:rsidRPr="00113EBB">
        <w:rPr>
          <w:rFonts w:asciiTheme="minorHAnsi" w:hAnsiTheme="minorHAnsi" w:cstheme="minorHAnsi"/>
          <w:sz w:val="24"/>
          <w:szCs w:val="24"/>
        </w:rPr>
        <w:t>Rucevic</w:t>
      </w:r>
      <w:proofErr w:type="spellEnd"/>
      <w:r w:rsidRPr="00113EBB">
        <w:rPr>
          <w:rFonts w:asciiTheme="minorHAnsi" w:hAnsiTheme="minorHAnsi" w:cstheme="minorHAnsi"/>
          <w:sz w:val="24"/>
          <w:szCs w:val="24"/>
        </w:rPr>
        <w:t xml:space="preserve">, S. (2016) ‘Gambling among Croatian young people: an exploratory study of the relationship between psychopathic traits, risk-taking tendencies and gambling-related problems’, </w:t>
      </w:r>
      <w:r w:rsidRPr="00113EBB">
        <w:rPr>
          <w:rFonts w:asciiTheme="minorHAnsi" w:hAnsiTheme="minorHAnsi" w:cstheme="minorHAnsi"/>
          <w:i/>
          <w:iCs/>
          <w:sz w:val="24"/>
          <w:szCs w:val="24"/>
        </w:rPr>
        <w:t xml:space="preserve">International Gambling Studies, Vol. 16, pp231-245. </w:t>
      </w:r>
      <w:r w:rsidRPr="00113EBB">
        <w:rPr>
          <w:rFonts w:asciiTheme="minorHAnsi" w:hAnsiTheme="minorHAnsi" w:cstheme="minorHAnsi"/>
          <w:sz w:val="24"/>
          <w:szCs w:val="24"/>
        </w:rPr>
        <w:t xml:space="preserve">[Online]. Available at: </w:t>
      </w:r>
      <w:hyperlink r:id="rId157" w:history="1">
        <w:r w:rsidRPr="00113EBB">
          <w:rPr>
            <w:rFonts w:asciiTheme="minorHAnsi" w:hAnsiTheme="minorHAnsi" w:cstheme="minorHAnsi"/>
            <w:color w:val="0000FF"/>
            <w:sz w:val="24"/>
            <w:szCs w:val="24"/>
            <w:u w:val="single"/>
          </w:rPr>
          <w:t>Gambling among Croatian young people: an exploratory study of the relationship between psychopathic traits, risk-taking tendencies and gambling-related problems: International Gambling Studies: Vol 16, No 2 (tandfonline.com)</w:t>
        </w:r>
      </w:hyperlink>
      <w:r w:rsidRPr="00113EBB">
        <w:rPr>
          <w:rFonts w:asciiTheme="minorHAnsi" w:hAnsiTheme="minorHAnsi" w:cstheme="minorHAnsi"/>
          <w:sz w:val="24"/>
          <w:szCs w:val="24"/>
        </w:rPr>
        <w:t xml:space="preserve"> (Accessed: 23</w:t>
      </w:r>
      <w:r w:rsidRPr="00113EBB">
        <w:rPr>
          <w:rFonts w:asciiTheme="minorHAnsi" w:hAnsiTheme="minorHAnsi" w:cstheme="minorHAnsi"/>
          <w:sz w:val="24"/>
          <w:szCs w:val="24"/>
          <w:vertAlign w:val="superscript"/>
        </w:rPr>
        <w:t>rd</w:t>
      </w:r>
      <w:r w:rsidRPr="00113EBB">
        <w:rPr>
          <w:rFonts w:asciiTheme="minorHAnsi" w:hAnsiTheme="minorHAnsi" w:cstheme="minorHAnsi"/>
          <w:sz w:val="24"/>
          <w:szCs w:val="24"/>
        </w:rPr>
        <w:t xml:space="preserve"> November 2020)</w:t>
      </w:r>
    </w:p>
    <w:p w14:paraId="14EC1D38"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412997E7"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roofErr w:type="spellStart"/>
      <w:r w:rsidRPr="00113EBB">
        <w:rPr>
          <w:rFonts w:asciiTheme="minorHAnsi" w:hAnsiTheme="minorHAnsi" w:cstheme="minorHAnsi"/>
          <w:sz w:val="24"/>
          <w:szCs w:val="24"/>
        </w:rPr>
        <w:t>Sanci</w:t>
      </w:r>
      <w:proofErr w:type="spellEnd"/>
      <w:r w:rsidRPr="00113EBB">
        <w:rPr>
          <w:rFonts w:asciiTheme="minorHAnsi" w:hAnsiTheme="minorHAnsi" w:cstheme="minorHAnsi"/>
          <w:sz w:val="24"/>
          <w:szCs w:val="24"/>
        </w:rPr>
        <w:t xml:space="preserve">, L., Webb, M. and Hocking, J. (2018) ‘Risk-taking behaviour in adolescents’, </w:t>
      </w:r>
      <w:r w:rsidRPr="00113EBB">
        <w:rPr>
          <w:rFonts w:asciiTheme="minorHAnsi" w:hAnsiTheme="minorHAnsi" w:cstheme="minorHAnsi"/>
          <w:i/>
          <w:iCs/>
          <w:sz w:val="24"/>
          <w:szCs w:val="24"/>
        </w:rPr>
        <w:t xml:space="preserve">Australian Journal of General Practice, Vol. 47. </w:t>
      </w:r>
      <w:r w:rsidRPr="00113EBB">
        <w:rPr>
          <w:rFonts w:asciiTheme="minorHAnsi" w:hAnsiTheme="minorHAnsi" w:cstheme="minorHAnsi"/>
          <w:sz w:val="24"/>
          <w:szCs w:val="24"/>
        </w:rPr>
        <w:t xml:space="preserve">[Online]. Available at: </w:t>
      </w:r>
      <w:hyperlink r:id="rId158" w:anchor=":~:text=%20Health-risk%20behaviours%20and%20states%20%201%20Accidents,use.%20Alcohol%20is%20toxic%20to%20the...%20More%20" w:history="1">
        <w:r w:rsidRPr="00113EBB">
          <w:rPr>
            <w:rFonts w:asciiTheme="minorHAnsi" w:hAnsiTheme="minorHAnsi" w:cstheme="minorHAnsi"/>
            <w:color w:val="0000FF"/>
            <w:sz w:val="24"/>
            <w:szCs w:val="24"/>
            <w:u w:val="single"/>
          </w:rPr>
          <w:t>RACGP - Risk taking behaviour in adolescents</w:t>
        </w:r>
      </w:hyperlink>
      <w:r w:rsidRPr="00113EBB">
        <w:rPr>
          <w:rFonts w:asciiTheme="minorHAnsi" w:hAnsiTheme="minorHAnsi" w:cstheme="minorHAnsi"/>
          <w:sz w:val="24"/>
          <w:szCs w:val="24"/>
        </w:rPr>
        <w:t xml:space="preserve"> (Accessed: 23</w:t>
      </w:r>
      <w:r w:rsidRPr="00113EBB">
        <w:rPr>
          <w:rFonts w:asciiTheme="minorHAnsi" w:hAnsiTheme="minorHAnsi" w:cstheme="minorHAnsi"/>
          <w:sz w:val="24"/>
          <w:szCs w:val="24"/>
          <w:vertAlign w:val="superscript"/>
        </w:rPr>
        <w:t>rd</w:t>
      </w:r>
      <w:r w:rsidRPr="00113EBB">
        <w:rPr>
          <w:rFonts w:asciiTheme="minorHAnsi" w:hAnsiTheme="minorHAnsi" w:cstheme="minorHAnsi"/>
          <w:sz w:val="24"/>
          <w:szCs w:val="24"/>
        </w:rPr>
        <w:t xml:space="preserve"> November 2020)</w:t>
      </w:r>
    </w:p>
    <w:p w14:paraId="73B55959"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0F31A2C5"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r w:rsidRPr="00113EBB">
        <w:rPr>
          <w:rFonts w:asciiTheme="minorHAnsi" w:hAnsiTheme="minorHAnsi" w:cstheme="minorHAnsi"/>
          <w:sz w:val="24"/>
          <w:szCs w:val="24"/>
        </w:rPr>
        <w:t xml:space="preserve">Schwartz, M. and Costello, K. (2021) ‘Eating Disorder in Teens During the COVID-19 Pandemic’, </w:t>
      </w:r>
      <w:r w:rsidRPr="00113EBB">
        <w:rPr>
          <w:rFonts w:asciiTheme="minorHAnsi" w:hAnsiTheme="minorHAnsi" w:cstheme="minorHAnsi"/>
          <w:i/>
          <w:iCs/>
          <w:sz w:val="24"/>
          <w:szCs w:val="24"/>
        </w:rPr>
        <w:t xml:space="preserve">Journal of Adolescent Health. </w:t>
      </w:r>
      <w:r w:rsidRPr="00113EBB">
        <w:rPr>
          <w:rFonts w:asciiTheme="minorHAnsi" w:hAnsiTheme="minorHAnsi" w:cstheme="minorHAnsi"/>
          <w:sz w:val="24"/>
          <w:szCs w:val="24"/>
        </w:rPr>
        <w:t xml:space="preserve">[Online]. Available at: </w:t>
      </w:r>
      <w:hyperlink r:id="rId159" w:history="1">
        <w:r w:rsidRPr="00113EBB">
          <w:rPr>
            <w:rFonts w:asciiTheme="minorHAnsi" w:hAnsiTheme="minorHAnsi" w:cstheme="minorHAnsi"/>
            <w:color w:val="0000FF"/>
            <w:sz w:val="24"/>
            <w:szCs w:val="24"/>
            <w:u w:val="single"/>
          </w:rPr>
          <w:t>Eating Disorder in Teens During the COVID-19 Pandemic - Journal of Adolescent Health (jahonline.org)</w:t>
        </w:r>
      </w:hyperlink>
      <w:r w:rsidRPr="00113EBB">
        <w:rPr>
          <w:rFonts w:asciiTheme="minorHAnsi" w:hAnsiTheme="minorHAnsi" w:cstheme="minorHAnsi"/>
          <w:sz w:val="24"/>
          <w:szCs w:val="24"/>
        </w:rPr>
        <w:t xml:space="preserve">  [First accessed as an Article in Press 19</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June 2021].</w:t>
      </w:r>
      <w:r w:rsidRPr="00113EBB">
        <w:rPr>
          <w:rFonts w:asciiTheme="minorHAnsi" w:hAnsiTheme="minorHAnsi" w:cstheme="minorHAnsi"/>
          <w:i/>
          <w:iCs/>
          <w:sz w:val="24"/>
          <w:szCs w:val="24"/>
        </w:rPr>
        <w:t xml:space="preserve"> </w:t>
      </w:r>
      <w:r w:rsidRPr="00113EBB">
        <w:rPr>
          <w:rFonts w:asciiTheme="minorHAnsi" w:hAnsiTheme="minorHAnsi" w:cstheme="minorHAnsi"/>
          <w:sz w:val="24"/>
          <w:szCs w:val="24"/>
        </w:rPr>
        <w:t xml:space="preserve"> </w:t>
      </w:r>
    </w:p>
    <w:p w14:paraId="7E3E27B8"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3186BAFA"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r w:rsidRPr="00113EBB">
        <w:rPr>
          <w:rFonts w:asciiTheme="minorHAnsi" w:hAnsiTheme="minorHAnsi" w:cstheme="minorHAnsi"/>
          <w:sz w:val="24"/>
          <w:szCs w:val="24"/>
        </w:rPr>
        <w:t xml:space="preserve">Smith, A., Reidy, D. and Norris, A. (2020) ‘Teen Dating Violence and Suicide Risk Among Bisexual Adolescents’, </w:t>
      </w:r>
      <w:r w:rsidRPr="00113EBB">
        <w:rPr>
          <w:rFonts w:asciiTheme="minorHAnsi" w:hAnsiTheme="minorHAnsi" w:cstheme="minorHAnsi"/>
          <w:i/>
          <w:iCs/>
          <w:sz w:val="24"/>
          <w:szCs w:val="24"/>
        </w:rPr>
        <w:t xml:space="preserve">Journal of Adolescent Health, Vol. 67, pp685-691. </w:t>
      </w:r>
      <w:r w:rsidRPr="00113EBB">
        <w:rPr>
          <w:rFonts w:asciiTheme="minorHAnsi" w:hAnsiTheme="minorHAnsi" w:cstheme="minorHAnsi"/>
          <w:sz w:val="24"/>
          <w:szCs w:val="24"/>
        </w:rPr>
        <w:t xml:space="preserve">[Online]. Available at: </w:t>
      </w:r>
      <w:hyperlink r:id="rId160" w:history="1">
        <w:r w:rsidRPr="00113EBB">
          <w:rPr>
            <w:rFonts w:asciiTheme="minorHAnsi" w:hAnsiTheme="minorHAnsi" w:cstheme="minorHAnsi"/>
            <w:color w:val="0000FF"/>
            <w:sz w:val="24"/>
            <w:szCs w:val="24"/>
            <w:u w:val="single"/>
          </w:rPr>
          <w:t>Teen Dating Violence and Suicide Risk Among Bisexual Adolescents | Elsevier Enhanced Reader</w:t>
        </w:r>
      </w:hyperlink>
      <w:r w:rsidRPr="00113EBB">
        <w:rPr>
          <w:rFonts w:asciiTheme="minorHAnsi" w:hAnsiTheme="minorHAnsi" w:cstheme="minorHAnsi"/>
          <w:sz w:val="24"/>
          <w:szCs w:val="24"/>
        </w:rPr>
        <w:t xml:space="preserve"> (Accessed: 27</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April 2021) </w:t>
      </w:r>
    </w:p>
    <w:p w14:paraId="18BFC97C"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
    <w:p w14:paraId="10A16A86"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roofErr w:type="spellStart"/>
      <w:r w:rsidRPr="00113EBB">
        <w:rPr>
          <w:rFonts w:asciiTheme="minorHAnsi" w:hAnsiTheme="minorHAnsi" w:cstheme="minorHAnsi"/>
          <w:color w:val="auto"/>
          <w:sz w:val="24"/>
          <w:szCs w:val="24"/>
        </w:rPr>
        <w:t>Sofronoff</w:t>
      </w:r>
      <w:proofErr w:type="spellEnd"/>
      <w:r w:rsidRPr="00113EBB">
        <w:rPr>
          <w:rFonts w:asciiTheme="minorHAnsi" w:hAnsiTheme="minorHAnsi" w:cstheme="minorHAnsi"/>
          <w:color w:val="auto"/>
          <w:sz w:val="24"/>
          <w:szCs w:val="24"/>
        </w:rPr>
        <w:t xml:space="preserve">, K., </w:t>
      </w:r>
      <w:proofErr w:type="spellStart"/>
      <w:r w:rsidRPr="00113EBB">
        <w:rPr>
          <w:rFonts w:asciiTheme="minorHAnsi" w:hAnsiTheme="minorHAnsi" w:cstheme="minorHAnsi"/>
          <w:color w:val="auto"/>
          <w:sz w:val="24"/>
          <w:szCs w:val="24"/>
        </w:rPr>
        <w:t>Dalgliesh</w:t>
      </w:r>
      <w:proofErr w:type="spellEnd"/>
      <w:r w:rsidRPr="00113EBB">
        <w:rPr>
          <w:rFonts w:asciiTheme="minorHAnsi" w:hAnsiTheme="minorHAnsi" w:cstheme="minorHAnsi"/>
          <w:color w:val="auto"/>
          <w:sz w:val="24"/>
          <w:szCs w:val="24"/>
        </w:rPr>
        <w:t xml:space="preserve">, L. and </w:t>
      </w:r>
      <w:proofErr w:type="spellStart"/>
      <w:r w:rsidRPr="00113EBB">
        <w:rPr>
          <w:rFonts w:asciiTheme="minorHAnsi" w:hAnsiTheme="minorHAnsi" w:cstheme="minorHAnsi"/>
          <w:color w:val="auto"/>
          <w:sz w:val="24"/>
          <w:szCs w:val="24"/>
        </w:rPr>
        <w:t>Kosky</w:t>
      </w:r>
      <w:proofErr w:type="spellEnd"/>
      <w:r w:rsidRPr="00113EBB">
        <w:rPr>
          <w:rFonts w:asciiTheme="minorHAnsi" w:hAnsiTheme="minorHAnsi" w:cstheme="minorHAnsi"/>
          <w:color w:val="auto"/>
          <w:sz w:val="24"/>
          <w:szCs w:val="24"/>
        </w:rPr>
        <w:t xml:space="preserve">, R. (2005) </w:t>
      </w:r>
      <w:r w:rsidRPr="00113EBB">
        <w:rPr>
          <w:rFonts w:asciiTheme="minorHAnsi" w:hAnsiTheme="minorHAnsi" w:cstheme="minorHAnsi"/>
          <w:i/>
          <w:iCs/>
          <w:color w:val="auto"/>
          <w:sz w:val="24"/>
          <w:szCs w:val="24"/>
        </w:rPr>
        <w:t xml:space="preserve">Out of Options: A Cognitive Model of Adolescent Suicide and Risk-Taking. </w:t>
      </w:r>
      <w:r w:rsidRPr="00113EBB">
        <w:rPr>
          <w:rFonts w:asciiTheme="minorHAnsi" w:hAnsiTheme="minorHAnsi" w:cstheme="minorHAnsi"/>
          <w:color w:val="auto"/>
          <w:sz w:val="24"/>
          <w:szCs w:val="24"/>
        </w:rPr>
        <w:t>Cambridge: Cambridge University Press.</w:t>
      </w:r>
    </w:p>
    <w:p w14:paraId="1B804D4E"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
    <w:p w14:paraId="24226CC6" w14:textId="77777777" w:rsidR="00113EBB" w:rsidRPr="00113EBB" w:rsidRDefault="00113EBB" w:rsidP="00113EBB">
      <w:pPr>
        <w:suppressAutoHyphens/>
        <w:spacing w:after="160" w:afterAutospacing="0" w:line="256" w:lineRule="auto"/>
        <w:jc w:val="both"/>
        <w:rPr>
          <w:rFonts w:asciiTheme="minorHAnsi" w:hAnsiTheme="minorHAnsi" w:cstheme="minorHAnsi"/>
          <w:sz w:val="24"/>
          <w:szCs w:val="24"/>
        </w:rPr>
      </w:pPr>
      <w:proofErr w:type="spellStart"/>
      <w:r w:rsidRPr="00113EBB">
        <w:rPr>
          <w:rFonts w:asciiTheme="minorHAnsi" w:hAnsiTheme="minorHAnsi" w:cstheme="minorHAnsi"/>
          <w:bCs/>
          <w:color w:val="000000" w:themeColor="text1"/>
          <w:sz w:val="24"/>
          <w:szCs w:val="24"/>
        </w:rPr>
        <w:t>Tymula</w:t>
      </w:r>
      <w:proofErr w:type="spellEnd"/>
      <w:r w:rsidRPr="00113EBB">
        <w:rPr>
          <w:rFonts w:asciiTheme="minorHAnsi" w:hAnsiTheme="minorHAnsi" w:cstheme="minorHAnsi"/>
          <w:bCs/>
          <w:color w:val="000000" w:themeColor="text1"/>
          <w:sz w:val="24"/>
          <w:szCs w:val="24"/>
        </w:rPr>
        <w:t xml:space="preserve">, A. and Wang, X. (2021) ‘Increased risk-taking, not loss tolerance, drives adolescents’ propensity to choose risky prospects more often under peer observation’, </w:t>
      </w:r>
      <w:r w:rsidRPr="00113EBB">
        <w:rPr>
          <w:rFonts w:asciiTheme="minorHAnsi" w:hAnsiTheme="minorHAnsi" w:cstheme="minorHAnsi"/>
          <w:bCs/>
          <w:i/>
          <w:iCs/>
          <w:color w:val="000000" w:themeColor="text1"/>
          <w:sz w:val="24"/>
          <w:szCs w:val="24"/>
        </w:rPr>
        <w:t xml:space="preserve">Journal of Economic </w:t>
      </w:r>
      <w:proofErr w:type="spellStart"/>
      <w:r w:rsidRPr="00113EBB">
        <w:rPr>
          <w:rFonts w:asciiTheme="minorHAnsi" w:hAnsiTheme="minorHAnsi" w:cstheme="minorHAnsi"/>
          <w:bCs/>
          <w:i/>
          <w:iCs/>
          <w:color w:val="000000" w:themeColor="text1"/>
          <w:sz w:val="24"/>
          <w:szCs w:val="24"/>
        </w:rPr>
        <w:t>Behavior</w:t>
      </w:r>
      <w:proofErr w:type="spellEnd"/>
      <w:r w:rsidRPr="00113EBB">
        <w:rPr>
          <w:rFonts w:asciiTheme="minorHAnsi" w:hAnsiTheme="minorHAnsi" w:cstheme="minorHAnsi"/>
          <w:bCs/>
          <w:i/>
          <w:iCs/>
          <w:color w:val="000000" w:themeColor="text1"/>
          <w:sz w:val="24"/>
          <w:szCs w:val="24"/>
        </w:rPr>
        <w:t xml:space="preserve"> and Organization, Vol. 188, pp419-457. </w:t>
      </w:r>
      <w:r w:rsidRPr="00113EBB">
        <w:rPr>
          <w:rFonts w:asciiTheme="minorHAnsi" w:hAnsiTheme="minorHAnsi" w:cstheme="minorHAnsi"/>
          <w:bCs/>
          <w:color w:val="000000" w:themeColor="text1"/>
          <w:sz w:val="24"/>
          <w:szCs w:val="24"/>
        </w:rPr>
        <w:t xml:space="preserve">[Online]. Available at: </w:t>
      </w:r>
      <w:hyperlink r:id="rId161" w:history="1">
        <w:r w:rsidRPr="00113EBB">
          <w:rPr>
            <w:rFonts w:asciiTheme="minorHAnsi" w:hAnsiTheme="minorHAnsi" w:cstheme="minorHAnsi"/>
            <w:color w:val="0000FF"/>
            <w:sz w:val="24"/>
            <w:szCs w:val="24"/>
            <w:u w:val="single"/>
          </w:rPr>
          <w:t xml:space="preserve">Increased </w:t>
        </w:r>
        <w:r w:rsidRPr="00113EBB">
          <w:rPr>
            <w:rFonts w:asciiTheme="minorHAnsi" w:hAnsiTheme="minorHAnsi" w:cstheme="minorHAnsi"/>
            <w:color w:val="0000FF"/>
            <w:sz w:val="24"/>
            <w:szCs w:val="24"/>
            <w:u w:val="single"/>
          </w:rPr>
          <w:lastRenderedPageBreak/>
          <w:t>risk-taking, not loss tolerance, drives adolescents• propensity to choose risky prospects more often under peer observation | Elsevier Enhanced Reader</w:t>
        </w:r>
      </w:hyperlink>
      <w:r w:rsidRPr="00113EBB">
        <w:rPr>
          <w:rFonts w:asciiTheme="minorHAnsi" w:hAnsiTheme="minorHAnsi" w:cstheme="minorHAnsi"/>
          <w:sz w:val="24"/>
          <w:szCs w:val="24"/>
        </w:rPr>
        <w:t xml:space="preserve"> (Accessed: 15</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June 2021)</w:t>
      </w:r>
    </w:p>
    <w:p w14:paraId="57B3ADB0" w14:textId="77777777" w:rsidR="00113EBB" w:rsidRPr="00113EBB" w:rsidRDefault="00113EBB" w:rsidP="00113EBB">
      <w:pPr>
        <w:suppressAutoHyphens/>
        <w:spacing w:after="160" w:afterAutospacing="0" w:line="256" w:lineRule="auto"/>
        <w:jc w:val="both"/>
        <w:rPr>
          <w:rFonts w:asciiTheme="minorHAnsi" w:hAnsiTheme="minorHAnsi" w:cstheme="minorHAnsi"/>
          <w:sz w:val="24"/>
          <w:szCs w:val="24"/>
        </w:rPr>
      </w:pPr>
      <w:r w:rsidRPr="00113EBB">
        <w:rPr>
          <w:rFonts w:asciiTheme="minorHAnsi" w:hAnsiTheme="minorHAnsi" w:cstheme="minorHAnsi"/>
          <w:sz w:val="24"/>
          <w:szCs w:val="24"/>
        </w:rPr>
        <w:t xml:space="preserve">Uh, S., </w:t>
      </w:r>
      <w:proofErr w:type="spellStart"/>
      <w:r w:rsidRPr="00113EBB">
        <w:rPr>
          <w:rFonts w:asciiTheme="minorHAnsi" w:hAnsiTheme="minorHAnsi" w:cstheme="minorHAnsi"/>
          <w:sz w:val="24"/>
          <w:szCs w:val="24"/>
        </w:rPr>
        <w:t>Dalmaijer</w:t>
      </w:r>
      <w:proofErr w:type="spellEnd"/>
      <w:r w:rsidRPr="00113EBB">
        <w:rPr>
          <w:rFonts w:asciiTheme="minorHAnsi" w:hAnsiTheme="minorHAnsi" w:cstheme="minorHAnsi"/>
          <w:sz w:val="24"/>
          <w:szCs w:val="24"/>
        </w:rPr>
        <w:t xml:space="preserve">, E., </w:t>
      </w:r>
      <w:proofErr w:type="spellStart"/>
      <w:r w:rsidRPr="00113EBB">
        <w:rPr>
          <w:rFonts w:asciiTheme="minorHAnsi" w:hAnsiTheme="minorHAnsi" w:cstheme="minorHAnsi"/>
          <w:sz w:val="24"/>
          <w:szCs w:val="24"/>
        </w:rPr>
        <w:t>Siugzdaite</w:t>
      </w:r>
      <w:proofErr w:type="spellEnd"/>
      <w:r w:rsidRPr="00113EBB">
        <w:rPr>
          <w:rFonts w:asciiTheme="minorHAnsi" w:hAnsiTheme="minorHAnsi" w:cstheme="minorHAnsi"/>
          <w:sz w:val="24"/>
          <w:szCs w:val="24"/>
        </w:rPr>
        <w:t xml:space="preserve">, R., Ford, T. and </w:t>
      </w:r>
      <w:proofErr w:type="spellStart"/>
      <w:r w:rsidRPr="00113EBB">
        <w:rPr>
          <w:rFonts w:asciiTheme="minorHAnsi" w:hAnsiTheme="minorHAnsi" w:cstheme="minorHAnsi"/>
          <w:sz w:val="24"/>
          <w:szCs w:val="24"/>
        </w:rPr>
        <w:t>Astle</w:t>
      </w:r>
      <w:proofErr w:type="spellEnd"/>
      <w:r w:rsidRPr="00113EBB">
        <w:rPr>
          <w:rFonts w:asciiTheme="minorHAnsi" w:hAnsiTheme="minorHAnsi" w:cstheme="minorHAnsi"/>
          <w:sz w:val="24"/>
          <w:szCs w:val="24"/>
        </w:rPr>
        <w:t xml:space="preserve">, D. (2021) ‘Two Pathways to Self-Harm in Adolescence’ </w:t>
      </w:r>
      <w:r w:rsidRPr="00113EBB">
        <w:rPr>
          <w:rFonts w:asciiTheme="minorHAnsi" w:hAnsiTheme="minorHAnsi" w:cstheme="minorHAnsi"/>
          <w:i/>
          <w:iCs/>
          <w:sz w:val="24"/>
          <w:szCs w:val="24"/>
        </w:rPr>
        <w:t xml:space="preserve">Journal of the American Academy of Child &amp; Adolescent Psychiatry. </w:t>
      </w:r>
      <w:r w:rsidRPr="00113EBB">
        <w:rPr>
          <w:rFonts w:asciiTheme="minorHAnsi" w:hAnsiTheme="minorHAnsi" w:cstheme="minorHAnsi"/>
          <w:sz w:val="24"/>
          <w:szCs w:val="24"/>
        </w:rPr>
        <w:t xml:space="preserve">[Online]. Available at: </w:t>
      </w:r>
      <w:hyperlink r:id="rId162" w:history="1">
        <w:r w:rsidRPr="00113EBB">
          <w:rPr>
            <w:rFonts w:asciiTheme="minorHAnsi" w:hAnsiTheme="minorHAnsi" w:cstheme="minorHAnsi"/>
            <w:color w:val="0000FF"/>
            <w:sz w:val="24"/>
            <w:szCs w:val="24"/>
            <w:u w:val="single"/>
          </w:rPr>
          <w:t>Two Pathways to Self-Harm in Adolescence - ScienceDirect</w:t>
        </w:r>
      </w:hyperlink>
      <w:r w:rsidRPr="00113EBB">
        <w:rPr>
          <w:rFonts w:asciiTheme="minorHAnsi" w:hAnsiTheme="minorHAnsi" w:cstheme="minorHAnsi"/>
          <w:sz w:val="24"/>
          <w:szCs w:val="24"/>
        </w:rPr>
        <w:t xml:space="preserve"> (First accessed as an Article in Press 15</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April 2021)</w:t>
      </w:r>
    </w:p>
    <w:p w14:paraId="231B16E6" w14:textId="77777777" w:rsidR="00113EBB" w:rsidRPr="00113EBB" w:rsidRDefault="00113EBB" w:rsidP="00113EBB">
      <w:pPr>
        <w:suppressAutoHyphens/>
        <w:spacing w:after="160" w:afterAutospacing="0" w:line="256" w:lineRule="auto"/>
        <w:jc w:val="both"/>
        <w:rPr>
          <w:rFonts w:asciiTheme="minorHAnsi" w:hAnsiTheme="minorHAnsi" w:cstheme="minorHAnsi"/>
          <w:sz w:val="24"/>
          <w:szCs w:val="24"/>
        </w:rPr>
      </w:pPr>
      <w:proofErr w:type="spellStart"/>
      <w:r w:rsidRPr="00113EBB">
        <w:rPr>
          <w:rFonts w:asciiTheme="minorHAnsi" w:hAnsiTheme="minorHAnsi" w:cstheme="minorHAnsi"/>
          <w:sz w:val="24"/>
          <w:szCs w:val="24"/>
        </w:rPr>
        <w:t>Urosevic</w:t>
      </w:r>
      <w:proofErr w:type="spellEnd"/>
      <w:r w:rsidRPr="00113EBB">
        <w:rPr>
          <w:rFonts w:asciiTheme="minorHAnsi" w:hAnsiTheme="minorHAnsi" w:cstheme="minorHAnsi"/>
          <w:sz w:val="24"/>
          <w:szCs w:val="24"/>
        </w:rPr>
        <w:t xml:space="preserve">, S., Collins, P., </w:t>
      </w:r>
      <w:proofErr w:type="spellStart"/>
      <w:r w:rsidRPr="00113EBB">
        <w:rPr>
          <w:rFonts w:asciiTheme="minorHAnsi" w:hAnsiTheme="minorHAnsi" w:cstheme="minorHAnsi"/>
          <w:sz w:val="24"/>
          <w:szCs w:val="24"/>
        </w:rPr>
        <w:t>Muetzel</w:t>
      </w:r>
      <w:proofErr w:type="spellEnd"/>
      <w:r w:rsidRPr="00113EBB">
        <w:rPr>
          <w:rFonts w:asciiTheme="minorHAnsi" w:hAnsiTheme="minorHAnsi" w:cstheme="minorHAnsi"/>
          <w:sz w:val="24"/>
          <w:szCs w:val="24"/>
        </w:rPr>
        <w:t xml:space="preserve">, R., Lim, K. and Luciana, M. (2014) ‘Pubertal status associations with reward and threat sensitivities and subcortical brain volumes during adolescence’, </w:t>
      </w:r>
      <w:r w:rsidRPr="00113EBB">
        <w:rPr>
          <w:rFonts w:asciiTheme="minorHAnsi" w:hAnsiTheme="minorHAnsi" w:cstheme="minorHAnsi"/>
          <w:i/>
          <w:iCs/>
          <w:sz w:val="24"/>
          <w:szCs w:val="24"/>
        </w:rPr>
        <w:t xml:space="preserve">Brain and Cognition, Vol. 89, pp15-26. </w:t>
      </w:r>
      <w:r w:rsidRPr="00113EBB">
        <w:rPr>
          <w:rFonts w:asciiTheme="minorHAnsi" w:hAnsiTheme="minorHAnsi" w:cstheme="minorHAnsi"/>
          <w:sz w:val="24"/>
          <w:szCs w:val="24"/>
        </w:rPr>
        <w:t xml:space="preserve">[Online]. Available at: </w:t>
      </w:r>
      <w:hyperlink r:id="rId163" w:history="1">
        <w:r w:rsidRPr="00113EBB">
          <w:rPr>
            <w:rFonts w:asciiTheme="minorHAnsi" w:hAnsiTheme="minorHAnsi" w:cstheme="minorHAnsi"/>
            <w:color w:val="0000FF"/>
            <w:sz w:val="24"/>
            <w:szCs w:val="24"/>
            <w:u w:val="single"/>
          </w:rPr>
          <w:t>Pubertal status associations with reward and threat sensitivities and subcortical brain volumes during adolescence - ScienceDirect</w:t>
        </w:r>
      </w:hyperlink>
      <w:r w:rsidRPr="00113EBB">
        <w:rPr>
          <w:rFonts w:asciiTheme="minorHAnsi" w:hAnsiTheme="minorHAnsi" w:cstheme="minorHAnsi"/>
          <w:sz w:val="24"/>
          <w:szCs w:val="24"/>
        </w:rPr>
        <w:t xml:space="preserve"> (Accessed: 2</w:t>
      </w:r>
      <w:r w:rsidRPr="00113EBB">
        <w:rPr>
          <w:rFonts w:asciiTheme="minorHAnsi" w:hAnsiTheme="minorHAnsi" w:cstheme="minorHAnsi"/>
          <w:sz w:val="24"/>
          <w:szCs w:val="24"/>
          <w:vertAlign w:val="superscript"/>
        </w:rPr>
        <w:t>nd</w:t>
      </w:r>
      <w:r w:rsidRPr="00113EBB">
        <w:rPr>
          <w:rFonts w:asciiTheme="minorHAnsi" w:hAnsiTheme="minorHAnsi" w:cstheme="minorHAnsi"/>
          <w:sz w:val="24"/>
          <w:szCs w:val="24"/>
        </w:rPr>
        <w:t xml:space="preserve"> December 2020) </w:t>
      </w:r>
    </w:p>
    <w:p w14:paraId="614A46DA" w14:textId="77777777" w:rsidR="00113EBB" w:rsidRPr="00113EBB" w:rsidRDefault="00113EBB" w:rsidP="00113EBB">
      <w:pPr>
        <w:suppressAutoHyphens/>
        <w:spacing w:after="160" w:afterAutospacing="0" w:line="256" w:lineRule="auto"/>
        <w:jc w:val="both"/>
        <w:rPr>
          <w:rFonts w:asciiTheme="minorHAnsi" w:hAnsiTheme="minorHAnsi" w:cstheme="minorHAnsi"/>
          <w:bCs/>
          <w:color w:val="000000" w:themeColor="text1"/>
          <w:sz w:val="24"/>
          <w:szCs w:val="24"/>
        </w:rPr>
      </w:pPr>
      <w:r w:rsidRPr="00113EBB">
        <w:rPr>
          <w:rFonts w:asciiTheme="minorHAnsi" w:hAnsiTheme="minorHAnsi" w:cstheme="minorHAnsi"/>
          <w:sz w:val="24"/>
          <w:szCs w:val="24"/>
        </w:rPr>
        <w:t xml:space="preserve">Wellman, R. (2020) ‘Can Asking Adolescents About Being Drunk and Their Subjective Experience of Intoxication Help in Screening for Risky Drinking?’, </w:t>
      </w:r>
      <w:r w:rsidRPr="00113EBB">
        <w:rPr>
          <w:rFonts w:asciiTheme="minorHAnsi" w:hAnsiTheme="minorHAnsi" w:cstheme="minorHAnsi"/>
          <w:i/>
          <w:iCs/>
          <w:sz w:val="24"/>
          <w:szCs w:val="24"/>
        </w:rPr>
        <w:t xml:space="preserve">Journal of Adolescent Health, Vol. 67, pp627-628. </w:t>
      </w:r>
      <w:r w:rsidRPr="00113EBB">
        <w:rPr>
          <w:rFonts w:asciiTheme="minorHAnsi" w:hAnsiTheme="minorHAnsi" w:cstheme="minorHAnsi"/>
          <w:sz w:val="24"/>
          <w:szCs w:val="24"/>
        </w:rPr>
        <w:t xml:space="preserve">[Online]. Available at: </w:t>
      </w:r>
      <w:hyperlink r:id="rId164" w:history="1">
        <w:r w:rsidRPr="00113EBB">
          <w:rPr>
            <w:rFonts w:asciiTheme="minorHAnsi" w:hAnsiTheme="minorHAnsi" w:cstheme="minorHAnsi"/>
            <w:color w:val="0000FF"/>
            <w:sz w:val="24"/>
            <w:szCs w:val="24"/>
            <w:u w:val="single"/>
          </w:rPr>
          <w:t>Can Asking Adolescents About Being Drunk and Their Subjective Experience of Intoxication Help in Screening for Risky Drinking? - ScienceDirect</w:t>
        </w:r>
      </w:hyperlink>
      <w:r w:rsidRPr="00113EBB">
        <w:rPr>
          <w:rFonts w:asciiTheme="minorHAnsi" w:hAnsiTheme="minorHAnsi" w:cstheme="minorHAnsi"/>
          <w:sz w:val="24"/>
          <w:szCs w:val="24"/>
        </w:rPr>
        <w:t xml:space="preserve"> (Accessed: 5</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May 2021)</w:t>
      </w:r>
    </w:p>
    <w:p w14:paraId="798CF61A"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r w:rsidRPr="00113EBB">
        <w:rPr>
          <w:rFonts w:asciiTheme="minorHAnsi" w:hAnsiTheme="minorHAnsi" w:cstheme="minorHAnsi"/>
          <w:color w:val="auto"/>
          <w:sz w:val="24"/>
          <w:szCs w:val="24"/>
        </w:rPr>
        <w:t xml:space="preserve">Wolfe, D., Jaffe, P. and Crooks, C. (2006) </w:t>
      </w:r>
      <w:r w:rsidRPr="00113EBB">
        <w:rPr>
          <w:rFonts w:asciiTheme="minorHAnsi" w:hAnsiTheme="minorHAnsi" w:cstheme="minorHAnsi"/>
          <w:i/>
          <w:iCs/>
          <w:color w:val="auto"/>
          <w:sz w:val="24"/>
          <w:szCs w:val="24"/>
        </w:rPr>
        <w:t xml:space="preserve">Adolescent Risk </w:t>
      </w:r>
      <w:proofErr w:type="spellStart"/>
      <w:r w:rsidRPr="00113EBB">
        <w:rPr>
          <w:rFonts w:asciiTheme="minorHAnsi" w:hAnsiTheme="minorHAnsi" w:cstheme="minorHAnsi"/>
          <w:i/>
          <w:iCs/>
          <w:color w:val="auto"/>
          <w:sz w:val="24"/>
          <w:szCs w:val="24"/>
        </w:rPr>
        <w:t>Behaviors</w:t>
      </w:r>
      <w:proofErr w:type="spellEnd"/>
      <w:r w:rsidRPr="00113EBB">
        <w:rPr>
          <w:rFonts w:asciiTheme="minorHAnsi" w:hAnsiTheme="minorHAnsi" w:cstheme="minorHAnsi"/>
          <w:i/>
          <w:iCs/>
          <w:color w:val="auto"/>
          <w:sz w:val="24"/>
          <w:szCs w:val="24"/>
        </w:rPr>
        <w:t xml:space="preserve">: Why Teens Experiment and Strategies to Keep Them Safe.  </w:t>
      </w:r>
      <w:r w:rsidRPr="00113EBB">
        <w:rPr>
          <w:rFonts w:asciiTheme="minorHAnsi" w:hAnsiTheme="minorHAnsi" w:cstheme="minorHAnsi"/>
          <w:color w:val="auto"/>
          <w:sz w:val="24"/>
          <w:szCs w:val="24"/>
        </w:rPr>
        <w:t>New Haven: Yale University Press.</w:t>
      </w:r>
    </w:p>
    <w:p w14:paraId="2FCA4CA4"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
    <w:p w14:paraId="7EEAF987"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r w:rsidRPr="00113EBB">
        <w:rPr>
          <w:rFonts w:asciiTheme="minorHAnsi" w:hAnsiTheme="minorHAnsi" w:cstheme="minorHAnsi"/>
          <w:color w:val="auto"/>
          <w:sz w:val="24"/>
          <w:szCs w:val="24"/>
        </w:rPr>
        <w:t xml:space="preserve">WHO (2021) </w:t>
      </w:r>
      <w:r w:rsidRPr="00113EBB">
        <w:rPr>
          <w:rFonts w:asciiTheme="minorHAnsi" w:hAnsiTheme="minorHAnsi" w:cstheme="minorHAnsi"/>
          <w:i/>
          <w:iCs/>
          <w:color w:val="auto"/>
          <w:sz w:val="24"/>
          <w:szCs w:val="24"/>
        </w:rPr>
        <w:t xml:space="preserve">Strengthening Data on Adolescent Health. </w:t>
      </w:r>
      <w:r w:rsidRPr="00113EBB">
        <w:rPr>
          <w:rFonts w:asciiTheme="minorHAnsi" w:hAnsiTheme="minorHAnsi" w:cstheme="minorHAnsi"/>
          <w:color w:val="auto"/>
          <w:sz w:val="24"/>
          <w:szCs w:val="24"/>
        </w:rPr>
        <w:t xml:space="preserve">Available at: </w:t>
      </w:r>
      <w:hyperlink r:id="rId165" w:anchor=":~:text=WHO%20created%20the%20Maternal%20Newborn%20Child%20and%20Adolescent,fill%20gaps%20and%20supports%20global%20and%20national%20monitoring." w:history="1">
        <w:r w:rsidRPr="00113EBB">
          <w:rPr>
            <w:rFonts w:asciiTheme="minorHAnsi" w:hAnsiTheme="minorHAnsi" w:cstheme="minorHAnsi"/>
            <w:color w:val="0000FF"/>
            <w:sz w:val="24"/>
            <w:szCs w:val="24"/>
            <w:u w:val="single"/>
          </w:rPr>
          <w:t>Strengthening data on adolescent health (who.int)</w:t>
        </w:r>
      </w:hyperlink>
      <w:r w:rsidRPr="00113EBB">
        <w:rPr>
          <w:rFonts w:asciiTheme="minorHAnsi" w:hAnsiTheme="minorHAnsi" w:cstheme="minorHAnsi"/>
          <w:sz w:val="24"/>
          <w:szCs w:val="24"/>
        </w:rPr>
        <w:t xml:space="preserve"> (Accessed: 14</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June 2021)</w:t>
      </w:r>
    </w:p>
    <w:p w14:paraId="1773BAF6" w14:textId="77777777" w:rsidR="00113EBB" w:rsidRPr="00113EBB" w:rsidRDefault="00113EBB" w:rsidP="00113EBB">
      <w:pPr>
        <w:spacing w:after="0" w:afterAutospacing="0" w:line="240" w:lineRule="auto"/>
        <w:contextualSpacing/>
        <w:jc w:val="both"/>
        <w:rPr>
          <w:rFonts w:asciiTheme="minorHAnsi" w:hAnsiTheme="minorHAnsi" w:cstheme="minorHAnsi"/>
          <w:color w:val="auto"/>
          <w:sz w:val="24"/>
          <w:szCs w:val="24"/>
        </w:rPr>
      </w:pPr>
    </w:p>
    <w:p w14:paraId="4DD84037"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r w:rsidRPr="00113EBB">
        <w:rPr>
          <w:rFonts w:asciiTheme="minorHAnsi" w:hAnsiTheme="minorHAnsi" w:cstheme="minorHAnsi"/>
          <w:color w:val="auto"/>
          <w:sz w:val="24"/>
          <w:szCs w:val="24"/>
        </w:rPr>
        <w:t xml:space="preserve">Youth Justice Board and Ministry of Justice (2021) </w:t>
      </w:r>
      <w:r w:rsidRPr="00113EBB">
        <w:rPr>
          <w:rFonts w:asciiTheme="minorHAnsi" w:hAnsiTheme="minorHAnsi" w:cstheme="minorHAnsi"/>
          <w:i/>
          <w:iCs/>
          <w:color w:val="auto"/>
          <w:sz w:val="24"/>
          <w:szCs w:val="24"/>
        </w:rPr>
        <w:t>Youth Justice Statistics 2019/20</w:t>
      </w:r>
      <w:r w:rsidRPr="00113EBB">
        <w:rPr>
          <w:rFonts w:asciiTheme="minorHAnsi" w:hAnsiTheme="minorHAnsi" w:cstheme="minorHAnsi"/>
          <w:color w:val="auto"/>
          <w:sz w:val="24"/>
          <w:szCs w:val="24"/>
        </w:rPr>
        <w:t xml:space="preserve">. [Online]. Available at:  </w:t>
      </w:r>
      <w:hyperlink r:id="rId166" w:history="1">
        <w:r w:rsidRPr="00113EBB">
          <w:rPr>
            <w:rFonts w:asciiTheme="minorHAnsi" w:hAnsiTheme="minorHAnsi" w:cstheme="minorHAnsi"/>
            <w:color w:val="0000FF"/>
            <w:sz w:val="24"/>
            <w:szCs w:val="24"/>
            <w:u w:val="single"/>
          </w:rPr>
          <w:t>youth-justice-statistics-2019-2020.pdf (publishing.service.gov.uk)</w:t>
        </w:r>
      </w:hyperlink>
      <w:r w:rsidRPr="00113EBB">
        <w:rPr>
          <w:rFonts w:asciiTheme="minorHAnsi" w:hAnsiTheme="minorHAnsi" w:cstheme="minorHAnsi"/>
          <w:sz w:val="24"/>
          <w:szCs w:val="24"/>
        </w:rPr>
        <w:t xml:space="preserve"> (Accessed: 28</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June 2021)</w:t>
      </w:r>
    </w:p>
    <w:p w14:paraId="7C245771"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193B859C" w14:textId="77777777" w:rsidR="00113EBB" w:rsidRPr="00113EBB" w:rsidRDefault="00113EBB" w:rsidP="00113EBB">
      <w:pPr>
        <w:spacing w:after="160" w:afterAutospacing="0" w:line="276" w:lineRule="auto"/>
        <w:rPr>
          <w:rFonts w:asciiTheme="minorHAnsi" w:eastAsia="Times New Roman" w:hAnsiTheme="minorHAnsi" w:cstheme="minorHAnsi"/>
          <w:bCs/>
          <w:sz w:val="24"/>
          <w:szCs w:val="24"/>
          <w:lang w:eastAsia="en-GB"/>
        </w:rPr>
      </w:pPr>
      <w:r w:rsidRPr="00113EBB">
        <w:rPr>
          <w:rFonts w:asciiTheme="minorHAnsi" w:eastAsia="Times New Roman" w:hAnsiTheme="minorHAnsi" w:cstheme="minorHAnsi"/>
          <w:bCs/>
          <w:sz w:val="24"/>
          <w:szCs w:val="24"/>
          <w:lang w:eastAsia="en-GB"/>
        </w:rPr>
        <w:t xml:space="preserve">Youth Work in Wales Review Group, (2018) </w:t>
      </w:r>
      <w:r w:rsidRPr="00113EBB">
        <w:rPr>
          <w:rFonts w:asciiTheme="minorHAnsi" w:eastAsia="Times New Roman" w:hAnsiTheme="minorHAnsi" w:cstheme="minorHAnsi"/>
          <w:bCs/>
          <w:i/>
          <w:sz w:val="24"/>
          <w:szCs w:val="24"/>
          <w:lang w:eastAsia="en-GB"/>
        </w:rPr>
        <w:t xml:space="preserve">Youth Work in Wales: Principles and Purposes.  </w:t>
      </w:r>
      <w:r w:rsidRPr="00113EBB">
        <w:rPr>
          <w:rFonts w:asciiTheme="minorHAnsi" w:eastAsia="Times New Roman" w:hAnsiTheme="minorHAnsi" w:cstheme="minorHAnsi"/>
          <w:bCs/>
          <w:sz w:val="24"/>
          <w:szCs w:val="24"/>
          <w:lang w:eastAsia="en-GB"/>
        </w:rPr>
        <w:t xml:space="preserve">Welsh Assembly Government. </w:t>
      </w:r>
    </w:p>
    <w:p w14:paraId="1B817961"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roofErr w:type="spellStart"/>
      <w:r w:rsidRPr="00113EBB">
        <w:rPr>
          <w:rFonts w:asciiTheme="minorHAnsi" w:eastAsiaTheme="minorHAnsi" w:hAnsiTheme="minorHAnsi" w:cstheme="minorHAnsi"/>
          <w:color w:val="auto"/>
          <w:sz w:val="24"/>
          <w:szCs w:val="24"/>
        </w:rPr>
        <w:t>Zehr</w:t>
      </w:r>
      <w:proofErr w:type="spellEnd"/>
      <w:r w:rsidRPr="00113EBB">
        <w:rPr>
          <w:rFonts w:asciiTheme="minorHAnsi" w:eastAsiaTheme="minorHAnsi" w:hAnsiTheme="minorHAnsi" w:cstheme="minorHAnsi"/>
          <w:color w:val="auto"/>
          <w:sz w:val="24"/>
          <w:szCs w:val="24"/>
        </w:rPr>
        <w:t xml:space="preserve">, J., </w:t>
      </w:r>
      <w:proofErr w:type="spellStart"/>
      <w:r w:rsidRPr="00113EBB">
        <w:rPr>
          <w:rFonts w:asciiTheme="minorHAnsi" w:eastAsiaTheme="minorHAnsi" w:hAnsiTheme="minorHAnsi" w:cstheme="minorHAnsi"/>
          <w:color w:val="auto"/>
          <w:sz w:val="24"/>
          <w:szCs w:val="24"/>
        </w:rPr>
        <w:t>Culbert</w:t>
      </w:r>
      <w:proofErr w:type="spellEnd"/>
      <w:r w:rsidRPr="00113EBB">
        <w:rPr>
          <w:rFonts w:asciiTheme="minorHAnsi" w:eastAsiaTheme="minorHAnsi" w:hAnsiTheme="minorHAnsi" w:cstheme="minorHAnsi"/>
          <w:color w:val="auto"/>
          <w:sz w:val="24"/>
          <w:szCs w:val="24"/>
        </w:rPr>
        <w:t xml:space="preserve">, K., Sisk, C. and </w:t>
      </w:r>
      <w:proofErr w:type="spellStart"/>
      <w:r w:rsidRPr="00113EBB">
        <w:rPr>
          <w:rFonts w:asciiTheme="minorHAnsi" w:eastAsiaTheme="minorHAnsi" w:hAnsiTheme="minorHAnsi" w:cstheme="minorHAnsi"/>
          <w:color w:val="auto"/>
          <w:sz w:val="24"/>
          <w:szCs w:val="24"/>
        </w:rPr>
        <w:t>Klump</w:t>
      </w:r>
      <w:proofErr w:type="spellEnd"/>
      <w:r w:rsidRPr="00113EBB">
        <w:rPr>
          <w:rFonts w:asciiTheme="minorHAnsi" w:eastAsiaTheme="minorHAnsi" w:hAnsiTheme="minorHAnsi" w:cstheme="minorHAnsi"/>
          <w:color w:val="auto"/>
          <w:sz w:val="24"/>
          <w:szCs w:val="24"/>
        </w:rPr>
        <w:t xml:space="preserve">, K. (2007) ‘An association of early puberty with disordered eating and anxiety in a population of undergraduate women and men’, </w:t>
      </w:r>
      <w:r w:rsidRPr="00113EBB">
        <w:rPr>
          <w:rFonts w:asciiTheme="minorHAnsi" w:eastAsiaTheme="minorHAnsi" w:hAnsiTheme="minorHAnsi" w:cstheme="minorHAnsi"/>
          <w:i/>
          <w:iCs/>
          <w:color w:val="auto"/>
          <w:sz w:val="24"/>
          <w:szCs w:val="24"/>
        </w:rPr>
        <w:t xml:space="preserve">Hormones and </w:t>
      </w:r>
      <w:proofErr w:type="spellStart"/>
      <w:r w:rsidRPr="00113EBB">
        <w:rPr>
          <w:rFonts w:asciiTheme="minorHAnsi" w:eastAsiaTheme="minorHAnsi" w:hAnsiTheme="minorHAnsi" w:cstheme="minorHAnsi"/>
          <w:i/>
          <w:iCs/>
          <w:color w:val="auto"/>
          <w:sz w:val="24"/>
          <w:szCs w:val="24"/>
        </w:rPr>
        <w:t>Behavior</w:t>
      </w:r>
      <w:proofErr w:type="spellEnd"/>
      <w:r w:rsidRPr="00113EBB">
        <w:rPr>
          <w:rFonts w:asciiTheme="minorHAnsi" w:eastAsiaTheme="minorHAnsi" w:hAnsiTheme="minorHAnsi" w:cstheme="minorHAnsi"/>
          <w:i/>
          <w:iCs/>
          <w:color w:val="auto"/>
          <w:sz w:val="24"/>
          <w:szCs w:val="24"/>
        </w:rPr>
        <w:t xml:space="preserve">, Vol. 52, pp427-435. </w:t>
      </w:r>
      <w:r w:rsidRPr="00113EBB">
        <w:rPr>
          <w:rFonts w:asciiTheme="minorHAnsi" w:hAnsiTheme="minorHAnsi" w:cstheme="minorHAnsi"/>
          <w:sz w:val="24"/>
          <w:szCs w:val="24"/>
        </w:rPr>
        <w:t xml:space="preserve">[Online]. Available at:  </w:t>
      </w:r>
      <w:hyperlink r:id="rId167" w:history="1">
        <w:r w:rsidRPr="00113EBB">
          <w:rPr>
            <w:rFonts w:asciiTheme="minorHAnsi" w:hAnsiTheme="minorHAnsi" w:cstheme="minorHAnsi"/>
            <w:color w:val="0000FF"/>
            <w:sz w:val="24"/>
            <w:szCs w:val="24"/>
            <w:u w:val="single"/>
          </w:rPr>
          <w:t>doi:10.1016/j.yhbeh.2007.06.005 | Elsevier Enhanced Reader</w:t>
        </w:r>
      </w:hyperlink>
      <w:r w:rsidRPr="00113EBB">
        <w:rPr>
          <w:rFonts w:asciiTheme="minorHAnsi" w:hAnsiTheme="minorHAnsi" w:cstheme="minorHAnsi"/>
          <w:sz w:val="24"/>
          <w:szCs w:val="24"/>
        </w:rPr>
        <w:t xml:space="preserve"> (Accessed: 13</w:t>
      </w:r>
      <w:r w:rsidRPr="00113EBB">
        <w:rPr>
          <w:rFonts w:asciiTheme="minorHAnsi" w:hAnsiTheme="minorHAnsi" w:cstheme="minorHAnsi"/>
          <w:sz w:val="24"/>
          <w:szCs w:val="24"/>
          <w:vertAlign w:val="superscript"/>
        </w:rPr>
        <w:t>th</w:t>
      </w:r>
      <w:r w:rsidRPr="00113EBB">
        <w:rPr>
          <w:rFonts w:asciiTheme="minorHAnsi" w:hAnsiTheme="minorHAnsi" w:cstheme="minorHAnsi"/>
          <w:sz w:val="24"/>
          <w:szCs w:val="24"/>
        </w:rPr>
        <w:t xml:space="preserve"> November 2020)</w:t>
      </w:r>
    </w:p>
    <w:p w14:paraId="511A518F" w14:textId="77777777" w:rsidR="00113EBB" w:rsidRPr="00113EBB" w:rsidRDefault="00113EBB" w:rsidP="00113EBB">
      <w:pPr>
        <w:spacing w:after="0" w:afterAutospacing="0" w:line="240" w:lineRule="auto"/>
        <w:contextualSpacing/>
        <w:jc w:val="both"/>
        <w:rPr>
          <w:rFonts w:asciiTheme="minorHAnsi" w:hAnsiTheme="minorHAnsi" w:cstheme="minorHAnsi"/>
          <w:sz w:val="24"/>
          <w:szCs w:val="24"/>
        </w:rPr>
      </w:pPr>
    </w:p>
    <w:p w14:paraId="17887C18" w14:textId="63E5352A" w:rsidR="00113EBB" w:rsidRPr="00113EBB" w:rsidRDefault="00113EBB" w:rsidP="00113EBB">
      <w:pPr>
        <w:spacing w:after="0" w:afterAutospacing="0" w:line="240" w:lineRule="auto"/>
        <w:contextualSpacing/>
        <w:jc w:val="both"/>
        <w:rPr>
          <w:rFonts w:asciiTheme="minorHAnsi" w:hAnsiTheme="minorHAnsi" w:cstheme="minorHAnsi"/>
          <w:sz w:val="24"/>
          <w:szCs w:val="24"/>
        </w:rPr>
      </w:pPr>
      <w:proofErr w:type="spellStart"/>
      <w:r w:rsidRPr="00113EBB">
        <w:rPr>
          <w:rFonts w:asciiTheme="minorHAnsi" w:hAnsiTheme="minorHAnsi" w:cstheme="minorHAnsi"/>
          <w:sz w:val="24"/>
          <w:szCs w:val="24"/>
        </w:rPr>
        <w:t>Zelazny</w:t>
      </w:r>
      <w:proofErr w:type="spellEnd"/>
      <w:r w:rsidRPr="00113EBB">
        <w:rPr>
          <w:rFonts w:asciiTheme="minorHAnsi" w:hAnsiTheme="minorHAnsi" w:cstheme="minorHAnsi"/>
          <w:sz w:val="24"/>
          <w:szCs w:val="24"/>
        </w:rPr>
        <w:t xml:space="preserve">, J., Stanley, B., Porta, G., Mann, J., Oquendo, M., </w:t>
      </w:r>
      <w:proofErr w:type="spellStart"/>
      <w:r w:rsidRPr="00113EBB">
        <w:rPr>
          <w:rFonts w:asciiTheme="minorHAnsi" w:hAnsiTheme="minorHAnsi" w:cstheme="minorHAnsi"/>
          <w:sz w:val="24"/>
          <w:szCs w:val="24"/>
        </w:rPr>
        <w:t>Birmaher</w:t>
      </w:r>
      <w:proofErr w:type="spellEnd"/>
      <w:r w:rsidRPr="00113EBB">
        <w:rPr>
          <w:rFonts w:asciiTheme="minorHAnsi" w:hAnsiTheme="minorHAnsi" w:cstheme="minorHAnsi"/>
          <w:sz w:val="24"/>
          <w:szCs w:val="24"/>
        </w:rPr>
        <w:t xml:space="preserve">, B., </w:t>
      </w:r>
      <w:proofErr w:type="spellStart"/>
      <w:r w:rsidRPr="00113EBB">
        <w:rPr>
          <w:rFonts w:asciiTheme="minorHAnsi" w:hAnsiTheme="minorHAnsi" w:cstheme="minorHAnsi"/>
          <w:sz w:val="24"/>
          <w:szCs w:val="24"/>
        </w:rPr>
        <w:t>Melhem</w:t>
      </w:r>
      <w:proofErr w:type="spellEnd"/>
      <w:r w:rsidRPr="00113EBB">
        <w:rPr>
          <w:rFonts w:asciiTheme="minorHAnsi" w:hAnsiTheme="minorHAnsi" w:cstheme="minorHAnsi"/>
          <w:sz w:val="24"/>
          <w:szCs w:val="24"/>
        </w:rPr>
        <w:t xml:space="preserve">, N. and Brent, D. (2021) ‘Risk factors for pre-adolescent onset suicidal </w:t>
      </w:r>
      <w:proofErr w:type="spellStart"/>
      <w:r w:rsidRPr="00113EBB">
        <w:rPr>
          <w:rFonts w:asciiTheme="minorHAnsi" w:hAnsiTheme="minorHAnsi" w:cstheme="minorHAnsi"/>
          <w:sz w:val="24"/>
          <w:szCs w:val="24"/>
        </w:rPr>
        <w:t>behavior</w:t>
      </w:r>
      <w:proofErr w:type="spellEnd"/>
      <w:r w:rsidRPr="00113EBB">
        <w:rPr>
          <w:rFonts w:asciiTheme="minorHAnsi" w:hAnsiTheme="minorHAnsi" w:cstheme="minorHAnsi"/>
          <w:sz w:val="24"/>
          <w:szCs w:val="24"/>
        </w:rPr>
        <w:t xml:space="preserve"> in a high-risk sample of youth’, </w:t>
      </w:r>
      <w:r w:rsidRPr="00113EBB">
        <w:rPr>
          <w:rFonts w:asciiTheme="minorHAnsi" w:hAnsiTheme="minorHAnsi" w:cstheme="minorHAnsi"/>
          <w:i/>
          <w:iCs/>
          <w:sz w:val="24"/>
          <w:szCs w:val="24"/>
        </w:rPr>
        <w:t xml:space="preserve">Journal of Affective Disorders, Vol. 290, pp292-299. </w:t>
      </w:r>
      <w:r w:rsidRPr="00113EBB">
        <w:rPr>
          <w:rFonts w:asciiTheme="minorHAnsi" w:hAnsiTheme="minorHAnsi" w:cstheme="minorHAnsi"/>
          <w:sz w:val="24"/>
          <w:szCs w:val="24"/>
        </w:rPr>
        <w:t xml:space="preserve">[Online]. Available at: </w:t>
      </w:r>
      <w:hyperlink r:id="rId168" w:history="1">
        <w:r w:rsidRPr="00113EBB">
          <w:rPr>
            <w:rFonts w:asciiTheme="minorHAnsi" w:hAnsiTheme="minorHAnsi" w:cstheme="minorHAnsi"/>
            <w:color w:val="0000FF"/>
            <w:sz w:val="24"/>
            <w:szCs w:val="24"/>
            <w:u w:val="single"/>
          </w:rPr>
          <w:t xml:space="preserve">Risk factors for pre-adolescent onset suicidal </w:t>
        </w:r>
        <w:proofErr w:type="spellStart"/>
        <w:r w:rsidRPr="00113EBB">
          <w:rPr>
            <w:rFonts w:asciiTheme="minorHAnsi" w:hAnsiTheme="minorHAnsi" w:cstheme="minorHAnsi"/>
            <w:color w:val="0000FF"/>
            <w:sz w:val="24"/>
            <w:szCs w:val="24"/>
            <w:u w:val="single"/>
          </w:rPr>
          <w:t>behavior</w:t>
        </w:r>
        <w:proofErr w:type="spellEnd"/>
        <w:r w:rsidRPr="00113EBB">
          <w:rPr>
            <w:rFonts w:asciiTheme="minorHAnsi" w:hAnsiTheme="minorHAnsi" w:cstheme="minorHAnsi"/>
            <w:color w:val="0000FF"/>
            <w:sz w:val="24"/>
            <w:szCs w:val="24"/>
            <w:u w:val="single"/>
          </w:rPr>
          <w:t xml:space="preserve"> in a high-risk sample of youth - ScienceDirect</w:t>
        </w:r>
      </w:hyperlink>
      <w:r w:rsidRPr="00113EBB">
        <w:rPr>
          <w:rFonts w:asciiTheme="minorHAnsi" w:hAnsiTheme="minorHAnsi" w:cstheme="minorHAnsi"/>
          <w:sz w:val="24"/>
          <w:szCs w:val="24"/>
        </w:rPr>
        <w:t xml:space="preserve"> (Accessed: 31</w:t>
      </w:r>
      <w:r w:rsidRPr="00113EBB">
        <w:rPr>
          <w:rFonts w:asciiTheme="minorHAnsi" w:hAnsiTheme="minorHAnsi" w:cstheme="minorHAnsi"/>
          <w:sz w:val="24"/>
          <w:szCs w:val="24"/>
          <w:vertAlign w:val="superscript"/>
        </w:rPr>
        <w:t>st</w:t>
      </w:r>
      <w:r w:rsidRPr="00113EBB">
        <w:rPr>
          <w:rFonts w:asciiTheme="minorHAnsi" w:hAnsiTheme="minorHAnsi" w:cstheme="minorHAnsi"/>
          <w:sz w:val="24"/>
          <w:szCs w:val="24"/>
        </w:rPr>
        <w:t xml:space="preserve"> May 2021)</w:t>
      </w:r>
      <w:r w:rsidRPr="00113EBB">
        <w:rPr>
          <w:rFonts w:asciiTheme="minorHAnsi" w:hAnsiTheme="minorHAnsi" w:cstheme="minorHAnsi"/>
          <w:sz w:val="24"/>
          <w:szCs w:val="24"/>
        </w:rPr>
        <w:tab/>
      </w:r>
    </w:p>
    <w:p w14:paraId="6A0D527F" w14:textId="77777777" w:rsidR="00113EBB" w:rsidRPr="00113EBB" w:rsidRDefault="00113EBB" w:rsidP="00113EBB">
      <w:pPr>
        <w:jc w:val="both"/>
        <w:rPr>
          <w:rFonts w:asciiTheme="minorHAnsi" w:hAnsiTheme="minorHAnsi" w:cstheme="minorHAnsi"/>
          <w:sz w:val="24"/>
          <w:szCs w:val="24"/>
        </w:rPr>
      </w:pPr>
    </w:p>
    <w:p w14:paraId="4042AA06" w14:textId="4FF04E34" w:rsidR="00113EBB" w:rsidRDefault="00AE0BC5" w:rsidP="00AE0BC5">
      <w:pPr>
        <w:pStyle w:val="Heading1"/>
      </w:pPr>
      <w:bookmarkStart w:id="33" w:name="_Toc76631149"/>
      <w:r>
        <w:lastRenderedPageBreak/>
        <w:t>7.0 Appendices</w:t>
      </w:r>
      <w:bookmarkEnd w:id="33"/>
    </w:p>
    <w:p w14:paraId="50F508D1" w14:textId="4E553433" w:rsidR="00AE0BC5" w:rsidRDefault="00AE0BC5" w:rsidP="00AE0BC5">
      <w:pPr>
        <w:pStyle w:val="Heading2"/>
      </w:pPr>
      <w:bookmarkStart w:id="34" w:name="_Toc76631150"/>
      <w:r>
        <w:t>Appendix 1 – Ethical Approval Form</w:t>
      </w:r>
      <w:bookmarkEnd w:id="34"/>
    </w:p>
    <w:p w14:paraId="39C995F6" w14:textId="77777777" w:rsidR="00AE0BC5" w:rsidRPr="00AE0BC5" w:rsidRDefault="00AE0BC5" w:rsidP="00AE0BC5">
      <w:pPr>
        <w:tabs>
          <w:tab w:val="left" w:pos="5103"/>
        </w:tabs>
        <w:spacing w:after="0" w:afterAutospacing="0" w:line="240" w:lineRule="auto"/>
        <w:jc w:val="center"/>
        <w:rPr>
          <w:rFonts w:ascii="Arial" w:eastAsia="Times New Roman" w:hAnsi="Arial" w:cs="Arial"/>
          <w:b/>
          <w:bCs/>
          <w:color w:val="auto"/>
          <w:sz w:val="24"/>
          <w:szCs w:val="24"/>
        </w:rPr>
      </w:pPr>
      <w:r w:rsidRPr="00AE0BC5">
        <w:rPr>
          <w:rFonts w:ascii="Arial" w:eastAsia="Times New Roman" w:hAnsi="Arial" w:cs="Arial"/>
          <w:b/>
          <w:bCs/>
          <w:color w:val="auto"/>
          <w:sz w:val="24"/>
          <w:szCs w:val="24"/>
        </w:rPr>
        <w:t>APPLICATION FOR ETHICAL APPROVAL</w:t>
      </w:r>
    </w:p>
    <w:p w14:paraId="058ACE52" w14:textId="77777777" w:rsidR="00AE0BC5" w:rsidRPr="00AE0BC5" w:rsidRDefault="00AE0BC5" w:rsidP="00AE0BC5">
      <w:pPr>
        <w:tabs>
          <w:tab w:val="left" w:pos="5103"/>
        </w:tabs>
        <w:spacing w:after="0" w:afterAutospacing="0" w:line="240" w:lineRule="auto"/>
        <w:ind w:right="282"/>
        <w:jc w:val="center"/>
        <w:rPr>
          <w:rFonts w:ascii="Arial" w:eastAsia="Times New Roman" w:hAnsi="Arial" w:cs="Arial"/>
          <w:b/>
          <w:bCs/>
          <w:color w:val="auto"/>
          <w:sz w:val="20"/>
          <w:szCs w:val="20"/>
        </w:rPr>
      </w:pPr>
    </w:p>
    <w:p w14:paraId="3919CBFF" w14:textId="77777777" w:rsidR="00AE0BC5" w:rsidRPr="00AE0BC5" w:rsidRDefault="00AE0BC5" w:rsidP="00AE0BC5">
      <w:pPr>
        <w:tabs>
          <w:tab w:val="left" w:pos="5103"/>
        </w:tabs>
        <w:spacing w:after="0" w:afterAutospacing="0" w:line="240" w:lineRule="auto"/>
        <w:ind w:right="282"/>
        <w:jc w:val="both"/>
        <w:rPr>
          <w:rFonts w:ascii="Arial" w:eastAsia="Times New Roman" w:hAnsi="Arial" w:cs="Arial"/>
          <w:b/>
          <w:bCs/>
          <w:color w:val="auto"/>
        </w:rPr>
      </w:pPr>
      <w:proofErr w:type="gramStart"/>
      <w:r w:rsidRPr="00AE0BC5">
        <w:rPr>
          <w:rFonts w:ascii="Arial" w:eastAsia="Times New Roman" w:hAnsi="Arial" w:cs="Arial"/>
          <w:b/>
          <w:bCs/>
          <w:color w:val="auto"/>
        </w:rPr>
        <w:t>In order for</w:t>
      </w:r>
      <w:proofErr w:type="gramEnd"/>
      <w:r w:rsidRPr="00AE0BC5">
        <w:rPr>
          <w:rFonts w:ascii="Arial" w:eastAsia="Times New Roman" w:hAnsi="Arial" w:cs="Arial"/>
          <w:b/>
          <w:bCs/>
          <w:color w:val="auto"/>
        </w:rPr>
        <w:t xml:space="preserve"> research to result in benefit and minimise risk of harm, it must be conducted ethically. A researcher may not be covered by the University’s insurance if ethical approval has not been obtained prior to commencement.</w:t>
      </w:r>
    </w:p>
    <w:p w14:paraId="2DB3D5EC" w14:textId="77777777" w:rsidR="00AE0BC5" w:rsidRPr="00AE0BC5" w:rsidRDefault="00AE0BC5" w:rsidP="00AE0BC5">
      <w:pPr>
        <w:tabs>
          <w:tab w:val="left" w:pos="5103"/>
        </w:tabs>
        <w:spacing w:after="0" w:afterAutospacing="0" w:line="240" w:lineRule="auto"/>
        <w:ind w:right="282"/>
        <w:jc w:val="center"/>
        <w:rPr>
          <w:rFonts w:ascii="Arial" w:eastAsia="Times New Roman" w:hAnsi="Arial" w:cs="Arial"/>
          <w:b/>
          <w:bCs/>
          <w:color w:val="auto"/>
          <w:sz w:val="16"/>
          <w:szCs w:val="16"/>
        </w:rPr>
      </w:pPr>
    </w:p>
    <w:p w14:paraId="672281DE" w14:textId="77777777" w:rsidR="00AE0BC5" w:rsidRPr="00AE0BC5" w:rsidRDefault="00AE0BC5" w:rsidP="00AE0BC5">
      <w:pPr>
        <w:tabs>
          <w:tab w:val="left" w:pos="5103"/>
        </w:tabs>
        <w:spacing w:after="0" w:afterAutospacing="0" w:line="240" w:lineRule="auto"/>
        <w:ind w:right="282"/>
        <w:jc w:val="both"/>
        <w:rPr>
          <w:rFonts w:ascii="Arial" w:eastAsia="Times New Roman" w:hAnsi="Arial" w:cs="Arial"/>
          <w:color w:val="auto"/>
        </w:rPr>
      </w:pPr>
      <w:r w:rsidRPr="00AE0BC5">
        <w:rPr>
          <w:rFonts w:ascii="Arial" w:eastAsia="Times New Roman" w:hAnsi="Arial" w:cs="Arial"/>
          <w:color w:val="auto"/>
        </w:rPr>
        <w:t xml:space="preserve">The University follows the OECD Frascati manual definition of </w:t>
      </w:r>
      <w:r w:rsidRPr="00AE0BC5">
        <w:rPr>
          <w:rFonts w:ascii="Arial" w:eastAsia="Times New Roman" w:hAnsi="Arial" w:cs="Arial"/>
          <w:b/>
          <w:color w:val="auto"/>
        </w:rPr>
        <w:t>research activity</w:t>
      </w:r>
      <w:r w:rsidRPr="00AE0BC5">
        <w:rPr>
          <w:rFonts w:ascii="Arial" w:eastAsia="Times New Roman" w:hAnsi="Arial" w:cs="Arial"/>
          <w:color w:val="auto"/>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1DD1843" w14:textId="77777777" w:rsidR="00AE0BC5" w:rsidRPr="00AE0BC5" w:rsidRDefault="00AE0BC5" w:rsidP="00AE0BC5">
      <w:pPr>
        <w:tabs>
          <w:tab w:val="left" w:pos="5103"/>
        </w:tabs>
        <w:spacing w:after="0" w:afterAutospacing="0" w:line="240" w:lineRule="auto"/>
        <w:ind w:right="282"/>
        <w:jc w:val="both"/>
        <w:rPr>
          <w:rFonts w:ascii="Arial" w:eastAsia="Times New Roman" w:hAnsi="Arial" w:cs="Arial"/>
          <w:color w:val="auto"/>
        </w:rPr>
      </w:pPr>
    </w:p>
    <w:p w14:paraId="09F88A6D" w14:textId="77777777" w:rsidR="00AE0BC5" w:rsidRPr="00AE0BC5" w:rsidRDefault="00AE0BC5" w:rsidP="00AE0BC5">
      <w:pPr>
        <w:tabs>
          <w:tab w:val="left" w:pos="5103"/>
        </w:tabs>
        <w:spacing w:after="0" w:afterAutospacing="0" w:line="240" w:lineRule="auto"/>
        <w:ind w:right="282"/>
        <w:jc w:val="both"/>
        <w:rPr>
          <w:rFonts w:ascii="Arial" w:eastAsia="Times New Roman" w:hAnsi="Arial" w:cs="Arial"/>
          <w:color w:val="auto"/>
        </w:rPr>
      </w:pPr>
      <w:r w:rsidRPr="00AE0BC5">
        <w:rPr>
          <w:rFonts w:ascii="Arial" w:eastAsia="Times New Roman" w:hAnsi="Arial" w:cs="Arial"/>
          <w:color w:val="auto"/>
        </w:rPr>
        <w:t>The individual undertaking the research activity is known as the “principal researcher”.</w:t>
      </w:r>
    </w:p>
    <w:p w14:paraId="1EE32109" w14:textId="77777777" w:rsidR="00AE0BC5" w:rsidRPr="00AE0BC5" w:rsidRDefault="00AE0BC5" w:rsidP="00AE0BC5">
      <w:pPr>
        <w:tabs>
          <w:tab w:val="left" w:pos="5103"/>
        </w:tabs>
        <w:spacing w:after="0" w:afterAutospacing="0" w:line="240" w:lineRule="auto"/>
        <w:ind w:right="282"/>
        <w:jc w:val="both"/>
        <w:rPr>
          <w:rFonts w:ascii="Arial" w:eastAsia="Times New Roman" w:hAnsi="Arial" w:cs="Arial"/>
          <w:color w:val="auto"/>
        </w:rPr>
      </w:pPr>
    </w:p>
    <w:p w14:paraId="0A771AE8" w14:textId="77777777" w:rsidR="00AE0BC5" w:rsidRPr="00AE0BC5" w:rsidRDefault="00AE0BC5" w:rsidP="00AE0BC5">
      <w:pPr>
        <w:tabs>
          <w:tab w:val="left" w:pos="5103"/>
        </w:tabs>
        <w:spacing w:after="0" w:afterAutospacing="0" w:line="240" w:lineRule="auto"/>
        <w:ind w:right="282"/>
        <w:jc w:val="both"/>
        <w:rPr>
          <w:rFonts w:ascii="Arial" w:eastAsia="Times New Roman" w:hAnsi="Arial" w:cs="Arial"/>
          <w:color w:val="auto"/>
        </w:rPr>
      </w:pPr>
      <w:r w:rsidRPr="00AE0BC5">
        <w:rPr>
          <w:rFonts w:ascii="Arial" w:eastAsia="Times New Roman" w:hAnsi="Arial" w:cs="Arial"/>
          <w:color w:val="auto"/>
        </w:rPr>
        <w:t>Ethical approval is not required for routine audits, performance reviews, quality assurance studies, testing within normal educational requirements, and literary or artistic criticism.</w:t>
      </w:r>
    </w:p>
    <w:p w14:paraId="164FF872" w14:textId="77777777" w:rsidR="00AE0BC5" w:rsidRPr="00AE0BC5" w:rsidRDefault="00AE0BC5" w:rsidP="00AE0BC5">
      <w:pPr>
        <w:tabs>
          <w:tab w:val="left" w:pos="5103"/>
        </w:tabs>
        <w:spacing w:after="0" w:afterAutospacing="0" w:line="240" w:lineRule="auto"/>
        <w:ind w:right="282"/>
        <w:jc w:val="both"/>
        <w:rPr>
          <w:rFonts w:ascii="Arial" w:eastAsia="Times New Roman" w:hAnsi="Arial" w:cs="Arial"/>
          <w:color w:val="auto"/>
        </w:rPr>
      </w:pPr>
    </w:p>
    <w:p w14:paraId="14FAEFCE" w14:textId="77777777" w:rsidR="00AE0BC5" w:rsidRPr="00AE0BC5" w:rsidRDefault="00AE0BC5" w:rsidP="00AE0BC5">
      <w:pPr>
        <w:tabs>
          <w:tab w:val="left" w:pos="5103"/>
        </w:tabs>
        <w:spacing w:after="0" w:afterAutospacing="0" w:line="240" w:lineRule="auto"/>
        <w:ind w:right="282"/>
        <w:jc w:val="both"/>
        <w:rPr>
          <w:rFonts w:ascii="Arial" w:eastAsia="Times New Roman" w:hAnsi="Arial" w:cs="Arial"/>
          <w:b/>
          <w:bCs/>
          <w:color w:val="auto"/>
        </w:rPr>
      </w:pPr>
      <w:r w:rsidRPr="00AE0BC5">
        <w:rPr>
          <w:rFonts w:ascii="Arial" w:eastAsia="Times New Roman" w:hAnsi="Arial" w:cs="Arial"/>
          <w:b/>
          <w:bCs/>
          <w:color w:val="auto"/>
        </w:rPr>
        <w:t>Please read the notes for guidance before completing ALL sections of the form.</w:t>
      </w:r>
    </w:p>
    <w:p w14:paraId="79CE62C3" w14:textId="77777777" w:rsidR="00AE0BC5" w:rsidRPr="00AE0BC5" w:rsidRDefault="00AE0BC5" w:rsidP="00AE0BC5">
      <w:pPr>
        <w:autoSpaceDE w:val="0"/>
        <w:autoSpaceDN w:val="0"/>
        <w:adjustRightInd w:val="0"/>
        <w:spacing w:after="0" w:afterAutospacing="0" w:line="240" w:lineRule="auto"/>
        <w:jc w:val="both"/>
        <w:rPr>
          <w:rFonts w:ascii="Arial" w:eastAsia="Times New Roman" w:hAnsi="Arial" w:cs="Arial"/>
          <w:color w:val="auto"/>
        </w:rPr>
      </w:pPr>
    </w:p>
    <w:p w14:paraId="7DAFC421" w14:textId="77777777" w:rsidR="00AE0BC5" w:rsidRPr="00AE0BC5" w:rsidRDefault="00AE0BC5" w:rsidP="00AE0BC5">
      <w:pPr>
        <w:autoSpaceDE w:val="0"/>
        <w:autoSpaceDN w:val="0"/>
        <w:adjustRightInd w:val="0"/>
        <w:spacing w:after="0" w:afterAutospacing="0" w:line="240" w:lineRule="auto"/>
        <w:jc w:val="both"/>
        <w:rPr>
          <w:rFonts w:ascii="Arial" w:eastAsia="Times New Roman" w:hAnsi="Arial" w:cs="Arial"/>
          <w:color w:val="auto"/>
        </w:rPr>
      </w:pPr>
      <w:r w:rsidRPr="00AE0BC5">
        <w:rPr>
          <w:rFonts w:ascii="Arial" w:eastAsia="Times New Roman" w:hAnsi="Arial" w:cs="Arial"/>
          <w:b/>
          <w:color w:val="auto"/>
        </w:rPr>
        <w:t>This form</w:t>
      </w:r>
      <w:r w:rsidRPr="00AE0BC5">
        <w:rPr>
          <w:rFonts w:ascii="Arial" w:eastAsia="Times New Roman" w:hAnsi="Arial" w:cs="Arial"/>
          <w:color w:val="auto"/>
        </w:rPr>
        <w:t xml:space="preserve"> </w:t>
      </w:r>
      <w:r w:rsidRPr="00AE0BC5">
        <w:rPr>
          <w:rFonts w:ascii="Arial" w:eastAsia="Times New Roman" w:hAnsi="Arial" w:cs="Arial"/>
          <w:b/>
          <w:color w:val="auto"/>
        </w:rPr>
        <w:t>must be completed and approved prior to undertaking any research activity.</w:t>
      </w:r>
      <w:r w:rsidRPr="00AE0BC5">
        <w:rPr>
          <w:rFonts w:ascii="Arial" w:eastAsia="Times New Roman" w:hAnsi="Arial" w:cs="Arial"/>
          <w:color w:val="auto"/>
        </w:rPr>
        <w:t xml:space="preserve"> Please see Checklist for details of process for different categories of application.  </w:t>
      </w:r>
    </w:p>
    <w:p w14:paraId="5B041867" w14:textId="77777777" w:rsidR="00AE0BC5" w:rsidRPr="00AE0BC5" w:rsidRDefault="00AE0BC5" w:rsidP="00AE0BC5">
      <w:pPr>
        <w:autoSpaceDE w:val="0"/>
        <w:autoSpaceDN w:val="0"/>
        <w:adjustRightInd w:val="0"/>
        <w:spacing w:after="0" w:afterAutospacing="0" w:line="240" w:lineRule="auto"/>
        <w:jc w:val="both"/>
        <w:rPr>
          <w:rFonts w:ascii="Arial" w:eastAsia="Times New Roman" w:hAnsi="Arial" w:cs="Arial"/>
          <w:color w:val="auto"/>
        </w:rPr>
      </w:pPr>
    </w:p>
    <w:p w14:paraId="47290F58" w14:textId="77777777" w:rsidR="00AE0BC5" w:rsidRPr="00AE0BC5" w:rsidRDefault="00AE0BC5" w:rsidP="00AE0BC5">
      <w:pPr>
        <w:autoSpaceDE w:val="0"/>
        <w:autoSpaceDN w:val="0"/>
        <w:adjustRightInd w:val="0"/>
        <w:spacing w:after="0" w:afterAutospacing="0" w:line="240" w:lineRule="auto"/>
        <w:jc w:val="both"/>
        <w:rPr>
          <w:rFonts w:ascii="Arial" w:eastAsia="Times New Roman" w:hAnsi="Arial" w:cs="Arial"/>
          <w:b/>
          <w:color w:val="auto"/>
        </w:rPr>
      </w:pPr>
      <w:r w:rsidRPr="00AE0BC5">
        <w:rPr>
          <w:rFonts w:ascii="Arial" w:eastAsia="Times New Roman" w:hAnsi="Arial" w:cs="Arial"/>
          <w:b/>
          <w:color w:val="auto"/>
        </w:rPr>
        <w:t>Delete the Guidance Notes at the end of the form BEFORE submitting your application</w:t>
      </w:r>
    </w:p>
    <w:p w14:paraId="0D3E7A57" w14:textId="77777777" w:rsidR="00AE0BC5" w:rsidRPr="00AE0BC5" w:rsidRDefault="00AE0BC5" w:rsidP="00AE0BC5">
      <w:pPr>
        <w:autoSpaceDE w:val="0"/>
        <w:autoSpaceDN w:val="0"/>
        <w:adjustRightInd w:val="0"/>
        <w:spacing w:after="0" w:afterAutospacing="0" w:line="240" w:lineRule="auto"/>
        <w:jc w:val="both"/>
        <w:rPr>
          <w:rFonts w:ascii="Arial" w:eastAsia="Times New Roman" w:hAnsi="Arial" w:cs="Arial"/>
          <w:color w:val="auto"/>
        </w:rPr>
      </w:pPr>
    </w:p>
    <w:p w14:paraId="30E80724" w14:textId="77777777" w:rsidR="00AE0BC5" w:rsidRPr="00AE0BC5" w:rsidRDefault="00AE0BC5" w:rsidP="00AE0BC5">
      <w:pPr>
        <w:autoSpaceDE w:val="0"/>
        <w:autoSpaceDN w:val="0"/>
        <w:adjustRightInd w:val="0"/>
        <w:spacing w:after="240" w:afterAutospacing="0" w:line="240" w:lineRule="auto"/>
        <w:jc w:val="both"/>
        <w:rPr>
          <w:rFonts w:ascii="Arial" w:eastAsia="Times New Roman" w:hAnsi="Arial" w:cs="Arial"/>
          <w:b/>
          <w:color w:val="auto"/>
        </w:rPr>
      </w:pPr>
      <w:r w:rsidRPr="00AE0BC5">
        <w:rPr>
          <w:rFonts w:ascii="Arial" w:eastAsia="Times New Roman" w:hAnsi="Arial" w:cs="Arial"/>
          <w:b/>
          <w:color w:val="auto"/>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E0BC5" w:rsidRPr="00AE0BC5" w14:paraId="1260E4BB" w14:textId="77777777" w:rsidTr="00AE0BC5">
        <w:trPr>
          <w:trHeight w:val="439"/>
        </w:trPr>
        <w:tc>
          <w:tcPr>
            <w:tcW w:w="559" w:type="dxa"/>
            <w:shd w:val="clear" w:color="auto" w:fill="F2F2F2"/>
          </w:tcPr>
          <w:p w14:paraId="5066B802"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1</w:t>
            </w:r>
          </w:p>
        </w:tc>
        <w:tc>
          <w:tcPr>
            <w:tcW w:w="3253" w:type="dxa"/>
            <w:gridSpan w:val="2"/>
            <w:shd w:val="clear" w:color="auto" w:fill="F2F2F2"/>
          </w:tcPr>
          <w:p w14:paraId="0FAE0CF5"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Full Name:</w:t>
            </w:r>
          </w:p>
        </w:tc>
        <w:tc>
          <w:tcPr>
            <w:tcW w:w="6636" w:type="dxa"/>
            <w:gridSpan w:val="4"/>
          </w:tcPr>
          <w:p w14:paraId="2333B985"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Susan Elizabeth Lines</w:t>
            </w:r>
          </w:p>
        </w:tc>
      </w:tr>
      <w:tr w:rsidR="00AE0BC5" w:rsidRPr="00AE0BC5" w14:paraId="273F18A4" w14:textId="77777777" w:rsidTr="00AE0BC5">
        <w:trPr>
          <w:trHeight w:val="472"/>
        </w:trPr>
        <w:tc>
          <w:tcPr>
            <w:tcW w:w="559" w:type="dxa"/>
            <w:shd w:val="clear" w:color="auto" w:fill="BFBFBF"/>
          </w:tcPr>
          <w:p w14:paraId="2A33A35D"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2</w:t>
            </w:r>
          </w:p>
        </w:tc>
        <w:tc>
          <w:tcPr>
            <w:tcW w:w="3253" w:type="dxa"/>
            <w:gridSpan w:val="2"/>
            <w:shd w:val="clear" w:color="auto" w:fill="BFBFBF"/>
            <w:vAlign w:val="center"/>
          </w:tcPr>
          <w:p w14:paraId="1A0F00ED"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Tick all boxes which apply:</w:t>
            </w:r>
          </w:p>
          <w:p w14:paraId="4CA34B47" w14:textId="77777777" w:rsidR="00AE0BC5" w:rsidRPr="00AE0BC5" w:rsidRDefault="00AE0BC5" w:rsidP="00AE0BC5">
            <w:pPr>
              <w:spacing w:after="0" w:afterAutospacing="0" w:line="240" w:lineRule="auto"/>
              <w:rPr>
                <w:rFonts w:ascii="Arial" w:eastAsia="Times New Roman" w:hAnsi="Arial" w:cs="Arial"/>
                <w:color w:val="auto"/>
              </w:rPr>
            </w:pPr>
          </w:p>
        </w:tc>
        <w:tc>
          <w:tcPr>
            <w:tcW w:w="2551" w:type="dxa"/>
            <w:shd w:val="clear" w:color="auto" w:fill="F2F2F2"/>
            <w:vAlign w:val="center"/>
          </w:tcPr>
          <w:p w14:paraId="2F8BD210"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Member of staff:</w:t>
            </w:r>
          </w:p>
        </w:tc>
        <w:tc>
          <w:tcPr>
            <w:tcW w:w="709" w:type="dxa"/>
            <w:shd w:val="clear" w:color="auto" w:fill="BFBFBF"/>
            <w:vAlign w:val="center"/>
          </w:tcPr>
          <w:p w14:paraId="22067F8A" w14:textId="77777777" w:rsidR="00AE0BC5" w:rsidRPr="00AE0BC5" w:rsidRDefault="00AE0BC5" w:rsidP="00AE0BC5">
            <w:pPr>
              <w:spacing w:after="0" w:afterAutospacing="0" w:line="240" w:lineRule="auto"/>
              <w:jc w:val="center"/>
              <w:rPr>
                <w:rFonts w:ascii="Arial" w:eastAsia="Times New Roman" w:hAnsi="Arial" w:cs="Arial"/>
                <w:color w:val="auto"/>
              </w:rPr>
            </w:pPr>
            <w:r w:rsidRPr="00AE0BC5">
              <w:rPr>
                <w:rFonts w:ascii="MS Gothic" w:eastAsia="MS Gothic" w:hAnsi="MS Gothic" w:cs="Arial" w:hint="eastAsia"/>
                <w:color w:val="auto"/>
              </w:rPr>
              <w:t>☐</w:t>
            </w:r>
          </w:p>
        </w:tc>
        <w:tc>
          <w:tcPr>
            <w:tcW w:w="2526" w:type="dxa"/>
            <w:shd w:val="clear" w:color="auto" w:fill="F2F2F2"/>
            <w:vAlign w:val="center"/>
          </w:tcPr>
          <w:p w14:paraId="6E578ECC"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Honorary research fellow:</w:t>
            </w:r>
          </w:p>
        </w:tc>
        <w:tc>
          <w:tcPr>
            <w:tcW w:w="850" w:type="dxa"/>
            <w:shd w:val="clear" w:color="auto" w:fill="BFBFBF"/>
            <w:vAlign w:val="center"/>
          </w:tcPr>
          <w:p w14:paraId="300E14C2" w14:textId="77777777" w:rsidR="00AE0BC5" w:rsidRPr="00AE0BC5" w:rsidRDefault="00AE0BC5" w:rsidP="00AE0BC5">
            <w:pPr>
              <w:spacing w:after="0" w:afterAutospacing="0" w:line="240" w:lineRule="auto"/>
              <w:jc w:val="center"/>
              <w:rPr>
                <w:rFonts w:ascii="Arial" w:eastAsia="Times New Roman" w:hAnsi="Arial" w:cs="Arial"/>
                <w:color w:val="auto"/>
              </w:rPr>
            </w:pPr>
            <w:r w:rsidRPr="00AE0BC5">
              <w:rPr>
                <w:rFonts w:ascii="MS Gothic" w:eastAsia="MS Gothic" w:hAnsi="MS Gothic" w:cs="Arial" w:hint="eastAsia"/>
                <w:color w:val="auto"/>
              </w:rPr>
              <w:t>☐</w:t>
            </w:r>
          </w:p>
        </w:tc>
      </w:tr>
      <w:tr w:rsidR="00AE0BC5" w:rsidRPr="00AE0BC5" w14:paraId="7609D740" w14:textId="77777777" w:rsidTr="00AE0BC5">
        <w:trPr>
          <w:trHeight w:val="472"/>
        </w:trPr>
        <w:tc>
          <w:tcPr>
            <w:tcW w:w="559" w:type="dxa"/>
            <w:shd w:val="clear" w:color="auto" w:fill="F2F2F2"/>
          </w:tcPr>
          <w:p w14:paraId="3AA10DF7"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3</w:t>
            </w:r>
          </w:p>
        </w:tc>
        <w:tc>
          <w:tcPr>
            <w:tcW w:w="2544" w:type="dxa"/>
            <w:shd w:val="clear" w:color="auto" w:fill="F2F2F2"/>
            <w:vAlign w:val="center"/>
          </w:tcPr>
          <w:p w14:paraId="4FA19405"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Undergraduate Student</w:t>
            </w:r>
          </w:p>
        </w:tc>
        <w:sdt>
          <w:sdtPr>
            <w:rPr>
              <w:rFonts w:ascii="Arial" w:eastAsia="Times New Roman" w:hAnsi="Arial" w:cs="Arial"/>
              <w:color w:val="auto"/>
            </w:rPr>
            <w:id w:val="-947236441"/>
            <w14:checkbox>
              <w14:checked w14:val="1"/>
              <w14:checkedState w14:val="2612" w14:font="MS Gothic"/>
              <w14:uncheckedState w14:val="2610" w14:font="MS Gothic"/>
            </w14:checkbox>
          </w:sdtPr>
          <w:sdtEndPr/>
          <w:sdtContent>
            <w:tc>
              <w:tcPr>
                <w:tcW w:w="709" w:type="dxa"/>
                <w:shd w:val="clear" w:color="auto" w:fill="BFBFBF"/>
                <w:vAlign w:val="center"/>
              </w:tcPr>
              <w:p w14:paraId="04B8751D" w14:textId="77777777" w:rsidR="00AE0BC5" w:rsidRPr="00AE0BC5" w:rsidRDefault="00AE0BC5" w:rsidP="00AE0BC5">
                <w:pPr>
                  <w:spacing w:after="0" w:afterAutospacing="0" w:line="240" w:lineRule="auto"/>
                  <w:jc w:val="center"/>
                  <w:rPr>
                    <w:rFonts w:ascii="Arial" w:eastAsia="Times New Roman" w:hAnsi="Arial" w:cs="Arial"/>
                    <w:color w:val="auto"/>
                  </w:rPr>
                </w:pPr>
                <w:r w:rsidRPr="00AE0BC5">
                  <w:rPr>
                    <w:rFonts w:ascii="Segoe UI Symbol" w:eastAsia="Times New Roman" w:hAnsi="Segoe UI Symbol" w:cs="Segoe UI Symbol"/>
                    <w:color w:val="auto"/>
                  </w:rPr>
                  <w:t>☒</w:t>
                </w:r>
              </w:p>
            </w:tc>
          </w:sdtContent>
        </w:sdt>
        <w:tc>
          <w:tcPr>
            <w:tcW w:w="2551" w:type="dxa"/>
            <w:shd w:val="clear" w:color="auto" w:fill="F2F2F2"/>
            <w:vAlign w:val="center"/>
          </w:tcPr>
          <w:p w14:paraId="33717F3A"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Taught Postgraduate Student</w:t>
            </w:r>
          </w:p>
        </w:tc>
        <w:sdt>
          <w:sdtPr>
            <w:rPr>
              <w:rFonts w:ascii="Arial" w:eastAsia="Times New Roman" w:hAnsi="Arial" w:cs="Arial"/>
              <w:color w:val="auto"/>
            </w:rPr>
            <w:id w:val="-1954943217"/>
            <w14:checkbox>
              <w14:checked w14:val="0"/>
              <w14:checkedState w14:val="2612" w14:font="MS Gothic"/>
              <w14:uncheckedState w14:val="2610" w14:font="MS Gothic"/>
            </w14:checkbox>
          </w:sdtPr>
          <w:sdtEndPr/>
          <w:sdtContent>
            <w:tc>
              <w:tcPr>
                <w:tcW w:w="709" w:type="dxa"/>
                <w:shd w:val="clear" w:color="auto" w:fill="BFBFBF"/>
                <w:vAlign w:val="center"/>
              </w:tcPr>
              <w:p w14:paraId="242A958F" w14:textId="77777777" w:rsidR="00AE0BC5" w:rsidRPr="00AE0BC5" w:rsidRDefault="00AE0BC5" w:rsidP="00AE0BC5">
                <w:pPr>
                  <w:spacing w:after="0" w:afterAutospacing="0" w:line="240" w:lineRule="auto"/>
                  <w:jc w:val="center"/>
                  <w:rPr>
                    <w:rFonts w:ascii="Arial" w:eastAsia="Times New Roman" w:hAnsi="Arial" w:cs="Arial"/>
                    <w:color w:val="auto"/>
                  </w:rPr>
                </w:pPr>
                <w:r w:rsidRPr="00AE0BC5">
                  <w:rPr>
                    <w:rFonts w:ascii="Segoe UI Symbol" w:eastAsia="Times New Roman" w:hAnsi="Segoe UI Symbol" w:cs="Segoe UI Symbol"/>
                    <w:color w:val="auto"/>
                  </w:rPr>
                  <w:t>☐</w:t>
                </w:r>
              </w:p>
            </w:tc>
          </w:sdtContent>
        </w:sdt>
        <w:tc>
          <w:tcPr>
            <w:tcW w:w="2526" w:type="dxa"/>
            <w:shd w:val="clear" w:color="auto" w:fill="F2F2F2"/>
            <w:vAlign w:val="center"/>
          </w:tcPr>
          <w:p w14:paraId="10B85F5A"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Postgraduate Research Student</w:t>
            </w:r>
          </w:p>
        </w:tc>
        <w:sdt>
          <w:sdtPr>
            <w:rPr>
              <w:rFonts w:ascii="Arial" w:eastAsia="Times New Roman" w:hAnsi="Arial" w:cs="Arial"/>
              <w:color w:val="auto"/>
            </w:rPr>
            <w:id w:val="-71887707"/>
            <w14:checkbox>
              <w14:checked w14:val="0"/>
              <w14:checkedState w14:val="2612" w14:font="MS Gothic"/>
              <w14:uncheckedState w14:val="2610" w14:font="MS Gothic"/>
            </w14:checkbox>
          </w:sdtPr>
          <w:sdtEndPr/>
          <w:sdtContent>
            <w:tc>
              <w:tcPr>
                <w:tcW w:w="850" w:type="dxa"/>
                <w:shd w:val="clear" w:color="auto" w:fill="BFBFBF"/>
                <w:vAlign w:val="center"/>
              </w:tcPr>
              <w:p w14:paraId="0C2EAF5A" w14:textId="77777777" w:rsidR="00AE0BC5" w:rsidRPr="00AE0BC5" w:rsidRDefault="00AE0BC5" w:rsidP="00AE0BC5">
                <w:pPr>
                  <w:spacing w:after="0" w:afterAutospacing="0" w:line="240" w:lineRule="auto"/>
                  <w:jc w:val="center"/>
                  <w:rPr>
                    <w:rFonts w:ascii="Arial" w:eastAsia="Times New Roman" w:hAnsi="Arial" w:cs="Arial"/>
                    <w:color w:val="auto"/>
                  </w:rPr>
                </w:pPr>
                <w:r w:rsidRPr="00AE0BC5">
                  <w:rPr>
                    <w:rFonts w:ascii="Segoe UI Symbol" w:eastAsia="Times New Roman" w:hAnsi="Segoe UI Symbol" w:cs="Segoe UI Symbol"/>
                    <w:color w:val="auto"/>
                  </w:rPr>
                  <w:t>☐</w:t>
                </w:r>
              </w:p>
            </w:tc>
          </w:sdtContent>
        </w:sdt>
      </w:tr>
    </w:tbl>
    <w:p w14:paraId="72939DFE" w14:textId="77777777" w:rsidR="00AE0BC5" w:rsidRPr="00AE0BC5" w:rsidRDefault="00AE0BC5" w:rsidP="00AE0BC5">
      <w:pPr>
        <w:spacing w:after="0" w:afterAutospacing="0" w:line="240" w:lineRule="auto"/>
        <w:rPr>
          <w:rFonts w:ascii="Arial" w:eastAsia="Times New Roman" w:hAnsi="Arial" w:cs="Arial"/>
          <w:bCs/>
          <w:iCs/>
          <w:color w:val="auto"/>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E0BC5" w:rsidRPr="00AE0BC5" w14:paraId="017DFFE2" w14:textId="77777777" w:rsidTr="00AE0BC5">
        <w:trPr>
          <w:cantSplit/>
          <w:trHeight w:val="334"/>
        </w:trPr>
        <w:tc>
          <w:tcPr>
            <w:tcW w:w="559" w:type="dxa"/>
            <w:shd w:val="clear" w:color="auto" w:fill="F2F2F2"/>
          </w:tcPr>
          <w:p w14:paraId="24212145"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4</w:t>
            </w:r>
          </w:p>
        </w:tc>
        <w:tc>
          <w:tcPr>
            <w:tcW w:w="3253" w:type="dxa"/>
            <w:shd w:val="clear" w:color="auto" w:fill="F2F2F2"/>
          </w:tcPr>
          <w:p w14:paraId="2606219E"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Institute/Academic Discipline/Centre:</w:t>
            </w:r>
          </w:p>
        </w:tc>
        <w:tc>
          <w:tcPr>
            <w:tcW w:w="6636" w:type="dxa"/>
          </w:tcPr>
          <w:p w14:paraId="54448429"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Centre for Childhood, Youth &amp; Education</w:t>
            </w:r>
          </w:p>
          <w:p w14:paraId="638F09F6" w14:textId="77777777" w:rsidR="00AE0BC5" w:rsidRPr="00AE0BC5" w:rsidRDefault="00AE0BC5" w:rsidP="00AE0BC5">
            <w:pPr>
              <w:spacing w:after="0" w:afterAutospacing="0" w:line="240" w:lineRule="auto"/>
              <w:rPr>
                <w:rFonts w:ascii="Arial" w:eastAsia="Times New Roman" w:hAnsi="Arial" w:cs="Arial"/>
                <w:color w:val="auto"/>
              </w:rPr>
            </w:pPr>
          </w:p>
        </w:tc>
      </w:tr>
      <w:tr w:rsidR="00AE0BC5" w:rsidRPr="00AE0BC5" w14:paraId="68E375C2" w14:textId="77777777" w:rsidTr="00AE0BC5">
        <w:trPr>
          <w:cantSplit/>
          <w:trHeight w:val="350"/>
        </w:trPr>
        <w:tc>
          <w:tcPr>
            <w:tcW w:w="559" w:type="dxa"/>
            <w:shd w:val="clear" w:color="auto" w:fill="F2F2F2"/>
          </w:tcPr>
          <w:p w14:paraId="59CE2896"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5</w:t>
            </w:r>
          </w:p>
        </w:tc>
        <w:tc>
          <w:tcPr>
            <w:tcW w:w="3253" w:type="dxa"/>
            <w:shd w:val="clear" w:color="auto" w:fill="F2F2F2"/>
          </w:tcPr>
          <w:p w14:paraId="54F7F821"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Campus:</w:t>
            </w:r>
          </w:p>
        </w:tc>
        <w:tc>
          <w:tcPr>
            <w:tcW w:w="6636" w:type="dxa"/>
          </w:tcPr>
          <w:p w14:paraId="47F6F609"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Monkton</w:t>
            </w:r>
          </w:p>
          <w:p w14:paraId="68498E42" w14:textId="77777777" w:rsidR="00AE0BC5" w:rsidRPr="00AE0BC5" w:rsidRDefault="00AE0BC5" w:rsidP="00AE0BC5">
            <w:pPr>
              <w:spacing w:after="0" w:afterAutospacing="0" w:line="240" w:lineRule="auto"/>
              <w:rPr>
                <w:rFonts w:ascii="Arial" w:eastAsia="Times New Roman" w:hAnsi="Arial" w:cs="Arial"/>
                <w:color w:val="auto"/>
              </w:rPr>
            </w:pPr>
          </w:p>
        </w:tc>
      </w:tr>
      <w:tr w:rsidR="00AE0BC5" w:rsidRPr="00AE0BC5" w14:paraId="6BED41E4" w14:textId="77777777" w:rsidTr="00AE0BC5">
        <w:trPr>
          <w:cantSplit/>
          <w:trHeight w:val="340"/>
        </w:trPr>
        <w:tc>
          <w:tcPr>
            <w:tcW w:w="559" w:type="dxa"/>
            <w:shd w:val="clear" w:color="auto" w:fill="F2F2F2"/>
          </w:tcPr>
          <w:p w14:paraId="79297003"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6</w:t>
            </w:r>
          </w:p>
        </w:tc>
        <w:tc>
          <w:tcPr>
            <w:tcW w:w="3253" w:type="dxa"/>
            <w:shd w:val="clear" w:color="auto" w:fill="F2F2F2"/>
          </w:tcPr>
          <w:p w14:paraId="45BB0971"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E-mail address:</w:t>
            </w:r>
          </w:p>
        </w:tc>
        <w:tc>
          <w:tcPr>
            <w:tcW w:w="6636" w:type="dxa"/>
          </w:tcPr>
          <w:p w14:paraId="336612B0"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1706862@student.uwtsd.ac.uk</w:t>
            </w:r>
          </w:p>
          <w:p w14:paraId="6DE7AD38" w14:textId="77777777" w:rsidR="00AE0BC5" w:rsidRPr="00AE0BC5" w:rsidRDefault="00AE0BC5" w:rsidP="00AE0BC5">
            <w:pPr>
              <w:spacing w:after="0" w:afterAutospacing="0" w:line="240" w:lineRule="auto"/>
              <w:rPr>
                <w:rFonts w:ascii="Arial" w:eastAsia="Times New Roman" w:hAnsi="Arial" w:cs="Arial"/>
                <w:color w:val="auto"/>
              </w:rPr>
            </w:pPr>
          </w:p>
        </w:tc>
      </w:tr>
      <w:tr w:rsidR="00AE0BC5" w:rsidRPr="00AE0BC5" w14:paraId="53710FC2" w14:textId="77777777" w:rsidTr="00AE0BC5">
        <w:trPr>
          <w:cantSplit/>
          <w:trHeight w:val="340"/>
        </w:trPr>
        <w:tc>
          <w:tcPr>
            <w:tcW w:w="559" w:type="dxa"/>
            <w:shd w:val="clear" w:color="auto" w:fill="F2F2F2"/>
          </w:tcPr>
          <w:p w14:paraId="0805AE1C"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7</w:t>
            </w:r>
          </w:p>
        </w:tc>
        <w:tc>
          <w:tcPr>
            <w:tcW w:w="3253" w:type="dxa"/>
            <w:shd w:val="clear" w:color="auto" w:fill="F2F2F2"/>
          </w:tcPr>
          <w:p w14:paraId="5CF51966"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Contact Telephone Number:</w:t>
            </w:r>
          </w:p>
        </w:tc>
        <w:tc>
          <w:tcPr>
            <w:tcW w:w="6636" w:type="dxa"/>
          </w:tcPr>
          <w:p w14:paraId="41DC44DB"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01646 680068 (office) or 01646 680628 (home)</w:t>
            </w:r>
          </w:p>
          <w:p w14:paraId="3A4A677E" w14:textId="77777777" w:rsidR="00AE0BC5" w:rsidRPr="00AE0BC5" w:rsidRDefault="00AE0BC5" w:rsidP="00AE0BC5">
            <w:pPr>
              <w:spacing w:after="0" w:afterAutospacing="0" w:line="240" w:lineRule="auto"/>
              <w:rPr>
                <w:rFonts w:ascii="Arial" w:eastAsia="Times New Roman" w:hAnsi="Arial" w:cs="Arial"/>
                <w:color w:val="auto"/>
              </w:rPr>
            </w:pPr>
          </w:p>
        </w:tc>
      </w:tr>
      <w:tr w:rsidR="00AE0BC5" w:rsidRPr="00AE0BC5" w14:paraId="1F0916D3" w14:textId="77777777" w:rsidTr="00AE0BC5">
        <w:tc>
          <w:tcPr>
            <w:tcW w:w="559" w:type="dxa"/>
            <w:shd w:val="clear" w:color="auto" w:fill="BFBFBF"/>
          </w:tcPr>
          <w:p w14:paraId="33766E27" w14:textId="77777777" w:rsidR="00AE0BC5" w:rsidRPr="00AE0BC5" w:rsidRDefault="00AE0BC5" w:rsidP="00AE0BC5">
            <w:pPr>
              <w:spacing w:after="0" w:afterAutospacing="0" w:line="240" w:lineRule="auto"/>
              <w:rPr>
                <w:rFonts w:ascii="Arial" w:eastAsia="Times New Roman" w:hAnsi="Arial" w:cs="Arial"/>
                <w:b/>
                <w:i/>
                <w:color w:val="auto"/>
              </w:rPr>
            </w:pPr>
          </w:p>
        </w:tc>
        <w:tc>
          <w:tcPr>
            <w:tcW w:w="9889" w:type="dxa"/>
            <w:gridSpan w:val="2"/>
            <w:shd w:val="clear" w:color="auto" w:fill="BFBFBF"/>
          </w:tcPr>
          <w:p w14:paraId="616C9E7D"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b/>
                <w:i/>
                <w:color w:val="auto"/>
              </w:rPr>
              <w:t>For students:</w:t>
            </w:r>
          </w:p>
        </w:tc>
      </w:tr>
      <w:tr w:rsidR="00AE0BC5" w:rsidRPr="00AE0BC5" w14:paraId="22F5C5BE" w14:textId="77777777" w:rsidTr="00AE0BC5">
        <w:trPr>
          <w:trHeight w:val="513"/>
        </w:trPr>
        <w:tc>
          <w:tcPr>
            <w:tcW w:w="559" w:type="dxa"/>
            <w:shd w:val="clear" w:color="auto" w:fill="F2F2F2"/>
          </w:tcPr>
          <w:p w14:paraId="3ABD6855"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8</w:t>
            </w:r>
          </w:p>
        </w:tc>
        <w:tc>
          <w:tcPr>
            <w:tcW w:w="3253" w:type="dxa"/>
            <w:shd w:val="clear" w:color="auto" w:fill="F2F2F2"/>
            <w:vAlign w:val="center"/>
          </w:tcPr>
          <w:p w14:paraId="0F5849E4"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Student Number:</w:t>
            </w:r>
          </w:p>
        </w:tc>
        <w:tc>
          <w:tcPr>
            <w:tcW w:w="6636" w:type="dxa"/>
          </w:tcPr>
          <w:p w14:paraId="49176E78"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1706862</w:t>
            </w:r>
          </w:p>
        </w:tc>
      </w:tr>
      <w:tr w:rsidR="00AE0BC5" w:rsidRPr="00AE0BC5" w14:paraId="25791D47" w14:textId="77777777" w:rsidTr="00AE0BC5">
        <w:trPr>
          <w:trHeight w:val="549"/>
        </w:trPr>
        <w:tc>
          <w:tcPr>
            <w:tcW w:w="559" w:type="dxa"/>
            <w:shd w:val="clear" w:color="auto" w:fill="F2F2F2"/>
          </w:tcPr>
          <w:p w14:paraId="49AFBCD3"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9</w:t>
            </w:r>
          </w:p>
        </w:tc>
        <w:tc>
          <w:tcPr>
            <w:tcW w:w="3253" w:type="dxa"/>
            <w:shd w:val="clear" w:color="auto" w:fill="F2F2F2"/>
            <w:vAlign w:val="center"/>
          </w:tcPr>
          <w:p w14:paraId="75EBCA55"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Programme of Study:</w:t>
            </w:r>
          </w:p>
        </w:tc>
        <w:tc>
          <w:tcPr>
            <w:tcW w:w="6636" w:type="dxa"/>
          </w:tcPr>
          <w:p w14:paraId="71BE1D5B"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BA Youth Work &amp; Social Education</w:t>
            </w:r>
          </w:p>
        </w:tc>
      </w:tr>
      <w:tr w:rsidR="00AE0BC5" w:rsidRPr="00AE0BC5" w14:paraId="409474CD" w14:textId="77777777" w:rsidTr="00AE0BC5">
        <w:trPr>
          <w:trHeight w:val="557"/>
        </w:trPr>
        <w:tc>
          <w:tcPr>
            <w:tcW w:w="559" w:type="dxa"/>
            <w:shd w:val="clear" w:color="auto" w:fill="F2F2F2"/>
          </w:tcPr>
          <w:p w14:paraId="3264F1F4"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lastRenderedPageBreak/>
              <w:t>10</w:t>
            </w:r>
          </w:p>
        </w:tc>
        <w:tc>
          <w:tcPr>
            <w:tcW w:w="3253" w:type="dxa"/>
            <w:shd w:val="clear" w:color="auto" w:fill="F2F2F2"/>
            <w:vAlign w:val="center"/>
          </w:tcPr>
          <w:p w14:paraId="65A2EA37"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Director of Studies/Supervisor:</w:t>
            </w:r>
          </w:p>
        </w:tc>
        <w:tc>
          <w:tcPr>
            <w:tcW w:w="6636" w:type="dxa"/>
          </w:tcPr>
          <w:p w14:paraId="3600323F"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Angharad Lewis</w:t>
            </w:r>
          </w:p>
        </w:tc>
      </w:tr>
    </w:tbl>
    <w:p w14:paraId="1A51B51E" w14:textId="77777777" w:rsidR="00AE0BC5" w:rsidRPr="00AE0BC5" w:rsidRDefault="00AE0BC5" w:rsidP="00AE0BC5">
      <w:pPr>
        <w:spacing w:after="0" w:afterAutospacing="0" w:line="240" w:lineRule="auto"/>
        <w:rPr>
          <w:rFonts w:ascii="Arial" w:eastAsia="Times New Roman" w:hAnsi="Arial" w:cs="Arial"/>
          <w:bCs/>
          <w:iCs/>
          <w:color w:val="auto"/>
          <w:sz w:val="20"/>
          <w:szCs w:val="20"/>
        </w:rPr>
      </w:pPr>
    </w:p>
    <w:p w14:paraId="04DF2371" w14:textId="068EE58A" w:rsidR="00AE0BC5" w:rsidRPr="00AE0BC5" w:rsidRDefault="00AE0BC5" w:rsidP="00AE0BC5">
      <w:pPr>
        <w:spacing w:after="0" w:afterAutospacing="0" w:line="240" w:lineRule="auto"/>
        <w:rPr>
          <w:rFonts w:ascii="Arial" w:eastAsia="Times New Roman" w:hAnsi="Arial" w:cs="Arial"/>
          <w:b/>
          <w:color w:val="auto"/>
        </w:rPr>
      </w:pPr>
    </w:p>
    <w:p w14:paraId="7F5F47EA" w14:textId="77777777" w:rsidR="00AE0BC5" w:rsidRPr="00AE0BC5" w:rsidRDefault="00AE0BC5" w:rsidP="00AE0BC5">
      <w:pPr>
        <w:autoSpaceDE w:val="0"/>
        <w:autoSpaceDN w:val="0"/>
        <w:adjustRightInd w:val="0"/>
        <w:spacing w:after="240" w:afterAutospacing="0" w:line="240" w:lineRule="auto"/>
        <w:jc w:val="both"/>
        <w:rPr>
          <w:rFonts w:ascii="Arial" w:eastAsia="Times New Roman" w:hAnsi="Arial" w:cs="Arial"/>
          <w:b/>
          <w:color w:val="auto"/>
        </w:rPr>
      </w:pPr>
      <w:r w:rsidRPr="00AE0BC5">
        <w:rPr>
          <w:rFonts w:ascii="Arial" w:eastAsia="Times New Roman" w:hAnsi="Arial" w:cs="Arial"/>
          <w:b/>
          <w:color w:val="auto"/>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E0BC5" w:rsidRPr="00AE0BC5" w14:paraId="7D1A2A61" w14:textId="77777777" w:rsidTr="00AE0BC5">
        <w:tc>
          <w:tcPr>
            <w:tcW w:w="562" w:type="dxa"/>
            <w:shd w:val="clear" w:color="auto" w:fill="F2F2F2"/>
          </w:tcPr>
          <w:p w14:paraId="0556E01C"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w:t>
            </w:r>
          </w:p>
        </w:tc>
        <w:tc>
          <w:tcPr>
            <w:tcW w:w="6232" w:type="dxa"/>
            <w:gridSpan w:val="2"/>
            <w:shd w:val="clear" w:color="auto" w:fill="F2F2F2"/>
            <w:vAlign w:val="center"/>
          </w:tcPr>
          <w:p w14:paraId="70E04EA3"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Has the research activity received approval in principle?</w:t>
            </w:r>
          </w:p>
          <w:p w14:paraId="6835B375"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w:t>
            </w:r>
            <w:proofErr w:type="gramStart"/>
            <w:r w:rsidRPr="00AE0BC5">
              <w:rPr>
                <w:rFonts w:ascii="Arial" w:eastAsia="Times New Roman" w:hAnsi="Arial" w:cs="Arial"/>
                <w:color w:val="auto"/>
              </w:rPr>
              <w:t>please</w:t>
            </w:r>
            <w:proofErr w:type="gramEnd"/>
            <w:r w:rsidRPr="00AE0BC5">
              <w:rPr>
                <w:rFonts w:ascii="Arial" w:eastAsia="Times New Roman" w:hAnsi="Arial" w:cs="Arial"/>
                <w:color w:val="auto"/>
              </w:rPr>
              <w:t xml:space="preserve"> check the Guidance Notes as to the appropriate approval process for different levels of research by different categories of individual)</w:t>
            </w:r>
          </w:p>
        </w:tc>
        <w:tc>
          <w:tcPr>
            <w:tcW w:w="993" w:type="dxa"/>
            <w:shd w:val="clear" w:color="auto" w:fill="F2F2F2"/>
            <w:vAlign w:val="center"/>
          </w:tcPr>
          <w:p w14:paraId="6F326D3D"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Arial" w:eastAsia="Times New Roman" w:hAnsi="Arial" w:cs="Arial"/>
                <w:b/>
                <w:color w:val="auto"/>
              </w:rPr>
              <w:t>YES</w:t>
            </w:r>
          </w:p>
        </w:tc>
        <w:sdt>
          <w:sdtPr>
            <w:rPr>
              <w:rFonts w:ascii="Arial" w:eastAsia="Times New Roman" w:hAnsi="Arial" w:cs="Arial"/>
              <w:b/>
              <w:color w:val="auto"/>
            </w:rPr>
            <w:id w:val="1447122604"/>
            <w14:checkbox>
              <w14:checked w14:val="1"/>
              <w14:checkedState w14:val="2612" w14:font="MS Gothic"/>
              <w14:uncheckedState w14:val="2610" w14:font="MS Gothic"/>
            </w14:checkbox>
          </w:sdtPr>
          <w:sdtEndPr/>
          <w:sdtContent>
            <w:tc>
              <w:tcPr>
                <w:tcW w:w="850" w:type="dxa"/>
                <w:shd w:val="clear" w:color="auto" w:fill="BFBFBF"/>
                <w:vAlign w:val="center"/>
              </w:tcPr>
              <w:p w14:paraId="7C959FEA"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Segoe UI Symbol" w:eastAsia="Times New Roman" w:hAnsi="Segoe UI Symbol" w:cs="Segoe UI Symbol"/>
                    <w:b/>
                    <w:color w:val="auto"/>
                  </w:rPr>
                  <w:t>☒</w:t>
                </w:r>
              </w:p>
            </w:tc>
          </w:sdtContent>
        </w:sdt>
        <w:tc>
          <w:tcPr>
            <w:tcW w:w="992" w:type="dxa"/>
            <w:shd w:val="clear" w:color="auto" w:fill="F2F2F2"/>
            <w:vAlign w:val="center"/>
          </w:tcPr>
          <w:p w14:paraId="1324BD6F"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Arial" w:eastAsia="Times New Roman" w:hAnsi="Arial" w:cs="Arial"/>
                <w:b/>
                <w:color w:val="auto"/>
              </w:rPr>
              <w:t>NO</w:t>
            </w:r>
          </w:p>
        </w:tc>
        <w:sdt>
          <w:sdtPr>
            <w:rPr>
              <w:rFonts w:ascii="Arial" w:eastAsia="Times New Roman" w:hAnsi="Arial" w:cs="Arial"/>
              <w:b/>
              <w:color w:val="auto"/>
            </w:rPr>
            <w:id w:val="1244220297"/>
            <w14:checkbox>
              <w14:checked w14:val="0"/>
              <w14:checkedState w14:val="2612" w14:font="MS Gothic"/>
              <w14:uncheckedState w14:val="2610" w14:font="MS Gothic"/>
            </w14:checkbox>
          </w:sdtPr>
          <w:sdtEndPr/>
          <w:sdtContent>
            <w:tc>
              <w:tcPr>
                <w:tcW w:w="851" w:type="dxa"/>
                <w:shd w:val="clear" w:color="auto" w:fill="BFBFBF"/>
                <w:vAlign w:val="center"/>
              </w:tcPr>
              <w:p w14:paraId="038414AF"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Segoe UI Symbol" w:eastAsia="Times New Roman" w:hAnsi="Segoe UI Symbol" w:cs="Segoe UI Symbol"/>
                    <w:b/>
                    <w:color w:val="auto"/>
                  </w:rPr>
                  <w:t>☐</w:t>
                </w:r>
              </w:p>
            </w:tc>
          </w:sdtContent>
        </w:sdt>
      </w:tr>
      <w:tr w:rsidR="00AE0BC5" w:rsidRPr="00AE0BC5" w14:paraId="4CF0FF3B" w14:textId="77777777" w:rsidTr="00AE0BC5">
        <w:tc>
          <w:tcPr>
            <w:tcW w:w="562" w:type="dxa"/>
            <w:shd w:val="clear" w:color="auto" w:fill="F2F2F2"/>
          </w:tcPr>
          <w:p w14:paraId="6FD8BCE7" w14:textId="77777777" w:rsidR="00AE0BC5" w:rsidRPr="00AE0BC5" w:rsidRDefault="00AE0BC5" w:rsidP="00AE0BC5">
            <w:pPr>
              <w:autoSpaceDE w:val="0"/>
              <w:autoSpaceDN w:val="0"/>
              <w:adjustRightInd w:val="0"/>
              <w:rPr>
                <w:rFonts w:ascii="Arial" w:eastAsia="Times New Roman" w:hAnsi="Arial" w:cs="Arial"/>
                <w:b/>
                <w:bCs/>
                <w:color w:val="auto"/>
              </w:rPr>
            </w:pPr>
          </w:p>
        </w:tc>
        <w:tc>
          <w:tcPr>
            <w:tcW w:w="8075" w:type="dxa"/>
            <w:gridSpan w:val="4"/>
            <w:shd w:val="clear" w:color="auto" w:fill="F2F2F2"/>
          </w:tcPr>
          <w:p w14:paraId="68D3D8E2" w14:textId="77777777" w:rsidR="00AE0BC5" w:rsidRPr="00AE0BC5" w:rsidRDefault="00AE0BC5" w:rsidP="00AE0BC5">
            <w:pPr>
              <w:autoSpaceDE w:val="0"/>
              <w:autoSpaceDN w:val="0"/>
              <w:adjustRightInd w:val="0"/>
              <w:rPr>
                <w:rFonts w:ascii="Arial" w:eastAsia="Times New Roman" w:hAnsi="Arial" w:cs="Arial"/>
                <w:b/>
                <w:bCs/>
                <w:color w:val="auto"/>
              </w:rPr>
            </w:pPr>
          </w:p>
        </w:tc>
        <w:tc>
          <w:tcPr>
            <w:tcW w:w="1843" w:type="dxa"/>
            <w:gridSpan w:val="2"/>
            <w:shd w:val="clear" w:color="auto" w:fill="F2F2F2"/>
          </w:tcPr>
          <w:p w14:paraId="223456C1" w14:textId="77777777" w:rsidR="00AE0BC5" w:rsidRPr="00AE0BC5" w:rsidRDefault="00AE0BC5" w:rsidP="00AE0BC5">
            <w:pPr>
              <w:autoSpaceDE w:val="0"/>
              <w:autoSpaceDN w:val="0"/>
              <w:adjustRightInd w:val="0"/>
              <w:jc w:val="center"/>
              <w:rPr>
                <w:rFonts w:ascii="Arial" w:eastAsia="Times New Roman" w:hAnsi="Arial" w:cs="Arial"/>
                <w:b/>
                <w:bCs/>
                <w:i/>
                <w:color w:val="auto"/>
              </w:rPr>
            </w:pPr>
            <w:r w:rsidRPr="00AE0BC5">
              <w:rPr>
                <w:rFonts w:ascii="Arial" w:eastAsia="Times New Roman" w:hAnsi="Arial" w:cs="Arial"/>
                <w:b/>
                <w:bCs/>
                <w:i/>
                <w:color w:val="auto"/>
              </w:rPr>
              <w:t>Date</w:t>
            </w:r>
          </w:p>
        </w:tc>
      </w:tr>
      <w:tr w:rsidR="00AE0BC5" w:rsidRPr="00AE0BC5" w14:paraId="363B6158" w14:textId="77777777" w:rsidTr="00AE0BC5">
        <w:trPr>
          <w:trHeight w:val="437"/>
        </w:trPr>
        <w:tc>
          <w:tcPr>
            <w:tcW w:w="562" w:type="dxa"/>
            <w:shd w:val="clear" w:color="auto" w:fill="F2F2F2"/>
          </w:tcPr>
          <w:p w14:paraId="547C6176" w14:textId="77777777" w:rsidR="00AE0BC5" w:rsidRPr="00AE0BC5" w:rsidRDefault="00AE0BC5" w:rsidP="00AE0BC5">
            <w:pPr>
              <w:autoSpaceDE w:val="0"/>
              <w:autoSpaceDN w:val="0"/>
              <w:adjustRightInd w:val="0"/>
              <w:jc w:val="both"/>
              <w:rPr>
                <w:rFonts w:ascii="Arial" w:eastAsia="Times New Roman" w:hAnsi="Arial" w:cs="Arial"/>
                <w:color w:val="auto"/>
              </w:rPr>
            </w:pPr>
            <w:r w:rsidRPr="00AE0BC5">
              <w:rPr>
                <w:rFonts w:ascii="Arial" w:eastAsia="Times New Roman" w:hAnsi="Arial" w:cs="Arial"/>
                <w:color w:val="auto"/>
              </w:rPr>
              <w:t>2</w:t>
            </w:r>
          </w:p>
        </w:tc>
        <w:tc>
          <w:tcPr>
            <w:tcW w:w="3693" w:type="dxa"/>
            <w:vMerge w:val="restart"/>
            <w:shd w:val="clear" w:color="auto" w:fill="F2F2F2"/>
          </w:tcPr>
          <w:p w14:paraId="42B3BC57" w14:textId="77777777" w:rsidR="00AE0BC5" w:rsidRPr="00AE0BC5" w:rsidRDefault="00AE0BC5" w:rsidP="00AE0BC5">
            <w:pPr>
              <w:autoSpaceDE w:val="0"/>
              <w:autoSpaceDN w:val="0"/>
              <w:adjustRightInd w:val="0"/>
              <w:jc w:val="both"/>
              <w:rPr>
                <w:rFonts w:ascii="Arial" w:eastAsia="Times New Roman" w:hAnsi="Arial" w:cs="Arial"/>
                <w:color w:val="auto"/>
              </w:rPr>
            </w:pPr>
            <w:r w:rsidRPr="00AE0BC5">
              <w:rPr>
                <w:rFonts w:ascii="Arial" w:eastAsia="Times New Roman" w:hAnsi="Arial" w:cs="Arial"/>
                <w:color w:val="auto"/>
              </w:rPr>
              <w:t xml:space="preserve">If </w:t>
            </w:r>
            <w:proofErr w:type="gramStart"/>
            <w:r w:rsidRPr="00AE0BC5">
              <w:rPr>
                <w:rFonts w:ascii="Arial" w:eastAsia="Times New Roman" w:hAnsi="Arial" w:cs="Arial"/>
                <w:color w:val="auto"/>
              </w:rPr>
              <w:t>Yes</w:t>
            </w:r>
            <w:proofErr w:type="gramEnd"/>
            <w:r w:rsidRPr="00AE0BC5">
              <w:rPr>
                <w:rFonts w:ascii="Arial" w:eastAsia="Times New Roman" w:hAnsi="Arial" w:cs="Arial"/>
                <w:color w:val="auto"/>
              </w:rPr>
              <w:t>, please indicate source of approval (and date where known):</w:t>
            </w:r>
            <w:r w:rsidRPr="00AE0BC5">
              <w:rPr>
                <w:rFonts w:ascii="Arial" w:eastAsia="Times New Roman" w:hAnsi="Arial" w:cs="Arial"/>
                <w:bCs/>
                <w:i/>
                <w:iCs/>
                <w:color w:val="FF0000"/>
                <w:sz w:val="20"/>
              </w:rPr>
              <w:t xml:space="preserve"> </w:t>
            </w:r>
            <w:r w:rsidRPr="00AE0BC5">
              <w:rPr>
                <w:rFonts w:ascii="Arial" w:eastAsia="Times New Roman" w:hAnsi="Arial" w:cs="Arial"/>
                <w:b/>
                <w:bCs/>
                <w:i/>
                <w:iCs/>
                <w:color w:val="auto"/>
                <w:sz w:val="20"/>
              </w:rPr>
              <w:t>Approval in principle must be obtained from the relevant source prior to seeking ethical approval</w:t>
            </w:r>
          </w:p>
        </w:tc>
        <w:tc>
          <w:tcPr>
            <w:tcW w:w="3532" w:type="dxa"/>
            <w:gridSpan w:val="2"/>
            <w:shd w:val="clear" w:color="auto" w:fill="F2F2F2"/>
            <w:vAlign w:val="center"/>
          </w:tcPr>
          <w:p w14:paraId="044D3298"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Research Degrees Committee</w:t>
            </w:r>
          </w:p>
        </w:tc>
        <w:sdt>
          <w:sdtPr>
            <w:rPr>
              <w:rFonts w:ascii="Arial" w:eastAsia="Times New Roman" w:hAnsi="Arial" w:cs="Arial"/>
              <w:b/>
              <w:bCs/>
              <w:color w:val="auto"/>
            </w:rPr>
            <w:id w:val="706606798"/>
            <w14:checkbox>
              <w14:checked w14:val="0"/>
              <w14:checkedState w14:val="2612" w14:font="MS Gothic"/>
              <w14:uncheckedState w14:val="2610" w14:font="MS Gothic"/>
            </w14:checkbox>
          </w:sdtPr>
          <w:sdtEndPr/>
          <w:sdtContent>
            <w:tc>
              <w:tcPr>
                <w:tcW w:w="850" w:type="dxa"/>
                <w:shd w:val="clear" w:color="auto" w:fill="BFBFBF"/>
                <w:vAlign w:val="center"/>
              </w:tcPr>
              <w:p w14:paraId="209AB4A8"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Segoe UI Symbol" w:eastAsia="Times New Roman" w:hAnsi="Segoe UI Symbol" w:cs="Segoe UI Symbol"/>
                    <w:b/>
                    <w:bCs/>
                    <w:color w:val="auto"/>
                  </w:rPr>
                  <w:t>☐</w:t>
                </w:r>
              </w:p>
            </w:tc>
          </w:sdtContent>
        </w:sdt>
        <w:tc>
          <w:tcPr>
            <w:tcW w:w="1843" w:type="dxa"/>
            <w:gridSpan w:val="2"/>
            <w:vAlign w:val="center"/>
          </w:tcPr>
          <w:p w14:paraId="6A1156CA" w14:textId="77777777" w:rsidR="00AE0BC5" w:rsidRPr="00AE0BC5" w:rsidRDefault="00AE0BC5" w:rsidP="00AE0BC5">
            <w:pPr>
              <w:autoSpaceDE w:val="0"/>
              <w:autoSpaceDN w:val="0"/>
              <w:adjustRightInd w:val="0"/>
              <w:jc w:val="center"/>
              <w:rPr>
                <w:rFonts w:ascii="Arial" w:eastAsia="Times New Roman" w:hAnsi="Arial" w:cs="Arial"/>
                <w:b/>
                <w:bCs/>
                <w:color w:val="auto"/>
              </w:rPr>
            </w:pPr>
          </w:p>
        </w:tc>
      </w:tr>
      <w:tr w:rsidR="00AE0BC5" w:rsidRPr="00AE0BC5" w14:paraId="7F757B0B" w14:textId="77777777" w:rsidTr="00AE0BC5">
        <w:trPr>
          <w:trHeight w:val="415"/>
        </w:trPr>
        <w:tc>
          <w:tcPr>
            <w:tcW w:w="562" w:type="dxa"/>
            <w:shd w:val="clear" w:color="auto" w:fill="F2F2F2"/>
          </w:tcPr>
          <w:p w14:paraId="1F123E45" w14:textId="77777777" w:rsidR="00AE0BC5" w:rsidRPr="00AE0BC5" w:rsidRDefault="00AE0BC5" w:rsidP="00AE0BC5">
            <w:pPr>
              <w:autoSpaceDE w:val="0"/>
              <w:autoSpaceDN w:val="0"/>
              <w:adjustRightInd w:val="0"/>
              <w:jc w:val="both"/>
              <w:rPr>
                <w:rFonts w:ascii="Arial" w:eastAsia="Times New Roman" w:hAnsi="Arial" w:cs="Arial"/>
                <w:color w:val="auto"/>
              </w:rPr>
            </w:pPr>
            <w:r w:rsidRPr="00AE0BC5">
              <w:rPr>
                <w:rFonts w:ascii="Arial" w:eastAsia="Times New Roman" w:hAnsi="Arial" w:cs="Arial"/>
                <w:color w:val="auto"/>
              </w:rPr>
              <w:t>3</w:t>
            </w:r>
          </w:p>
        </w:tc>
        <w:tc>
          <w:tcPr>
            <w:tcW w:w="3693" w:type="dxa"/>
            <w:vMerge/>
            <w:shd w:val="clear" w:color="auto" w:fill="F2F2F2"/>
          </w:tcPr>
          <w:p w14:paraId="19EB939E" w14:textId="77777777" w:rsidR="00AE0BC5" w:rsidRPr="00AE0BC5" w:rsidRDefault="00AE0BC5" w:rsidP="00AE0BC5">
            <w:pPr>
              <w:autoSpaceDE w:val="0"/>
              <w:autoSpaceDN w:val="0"/>
              <w:adjustRightInd w:val="0"/>
              <w:jc w:val="both"/>
              <w:rPr>
                <w:rFonts w:ascii="Arial" w:eastAsia="Times New Roman" w:hAnsi="Arial" w:cs="Arial"/>
                <w:color w:val="auto"/>
              </w:rPr>
            </w:pPr>
          </w:p>
        </w:tc>
        <w:tc>
          <w:tcPr>
            <w:tcW w:w="3532" w:type="dxa"/>
            <w:gridSpan w:val="2"/>
            <w:shd w:val="clear" w:color="auto" w:fill="F2F2F2"/>
            <w:vAlign w:val="center"/>
          </w:tcPr>
          <w:p w14:paraId="7D8AD0DD"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Institute Research Committee</w:t>
            </w:r>
          </w:p>
        </w:tc>
        <w:sdt>
          <w:sdtPr>
            <w:rPr>
              <w:rFonts w:ascii="Arial" w:eastAsia="Times New Roman" w:hAnsi="Arial" w:cs="Arial"/>
              <w:b/>
              <w:bCs/>
              <w:color w:val="auto"/>
            </w:rPr>
            <w:id w:val="1394927872"/>
            <w14:checkbox>
              <w14:checked w14:val="0"/>
              <w14:checkedState w14:val="2612" w14:font="MS Gothic"/>
              <w14:uncheckedState w14:val="2610" w14:font="MS Gothic"/>
            </w14:checkbox>
          </w:sdtPr>
          <w:sdtEndPr/>
          <w:sdtContent>
            <w:tc>
              <w:tcPr>
                <w:tcW w:w="850" w:type="dxa"/>
                <w:shd w:val="clear" w:color="auto" w:fill="BFBFBF"/>
                <w:vAlign w:val="center"/>
              </w:tcPr>
              <w:p w14:paraId="517B9E87"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Segoe UI Symbol" w:eastAsia="Times New Roman" w:hAnsi="Segoe UI Symbol" w:cs="Segoe UI Symbol"/>
                    <w:b/>
                    <w:bCs/>
                    <w:color w:val="auto"/>
                  </w:rPr>
                  <w:t>☐</w:t>
                </w:r>
              </w:p>
            </w:tc>
          </w:sdtContent>
        </w:sdt>
        <w:tc>
          <w:tcPr>
            <w:tcW w:w="1843" w:type="dxa"/>
            <w:gridSpan w:val="2"/>
            <w:vAlign w:val="center"/>
          </w:tcPr>
          <w:p w14:paraId="0E7D7EC8" w14:textId="77777777" w:rsidR="00AE0BC5" w:rsidRPr="00AE0BC5" w:rsidRDefault="00AE0BC5" w:rsidP="00AE0BC5">
            <w:pPr>
              <w:autoSpaceDE w:val="0"/>
              <w:autoSpaceDN w:val="0"/>
              <w:adjustRightInd w:val="0"/>
              <w:jc w:val="center"/>
              <w:rPr>
                <w:rFonts w:ascii="Arial" w:eastAsia="Times New Roman" w:hAnsi="Arial" w:cs="Arial"/>
                <w:b/>
                <w:bCs/>
                <w:color w:val="auto"/>
              </w:rPr>
            </w:pPr>
          </w:p>
        </w:tc>
      </w:tr>
      <w:tr w:rsidR="00AE0BC5" w:rsidRPr="00AE0BC5" w14:paraId="3C806CC4" w14:textId="77777777" w:rsidTr="00AE0BC5">
        <w:tc>
          <w:tcPr>
            <w:tcW w:w="562" w:type="dxa"/>
            <w:shd w:val="clear" w:color="auto" w:fill="F2F2F2"/>
          </w:tcPr>
          <w:p w14:paraId="58FE64A2" w14:textId="77777777" w:rsidR="00AE0BC5" w:rsidRPr="00AE0BC5" w:rsidRDefault="00AE0BC5" w:rsidP="00AE0BC5">
            <w:pPr>
              <w:autoSpaceDE w:val="0"/>
              <w:autoSpaceDN w:val="0"/>
              <w:adjustRightInd w:val="0"/>
              <w:jc w:val="both"/>
              <w:rPr>
                <w:rFonts w:ascii="Arial" w:eastAsia="Times New Roman" w:hAnsi="Arial" w:cs="Arial"/>
                <w:color w:val="auto"/>
              </w:rPr>
            </w:pPr>
            <w:r w:rsidRPr="00AE0BC5">
              <w:rPr>
                <w:rFonts w:ascii="Arial" w:eastAsia="Times New Roman" w:hAnsi="Arial" w:cs="Arial"/>
                <w:color w:val="auto"/>
              </w:rPr>
              <w:t>4</w:t>
            </w:r>
          </w:p>
        </w:tc>
        <w:tc>
          <w:tcPr>
            <w:tcW w:w="3693" w:type="dxa"/>
            <w:vMerge/>
            <w:shd w:val="clear" w:color="auto" w:fill="F2F2F2"/>
          </w:tcPr>
          <w:p w14:paraId="32677CA2" w14:textId="77777777" w:rsidR="00AE0BC5" w:rsidRPr="00AE0BC5" w:rsidRDefault="00AE0BC5" w:rsidP="00AE0BC5">
            <w:pPr>
              <w:autoSpaceDE w:val="0"/>
              <w:autoSpaceDN w:val="0"/>
              <w:adjustRightInd w:val="0"/>
              <w:jc w:val="both"/>
              <w:rPr>
                <w:rFonts w:ascii="Arial" w:eastAsia="Times New Roman" w:hAnsi="Arial" w:cs="Arial"/>
                <w:color w:val="auto"/>
              </w:rPr>
            </w:pPr>
          </w:p>
        </w:tc>
        <w:tc>
          <w:tcPr>
            <w:tcW w:w="3532" w:type="dxa"/>
            <w:gridSpan w:val="2"/>
            <w:shd w:val="clear" w:color="auto" w:fill="F2F2F2"/>
            <w:vAlign w:val="center"/>
          </w:tcPr>
          <w:p w14:paraId="47252E44"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Other (write in)</w:t>
            </w:r>
          </w:p>
          <w:p w14:paraId="786CB141" w14:textId="77777777" w:rsidR="00AE0BC5" w:rsidRPr="00AE0BC5" w:rsidRDefault="00AE0BC5" w:rsidP="00AE0BC5">
            <w:pPr>
              <w:autoSpaceDE w:val="0"/>
              <w:autoSpaceDN w:val="0"/>
              <w:adjustRightInd w:val="0"/>
              <w:rPr>
                <w:rFonts w:ascii="Arial" w:eastAsia="Times New Roman" w:hAnsi="Arial" w:cs="Arial"/>
                <w:color w:val="auto"/>
              </w:rPr>
            </w:pPr>
          </w:p>
        </w:tc>
        <w:sdt>
          <w:sdtPr>
            <w:rPr>
              <w:rFonts w:ascii="Arial" w:eastAsia="Times New Roman" w:hAnsi="Arial" w:cs="Arial"/>
              <w:b/>
              <w:bCs/>
              <w:color w:val="auto"/>
            </w:rPr>
            <w:id w:val="-1664075246"/>
            <w14:checkbox>
              <w14:checked w14:val="1"/>
              <w14:checkedState w14:val="2612" w14:font="MS Gothic"/>
              <w14:uncheckedState w14:val="2610" w14:font="MS Gothic"/>
            </w14:checkbox>
          </w:sdtPr>
          <w:sdtEndPr/>
          <w:sdtContent>
            <w:tc>
              <w:tcPr>
                <w:tcW w:w="850" w:type="dxa"/>
                <w:shd w:val="clear" w:color="auto" w:fill="BFBFBF"/>
                <w:vAlign w:val="center"/>
              </w:tcPr>
              <w:p w14:paraId="7CD9008C"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Segoe UI Symbol" w:eastAsia="Times New Roman" w:hAnsi="Segoe UI Symbol" w:cs="Segoe UI Symbol"/>
                    <w:b/>
                    <w:bCs/>
                    <w:color w:val="auto"/>
                  </w:rPr>
                  <w:t>☒</w:t>
                </w:r>
              </w:p>
            </w:tc>
          </w:sdtContent>
        </w:sdt>
        <w:tc>
          <w:tcPr>
            <w:tcW w:w="1843" w:type="dxa"/>
            <w:gridSpan w:val="2"/>
            <w:vAlign w:val="center"/>
          </w:tcPr>
          <w:p w14:paraId="2BF6F777"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22/10/2020</w:t>
            </w:r>
          </w:p>
        </w:tc>
      </w:tr>
    </w:tbl>
    <w:p w14:paraId="25D9818F" w14:textId="77777777" w:rsidR="00AE0BC5" w:rsidRPr="00AE0BC5" w:rsidRDefault="00AE0BC5" w:rsidP="00AE0BC5">
      <w:pPr>
        <w:autoSpaceDE w:val="0"/>
        <w:autoSpaceDN w:val="0"/>
        <w:adjustRightInd w:val="0"/>
        <w:spacing w:after="240" w:afterAutospacing="0" w:line="240" w:lineRule="auto"/>
        <w:jc w:val="both"/>
        <w:rPr>
          <w:rFonts w:ascii="Arial" w:eastAsia="Times New Roman" w:hAnsi="Arial" w:cs="Arial"/>
          <w:bCs/>
          <w:iCs/>
          <w:color w:val="auto"/>
          <w:sz w:val="20"/>
          <w:szCs w:val="20"/>
        </w:rPr>
      </w:pPr>
    </w:p>
    <w:p w14:paraId="244C0313" w14:textId="77777777" w:rsidR="00AE0BC5" w:rsidRPr="00AE0BC5" w:rsidRDefault="00AE0BC5" w:rsidP="00AE0BC5">
      <w:pPr>
        <w:autoSpaceDE w:val="0"/>
        <w:autoSpaceDN w:val="0"/>
        <w:adjustRightInd w:val="0"/>
        <w:spacing w:after="240" w:afterAutospacing="0" w:line="240" w:lineRule="auto"/>
        <w:jc w:val="both"/>
        <w:rPr>
          <w:rFonts w:ascii="Arial" w:eastAsia="Times New Roman" w:hAnsi="Arial" w:cs="Arial"/>
          <w:b/>
          <w:color w:val="auto"/>
        </w:rPr>
      </w:pPr>
      <w:r w:rsidRPr="00AE0BC5">
        <w:rPr>
          <w:rFonts w:ascii="Arial" w:eastAsia="Times New Roman" w:hAnsi="Arial" w:cs="Arial"/>
          <w:b/>
          <w:color w:val="auto"/>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E0BC5" w:rsidRPr="00AE0BC5" w14:paraId="06C0C84E" w14:textId="77777777" w:rsidTr="00AE0BC5">
        <w:tc>
          <w:tcPr>
            <w:tcW w:w="562" w:type="dxa"/>
            <w:shd w:val="clear" w:color="auto" w:fill="F2F2F2"/>
          </w:tcPr>
          <w:p w14:paraId="131EA541" w14:textId="77777777" w:rsidR="00AE0BC5" w:rsidRPr="00AE0BC5" w:rsidRDefault="00AE0BC5" w:rsidP="00AE0BC5">
            <w:pPr>
              <w:autoSpaceDE w:val="0"/>
              <w:autoSpaceDN w:val="0"/>
              <w:adjustRightInd w:val="0"/>
              <w:rPr>
                <w:rFonts w:ascii="Arial" w:eastAsia="Times New Roman" w:hAnsi="Arial" w:cs="Arial"/>
                <w:color w:val="auto"/>
              </w:rPr>
            </w:pPr>
          </w:p>
        </w:tc>
        <w:tc>
          <w:tcPr>
            <w:tcW w:w="9918" w:type="dxa"/>
            <w:gridSpan w:val="2"/>
            <w:shd w:val="clear" w:color="auto" w:fill="F2F2F2"/>
          </w:tcPr>
          <w:p w14:paraId="19B66EAE"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 xml:space="preserve">Please list the core ethical guidance documents that have been referred to during the completion of this form (including any discipline-specific codes of research ethics, </w:t>
            </w:r>
            <w:proofErr w:type="gramStart"/>
            <w:r w:rsidRPr="00AE0BC5">
              <w:rPr>
                <w:rFonts w:ascii="Arial" w:eastAsia="Times New Roman" w:hAnsi="Arial" w:cs="Arial"/>
                <w:color w:val="auto"/>
              </w:rPr>
              <w:t>and also</w:t>
            </w:r>
            <w:proofErr w:type="gramEnd"/>
            <w:r w:rsidRPr="00AE0BC5">
              <w:rPr>
                <w:rFonts w:ascii="Arial" w:eastAsia="Times New Roman" w:hAnsi="Arial" w:cs="Arial"/>
                <w:color w:val="auto"/>
              </w:rPr>
              <w:t xml:space="preserve"> any specific ethical guidance relating to the proposed methodology).  Please tick to confirm that your research proposal adheres to these codes and guidelines.</w:t>
            </w:r>
          </w:p>
        </w:tc>
      </w:tr>
      <w:tr w:rsidR="00AE0BC5" w:rsidRPr="00AE0BC5" w14:paraId="6DE66670" w14:textId="77777777" w:rsidTr="00AE0BC5">
        <w:trPr>
          <w:trHeight w:val="227"/>
        </w:trPr>
        <w:tc>
          <w:tcPr>
            <w:tcW w:w="562" w:type="dxa"/>
          </w:tcPr>
          <w:p w14:paraId="2CD10991"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w:t>
            </w:r>
          </w:p>
        </w:tc>
        <w:tc>
          <w:tcPr>
            <w:tcW w:w="8784" w:type="dxa"/>
          </w:tcPr>
          <w:p w14:paraId="6A68C01D" w14:textId="77777777" w:rsidR="00AE0BC5" w:rsidRPr="00AE0BC5" w:rsidRDefault="005B76E4" w:rsidP="00AE0BC5">
            <w:pPr>
              <w:autoSpaceDE w:val="0"/>
              <w:autoSpaceDN w:val="0"/>
              <w:adjustRightInd w:val="0"/>
              <w:rPr>
                <w:rFonts w:ascii="Arial" w:eastAsia="Times New Roman" w:hAnsi="Arial" w:cs="Arial"/>
                <w:b/>
                <w:bCs/>
                <w:color w:val="auto"/>
              </w:rPr>
            </w:pPr>
            <w:hyperlink r:id="rId169" w:history="1">
              <w:r w:rsidR="00AE0BC5" w:rsidRPr="00AE0BC5">
                <w:rPr>
                  <w:rFonts w:ascii="Arial" w:eastAsia="Times New Roman" w:hAnsi="Arial" w:cs="Arial"/>
                  <w:b/>
                  <w:bCs/>
                  <w:color w:val="auto"/>
                </w:rPr>
                <w:t>UWTSD Research Ethics &amp; Integrity Code of Practice</w:t>
              </w:r>
            </w:hyperlink>
          </w:p>
          <w:p w14:paraId="4F9EFA77" w14:textId="77777777" w:rsidR="00AE0BC5" w:rsidRPr="00AE0BC5" w:rsidRDefault="00AE0BC5" w:rsidP="00AE0BC5">
            <w:pPr>
              <w:autoSpaceDE w:val="0"/>
              <w:autoSpaceDN w:val="0"/>
              <w:adjustRightInd w:val="0"/>
              <w:rPr>
                <w:rFonts w:ascii="Arial" w:eastAsia="Times New Roman" w:hAnsi="Arial" w:cs="Arial"/>
                <w:bCs/>
                <w:color w:val="auto"/>
              </w:rPr>
            </w:pPr>
          </w:p>
        </w:tc>
        <w:sdt>
          <w:sdtPr>
            <w:rPr>
              <w:rFonts w:ascii="Arial" w:eastAsia="Times New Roman" w:hAnsi="Arial" w:cs="Arial"/>
              <w:b/>
              <w:bCs/>
              <w:color w:val="auto"/>
            </w:rPr>
            <w:id w:val="1578479508"/>
            <w14:checkbox>
              <w14:checked w14:val="1"/>
              <w14:checkedState w14:val="2612" w14:font="MS Gothic"/>
              <w14:uncheckedState w14:val="2610" w14:font="MS Gothic"/>
            </w14:checkbox>
          </w:sdtPr>
          <w:sdtEndPr/>
          <w:sdtContent>
            <w:tc>
              <w:tcPr>
                <w:tcW w:w="1134" w:type="dxa"/>
                <w:shd w:val="clear" w:color="auto" w:fill="BFBFBF"/>
              </w:tcPr>
              <w:p w14:paraId="20FB9095"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Segoe UI Symbol" w:eastAsia="Times New Roman" w:hAnsi="Segoe UI Symbol" w:cs="Segoe UI Symbol"/>
                    <w:b/>
                    <w:bCs/>
                    <w:color w:val="auto"/>
                  </w:rPr>
                  <w:t>☒</w:t>
                </w:r>
              </w:p>
            </w:tc>
          </w:sdtContent>
        </w:sdt>
      </w:tr>
      <w:tr w:rsidR="00AE0BC5" w:rsidRPr="00AE0BC5" w14:paraId="2962A30D" w14:textId="77777777" w:rsidTr="00AE0BC5">
        <w:trPr>
          <w:trHeight w:val="227"/>
        </w:trPr>
        <w:tc>
          <w:tcPr>
            <w:tcW w:w="562" w:type="dxa"/>
          </w:tcPr>
          <w:p w14:paraId="3AF4CD60"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2</w:t>
            </w:r>
          </w:p>
        </w:tc>
        <w:tc>
          <w:tcPr>
            <w:tcW w:w="8784" w:type="dxa"/>
          </w:tcPr>
          <w:p w14:paraId="5C77AAEC" w14:textId="77777777" w:rsidR="00AE0BC5" w:rsidRPr="00AE0BC5" w:rsidRDefault="00AE0BC5" w:rsidP="00AE0BC5">
            <w:pPr>
              <w:autoSpaceDE w:val="0"/>
              <w:autoSpaceDN w:val="0"/>
              <w:adjustRightInd w:val="0"/>
              <w:rPr>
                <w:rFonts w:ascii="Arial" w:eastAsia="Times New Roman" w:hAnsi="Arial" w:cs="Arial"/>
                <w:b/>
                <w:bCs/>
                <w:i/>
                <w:color w:val="auto"/>
              </w:rPr>
            </w:pPr>
          </w:p>
          <w:p w14:paraId="75E511C6" w14:textId="77777777" w:rsidR="00AE0BC5" w:rsidRPr="00AE0BC5" w:rsidRDefault="00AE0BC5" w:rsidP="00AE0BC5">
            <w:pPr>
              <w:autoSpaceDE w:val="0"/>
              <w:autoSpaceDN w:val="0"/>
              <w:adjustRightInd w:val="0"/>
              <w:rPr>
                <w:rFonts w:ascii="Arial" w:eastAsia="Times New Roman" w:hAnsi="Arial" w:cs="Arial"/>
                <w:b/>
                <w:bCs/>
                <w:color w:val="FF0000"/>
              </w:rPr>
            </w:pPr>
            <w:r w:rsidRPr="00AE0BC5">
              <w:rPr>
                <w:rFonts w:ascii="Arial" w:eastAsia="Times New Roman" w:hAnsi="Arial" w:cs="Arial"/>
                <w:b/>
                <w:bCs/>
                <w:color w:val="auto"/>
              </w:rPr>
              <w:t>UWTSD Research Data Management Policy</w:t>
            </w:r>
          </w:p>
        </w:tc>
        <w:tc>
          <w:tcPr>
            <w:tcW w:w="1134" w:type="dxa"/>
            <w:shd w:val="clear" w:color="auto" w:fill="BFBFBF"/>
          </w:tcPr>
          <w:sdt>
            <w:sdtPr>
              <w:rPr>
                <w:rFonts w:ascii="Arial" w:eastAsia="Times New Roman" w:hAnsi="Arial" w:cs="Arial"/>
                <w:b/>
                <w:bCs/>
                <w:color w:val="auto"/>
              </w:rPr>
              <w:id w:val="-2040961117"/>
              <w14:checkbox>
                <w14:checked w14:val="1"/>
                <w14:checkedState w14:val="2612" w14:font="MS Gothic"/>
                <w14:uncheckedState w14:val="2610" w14:font="MS Gothic"/>
              </w14:checkbox>
            </w:sdtPr>
            <w:sdtEndPr/>
            <w:sdtContent>
              <w:p w14:paraId="6FE7C44D" w14:textId="77777777" w:rsidR="00AE0BC5" w:rsidRPr="00AE0BC5" w:rsidRDefault="00AE0BC5" w:rsidP="00AE0BC5">
                <w:pPr>
                  <w:autoSpaceDE w:val="0"/>
                  <w:autoSpaceDN w:val="0"/>
                  <w:adjustRightInd w:val="0"/>
                  <w:jc w:val="center"/>
                  <w:rPr>
                    <w:rFonts w:ascii="Arial" w:eastAsia="Times New Roman" w:hAnsi="Arial" w:cs="Arial"/>
                    <w:b/>
                    <w:bCs/>
                    <w:i/>
                    <w:color w:val="auto"/>
                  </w:rPr>
                </w:pPr>
                <w:r w:rsidRPr="00AE0BC5">
                  <w:rPr>
                    <w:rFonts w:ascii="Segoe UI Symbol" w:eastAsia="Times New Roman" w:hAnsi="Segoe UI Symbol" w:cs="Segoe UI Symbol"/>
                    <w:b/>
                    <w:bCs/>
                    <w:color w:val="auto"/>
                  </w:rPr>
                  <w:t>☒</w:t>
                </w:r>
              </w:p>
            </w:sdtContent>
          </w:sdt>
        </w:tc>
      </w:tr>
      <w:tr w:rsidR="00AE0BC5" w:rsidRPr="00AE0BC5" w14:paraId="5C717110" w14:textId="77777777" w:rsidTr="00AE0BC5">
        <w:trPr>
          <w:trHeight w:val="227"/>
        </w:trPr>
        <w:tc>
          <w:tcPr>
            <w:tcW w:w="562" w:type="dxa"/>
          </w:tcPr>
          <w:p w14:paraId="481604E9"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3</w:t>
            </w:r>
          </w:p>
        </w:tc>
        <w:tc>
          <w:tcPr>
            <w:tcW w:w="8784" w:type="dxa"/>
          </w:tcPr>
          <w:p w14:paraId="0FC73AA9" w14:textId="77777777" w:rsidR="00AE0BC5" w:rsidRPr="00AE0BC5" w:rsidRDefault="00AE0BC5" w:rsidP="00AE0BC5">
            <w:pPr>
              <w:rPr>
                <w:rFonts w:eastAsia="Times New Roman" w:cs="Calibri"/>
                <w:b/>
                <w:bCs/>
                <w:i/>
                <w:color w:val="auto"/>
              </w:rPr>
            </w:pPr>
            <w:r w:rsidRPr="00AE0BC5">
              <w:rPr>
                <w:rFonts w:ascii="Arial" w:eastAsia="Times New Roman" w:hAnsi="Arial" w:cs="Arial"/>
                <w:color w:val="auto"/>
              </w:rPr>
              <w:t>British Educational Research Association [BERA] (2018) Ethical Guidelines for Educational Research, fourth edition, London.</w:t>
            </w:r>
          </w:p>
        </w:tc>
        <w:tc>
          <w:tcPr>
            <w:tcW w:w="1134" w:type="dxa"/>
            <w:shd w:val="clear" w:color="auto" w:fill="BFBFBF"/>
          </w:tcPr>
          <w:sdt>
            <w:sdtPr>
              <w:rPr>
                <w:rFonts w:ascii="Arial" w:eastAsia="Times New Roman" w:hAnsi="Arial" w:cs="Arial"/>
                <w:b/>
                <w:bCs/>
                <w:color w:val="auto"/>
              </w:rPr>
              <w:id w:val="-2087453121"/>
              <w14:checkbox>
                <w14:checked w14:val="1"/>
                <w14:checkedState w14:val="2612" w14:font="MS Gothic"/>
                <w14:uncheckedState w14:val="2610" w14:font="MS Gothic"/>
              </w14:checkbox>
            </w:sdtPr>
            <w:sdtEndPr/>
            <w:sdtContent>
              <w:p w14:paraId="69221AF7" w14:textId="77777777" w:rsidR="00AE0BC5" w:rsidRPr="00AE0BC5" w:rsidRDefault="00AE0BC5" w:rsidP="00AE0BC5">
                <w:pPr>
                  <w:autoSpaceDE w:val="0"/>
                  <w:autoSpaceDN w:val="0"/>
                  <w:adjustRightInd w:val="0"/>
                  <w:jc w:val="center"/>
                  <w:rPr>
                    <w:rFonts w:ascii="Arial" w:eastAsia="Times New Roman" w:hAnsi="Arial" w:cs="Arial"/>
                    <w:b/>
                    <w:bCs/>
                    <w:i/>
                    <w:color w:val="auto"/>
                  </w:rPr>
                </w:pPr>
                <w:r w:rsidRPr="00AE0BC5">
                  <w:rPr>
                    <w:rFonts w:ascii="Segoe UI Symbol" w:eastAsia="Times New Roman" w:hAnsi="Segoe UI Symbol" w:cs="Segoe UI Symbol"/>
                    <w:b/>
                    <w:bCs/>
                    <w:color w:val="auto"/>
                  </w:rPr>
                  <w:t>☒</w:t>
                </w:r>
              </w:p>
            </w:sdtContent>
          </w:sdt>
        </w:tc>
      </w:tr>
    </w:tbl>
    <w:p w14:paraId="070B4BE8" w14:textId="77777777" w:rsidR="00AE0BC5" w:rsidRPr="00AE0BC5" w:rsidRDefault="00AE0BC5" w:rsidP="00AE0BC5">
      <w:pPr>
        <w:autoSpaceDE w:val="0"/>
        <w:autoSpaceDN w:val="0"/>
        <w:adjustRightInd w:val="0"/>
        <w:spacing w:after="240" w:afterAutospacing="0" w:line="240" w:lineRule="auto"/>
        <w:jc w:val="both"/>
        <w:rPr>
          <w:rFonts w:ascii="Arial" w:eastAsia="Times New Roman" w:hAnsi="Arial" w:cs="Arial"/>
          <w:b/>
          <w:color w:val="auto"/>
        </w:rPr>
      </w:pPr>
    </w:p>
    <w:p w14:paraId="576BB5A2" w14:textId="77777777" w:rsidR="00AE0BC5" w:rsidRPr="00AE0BC5" w:rsidRDefault="00AE0BC5" w:rsidP="00AE0BC5">
      <w:pPr>
        <w:autoSpaceDE w:val="0"/>
        <w:autoSpaceDN w:val="0"/>
        <w:adjustRightInd w:val="0"/>
        <w:spacing w:after="240" w:afterAutospacing="0" w:line="240" w:lineRule="auto"/>
        <w:jc w:val="both"/>
        <w:rPr>
          <w:rFonts w:ascii="Arial" w:eastAsia="Times New Roman" w:hAnsi="Arial" w:cs="Arial"/>
          <w:b/>
          <w:color w:val="auto"/>
        </w:rPr>
      </w:pPr>
      <w:r w:rsidRPr="00AE0BC5">
        <w:rPr>
          <w:rFonts w:ascii="Arial" w:eastAsia="Times New Roman" w:hAnsi="Arial" w:cs="Arial"/>
          <w:b/>
          <w:color w:val="auto"/>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AE0BC5" w:rsidRPr="00AE0BC5" w14:paraId="5040E779" w14:textId="77777777" w:rsidTr="00AE0BC5">
        <w:tc>
          <w:tcPr>
            <w:tcW w:w="562" w:type="dxa"/>
            <w:shd w:val="clear" w:color="auto" w:fill="F2F2F2"/>
          </w:tcPr>
          <w:p w14:paraId="5A23E416"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w:t>
            </w:r>
          </w:p>
        </w:tc>
        <w:tc>
          <w:tcPr>
            <w:tcW w:w="6232" w:type="dxa"/>
            <w:gridSpan w:val="2"/>
            <w:shd w:val="clear" w:color="auto" w:fill="F2F2F2"/>
          </w:tcPr>
          <w:p w14:paraId="2DF210D6" w14:textId="77777777" w:rsidR="00AE0BC5" w:rsidRPr="00AE0BC5" w:rsidRDefault="00AE0BC5" w:rsidP="00AE0BC5">
            <w:pPr>
              <w:autoSpaceDE w:val="0"/>
              <w:autoSpaceDN w:val="0"/>
              <w:adjustRightInd w:val="0"/>
              <w:jc w:val="both"/>
              <w:rPr>
                <w:rFonts w:ascii="Arial" w:eastAsia="Times New Roman" w:hAnsi="Arial" w:cs="Arial"/>
                <w:color w:val="auto"/>
              </w:rPr>
            </w:pPr>
            <w:r w:rsidRPr="00AE0BC5">
              <w:rPr>
                <w:rFonts w:ascii="Arial" w:eastAsia="Times New Roman" w:hAnsi="Arial" w:cs="Arial"/>
                <w:color w:val="auto"/>
              </w:rPr>
              <w:t>Does the research activity involve collaborators outside of the University?</w:t>
            </w:r>
          </w:p>
        </w:tc>
        <w:tc>
          <w:tcPr>
            <w:tcW w:w="993" w:type="dxa"/>
            <w:shd w:val="clear" w:color="auto" w:fill="F2F2F2"/>
            <w:vAlign w:val="center"/>
          </w:tcPr>
          <w:p w14:paraId="3A7CAA59"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Arial" w:eastAsia="Times New Roman" w:hAnsi="Arial" w:cs="Arial"/>
                <w:b/>
                <w:color w:val="auto"/>
              </w:rPr>
              <w:t>YES</w:t>
            </w:r>
          </w:p>
        </w:tc>
        <w:tc>
          <w:tcPr>
            <w:tcW w:w="850" w:type="dxa"/>
            <w:shd w:val="clear" w:color="auto" w:fill="BFBFBF"/>
            <w:vAlign w:val="center"/>
          </w:tcPr>
          <w:sdt>
            <w:sdtPr>
              <w:rPr>
                <w:rFonts w:ascii="Arial" w:eastAsia="Times New Roman" w:hAnsi="Arial" w:cs="Arial"/>
                <w:b/>
                <w:color w:val="auto"/>
              </w:rPr>
              <w:id w:val="1804497617"/>
              <w14:checkbox>
                <w14:checked w14:val="0"/>
                <w14:checkedState w14:val="2612" w14:font="MS Gothic"/>
                <w14:uncheckedState w14:val="2610" w14:font="MS Gothic"/>
              </w14:checkbox>
            </w:sdtPr>
            <w:sdtEndPr/>
            <w:sdtContent>
              <w:p w14:paraId="5B9FF28B"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Segoe UI Symbol" w:eastAsia="Times New Roman" w:hAnsi="Segoe UI Symbol" w:cs="Segoe UI Symbol"/>
                    <w:b/>
                    <w:color w:val="auto"/>
                  </w:rPr>
                  <w:t>☐</w:t>
                </w:r>
              </w:p>
            </w:sdtContent>
          </w:sdt>
        </w:tc>
        <w:tc>
          <w:tcPr>
            <w:tcW w:w="796" w:type="dxa"/>
            <w:shd w:val="clear" w:color="auto" w:fill="F2F2F2"/>
            <w:vAlign w:val="center"/>
          </w:tcPr>
          <w:p w14:paraId="2228B303"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Arial" w:eastAsia="Times New Roman" w:hAnsi="Arial" w:cs="Arial"/>
                <w:b/>
                <w:color w:val="auto"/>
              </w:rPr>
              <w:t>NO</w:t>
            </w:r>
          </w:p>
        </w:tc>
        <w:tc>
          <w:tcPr>
            <w:tcW w:w="1047" w:type="dxa"/>
            <w:gridSpan w:val="3"/>
            <w:shd w:val="clear" w:color="auto" w:fill="BFBFBF"/>
            <w:vAlign w:val="center"/>
          </w:tcPr>
          <w:sdt>
            <w:sdtPr>
              <w:rPr>
                <w:rFonts w:ascii="Arial" w:eastAsia="Times New Roman" w:hAnsi="Arial" w:cs="Arial"/>
                <w:b/>
                <w:color w:val="auto"/>
              </w:rPr>
              <w:id w:val="1016347612"/>
              <w14:checkbox>
                <w14:checked w14:val="1"/>
                <w14:checkedState w14:val="2612" w14:font="MS Gothic"/>
                <w14:uncheckedState w14:val="2610" w14:font="MS Gothic"/>
              </w14:checkbox>
            </w:sdtPr>
            <w:sdtEndPr/>
            <w:sdtContent>
              <w:p w14:paraId="0E683EE1"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Segoe UI Symbol" w:eastAsia="Times New Roman" w:hAnsi="Segoe UI Symbol" w:cs="Segoe UI Symbol"/>
                    <w:b/>
                    <w:color w:val="auto"/>
                  </w:rPr>
                  <w:t>☒</w:t>
                </w:r>
              </w:p>
            </w:sdtContent>
          </w:sdt>
        </w:tc>
      </w:tr>
      <w:tr w:rsidR="00AE0BC5" w:rsidRPr="00AE0BC5" w14:paraId="5B792F50" w14:textId="77777777" w:rsidTr="00223E6D">
        <w:tc>
          <w:tcPr>
            <w:tcW w:w="562" w:type="dxa"/>
          </w:tcPr>
          <w:p w14:paraId="64FCED76"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2</w:t>
            </w:r>
          </w:p>
        </w:tc>
        <w:tc>
          <w:tcPr>
            <w:tcW w:w="9918" w:type="dxa"/>
            <w:gridSpan w:val="8"/>
          </w:tcPr>
          <w:p w14:paraId="562EC645" w14:textId="77777777" w:rsidR="00AE0BC5" w:rsidRPr="00AE0BC5" w:rsidRDefault="00AE0BC5" w:rsidP="00AE0BC5">
            <w:pPr>
              <w:autoSpaceDE w:val="0"/>
              <w:autoSpaceDN w:val="0"/>
              <w:adjustRightInd w:val="0"/>
              <w:rPr>
                <w:rFonts w:ascii="Arial" w:eastAsia="Times New Roman" w:hAnsi="Arial" w:cs="Arial"/>
                <w:b/>
                <w:bCs/>
                <w:i/>
                <w:color w:val="auto"/>
              </w:rPr>
            </w:pPr>
            <w:r w:rsidRPr="00AE0BC5">
              <w:rPr>
                <w:rFonts w:ascii="Arial" w:eastAsia="Times New Roman" w:hAnsi="Arial" w:cs="Arial"/>
                <w:color w:val="auto"/>
              </w:rPr>
              <w:t xml:space="preserve">If </w:t>
            </w:r>
            <w:proofErr w:type="gramStart"/>
            <w:r w:rsidRPr="00AE0BC5">
              <w:rPr>
                <w:rFonts w:ascii="Arial" w:eastAsia="Times New Roman" w:hAnsi="Arial" w:cs="Arial"/>
                <w:color w:val="auto"/>
              </w:rPr>
              <w:t>Yes</w:t>
            </w:r>
            <w:proofErr w:type="gramEnd"/>
            <w:r w:rsidRPr="00AE0BC5">
              <w:rPr>
                <w:rFonts w:ascii="Arial" w:eastAsia="Times New Roman" w:hAnsi="Arial" w:cs="Arial"/>
                <w:color w:val="auto"/>
              </w:rPr>
              <w:t>, please provide the name of the external organisation and name and contact details for the main contact person and confirmation this person has consented to their personal data being shared.as part of this collaboration.</w:t>
            </w:r>
          </w:p>
        </w:tc>
      </w:tr>
      <w:tr w:rsidR="00AE0BC5" w:rsidRPr="00AE0BC5" w14:paraId="585B39D6" w14:textId="77777777" w:rsidTr="00AE0BC5">
        <w:trPr>
          <w:trHeight w:val="227"/>
        </w:trPr>
        <w:tc>
          <w:tcPr>
            <w:tcW w:w="562" w:type="dxa"/>
            <w:shd w:val="clear" w:color="auto" w:fill="F2F2F2"/>
          </w:tcPr>
          <w:p w14:paraId="5318FFA1"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3</w:t>
            </w:r>
          </w:p>
        </w:tc>
        <w:tc>
          <w:tcPr>
            <w:tcW w:w="3823" w:type="dxa"/>
            <w:shd w:val="clear" w:color="auto" w:fill="F2F2F2"/>
          </w:tcPr>
          <w:p w14:paraId="0113AF17" w14:textId="77777777" w:rsidR="00AE0BC5" w:rsidRPr="00AE0BC5" w:rsidRDefault="00AE0BC5" w:rsidP="00AE0BC5">
            <w:pPr>
              <w:autoSpaceDE w:val="0"/>
              <w:autoSpaceDN w:val="0"/>
              <w:adjustRightInd w:val="0"/>
              <w:jc w:val="both"/>
              <w:rPr>
                <w:rFonts w:ascii="Arial" w:eastAsia="Times New Roman" w:hAnsi="Arial" w:cs="Arial"/>
                <w:color w:val="auto"/>
              </w:rPr>
            </w:pPr>
            <w:r w:rsidRPr="00AE0BC5">
              <w:rPr>
                <w:rFonts w:ascii="Arial" w:eastAsia="Times New Roman" w:hAnsi="Arial" w:cs="Arial"/>
                <w:color w:val="auto"/>
              </w:rPr>
              <w:t>Institution</w:t>
            </w:r>
          </w:p>
        </w:tc>
        <w:tc>
          <w:tcPr>
            <w:tcW w:w="6095" w:type="dxa"/>
            <w:gridSpan w:val="7"/>
          </w:tcPr>
          <w:p w14:paraId="6B30B289" w14:textId="77777777" w:rsidR="00AE0BC5" w:rsidRPr="00AE0BC5" w:rsidRDefault="00AE0BC5" w:rsidP="00AE0BC5">
            <w:pPr>
              <w:autoSpaceDE w:val="0"/>
              <w:autoSpaceDN w:val="0"/>
              <w:adjustRightInd w:val="0"/>
              <w:rPr>
                <w:rFonts w:ascii="Arial" w:eastAsia="Times New Roman" w:hAnsi="Arial" w:cs="Arial"/>
                <w:bCs/>
                <w:color w:val="auto"/>
              </w:rPr>
            </w:pPr>
          </w:p>
          <w:p w14:paraId="463E1FEA" w14:textId="77777777" w:rsidR="00AE0BC5" w:rsidRPr="00AE0BC5" w:rsidRDefault="00AE0BC5" w:rsidP="00AE0BC5">
            <w:pPr>
              <w:autoSpaceDE w:val="0"/>
              <w:autoSpaceDN w:val="0"/>
              <w:adjustRightInd w:val="0"/>
              <w:rPr>
                <w:rFonts w:ascii="Arial" w:eastAsia="Times New Roman" w:hAnsi="Arial" w:cs="Arial"/>
                <w:bCs/>
                <w:color w:val="auto"/>
              </w:rPr>
            </w:pPr>
          </w:p>
        </w:tc>
      </w:tr>
      <w:tr w:rsidR="00AE0BC5" w:rsidRPr="00AE0BC5" w14:paraId="21D893EF" w14:textId="77777777" w:rsidTr="00AE0BC5">
        <w:trPr>
          <w:trHeight w:val="227"/>
        </w:trPr>
        <w:tc>
          <w:tcPr>
            <w:tcW w:w="562" w:type="dxa"/>
            <w:shd w:val="clear" w:color="auto" w:fill="F2F2F2"/>
          </w:tcPr>
          <w:p w14:paraId="3EC69AD0"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4</w:t>
            </w:r>
          </w:p>
        </w:tc>
        <w:tc>
          <w:tcPr>
            <w:tcW w:w="3823" w:type="dxa"/>
            <w:shd w:val="clear" w:color="auto" w:fill="F2F2F2"/>
          </w:tcPr>
          <w:p w14:paraId="642DEFC2" w14:textId="77777777" w:rsidR="00AE0BC5" w:rsidRPr="00AE0BC5" w:rsidRDefault="00AE0BC5" w:rsidP="00AE0BC5">
            <w:pPr>
              <w:autoSpaceDE w:val="0"/>
              <w:autoSpaceDN w:val="0"/>
              <w:adjustRightInd w:val="0"/>
              <w:jc w:val="both"/>
              <w:rPr>
                <w:rFonts w:ascii="Arial" w:eastAsia="Times New Roman" w:hAnsi="Arial" w:cs="Arial"/>
                <w:color w:val="auto"/>
              </w:rPr>
            </w:pPr>
            <w:r w:rsidRPr="00AE0BC5">
              <w:rPr>
                <w:rFonts w:ascii="Arial" w:eastAsia="Times New Roman" w:hAnsi="Arial" w:cs="Arial"/>
                <w:color w:val="auto"/>
              </w:rPr>
              <w:t>Contact person name</w:t>
            </w:r>
          </w:p>
        </w:tc>
        <w:tc>
          <w:tcPr>
            <w:tcW w:w="6095" w:type="dxa"/>
            <w:gridSpan w:val="7"/>
          </w:tcPr>
          <w:p w14:paraId="5153C948" w14:textId="77777777" w:rsidR="00AE0BC5" w:rsidRPr="00AE0BC5" w:rsidRDefault="00AE0BC5" w:rsidP="00AE0BC5">
            <w:pPr>
              <w:autoSpaceDE w:val="0"/>
              <w:autoSpaceDN w:val="0"/>
              <w:adjustRightInd w:val="0"/>
              <w:rPr>
                <w:rFonts w:ascii="Arial" w:eastAsia="Times New Roman" w:hAnsi="Arial" w:cs="Arial"/>
                <w:bCs/>
                <w:color w:val="auto"/>
              </w:rPr>
            </w:pPr>
          </w:p>
          <w:p w14:paraId="165DA6E6" w14:textId="77777777" w:rsidR="00AE0BC5" w:rsidRPr="00AE0BC5" w:rsidRDefault="00AE0BC5" w:rsidP="00AE0BC5">
            <w:pPr>
              <w:autoSpaceDE w:val="0"/>
              <w:autoSpaceDN w:val="0"/>
              <w:adjustRightInd w:val="0"/>
              <w:rPr>
                <w:rFonts w:ascii="Arial" w:eastAsia="Times New Roman" w:hAnsi="Arial" w:cs="Arial"/>
                <w:bCs/>
                <w:color w:val="auto"/>
              </w:rPr>
            </w:pPr>
          </w:p>
        </w:tc>
      </w:tr>
      <w:tr w:rsidR="00AE0BC5" w:rsidRPr="00AE0BC5" w14:paraId="7E7DB4D2" w14:textId="77777777" w:rsidTr="00AE0BC5">
        <w:trPr>
          <w:trHeight w:val="227"/>
        </w:trPr>
        <w:tc>
          <w:tcPr>
            <w:tcW w:w="562" w:type="dxa"/>
            <w:shd w:val="clear" w:color="auto" w:fill="F2F2F2"/>
          </w:tcPr>
          <w:p w14:paraId="0CAFEB27"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5</w:t>
            </w:r>
          </w:p>
        </w:tc>
        <w:tc>
          <w:tcPr>
            <w:tcW w:w="3823" w:type="dxa"/>
            <w:shd w:val="clear" w:color="auto" w:fill="F2F2F2"/>
          </w:tcPr>
          <w:p w14:paraId="53DCFAE7" w14:textId="77777777" w:rsidR="00AE0BC5" w:rsidRPr="00AE0BC5" w:rsidRDefault="00AE0BC5" w:rsidP="00AE0BC5">
            <w:pPr>
              <w:autoSpaceDE w:val="0"/>
              <w:autoSpaceDN w:val="0"/>
              <w:adjustRightInd w:val="0"/>
              <w:jc w:val="both"/>
              <w:rPr>
                <w:rFonts w:ascii="Arial" w:eastAsia="Times New Roman" w:hAnsi="Arial" w:cs="Arial"/>
                <w:color w:val="auto"/>
              </w:rPr>
            </w:pPr>
            <w:r w:rsidRPr="00AE0BC5">
              <w:rPr>
                <w:rFonts w:ascii="Arial" w:eastAsia="Times New Roman" w:hAnsi="Arial" w:cs="Arial"/>
                <w:color w:val="auto"/>
              </w:rPr>
              <w:t>Contact person e-mail address</w:t>
            </w:r>
          </w:p>
          <w:p w14:paraId="5F92518C" w14:textId="77777777" w:rsidR="00AE0BC5" w:rsidRPr="00AE0BC5" w:rsidRDefault="00AE0BC5" w:rsidP="00AE0BC5">
            <w:pPr>
              <w:autoSpaceDE w:val="0"/>
              <w:autoSpaceDN w:val="0"/>
              <w:adjustRightInd w:val="0"/>
              <w:jc w:val="both"/>
              <w:rPr>
                <w:rFonts w:ascii="Arial" w:eastAsia="Times New Roman" w:hAnsi="Arial" w:cs="Arial"/>
                <w:color w:val="auto"/>
              </w:rPr>
            </w:pPr>
          </w:p>
        </w:tc>
        <w:tc>
          <w:tcPr>
            <w:tcW w:w="6095" w:type="dxa"/>
            <w:gridSpan w:val="7"/>
          </w:tcPr>
          <w:p w14:paraId="0B4F5BB4" w14:textId="77777777" w:rsidR="00AE0BC5" w:rsidRPr="00AE0BC5" w:rsidRDefault="00AE0BC5" w:rsidP="00AE0BC5">
            <w:pPr>
              <w:autoSpaceDE w:val="0"/>
              <w:autoSpaceDN w:val="0"/>
              <w:adjustRightInd w:val="0"/>
              <w:rPr>
                <w:rFonts w:ascii="Arial" w:eastAsia="Times New Roman" w:hAnsi="Arial" w:cs="Arial"/>
                <w:bCs/>
                <w:color w:val="auto"/>
              </w:rPr>
            </w:pPr>
          </w:p>
        </w:tc>
      </w:tr>
      <w:tr w:rsidR="00AE0BC5" w:rsidRPr="00AE0BC5" w14:paraId="7B113A3F" w14:textId="77777777" w:rsidTr="00AE0BC5">
        <w:tc>
          <w:tcPr>
            <w:tcW w:w="562" w:type="dxa"/>
            <w:shd w:val="clear" w:color="auto" w:fill="F2F2F2"/>
          </w:tcPr>
          <w:p w14:paraId="378ED17A"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6</w:t>
            </w:r>
          </w:p>
        </w:tc>
        <w:tc>
          <w:tcPr>
            <w:tcW w:w="6232" w:type="dxa"/>
            <w:gridSpan w:val="2"/>
            <w:shd w:val="clear" w:color="auto" w:fill="F2F2F2"/>
          </w:tcPr>
          <w:p w14:paraId="7D071274"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Has this individual consented to sharing their details on this form?</w:t>
            </w:r>
          </w:p>
        </w:tc>
        <w:tc>
          <w:tcPr>
            <w:tcW w:w="993" w:type="dxa"/>
            <w:shd w:val="clear" w:color="auto" w:fill="F2F2F2"/>
            <w:vAlign w:val="center"/>
          </w:tcPr>
          <w:p w14:paraId="135BE3E1"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Arial" w:eastAsia="Times New Roman" w:hAnsi="Arial" w:cs="Arial"/>
                <w:b/>
                <w:color w:val="auto"/>
              </w:rPr>
              <w:t>YES</w:t>
            </w:r>
          </w:p>
        </w:tc>
        <w:tc>
          <w:tcPr>
            <w:tcW w:w="850" w:type="dxa"/>
            <w:shd w:val="clear" w:color="auto" w:fill="D9D9D9"/>
            <w:vAlign w:val="center"/>
          </w:tcPr>
          <w:p w14:paraId="4741EC67" w14:textId="77777777" w:rsidR="00AE0BC5" w:rsidRPr="00AE0BC5" w:rsidRDefault="005B76E4" w:rsidP="00AE0BC5">
            <w:pPr>
              <w:autoSpaceDE w:val="0"/>
              <w:autoSpaceDN w:val="0"/>
              <w:adjustRightInd w:val="0"/>
              <w:jc w:val="center"/>
              <w:rPr>
                <w:rFonts w:ascii="Arial" w:eastAsia="Times New Roman" w:hAnsi="Arial" w:cs="Arial"/>
                <w:bCs/>
                <w:color w:val="auto"/>
              </w:rPr>
            </w:pPr>
            <w:sdt>
              <w:sdtPr>
                <w:rPr>
                  <w:rFonts w:ascii="Arial" w:eastAsia="Times New Roman" w:hAnsi="Arial" w:cs="Arial"/>
                  <w:b/>
                  <w:bCs/>
                  <w:color w:val="auto"/>
                </w:rPr>
                <w:id w:val="-287595643"/>
                <w14:checkbox>
                  <w14:checked w14:val="0"/>
                  <w14:checkedState w14:val="2612" w14:font="MS Gothic"/>
                  <w14:uncheckedState w14:val="2610" w14:font="MS Gothic"/>
                </w14:checkbox>
              </w:sdtPr>
              <w:sdtEndPr/>
              <w:sdtContent>
                <w:r w:rsidR="00AE0BC5" w:rsidRPr="00AE0BC5">
                  <w:rPr>
                    <w:rFonts w:ascii="Segoe UI Symbol" w:eastAsia="Times New Roman" w:hAnsi="Segoe UI Symbol" w:cs="Segoe UI Symbol"/>
                    <w:b/>
                    <w:bCs/>
                    <w:color w:val="auto"/>
                  </w:rPr>
                  <w:t>☐</w:t>
                </w:r>
              </w:sdtContent>
            </w:sdt>
          </w:p>
        </w:tc>
        <w:tc>
          <w:tcPr>
            <w:tcW w:w="992" w:type="dxa"/>
            <w:gridSpan w:val="3"/>
            <w:shd w:val="clear" w:color="auto" w:fill="F2F2F2"/>
            <w:vAlign w:val="center"/>
          </w:tcPr>
          <w:p w14:paraId="47171810"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Arial" w:eastAsia="Times New Roman" w:hAnsi="Arial" w:cs="Arial"/>
                <w:b/>
                <w:color w:val="auto"/>
              </w:rPr>
              <w:t>NO</w:t>
            </w:r>
          </w:p>
        </w:tc>
        <w:tc>
          <w:tcPr>
            <w:tcW w:w="851" w:type="dxa"/>
            <w:shd w:val="clear" w:color="auto" w:fill="D9D9D9"/>
            <w:vAlign w:val="center"/>
          </w:tcPr>
          <w:sdt>
            <w:sdtPr>
              <w:rPr>
                <w:rFonts w:ascii="Arial" w:eastAsia="Times New Roman" w:hAnsi="Arial" w:cs="Arial"/>
                <w:bCs/>
                <w:color w:val="auto"/>
              </w:rPr>
              <w:id w:val="-1755960482"/>
              <w14:checkbox>
                <w14:checked w14:val="0"/>
                <w14:checkedState w14:val="2612" w14:font="MS Gothic"/>
                <w14:uncheckedState w14:val="2610" w14:font="MS Gothic"/>
              </w14:checkbox>
            </w:sdtPr>
            <w:sdtEndPr/>
            <w:sdtContent>
              <w:p w14:paraId="5C030630"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Cs/>
                    <w:color w:val="auto"/>
                  </w:rPr>
                  <w:t>☐</w:t>
                </w:r>
              </w:p>
            </w:sdtContent>
          </w:sdt>
        </w:tc>
      </w:tr>
      <w:tr w:rsidR="00AE0BC5" w:rsidRPr="00AE0BC5" w14:paraId="5DB8D423" w14:textId="77777777" w:rsidTr="00AE0BC5">
        <w:tc>
          <w:tcPr>
            <w:tcW w:w="562" w:type="dxa"/>
            <w:shd w:val="clear" w:color="auto" w:fill="F2F2F2"/>
          </w:tcPr>
          <w:p w14:paraId="5EF488C8"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7</w:t>
            </w:r>
          </w:p>
        </w:tc>
        <w:tc>
          <w:tcPr>
            <w:tcW w:w="6232" w:type="dxa"/>
            <w:gridSpan w:val="2"/>
            <w:shd w:val="clear" w:color="auto" w:fill="F2F2F2"/>
          </w:tcPr>
          <w:p w14:paraId="66305145"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Are you in receipt of a KESS scholarship?</w:t>
            </w:r>
          </w:p>
        </w:tc>
        <w:tc>
          <w:tcPr>
            <w:tcW w:w="993" w:type="dxa"/>
            <w:shd w:val="clear" w:color="auto" w:fill="F2F2F2"/>
            <w:vAlign w:val="center"/>
          </w:tcPr>
          <w:p w14:paraId="66AAC47E"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Arial" w:eastAsia="Times New Roman" w:hAnsi="Arial" w:cs="Arial"/>
                <w:b/>
                <w:color w:val="auto"/>
              </w:rPr>
              <w:t>YES</w:t>
            </w:r>
          </w:p>
        </w:tc>
        <w:tc>
          <w:tcPr>
            <w:tcW w:w="850" w:type="dxa"/>
            <w:shd w:val="clear" w:color="auto" w:fill="D9D9D9"/>
            <w:vAlign w:val="center"/>
          </w:tcPr>
          <w:p w14:paraId="4040FC5A" w14:textId="77777777" w:rsidR="00AE0BC5" w:rsidRPr="00AE0BC5" w:rsidRDefault="005B76E4" w:rsidP="00AE0BC5">
            <w:pPr>
              <w:autoSpaceDE w:val="0"/>
              <w:autoSpaceDN w:val="0"/>
              <w:adjustRightInd w:val="0"/>
              <w:jc w:val="center"/>
              <w:rPr>
                <w:rFonts w:ascii="Arial" w:eastAsia="Times New Roman" w:hAnsi="Arial" w:cs="Arial"/>
                <w:bCs/>
                <w:color w:val="auto"/>
              </w:rPr>
            </w:pPr>
            <w:sdt>
              <w:sdtPr>
                <w:rPr>
                  <w:rFonts w:ascii="Arial" w:eastAsia="Times New Roman" w:hAnsi="Arial" w:cs="Arial"/>
                  <w:b/>
                  <w:bCs/>
                  <w:color w:val="auto"/>
                </w:rPr>
                <w:id w:val="1563443322"/>
                <w14:checkbox>
                  <w14:checked w14:val="0"/>
                  <w14:checkedState w14:val="2612" w14:font="MS Gothic"/>
                  <w14:uncheckedState w14:val="2610" w14:font="MS Gothic"/>
                </w14:checkbox>
              </w:sdtPr>
              <w:sdtEndPr/>
              <w:sdtContent>
                <w:r w:rsidR="00AE0BC5" w:rsidRPr="00AE0BC5">
                  <w:rPr>
                    <w:rFonts w:ascii="Segoe UI Symbol" w:eastAsia="Times New Roman" w:hAnsi="Segoe UI Symbol" w:cs="Segoe UI Symbol"/>
                    <w:b/>
                    <w:bCs/>
                    <w:color w:val="auto"/>
                  </w:rPr>
                  <w:t>☐</w:t>
                </w:r>
              </w:sdtContent>
            </w:sdt>
          </w:p>
        </w:tc>
        <w:tc>
          <w:tcPr>
            <w:tcW w:w="992" w:type="dxa"/>
            <w:gridSpan w:val="3"/>
            <w:shd w:val="clear" w:color="auto" w:fill="F2F2F2"/>
            <w:vAlign w:val="center"/>
          </w:tcPr>
          <w:p w14:paraId="181DD5B9"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Arial" w:eastAsia="Times New Roman" w:hAnsi="Arial" w:cs="Arial"/>
                <w:b/>
                <w:color w:val="auto"/>
              </w:rPr>
              <w:t>NO</w:t>
            </w:r>
          </w:p>
        </w:tc>
        <w:tc>
          <w:tcPr>
            <w:tcW w:w="851" w:type="dxa"/>
            <w:shd w:val="clear" w:color="auto" w:fill="D9D9D9"/>
            <w:vAlign w:val="center"/>
          </w:tcPr>
          <w:sdt>
            <w:sdtPr>
              <w:rPr>
                <w:rFonts w:ascii="Arial" w:eastAsia="Times New Roman" w:hAnsi="Arial" w:cs="Arial"/>
                <w:bCs/>
                <w:color w:val="auto"/>
              </w:rPr>
              <w:id w:val="-748419000"/>
              <w14:checkbox>
                <w14:checked w14:val="1"/>
                <w14:checkedState w14:val="2612" w14:font="MS Gothic"/>
                <w14:uncheckedState w14:val="2610" w14:font="MS Gothic"/>
              </w14:checkbox>
            </w:sdtPr>
            <w:sdtEndPr/>
            <w:sdtContent>
              <w:p w14:paraId="4B9CE98E"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Cs/>
                    <w:color w:val="auto"/>
                  </w:rPr>
                  <w:t>☒</w:t>
                </w:r>
              </w:p>
            </w:sdtContent>
          </w:sdt>
        </w:tc>
      </w:tr>
      <w:tr w:rsidR="00AE0BC5" w:rsidRPr="00AE0BC5" w14:paraId="630B9425" w14:textId="77777777" w:rsidTr="00AE0BC5">
        <w:tc>
          <w:tcPr>
            <w:tcW w:w="562" w:type="dxa"/>
            <w:shd w:val="clear" w:color="auto" w:fill="F2F2F2"/>
          </w:tcPr>
          <w:p w14:paraId="16AF1D9B"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8</w:t>
            </w:r>
          </w:p>
        </w:tc>
        <w:tc>
          <w:tcPr>
            <w:tcW w:w="6232" w:type="dxa"/>
            <w:gridSpan w:val="2"/>
            <w:shd w:val="clear" w:color="auto" w:fill="F2F2F2"/>
          </w:tcPr>
          <w:p w14:paraId="570F8372"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Is your research externally funded</w:t>
            </w:r>
          </w:p>
        </w:tc>
        <w:tc>
          <w:tcPr>
            <w:tcW w:w="993" w:type="dxa"/>
            <w:shd w:val="clear" w:color="auto" w:fill="F2F2F2"/>
            <w:vAlign w:val="center"/>
          </w:tcPr>
          <w:p w14:paraId="093298D7"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Arial" w:eastAsia="Times New Roman" w:hAnsi="Arial" w:cs="Arial"/>
                <w:b/>
                <w:color w:val="auto"/>
              </w:rPr>
              <w:t>YES</w:t>
            </w:r>
          </w:p>
        </w:tc>
        <w:tc>
          <w:tcPr>
            <w:tcW w:w="850" w:type="dxa"/>
            <w:shd w:val="clear" w:color="auto" w:fill="D9D9D9"/>
            <w:vAlign w:val="center"/>
          </w:tcPr>
          <w:p w14:paraId="751E1D36" w14:textId="77777777" w:rsidR="00AE0BC5" w:rsidRPr="00AE0BC5" w:rsidRDefault="005B76E4" w:rsidP="00AE0BC5">
            <w:pPr>
              <w:autoSpaceDE w:val="0"/>
              <w:autoSpaceDN w:val="0"/>
              <w:adjustRightInd w:val="0"/>
              <w:jc w:val="center"/>
              <w:rPr>
                <w:rFonts w:ascii="Arial" w:eastAsia="Times New Roman" w:hAnsi="Arial" w:cs="Arial"/>
                <w:bCs/>
                <w:color w:val="auto"/>
              </w:rPr>
            </w:pPr>
            <w:sdt>
              <w:sdtPr>
                <w:rPr>
                  <w:rFonts w:ascii="Arial" w:eastAsia="Times New Roman" w:hAnsi="Arial" w:cs="Arial"/>
                  <w:b/>
                  <w:bCs/>
                  <w:color w:val="auto"/>
                </w:rPr>
                <w:id w:val="1911424659"/>
                <w14:checkbox>
                  <w14:checked w14:val="0"/>
                  <w14:checkedState w14:val="2612" w14:font="MS Gothic"/>
                  <w14:uncheckedState w14:val="2610" w14:font="MS Gothic"/>
                </w14:checkbox>
              </w:sdtPr>
              <w:sdtEndPr/>
              <w:sdtContent>
                <w:r w:rsidR="00AE0BC5" w:rsidRPr="00AE0BC5">
                  <w:rPr>
                    <w:rFonts w:ascii="Segoe UI Symbol" w:eastAsia="Times New Roman" w:hAnsi="Segoe UI Symbol" w:cs="Segoe UI Symbol"/>
                    <w:b/>
                    <w:bCs/>
                    <w:color w:val="auto"/>
                  </w:rPr>
                  <w:t>☐</w:t>
                </w:r>
              </w:sdtContent>
            </w:sdt>
          </w:p>
        </w:tc>
        <w:tc>
          <w:tcPr>
            <w:tcW w:w="992" w:type="dxa"/>
            <w:gridSpan w:val="3"/>
            <w:shd w:val="clear" w:color="auto" w:fill="F2F2F2"/>
            <w:vAlign w:val="center"/>
          </w:tcPr>
          <w:p w14:paraId="1F5387CC"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Arial" w:eastAsia="Times New Roman" w:hAnsi="Arial" w:cs="Arial"/>
                <w:b/>
                <w:color w:val="auto"/>
              </w:rPr>
              <w:t>NO</w:t>
            </w:r>
          </w:p>
        </w:tc>
        <w:tc>
          <w:tcPr>
            <w:tcW w:w="851" w:type="dxa"/>
            <w:shd w:val="clear" w:color="auto" w:fill="D9D9D9"/>
            <w:vAlign w:val="center"/>
          </w:tcPr>
          <w:sdt>
            <w:sdtPr>
              <w:rPr>
                <w:rFonts w:ascii="Arial" w:eastAsia="Times New Roman" w:hAnsi="Arial" w:cs="Arial"/>
                <w:bCs/>
                <w:color w:val="auto"/>
              </w:rPr>
              <w:id w:val="-1876681663"/>
              <w14:checkbox>
                <w14:checked w14:val="1"/>
                <w14:checkedState w14:val="2612" w14:font="MS Gothic"/>
                <w14:uncheckedState w14:val="2610" w14:font="MS Gothic"/>
              </w14:checkbox>
            </w:sdtPr>
            <w:sdtEndPr/>
            <w:sdtContent>
              <w:p w14:paraId="628D553B"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Cs/>
                    <w:color w:val="auto"/>
                  </w:rPr>
                  <w:t>☒</w:t>
                </w:r>
              </w:p>
            </w:sdtContent>
          </w:sdt>
        </w:tc>
      </w:tr>
      <w:tr w:rsidR="00AE0BC5" w:rsidRPr="00AE0BC5" w14:paraId="31254365" w14:textId="77777777" w:rsidTr="00AE0BC5">
        <w:trPr>
          <w:trHeight w:val="386"/>
        </w:trPr>
        <w:tc>
          <w:tcPr>
            <w:tcW w:w="562" w:type="dxa"/>
            <w:shd w:val="clear" w:color="auto" w:fill="F2F2F2"/>
          </w:tcPr>
          <w:p w14:paraId="4E3F35DE"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9</w:t>
            </w:r>
          </w:p>
        </w:tc>
        <w:tc>
          <w:tcPr>
            <w:tcW w:w="3823" w:type="dxa"/>
            <w:vMerge w:val="restart"/>
            <w:shd w:val="clear" w:color="auto" w:fill="F2F2F2"/>
          </w:tcPr>
          <w:p w14:paraId="6A026B19"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Are you specifically employed to undertake this research in either a paid or voluntary capacity?</w:t>
            </w:r>
          </w:p>
        </w:tc>
        <w:tc>
          <w:tcPr>
            <w:tcW w:w="2409" w:type="dxa"/>
          </w:tcPr>
          <w:p w14:paraId="79D39C09" w14:textId="77777777" w:rsidR="00AE0BC5" w:rsidRPr="00AE0BC5" w:rsidRDefault="00AE0BC5" w:rsidP="00AE0BC5">
            <w:pPr>
              <w:autoSpaceDE w:val="0"/>
              <w:autoSpaceDN w:val="0"/>
              <w:adjustRightInd w:val="0"/>
              <w:rPr>
                <w:rFonts w:ascii="Arial" w:eastAsia="Times New Roman" w:hAnsi="Arial" w:cs="Arial"/>
                <w:bCs/>
                <w:color w:val="auto"/>
              </w:rPr>
            </w:pPr>
            <w:r w:rsidRPr="00AE0BC5">
              <w:rPr>
                <w:rFonts w:ascii="Arial" w:eastAsia="Times New Roman" w:hAnsi="Arial" w:cs="Arial"/>
                <w:bCs/>
                <w:color w:val="auto"/>
              </w:rPr>
              <w:t>Voluntary</w:t>
            </w:r>
          </w:p>
        </w:tc>
        <w:tc>
          <w:tcPr>
            <w:tcW w:w="993" w:type="dxa"/>
            <w:shd w:val="clear" w:color="auto" w:fill="F2F2F2"/>
            <w:vAlign w:val="center"/>
          </w:tcPr>
          <w:p w14:paraId="4615EC12"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color w:val="auto"/>
              </w:rPr>
              <w:t>YES</w:t>
            </w:r>
          </w:p>
        </w:tc>
        <w:tc>
          <w:tcPr>
            <w:tcW w:w="850" w:type="dxa"/>
            <w:shd w:val="clear" w:color="auto" w:fill="D9D9D9"/>
            <w:vAlign w:val="center"/>
          </w:tcPr>
          <w:sdt>
            <w:sdtPr>
              <w:rPr>
                <w:rFonts w:ascii="Arial" w:eastAsia="Times New Roman" w:hAnsi="Arial" w:cs="Arial"/>
                <w:b/>
                <w:bCs/>
                <w:color w:val="auto"/>
              </w:rPr>
              <w:id w:val="-1452555905"/>
              <w14:checkbox>
                <w14:checked w14:val="0"/>
                <w14:checkedState w14:val="2612" w14:font="MS Gothic"/>
                <w14:uncheckedState w14:val="2610" w14:font="MS Gothic"/>
              </w14:checkbox>
            </w:sdtPr>
            <w:sdtEndPr/>
            <w:sdtContent>
              <w:p w14:paraId="520E5078"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82" w:type="dxa"/>
            <w:gridSpan w:val="2"/>
            <w:shd w:val="clear" w:color="auto" w:fill="F2F2F2"/>
            <w:vAlign w:val="center"/>
          </w:tcPr>
          <w:p w14:paraId="0A31F4F2"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color w:val="auto"/>
              </w:rPr>
              <w:t>NO</w:t>
            </w:r>
          </w:p>
        </w:tc>
        <w:tc>
          <w:tcPr>
            <w:tcW w:w="861" w:type="dxa"/>
            <w:gridSpan w:val="2"/>
            <w:shd w:val="clear" w:color="auto" w:fill="D9D9D9"/>
            <w:vAlign w:val="center"/>
          </w:tcPr>
          <w:sdt>
            <w:sdtPr>
              <w:rPr>
                <w:rFonts w:ascii="Arial" w:eastAsia="Times New Roman" w:hAnsi="Arial" w:cs="Arial"/>
                <w:bCs/>
                <w:color w:val="auto"/>
              </w:rPr>
              <w:id w:val="-1824587797"/>
              <w14:checkbox>
                <w14:checked w14:val="1"/>
                <w14:checkedState w14:val="2612" w14:font="MS Gothic"/>
                <w14:uncheckedState w14:val="2610" w14:font="MS Gothic"/>
              </w14:checkbox>
            </w:sdtPr>
            <w:sdtEndPr/>
            <w:sdtContent>
              <w:p w14:paraId="398EAA3A"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Cs/>
                    <w:color w:val="auto"/>
                  </w:rPr>
                  <w:t>☒</w:t>
                </w:r>
              </w:p>
            </w:sdtContent>
          </w:sdt>
        </w:tc>
      </w:tr>
      <w:tr w:rsidR="00AE0BC5" w:rsidRPr="00AE0BC5" w14:paraId="3E1C4073" w14:textId="77777777" w:rsidTr="00AE0BC5">
        <w:trPr>
          <w:trHeight w:val="386"/>
        </w:trPr>
        <w:tc>
          <w:tcPr>
            <w:tcW w:w="562" w:type="dxa"/>
            <w:shd w:val="clear" w:color="auto" w:fill="F2F2F2"/>
          </w:tcPr>
          <w:p w14:paraId="7D9748BD"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10</w:t>
            </w:r>
          </w:p>
        </w:tc>
        <w:tc>
          <w:tcPr>
            <w:tcW w:w="3823" w:type="dxa"/>
            <w:vMerge/>
            <w:shd w:val="clear" w:color="auto" w:fill="F2F2F2"/>
          </w:tcPr>
          <w:p w14:paraId="2FCE6CB4" w14:textId="77777777" w:rsidR="00AE0BC5" w:rsidRPr="00AE0BC5" w:rsidRDefault="00AE0BC5" w:rsidP="00AE0BC5">
            <w:pPr>
              <w:autoSpaceDE w:val="0"/>
              <w:autoSpaceDN w:val="0"/>
              <w:adjustRightInd w:val="0"/>
              <w:rPr>
                <w:rFonts w:ascii="Arial" w:eastAsia="Times New Roman" w:hAnsi="Arial" w:cs="Arial"/>
                <w:color w:val="auto"/>
              </w:rPr>
            </w:pPr>
          </w:p>
        </w:tc>
        <w:tc>
          <w:tcPr>
            <w:tcW w:w="2409" w:type="dxa"/>
          </w:tcPr>
          <w:p w14:paraId="1D2CFA8D" w14:textId="77777777" w:rsidR="00AE0BC5" w:rsidRPr="00AE0BC5" w:rsidRDefault="00AE0BC5" w:rsidP="00AE0BC5">
            <w:pPr>
              <w:autoSpaceDE w:val="0"/>
              <w:autoSpaceDN w:val="0"/>
              <w:adjustRightInd w:val="0"/>
              <w:rPr>
                <w:rFonts w:ascii="Arial" w:eastAsia="Times New Roman" w:hAnsi="Arial" w:cs="Arial"/>
                <w:bCs/>
                <w:color w:val="auto"/>
              </w:rPr>
            </w:pPr>
            <w:r w:rsidRPr="00AE0BC5">
              <w:rPr>
                <w:rFonts w:ascii="Arial" w:eastAsia="Times New Roman" w:hAnsi="Arial" w:cs="Arial"/>
                <w:bCs/>
                <w:color w:val="auto"/>
              </w:rPr>
              <w:t>Employed</w:t>
            </w:r>
          </w:p>
        </w:tc>
        <w:tc>
          <w:tcPr>
            <w:tcW w:w="993" w:type="dxa"/>
            <w:shd w:val="clear" w:color="auto" w:fill="F2F2F2"/>
            <w:vAlign w:val="center"/>
          </w:tcPr>
          <w:p w14:paraId="6194BFCC"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color w:val="auto"/>
              </w:rPr>
              <w:t>YES</w:t>
            </w:r>
          </w:p>
        </w:tc>
        <w:tc>
          <w:tcPr>
            <w:tcW w:w="850" w:type="dxa"/>
            <w:shd w:val="clear" w:color="auto" w:fill="D9D9D9"/>
            <w:vAlign w:val="center"/>
          </w:tcPr>
          <w:sdt>
            <w:sdtPr>
              <w:rPr>
                <w:rFonts w:ascii="Arial" w:eastAsia="Times New Roman" w:hAnsi="Arial" w:cs="Arial"/>
                <w:b/>
                <w:bCs/>
                <w:color w:val="auto"/>
              </w:rPr>
              <w:id w:val="-361060577"/>
              <w14:checkbox>
                <w14:checked w14:val="0"/>
                <w14:checkedState w14:val="2612" w14:font="MS Gothic"/>
                <w14:uncheckedState w14:val="2610" w14:font="MS Gothic"/>
              </w14:checkbox>
            </w:sdtPr>
            <w:sdtEndPr/>
            <w:sdtContent>
              <w:p w14:paraId="228EE761"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82" w:type="dxa"/>
            <w:gridSpan w:val="2"/>
            <w:shd w:val="clear" w:color="auto" w:fill="F2F2F2"/>
            <w:vAlign w:val="center"/>
          </w:tcPr>
          <w:p w14:paraId="5F4F27CA"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color w:val="auto"/>
              </w:rPr>
              <w:t>NO</w:t>
            </w:r>
          </w:p>
        </w:tc>
        <w:tc>
          <w:tcPr>
            <w:tcW w:w="861" w:type="dxa"/>
            <w:gridSpan w:val="2"/>
            <w:shd w:val="clear" w:color="auto" w:fill="D9D9D9"/>
            <w:vAlign w:val="center"/>
          </w:tcPr>
          <w:sdt>
            <w:sdtPr>
              <w:rPr>
                <w:rFonts w:ascii="Arial" w:eastAsia="Times New Roman" w:hAnsi="Arial" w:cs="Arial"/>
                <w:bCs/>
                <w:color w:val="auto"/>
              </w:rPr>
              <w:id w:val="-1007364088"/>
              <w14:checkbox>
                <w14:checked w14:val="1"/>
                <w14:checkedState w14:val="2612" w14:font="MS Gothic"/>
                <w14:uncheckedState w14:val="2610" w14:font="MS Gothic"/>
              </w14:checkbox>
            </w:sdtPr>
            <w:sdtEndPr/>
            <w:sdtContent>
              <w:p w14:paraId="7AB64905"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Cs/>
                    <w:color w:val="auto"/>
                  </w:rPr>
                  <w:t>☒</w:t>
                </w:r>
              </w:p>
            </w:sdtContent>
          </w:sdt>
        </w:tc>
      </w:tr>
      <w:tr w:rsidR="00AE0BC5" w:rsidRPr="00AE0BC5" w14:paraId="39C7FCC0" w14:textId="77777777" w:rsidTr="00AE0BC5">
        <w:tc>
          <w:tcPr>
            <w:tcW w:w="562" w:type="dxa"/>
            <w:shd w:val="clear" w:color="auto" w:fill="F2F2F2"/>
          </w:tcPr>
          <w:p w14:paraId="5CE14A87"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lastRenderedPageBreak/>
              <w:t>11</w:t>
            </w:r>
          </w:p>
        </w:tc>
        <w:tc>
          <w:tcPr>
            <w:tcW w:w="3823" w:type="dxa"/>
            <w:shd w:val="clear" w:color="auto" w:fill="F2F2F2"/>
          </w:tcPr>
          <w:p w14:paraId="49F4F336"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 xml:space="preserve">Is the research being undertaken within an existing UWTSD </w:t>
            </w:r>
            <w:proofErr w:type="spellStart"/>
            <w:r w:rsidRPr="00AE0BC5">
              <w:rPr>
                <w:rFonts w:ascii="Arial" w:eastAsia="Times New Roman" w:hAnsi="Arial" w:cs="Arial"/>
                <w:color w:val="auto"/>
              </w:rPr>
              <w:t>Athrofa</w:t>
            </w:r>
            <w:proofErr w:type="spellEnd"/>
            <w:r w:rsidRPr="00AE0BC5">
              <w:rPr>
                <w:rFonts w:ascii="Arial" w:eastAsia="Times New Roman" w:hAnsi="Arial" w:cs="Arial"/>
                <w:color w:val="auto"/>
              </w:rPr>
              <w:t xml:space="preserve"> Professional Learning Partnership (APLP)</w:t>
            </w:r>
          </w:p>
        </w:tc>
        <w:tc>
          <w:tcPr>
            <w:tcW w:w="2409" w:type="dxa"/>
          </w:tcPr>
          <w:p w14:paraId="5523341C" w14:textId="77777777" w:rsidR="00AE0BC5" w:rsidRPr="00AE0BC5" w:rsidRDefault="00AE0BC5" w:rsidP="00AE0BC5">
            <w:pPr>
              <w:autoSpaceDE w:val="0"/>
              <w:autoSpaceDN w:val="0"/>
              <w:adjustRightInd w:val="0"/>
              <w:rPr>
                <w:rFonts w:ascii="Arial" w:eastAsia="Times New Roman" w:hAnsi="Arial" w:cs="Arial"/>
                <w:bCs/>
                <w:color w:val="auto"/>
              </w:rPr>
            </w:pPr>
            <w:r w:rsidRPr="00AE0BC5">
              <w:rPr>
                <w:rFonts w:ascii="Arial" w:eastAsia="Times New Roman" w:hAnsi="Arial" w:cs="Arial"/>
                <w:bCs/>
                <w:color w:val="auto"/>
              </w:rPr>
              <w:t xml:space="preserve">If </w:t>
            </w:r>
            <w:proofErr w:type="gramStart"/>
            <w:r w:rsidRPr="00AE0BC5">
              <w:rPr>
                <w:rFonts w:ascii="Arial" w:eastAsia="Times New Roman" w:hAnsi="Arial" w:cs="Arial"/>
                <w:bCs/>
                <w:color w:val="auto"/>
              </w:rPr>
              <w:t>YES</w:t>
            </w:r>
            <w:proofErr w:type="gramEnd"/>
            <w:r w:rsidRPr="00AE0BC5">
              <w:rPr>
                <w:rFonts w:ascii="Arial" w:eastAsia="Times New Roman" w:hAnsi="Arial" w:cs="Arial"/>
                <w:bCs/>
                <w:color w:val="auto"/>
              </w:rPr>
              <w:t xml:space="preserve"> then the permission question below does not need to be answered.</w:t>
            </w:r>
          </w:p>
        </w:tc>
        <w:tc>
          <w:tcPr>
            <w:tcW w:w="993" w:type="dxa"/>
            <w:shd w:val="clear" w:color="auto" w:fill="F2F2F2"/>
            <w:vAlign w:val="center"/>
          </w:tcPr>
          <w:p w14:paraId="4292F9AD"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color w:val="auto"/>
              </w:rPr>
              <w:t>YES</w:t>
            </w:r>
          </w:p>
        </w:tc>
        <w:tc>
          <w:tcPr>
            <w:tcW w:w="850" w:type="dxa"/>
            <w:shd w:val="clear" w:color="auto" w:fill="D9D9D9"/>
            <w:vAlign w:val="center"/>
          </w:tcPr>
          <w:p w14:paraId="1B814415" w14:textId="77777777" w:rsidR="00AE0BC5" w:rsidRPr="00AE0BC5" w:rsidRDefault="005B76E4" w:rsidP="00AE0BC5">
            <w:pPr>
              <w:autoSpaceDE w:val="0"/>
              <w:autoSpaceDN w:val="0"/>
              <w:adjustRightInd w:val="0"/>
              <w:jc w:val="center"/>
              <w:rPr>
                <w:rFonts w:ascii="Arial" w:eastAsia="Times New Roman" w:hAnsi="Arial" w:cs="Arial"/>
                <w:bCs/>
                <w:color w:val="auto"/>
              </w:rPr>
            </w:pPr>
            <w:sdt>
              <w:sdtPr>
                <w:rPr>
                  <w:rFonts w:ascii="Arial" w:eastAsia="Times New Roman" w:hAnsi="Arial" w:cs="Arial"/>
                  <w:bCs/>
                  <w:color w:val="auto"/>
                </w:rPr>
                <w:id w:val="48506529"/>
                <w14:checkbox>
                  <w14:checked w14:val="0"/>
                  <w14:checkedState w14:val="2612" w14:font="MS Gothic"/>
                  <w14:uncheckedState w14:val="2610" w14:font="MS Gothic"/>
                </w14:checkbox>
              </w:sdtPr>
              <w:sdtEndPr/>
              <w:sdtContent>
                <w:r w:rsidR="00AE0BC5" w:rsidRPr="00AE0BC5">
                  <w:rPr>
                    <w:rFonts w:ascii="Segoe UI Symbol" w:eastAsia="Times New Roman" w:hAnsi="Segoe UI Symbol" w:cs="Segoe UI Symbol"/>
                    <w:bCs/>
                    <w:color w:val="auto"/>
                  </w:rPr>
                  <w:t>☐</w:t>
                </w:r>
              </w:sdtContent>
            </w:sdt>
          </w:p>
        </w:tc>
        <w:tc>
          <w:tcPr>
            <w:tcW w:w="992" w:type="dxa"/>
            <w:gridSpan w:val="3"/>
            <w:shd w:val="clear" w:color="auto" w:fill="F2F2F2"/>
            <w:vAlign w:val="center"/>
          </w:tcPr>
          <w:p w14:paraId="491D9220"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color w:val="auto"/>
              </w:rPr>
              <w:t>NO</w:t>
            </w:r>
          </w:p>
        </w:tc>
        <w:tc>
          <w:tcPr>
            <w:tcW w:w="851" w:type="dxa"/>
            <w:shd w:val="clear" w:color="auto" w:fill="D9D9D9"/>
            <w:vAlign w:val="center"/>
          </w:tcPr>
          <w:sdt>
            <w:sdtPr>
              <w:rPr>
                <w:rFonts w:ascii="Arial" w:eastAsia="Times New Roman" w:hAnsi="Arial" w:cs="Arial"/>
                <w:bCs/>
                <w:color w:val="auto"/>
              </w:rPr>
              <w:id w:val="1039408862"/>
              <w14:checkbox>
                <w14:checked w14:val="1"/>
                <w14:checkedState w14:val="2612" w14:font="MS Gothic"/>
                <w14:uncheckedState w14:val="2610" w14:font="MS Gothic"/>
              </w14:checkbox>
            </w:sdtPr>
            <w:sdtEndPr/>
            <w:sdtContent>
              <w:p w14:paraId="0E7BADD2"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Cs/>
                    <w:color w:val="auto"/>
                  </w:rPr>
                  <w:t>☒</w:t>
                </w:r>
              </w:p>
            </w:sdtContent>
          </w:sdt>
        </w:tc>
      </w:tr>
      <w:tr w:rsidR="00AE0BC5" w:rsidRPr="00AE0BC5" w14:paraId="72B7654A" w14:textId="77777777" w:rsidTr="00AE0BC5">
        <w:tc>
          <w:tcPr>
            <w:tcW w:w="562" w:type="dxa"/>
            <w:shd w:val="clear" w:color="auto" w:fill="F2F2F2"/>
          </w:tcPr>
          <w:p w14:paraId="483812B6"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12</w:t>
            </w:r>
          </w:p>
        </w:tc>
        <w:tc>
          <w:tcPr>
            <w:tcW w:w="3823" w:type="dxa"/>
            <w:shd w:val="clear" w:color="auto" w:fill="F2F2F2"/>
          </w:tcPr>
          <w:p w14:paraId="2A32BC77"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Permission to undertake the research has been provided by the partner organisation</w:t>
            </w:r>
          </w:p>
        </w:tc>
        <w:tc>
          <w:tcPr>
            <w:tcW w:w="2409" w:type="dxa"/>
          </w:tcPr>
          <w:p w14:paraId="7774EDBB" w14:textId="77777777" w:rsidR="00AE0BC5" w:rsidRPr="00AE0BC5" w:rsidRDefault="00AE0BC5" w:rsidP="00AE0BC5">
            <w:pPr>
              <w:autoSpaceDE w:val="0"/>
              <w:autoSpaceDN w:val="0"/>
              <w:adjustRightInd w:val="0"/>
              <w:rPr>
                <w:rFonts w:ascii="Arial" w:eastAsia="Times New Roman" w:hAnsi="Arial" w:cs="Arial"/>
                <w:bCs/>
                <w:color w:val="auto"/>
              </w:rPr>
            </w:pPr>
            <w:r w:rsidRPr="00AE0BC5">
              <w:rPr>
                <w:rFonts w:ascii="Arial" w:eastAsia="Times New Roman" w:hAnsi="Arial" w:cs="Arial"/>
                <w:bCs/>
                <w:color w:val="auto"/>
              </w:rPr>
              <w:t>(If YES attach copy)</w:t>
            </w:r>
          </w:p>
          <w:p w14:paraId="5BD10A3B" w14:textId="77777777" w:rsidR="00AE0BC5" w:rsidRPr="00AE0BC5" w:rsidDel="008461DD" w:rsidRDefault="00AE0BC5" w:rsidP="00AE0BC5">
            <w:pPr>
              <w:autoSpaceDE w:val="0"/>
              <w:autoSpaceDN w:val="0"/>
              <w:adjustRightInd w:val="0"/>
              <w:rPr>
                <w:rFonts w:ascii="Arial" w:eastAsia="Times New Roman" w:hAnsi="Arial" w:cs="Arial"/>
                <w:bCs/>
                <w:color w:val="auto"/>
              </w:rPr>
            </w:pPr>
            <w:r w:rsidRPr="00AE0BC5">
              <w:rPr>
                <w:rFonts w:ascii="Arial" w:eastAsia="Times New Roman" w:hAnsi="Arial" w:cs="Arial"/>
                <w:bCs/>
                <w:color w:val="auto"/>
              </w:rPr>
              <w:t xml:space="preserve">If </w:t>
            </w:r>
            <w:proofErr w:type="gramStart"/>
            <w:r w:rsidRPr="00AE0BC5">
              <w:rPr>
                <w:rFonts w:ascii="Arial" w:eastAsia="Times New Roman" w:hAnsi="Arial" w:cs="Arial"/>
                <w:bCs/>
                <w:color w:val="auto"/>
              </w:rPr>
              <w:t>NO</w:t>
            </w:r>
            <w:proofErr w:type="gramEnd"/>
            <w:r w:rsidRPr="00AE0BC5">
              <w:rPr>
                <w:rFonts w:ascii="Arial" w:eastAsia="Times New Roman" w:hAnsi="Arial" w:cs="Arial"/>
                <w:bCs/>
                <w:color w:val="auto"/>
              </w:rPr>
              <w:t xml:space="preserve"> the application cannot continue</w:t>
            </w:r>
          </w:p>
        </w:tc>
        <w:tc>
          <w:tcPr>
            <w:tcW w:w="993" w:type="dxa"/>
            <w:shd w:val="clear" w:color="auto" w:fill="F2F2F2"/>
            <w:vAlign w:val="center"/>
          </w:tcPr>
          <w:p w14:paraId="7D825777"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Arial" w:eastAsia="Times New Roman" w:hAnsi="Arial" w:cs="Arial"/>
                <w:b/>
                <w:color w:val="auto"/>
              </w:rPr>
              <w:t>YES</w:t>
            </w:r>
          </w:p>
        </w:tc>
        <w:tc>
          <w:tcPr>
            <w:tcW w:w="850" w:type="dxa"/>
            <w:shd w:val="clear" w:color="auto" w:fill="D9D9D9"/>
            <w:vAlign w:val="center"/>
          </w:tcPr>
          <w:p w14:paraId="0C626EDD" w14:textId="77777777" w:rsidR="00AE0BC5" w:rsidRPr="00AE0BC5" w:rsidRDefault="005B76E4" w:rsidP="00AE0BC5">
            <w:pPr>
              <w:autoSpaceDE w:val="0"/>
              <w:autoSpaceDN w:val="0"/>
              <w:adjustRightInd w:val="0"/>
              <w:jc w:val="center"/>
              <w:rPr>
                <w:rFonts w:ascii="Arial" w:eastAsia="Times New Roman" w:hAnsi="Arial" w:cs="Arial"/>
                <w:bCs/>
                <w:color w:val="auto"/>
              </w:rPr>
            </w:pPr>
            <w:sdt>
              <w:sdtPr>
                <w:rPr>
                  <w:rFonts w:ascii="Arial" w:eastAsia="Times New Roman" w:hAnsi="Arial" w:cs="Arial"/>
                  <w:bCs/>
                  <w:color w:val="auto"/>
                </w:rPr>
                <w:id w:val="185717742"/>
                <w14:checkbox>
                  <w14:checked w14:val="0"/>
                  <w14:checkedState w14:val="2612" w14:font="MS Gothic"/>
                  <w14:uncheckedState w14:val="2610" w14:font="MS Gothic"/>
                </w14:checkbox>
              </w:sdtPr>
              <w:sdtEndPr/>
              <w:sdtContent>
                <w:r w:rsidR="00AE0BC5" w:rsidRPr="00AE0BC5">
                  <w:rPr>
                    <w:rFonts w:ascii="Segoe UI Symbol" w:eastAsia="Times New Roman" w:hAnsi="Segoe UI Symbol" w:cs="Segoe UI Symbol"/>
                    <w:bCs/>
                    <w:color w:val="auto"/>
                  </w:rPr>
                  <w:t>☐</w:t>
                </w:r>
              </w:sdtContent>
            </w:sdt>
          </w:p>
        </w:tc>
        <w:tc>
          <w:tcPr>
            <w:tcW w:w="992" w:type="dxa"/>
            <w:gridSpan w:val="3"/>
            <w:shd w:val="clear" w:color="auto" w:fill="F2F2F2"/>
            <w:vAlign w:val="center"/>
          </w:tcPr>
          <w:p w14:paraId="3743C6DD"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Arial" w:eastAsia="Times New Roman" w:hAnsi="Arial" w:cs="Arial"/>
                <w:b/>
                <w:color w:val="auto"/>
              </w:rPr>
              <w:t>NO</w:t>
            </w:r>
          </w:p>
        </w:tc>
        <w:tc>
          <w:tcPr>
            <w:tcW w:w="851" w:type="dxa"/>
            <w:shd w:val="clear" w:color="auto" w:fill="D9D9D9"/>
            <w:vAlign w:val="center"/>
          </w:tcPr>
          <w:sdt>
            <w:sdtPr>
              <w:rPr>
                <w:rFonts w:ascii="Arial" w:eastAsia="Times New Roman" w:hAnsi="Arial" w:cs="Arial"/>
                <w:bCs/>
                <w:color w:val="auto"/>
              </w:rPr>
              <w:id w:val="-912467415"/>
              <w14:checkbox>
                <w14:checked w14:val="1"/>
                <w14:checkedState w14:val="2612" w14:font="MS Gothic"/>
                <w14:uncheckedState w14:val="2610" w14:font="MS Gothic"/>
              </w14:checkbox>
            </w:sdtPr>
            <w:sdtEndPr/>
            <w:sdtContent>
              <w:p w14:paraId="3E30D710"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Cs/>
                    <w:color w:val="auto"/>
                  </w:rPr>
                  <w:t>☒</w:t>
                </w:r>
              </w:p>
            </w:sdtContent>
          </w:sdt>
        </w:tc>
      </w:tr>
    </w:tbl>
    <w:p w14:paraId="00B5B7FB" w14:textId="77777777" w:rsidR="00AE0BC5" w:rsidRPr="00AE0BC5" w:rsidRDefault="00AE0BC5" w:rsidP="00AE0BC5">
      <w:pPr>
        <w:spacing w:after="0" w:afterAutospacing="0" w:line="240" w:lineRule="auto"/>
        <w:rPr>
          <w:rFonts w:ascii="Arial" w:eastAsia="Times New Roman" w:hAnsi="Arial" w:cs="Arial"/>
          <w:bCs/>
          <w:iCs/>
          <w:color w:val="auto"/>
          <w:sz w:val="16"/>
          <w:szCs w:val="16"/>
        </w:rPr>
      </w:pPr>
    </w:p>
    <w:p w14:paraId="565FC178" w14:textId="77777777" w:rsidR="00AE0BC5" w:rsidRPr="00AE0BC5" w:rsidRDefault="00AE0BC5" w:rsidP="00AE0BC5">
      <w:pPr>
        <w:spacing w:after="0" w:afterAutospacing="0" w:line="240" w:lineRule="auto"/>
        <w:rPr>
          <w:rFonts w:ascii="Arial" w:eastAsia="Times New Roman" w:hAnsi="Arial" w:cs="Arial"/>
          <w:b/>
          <w:bCs/>
          <w:iCs/>
          <w:color w:val="auto"/>
        </w:rPr>
      </w:pPr>
    </w:p>
    <w:p w14:paraId="328DF5A8" w14:textId="77777777" w:rsidR="00AE0BC5" w:rsidRPr="00AE0BC5" w:rsidRDefault="00AE0BC5" w:rsidP="00AE0BC5">
      <w:pPr>
        <w:autoSpaceDE w:val="0"/>
        <w:autoSpaceDN w:val="0"/>
        <w:adjustRightInd w:val="0"/>
        <w:spacing w:after="240" w:afterAutospacing="0" w:line="240" w:lineRule="auto"/>
        <w:jc w:val="both"/>
        <w:rPr>
          <w:rFonts w:ascii="Arial" w:eastAsia="Times New Roman" w:hAnsi="Arial" w:cs="Arial"/>
          <w:b/>
          <w:color w:val="auto"/>
        </w:rPr>
      </w:pPr>
      <w:r w:rsidRPr="00AE0BC5">
        <w:rPr>
          <w:rFonts w:ascii="Arial" w:eastAsia="Times New Roman" w:hAnsi="Arial" w:cs="Arial"/>
          <w:b/>
          <w:color w:val="auto"/>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E0BC5" w:rsidRPr="00AE0BC5" w14:paraId="76EE34E9" w14:textId="77777777" w:rsidTr="00AE0BC5">
        <w:trPr>
          <w:trHeight w:val="507"/>
        </w:trPr>
        <w:tc>
          <w:tcPr>
            <w:tcW w:w="567" w:type="dxa"/>
            <w:shd w:val="clear" w:color="auto" w:fill="F2F2F2"/>
          </w:tcPr>
          <w:p w14:paraId="0B1603E7" w14:textId="77777777" w:rsidR="00AE0BC5" w:rsidRPr="00AE0BC5" w:rsidRDefault="00AE0BC5" w:rsidP="00AE0BC5">
            <w:pPr>
              <w:autoSpaceDE w:val="0"/>
              <w:autoSpaceDN w:val="0"/>
              <w:adjustRightInd w:val="0"/>
              <w:rPr>
                <w:rFonts w:ascii="Arial" w:eastAsia="Times New Roman" w:hAnsi="Arial" w:cs="Arial"/>
                <w:bCs/>
                <w:color w:val="auto"/>
              </w:rPr>
            </w:pPr>
            <w:r w:rsidRPr="00AE0BC5">
              <w:rPr>
                <w:rFonts w:ascii="Arial" w:eastAsia="Times New Roman" w:hAnsi="Arial" w:cs="Arial"/>
                <w:bCs/>
                <w:color w:val="auto"/>
              </w:rPr>
              <w:t>13</w:t>
            </w:r>
          </w:p>
        </w:tc>
        <w:tc>
          <w:tcPr>
            <w:tcW w:w="6237" w:type="dxa"/>
            <w:shd w:val="clear" w:color="auto" w:fill="F2F2F2"/>
            <w:vAlign w:val="center"/>
          </w:tcPr>
          <w:p w14:paraId="66A06E89" w14:textId="77777777" w:rsidR="00AE0BC5" w:rsidRPr="00AE0BC5" w:rsidRDefault="00AE0BC5" w:rsidP="00AE0BC5">
            <w:pPr>
              <w:autoSpaceDE w:val="0"/>
              <w:autoSpaceDN w:val="0"/>
              <w:adjustRightInd w:val="0"/>
              <w:rPr>
                <w:rFonts w:ascii="Arial" w:eastAsia="Times New Roman" w:hAnsi="Arial" w:cs="Arial"/>
                <w:bCs/>
                <w:color w:val="auto"/>
              </w:rPr>
            </w:pPr>
            <w:r w:rsidRPr="00AE0BC5">
              <w:rPr>
                <w:rFonts w:ascii="Arial" w:eastAsia="Times New Roman" w:hAnsi="Arial" w:cs="Arial"/>
                <w:bCs/>
                <w:color w:val="auto"/>
              </w:rPr>
              <w:t>Does this organisation have its own ethics approval system?</w:t>
            </w:r>
          </w:p>
        </w:tc>
        <w:tc>
          <w:tcPr>
            <w:tcW w:w="993" w:type="dxa"/>
            <w:shd w:val="clear" w:color="auto" w:fill="F2F2F2"/>
            <w:vAlign w:val="center"/>
          </w:tcPr>
          <w:p w14:paraId="33BD71C2"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YES</w:t>
            </w:r>
          </w:p>
        </w:tc>
        <w:tc>
          <w:tcPr>
            <w:tcW w:w="895" w:type="dxa"/>
            <w:shd w:val="clear" w:color="auto" w:fill="BFBFBF"/>
            <w:vAlign w:val="center"/>
          </w:tcPr>
          <w:sdt>
            <w:sdtPr>
              <w:rPr>
                <w:rFonts w:ascii="Arial" w:eastAsia="Times New Roman" w:hAnsi="Arial" w:cs="Arial"/>
                <w:b/>
                <w:bCs/>
                <w:color w:val="auto"/>
              </w:rPr>
              <w:id w:val="-1279024073"/>
              <w14:checkbox>
                <w14:checked w14:val="0"/>
                <w14:checkedState w14:val="2612" w14:font="MS Gothic"/>
                <w14:uncheckedState w14:val="2610" w14:font="MS Gothic"/>
              </w14:checkbox>
            </w:sdtPr>
            <w:sdtEndPr/>
            <w:sdtContent>
              <w:p w14:paraId="05C20036"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47" w:type="dxa"/>
            <w:shd w:val="clear" w:color="auto" w:fill="F2F2F2"/>
            <w:vAlign w:val="center"/>
          </w:tcPr>
          <w:p w14:paraId="7E8EDE32"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NO</w:t>
            </w:r>
          </w:p>
        </w:tc>
        <w:tc>
          <w:tcPr>
            <w:tcW w:w="851" w:type="dxa"/>
            <w:shd w:val="clear" w:color="auto" w:fill="BFBFBF"/>
            <w:vAlign w:val="center"/>
          </w:tcPr>
          <w:sdt>
            <w:sdtPr>
              <w:rPr>
                <w:rFonts w:ascii="Arial" w:eastAsia="Times New Roman" w:hAnsi="Arial" w:cs="Arial"/>
                <w:b/>
                <w:bCs/>
                <w:color w:val="auto"/>
              </w:rPr>
              <w:id w:val="-711570112"/>
              <w14:checkbox>
                <w14:checked w14:val="0"/>
                <w14:checkedState w14:val="2612" w14:font="MS Gothic"/>
                <w14:uncheckedState w14:val="2610" w14:font="MS Gothic"/>
              </w14:checkbox>
            </w:sdtPr>
            <w:sdtEndPr/>
            <w:sdtContent>
              <w:p w14:paraId="49EF286A"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r>
      <w:tr w:rsidR="00AE0BC5" w:rsidRPr="00AE0BC5" w14:paraId="3D56C0AC" w14:textId="77777777" w:rsidTr="00223E6D">
        <w:tc>
          <w:tcPr>
            <w:tcW w:w="567" w:type="dxa"/>
          </w:tcPr>
          <w:p w14:paraId="2B70B6A6" w14:textId="77777777" w:rsidR="00AE0BC5" w:rsidRPr="00AE0BC5" w:rsidRDefault="00AE0BC5" w:rsidP="00AE0BC5">
            <w:pPr>
              <w:autoSpaceDE w:val="0"/>
              <w:autoSpaceDN w:val="0"/>
              <w:adjustRightInd w:val="0"/>
              <w:rPr>
                <w:rFonts w:ascii="Arial" w:eastAsia="Times New Roman" w:hAnsi="Arial" w:cs="Arial"/>
                <w:bCs/>
                <w:color w:val="auto"/>
              </w:rPr>
            </w:pPr>
            <w:r w:rsidRPr="00AE0BC5">
              <w:rPr>
                <w:rFonts w:ascii="Arial" w:eastAsia="Times New Roman" w:hAnsi="Arial" w:cs="Arial"/>
                <w:bCs/>
                <w:color w:val="auto"/>
              </w:rPr>
              <w:t>14</w:t>
            </w:r>
          </w:p>
        </w:tc>
        <w:tc>
          <w:tcPr>
            <w:tcW w:w="9923" w:type="dxa"/>
            <w:gridSpan w:val="5"/>
          </w:tcPr>
          <w:p w14:paraId="1E1BB647" w14:textId="77777777" w:rsidR="00AE0BC5" w:rsidRPr="00AE0BC5" w:rsidRDefault="00AE0BC5" w:rsidP="00AE0BC5">
            <w:pPr>
              <w:autoSpaceDE w:val="0"/>
              <w:autoSpaceDN w:val="0"/>
              <w:adjustRightInd w:val="0"/>
              <w:rPr>
                <w:rFonts w:ascii="Arial" w:eastAsia="Times New Roman" w:hAnsi="Arial" w:cs="Arial"/>
                <w:bCs/>
                <w:color w:val="auto"/>
              </w:rPr>
            </w:pPr>
          </w:p>
          <w:p w14:paraId="282C8F92" w14:textId="77777777" w:rsidR="00AE0BC5" w:rsidRPr="00AE0BC5" w:rsidRDefault="00AE0BC5" w:rsidP="00AE0BC5">
            <w:pPr>
              <w:autoSpaceDE w:val="0"/>
              <w:autoSpaceDN w:val="0"/>
              <w:adjustRightInd w:val="0"/>
              <w:rPr>
                <w:rFonts w:ascii="Arial" w:eastAsia="Times New Roman" w:hAnsi="Arial" w:cs="Arial"/>
                <w:bCs/>
                <w:color w:val="auto"/>
              </w:rPr>
            </w:pPr>
            <w:r w:rsidRPr="00AE0BC5">
              <w:rPr>
                <w:rFonts w:ascii="Arial" w:eastAsia="Times New Roman" w:hAnsi="Arial" w:cs="Arial"/>
                <w:bCs/>
                <w:color w:val="auto"/>
              </w:rPr>
              <w:t xml:space="preserve">If </w:t>
            </w:r>
            <w:proofErr w:type="gramStart"/>
            <w:r w:rsidRPr="00AE0BC5">
              <w:rPr>
                <w:rFonts w:ascii="Arial" w:eastAsia="Times New Roman" w:hAnsi="Arial" w:cs="Arial"/>
                <w:bCs/>
                <w:color w:val="auto"/>
              </w:rPr>
              <w:t>Yes</w:t>
            </w:r>
            <w:proofErr w:type="gramEnd"/>
            <w:r w:rsidRPr="00AE0BC5">
              <w:rPr>
                <w:rFonts w:ascii="Arial" w:eastAsia="Times New Roman" w:hAnsi="Arial" w:cs="Arial"/>
                <w:bCs/>
                <w:color w:val="auto"/>
              </w:rPr>
              <w:t>, please attach a copy of any final approval (or interim approval) from the organisation</w:t>
            </w:r>
          </w:p>
          <w:p w14:paraId="508C9C58" w14:textId="77777777" w:rsidR="00AE0BC5" w:rsidRPr="00AE0BC5" w:rsidRDefault="00AE0BC5" w:rsidP="00AE0BC5">
            <w:pPr>
              <w:autoSpaceDE w:val="0"/>
              <w:autoSpaceDN w:val="0"/>
              <w:adjustRightInd w:val="0"/>
              <w:rPr>
                <w:rFonts w:ascii="Arial" w:eastAsia="Times New Roman" w:hAnsi="Arial" w:cs="Arial"/>
                <w:b/>
                <w:bCs/>
                <w:color w:val="auto"/>
              </w:rPr>
            </w:pPr>
          </w:p>
        </w:tc>
      </w:tr>
    </w:tbl>
    <w:p w14:paraId="442A651E" w14:textId="77777777" w:rsidR="00AE0BC5" w:rsidRPr="00AE0BC5" w:rsidRDefault="00AE0BC5" w:rsidP="00AE0BC5">
      <w:pPr>
        <w:autoSpaceDE w:val="0"/>
        <w:autoSpaceDN w:val="0"/>
        <w:adjustRightInd w:val="0"/>
        <w:spacing w:after="240" w:afterAutospacing="0" w:line="240" w:lineRule="auto"/>
        <w:jc w:val="both"/>
        <w:rPr>
          <w:rFonts w:ascii="Arial" w:eastAsia="Times New Roman" w:hAnsi="Arial" w:cs="Arial"/>
          <w:b/>
          <w:color w:val="auto"/>
        </w:rPr>
      </w:pPr>
    </w:p>
    <w:p w14:paraId="2976198D" w14:textId="77777777" w:rsidR="00AE0BC5" w:rsidRPr="00AE0BC5" w:rsidRDefault="00AE0BC5" w:rsidP="00AE0BC5">
      <w:pPr>
        <w:autoSpaceDE w:val="0"/>
        <w:autoSpaceDN w:val="0"/>
        <w:adjustRightInd w:val="0"/>
        <w:spacing w:after="240" w:afterAutospacing="0" w:line="240" w:lineRule="auto"/>
        <w:jc w:val="both"/>
        <w:rPr>
          <w:rFonts w:ascii="Arial" w:eastAsia="Times New Roman" w:hAnsi="Arial" w:cs="Arial"/>
          <w:b/>
          <w:color w:val="auto"/>
        </w:rPr>
      </w:pPr>
      <w:r w:rsidRPr="00AE0BC5">
        <w:rPr>
          <w:rFonts w:ascii="Arial" w:eastAsia="Times New Roman" w:hAnsi="Arial" w:cs="Arial"/>
          <w:b/>
          <w:color w:val="auto"/>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AE0BC5" w:rsidRPr="00AE0BC5" w14:paraId="3688EA63" w14:textId="77777777" w:rsidTr="00AE0BC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cPr>
          <w:p w14:paraId="32BEEE0C"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vAlign w:val="center"/>
          </w:tcPr>
          <w:p w14:paraId="61BF0232"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77C42F12" w14:textId="77777777" w:rsidR="00AE0BC5" w:rsidRPr="00AE0BC5" w:rsidRDefault="00AE0BC5" w:rsidP="00AE0BC5">
            <w:pPr>
              <w:spacing w:after="0" w:afterAutospacing="0" w:line="240" w:lineRule="auto"/>
              <w:rPr>
                <w:rFonts w:ascii="Arial" w:eastAsia="Times New Roman" w:hAnsi="Arial" w:cs="Arial"/>
                <w:b/>
                <w:color w:val="auto"/>
              </w:rPr>
            </w:pPr>
            <w:r w:rsidRPr="00AE0BC5">
              <w:rPr>
                <w:rFonts w:ascii="Arial" w:eastAsia="Times New Roman" w:hAnsi="Arial" w:cs="Arial"/>
                <w:color w:val="auto"/>
              </w:rPr>
              <w:t xml:space="preserve">Impulse or Intent?  An investigation into possible predictors of adolescent risk-taking behaviour.  Lessons for youth work practice.  </w:t>
            </w:r>
          </w:p>
          <w:p w14:paraId="3C4ECFDB" w14:textId="77777777" w:rsidR="00AE0BC5" w:rsidRPr="00AE0BC5" w:rsidRDefault="00AE0BC5" w:rsidP="00AE0BC5">
            <w:pPr>
              <w:spacing w:after="0" w:afterAutospacing="0" w:line="240" w:lineRule="auto"/>
              <w:jc w:val="both"/>
              <w:rPr>
                <w:rFonts w:ascii="Arial" w:eastAsia="Times New Roman" w:hAnsi="Arial" w:cs="Arial"/>
                <w:b/>
                <w:color w:val="auto"/>
              </w:rPr>
            </w:pPr>
          </w:p>
        </w:tc>
      </w:tr>
      <w:tr w:rsidR="00AE0BC5" w:rsidRPr="00AE0BC5" w14:paraId="73DC98DD" w14:textId="77777777" w:rsidTr="00AE0BC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cPr>
          <w:p w14:paraId="3D94AC09"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vAlign w:val="center"/>
          </w:tcPr>
          <w:p w14:paraId="0B98A778"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7A5D6408"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1</w:t>
            </w:r>
            <w:r w:rsidRPr="00AE0BC5">
              <w:rPr>
                <w:rFonts w:ascii="Arial" w:eastAsia="Times New Roman" w:hAnsi="Arial" w:cs="Arial"/>
                <w:color w:val="auto"/>
                <w:vertAlign w:val="superscript"/>
              </w:rPr>
              <w:t>st</w:t>
            </w:r>
            <w:r w:rsidRPr="00AE0BC5">
              <w:rPr>
                <w:rFonts w:ascii="Arial" w:eastAsia="Times New Roman" w:hAnsi="Arial" w:cs="Arial"/>
                <w:color w:val="auto"/>
              </w:rPr>
              <w:t xml:space="preserve"> November 2020</w:t>
            </w:r>
          </w:p>
        </w:tc>
        <w:tc>
          <w:tcPr>
            <w:tcW w:w="1182" w:type="pct"/>
            <w:tcBorders>
              <w:top w:val="single" w:sz="4" w:space="0" w:color="auto"/>
              <w:left w:val="single" w:sz="4" w:space="0" w:color="auto"/>
              <w:bottom w:val="single" w:sz="4" w:space="0" w:color="auto"/>
              <w:right w:val="single" w:sz="4" w:space="0" w:color="auto"/>
            </w:tcBorders>
            <w:shd w:val="clear" w:color="auto" w:fill="F2F2F2"/>
            <w:vAlign w:val="center"/>
          </w:tcPr>
          <w:p w14:paraId="6BD38502"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2CA2928B"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17</w:t>
            </w:r>
            <w:r w:rsidRPr="00AE0BC5">
              <w:rPr>
                <w:rFonts w:ascii="Arial" w:eastAsia="Times New Roman" w:hAnsi="Arial" w:cs="Arial"/>
                <w:color w:val="auto"/>
                <w:vertAlign w:val="superscript"/>
              </w:rPr>
              <w:t>th</w:t>
            </w:r>
            <w:r w:rsidRPr="00AE0BC5">
              <w:rPr>
                <w:rFonts w:ascii="Arial" w:eastAsia="Times New Roman" w:hAnsi="Arial" w:cs="Arial"/>
                <w:color w:val="auto"/>
              </w:rPr>
              <w:t xml:space="preserve"> May 2021</w:t>
            </w:r>
          </w:p>
        </w:tc>
      </w:tr>
      <w:tr w:rsidR="00AE0BC5" w:rsidRPr="00AE0BC5" w14:paraId="48E88F47" w14:textId="77777777" w:rsidTr="00AE0BC5">
        <w:trPr>
          <w:trHeight w:val="454"/>
        </w:trPr>
        <w:tc>
          <w:tcPr>
            <w:tcW w:w="272" w:type="pct"/>
            <w:tcBorders>
              <w:top w:val="single" w:sz="4" w:space="0" w:color="auto"/>
            </w:tcBorders>
            <w:shd w:val="clear" w:color="auto" w:fill="F2F2F2"/>
          </w:tcPr>
          <w:p w14:paraId="70E1433A" w14:textId="77777777" w:rsidR="00AE0BC5" w:rsidRPr="00AE0BC5" w:rsidRDefault="00AE0BC5" w:rsidP="00AE0BC5">
            <w:pPr>
              <w:spacing w:before="120" w:after="120" w:afterAutospacing="0" w:line="240" w:lineRule="auto"/>
              <w:rPr>
                <w:rFonts w:ascii="Arial" w:eastAsia="Times New Roman" w:hAnsi="Arial" w:cs="Arial"/>
                <w:color w:val="auto"/>
              </w:rPr>
            </w:pPr>
            <w:r w:rsidRPr="00AE0BC5">
              <w:rPr>
                <w:rFonts w:ascii="Arial" w:eastAsia="Times New Roman" w:hAnsi="Arial" w:cs="Arial"/>
                <w:color w:val="auto"/>
              </w:rPr>
              <w:t>3</w:t>
            </w:r>
          </w:p>
        </w:tc>
        <w:tc>
          <w:tcPr>
            <w:tcW w:w="4728" w:type="pct"/>
            <w:gridSpan w:val="4"/>
            <w:tcBorders>
              <w:top w:val="single" w:sz="4" w:space="0" w:color="auto"/>
            </w:tcBorders>
            <w:shd w:val="clear" w:color="auto" w:fill="F2F2F2"/>
            <w:vAlign w:val="center"/>
          </w:tcPr>
          <w:p w14:paraId="0CDD0C79" w14:textId="77777777" w:rsidR="00AE0BC5" w:rsidRPr="00AE0BC5" w:rsidRDefault="00AE0BC5" w:rsidP="00AE0BC5">
            <w:pPr>
              <w:spacing w:before="120" w:after="120" w:afterAutospacing="0" w:line="240" w:lineRule="auto"/>
              <w:rPr>
                <w:rFonts w:ascii="Arial" w:eastAsia="Times New Roman" w:hAnsi="Arial" w:cs="Arial"/>
                <w:b/>
                <w:color w:val="auto"/>
              </w:rPr>
            </w:pPr>
            <w:r w:rsidRPr="00AE0BC5">
              <w:rPr>
                <w:rFonts w:ascii="Arial" w:eastAsia="Times New Roman" w:hAnsi="Arial" w:cs="Arial"/>
                <w:b/>
                <w:color w:val="auto"/>
              </w:rPr>
              <w:t>Introduction to the Research (maximum 300 words)</w:t>
            </w:r>
          </w:p>
          <w:p w14:paraId="17342FF0" w14:textId="77777777" w:rsidR="00AE0BC5" w:rsidRPr="00AE0BC5" w:rsidRDefault="00AE0BC5" w:rsidP="00AE0BC5">
            <w:pPr>
              <w:spacing w:before="120" w:after="120" w:afterAutospacing="0" w:line="240" w:lineRule="auto"/>
              <w:rPr>
                <w:rFonts w:ascii="Arial" w:eastAsia="Times New Roman" w:hAnsi="Arial" w:cs="Arial"/>
                <w:b/>
                <w:color w:val="auto"/>
              </w:rPr>
            </w:pPr>
            <w:r w:rsidRPr="00AE0BC5">
              <w:rPr>
                <w:rFonts w:ascii="Arial" w:eastAsia="Times New Roman" w:hAnsi="Arial" w:cs="Arial"/>
                <w:b/>
                <w:color w:val="auto"/>
              </w:rPr>
              <w:t xml:space="preserve">Ensure that you write for a </w:t>
            </w:r>
            <w:r w:rsidRPr="00AE0BC5">
              <w:rPr>
                <w:rFonts w:ascii="Arial" w:eastAsia="Times New Roman" w:hAnsi="Arial" w:cs="Arial"/>
                <w:b/>
                <w:color w:val="auto"/>
                <w:u w:val="single"/>
              </w:rPr>
              <w:t>Non-Specialist Audience</w:t>
            </w:r>
            <w:r w:rsidRPr="00AE0BC5">
              <w:rPr>
                <w:rFonts w:ascii="Arial" w:eastAsia="Times New Roman" w:hAnsi="Arial" w:cs="Arial"/>
                <w:b/>
                <w:color w:val="auto"/>
              </w:rPr>
              <w:t xml:space="preserve"> when outlining your response to the three points below:</w:t>
            </w:r>
          </w:p>
          <w:p w14:paraId="481FC395" w14:textId="77777777" w:rsidR="00AE0BC5" w:rsidRPr="00AE0BC5" w:rsidRDefault="00AE0BC5" w:rsidP="00AE0BC5">
            <w:pPr>
              <w:numPr>
                <w:ilvl w:val="0"/>
                <w:numId w:val="3"/>
              </w:numPr>
              <w:spacing w:after="0" w:afterAutospacing="0" w:line="240" w:lineRule="auto"/>
              <w:rPr>
                <w:rFonts w:ascii="Arial" w:hAnsi="Arial" w:cs="Arial"/>
                <w:i/>
                <w:color w:val="auto"/>
              </w:rPr>
            </w:pPr>
            <w:r w:rsidRPr="00AE0BC5">
              <w:rPr>
                <w:rFonts w:ascii="Arial" w:hAnsi="Arial" w:cs="Arial"/>
                <w:i/>
                <w:color w:val="auto"/>
              </w:rPr>
              <w:t>Purpose of Research Activity</w:t>
            </w:r>
          </w:p>
          <w:p w14:paraId="059F0A38" w14:textId="77777777" w:rsidR="00AE0BC5" w:rsidRPr="00AE0BC5" w:rsidRDefault="00AE0BC5" w:rsidP="00AE0BC5">
            <w:pPr>
              <w:numPr>
                <w:ilvl w:val="0"/>
                <w:numId w:val="3"/>
              </w:numPr>
              <w:spacing w:after="0" w:afterAutospacing="0" w:line="240" w:lineRule="auto"/>
              <w:rPr>
                <w:rFonts w:ascii="Arial" w:hAnsi="Arial" w:cs="Arial"/>
                <w:i/>
                <w:color w:val="auto"/>
              </w:rPr>
            </w:pPr>
            <w:r w:rsidRPr="00AE0BC5">
              <w:rPr>
                <w:rFonts w:ascii="Arial" w:hAnsi="Arial" w:cs="Arial"/>
                <w:i/>
                <w:color w:val="auto"/>
              </w:rPr>
              <w:t>Proposed Research Question</w:t>
            </w:r>
          </w:p>
          <w:p w14:paraId="4157A6B7" w14:textId="77777777" w:rsidR="00AE0BC5" w:rsidRPr="00AE0BC5" w:rsidRDefault="00AE0BC5" w:rsidP="00AE0BC5">
            <w:pPr>
              <w:numPr>
                <w:ilvl w:val="0"/>
                <w:numId w:val="3"/>
              </w:numPr>
              <w:spacing w:after="0" w:afterAutospacing="0" w:line="240" w:lineRule="auto"/>
              <w:rPr>
                <w:rFonts w:ascii="Arial" w:hAnsi="Arial" w:cs="Arial"/>
                <w:i/>
                <w:color w:val="auto"/>
              </w:rPr>
            </w:pPr>
            <w:r w:rsidRPr="00AE0BC5">
              <w:rPr>
                <w:rFonts w:ascii="Arial" w:hAnsi="Arial" w:cs="Arial"/>
                <w:i/>
                <w:color w:val="auto"/>
              </w:rPr>
              <w:t>Aims of Research Activity</w:t>
            </w:r>
          </w:p>
          <w:p w14:paraId="5AA37FF0" w14:textId="77777777" w:rsidR="00AE0BC5" w:rsidRPr="00AE0BC5" w:rsidRDefault="00AE0BC5" w:rsidP="00AE0BC5">
            <w:pPr>
              <w:numPr>
                <w:ilvl w:val="0"/>
                <w:numId w:val="3"/>
              </w:numPr>
              <w:spacing w:after="0" w:afterAutospacing="0" w:line="240" w:lineRule="auto"/>
              <w:ind w:left="714" w:hanging="357"/>
              <w:rPr>
                <w:rFonts w:ascii="Arial" w:hAnsi="Arial" w:cs="Arial"/>
                <w:i/>
                <w:color w:val="auto"/>
              </w:rPr>
            </w:pPr>
            <w:r w:rsidRPr="00AE0BC5">
              <w:rPr>
                <w:rFonts w:ascii="Arial" w:hAnsi="Arial" w:cs="Arial"/>
                <w:i/>
                <w:color w:val="auto"/>
              </w:rPr>
              <w:t>Objectives of Research Activity</w:t>
            </w:r>
          </w:p>
          <w:p w14:paraId="4D7002A3" w14:textId="77777777" w:rsidR="00AE0BC5" w:rsidRPr="00AE0BC5" w:rsidRDefault="00AE0BC5" w:rsidP="00AE0BC5">
            <w:pPr>
              <w:spacing w:after="120" w:afterAutospacing="0" w:line="240" w:lineRule="auto"/>
              <w:rPr>
                <w:rFonts w:ascii="Arial" w:eastAsia="Times New Roman" w:hAnsi="Arial" w:cs="Arial"/>
                <w:color w:val="auto"/>
              </w:rPr>
            </w:pPr>
            <w:r w:rsidRPr="00AE0BC5">
              <w:rPr>
                <w:rFonts w:ascii="Arial" w:eastAsia="Times New Roman" w:hAnsi="Arial" w:cs="Arial"/>
                <w:color w:val="auto"/>
              </w:rPr>
              <w:t xml:space="preserve">Demonstrate, briefly, how </w:t>
            </w:r>
            <w:r w:rsidRPr="00AE0BC5">
              <w:rPr>
                <w:rFonts w:ascii="Arial" w:eastAsia="Times New Roman" w:hAnsi="Arial" w:cs="Arial"/>
                <w:b/>
                <w:color w:val="auto"/>
                <w:u w:val="single"/>
              </w:rPr>
              <w:t>Existing Research</w:t>
            </w:r>
            <w:r w:rsidRPr="00AE0BC5">
              <w:rPr>
                <w:rFonts w:ascii="Arial" w:eastAsia="Times New Roman" w:hAnsi="Arial" w:cs="Arial"/>
                <w:color w:val="auto"/>
              </w:rPr>
              <w:t xml:space="preserve"> has informed the proposed activity and explain</w:t>
            </w:r>
          </w:p>
          <w:p w14:paraId="5D2208FF" w14:textId="77777777" w:rsidR="00AE0BC5" w:rsidRPr="00AE0BC5" w:rsidRDefault="00AE0BC5" w:rsidP="00AE0BC5">
            <w:pPr>
              <w:numPr>
                <w:ilvl w:val="0"/>
                <w:numId w:val="3"/>
              </w:numPr>
              <w:spacing w:after="0" w:afterAutospacing="0" w:line="240" w:lineRule="auto"/>
              <w:rPr>
                <w:rFonts w:ascii="Arial" w:hAnsi="Arial" w:cs="Arial"/>
                <w:i/>
                <w:color w:val="auto"/>
              </w:rPr>
            </w:pPr>
            <w:r w:rsidRPr="00AE0BC5">
              <w:rPr>
                <w:rFonts w:ascii="Arial" w:hAnsi="Arial" w:cs="Arial"/>
                <w:i/>
                <w:color w:val="auto"/>
              </w:rPr>
              <w:t xml:space="preserve">What the research activity will add to the body of knowledge </w:t>
            </w:r>
          </w:p>
          <w:p w14:paraId="7DBFFA0C" w14:textId="77777777" w:rsidR="00AE0BC5" w:rsidRPr="00AE0BC5" w:rsidRDefault="00AE0BC5" w:rsidP="00AE0BC5">
            <w:pPr>
              <w:numPr>
                <w:ilvl w:val="0"/>
                <w:numId w:val="3"/>
              </w:numPr>
              <w:spacing w:after="0" w:afterAutospacing="0" w:line="240" w:lineRule="auto"/>
              <w:rPr>
                <w:rFonts w:ascii="Arial" w:hAnsi="Arial" w:cs="Arial"/>
                <w:color w:val="auto"/>
              </w:rPr>
            </w:pPr>
            <w:r w:rsidRPr="00AE0BC5">
              <w:rPr>
                <w:rFonts w:ascii="Arial" w:hAnsi="Arial" w:cs="Arial"/>
                <w:i/>
                <w:color w:val="auto"/>
              </w:rPr>
              <w:t xml:space="preserve">How it addresses an area of importance. </w:t>
            </w:r>
          </w:p>
        </w:tc>
      </w:tr>
      <w:tr w:rsidR="00AE0BC5" w:rsidRPr="00AE0BC5" w:rsidDel="002A152D" w14:paraId="7F388B26" w14:textId="77777777" w:rsidTr="00223E6D">
        <w:trPr>
          <w:trHeight w:val="454"/>
        </w:trPr>
        <w:tc>
          <w:tcPr>
            <w:tcW w:w="272" w:type="pct"/>
          </w:tcPr>
          <w:p w14:paraId="1CCD6672" w14:textId="77777777" w:rsidR="00AE0BC5" w:rsidRPr="00AE0BC5" w:rsidRDefault="00AE0BC5" w:rsidP="00AE0BC5">
            <w:pPr>
              <w:autoSpaceDE w:val="0"/>
              <w:autoSpaceDN w:val="0"/>
              <w:adjustRightInd w:val="0"/>
              <w:spacing w:after="0" w:afterAutospacing="0" w:line="240" w:lineRule="auto"/>
              <w:rPr>
                <w:rFonts w:ascii="Arial" w:eastAsia="Times New Roman" w:hAnsi="Arial" w:cs="Arial"/>
                <w:color w:val="auto"/>
              </w:rPr>
            </w:pPr>
            <w:r w:rsidRPr="00AE0BC5">
              <w:rPr>
                <w:rFonts w:ascii="Arial" w:eastAsia="Times New Roman" w:hAnsi="Arial" w:cs="Arial"/>
                <w:color w:val="auto"/>
              </w:rPr>
              <w:t>4</w:t>
            </w:r>
          </w:p>
        </w:tc>
        <w:tc>
          <w:tcPr>
            <w:tcW w:w="4728" w:type="pct"/>
            <w:gridSpan w:val="4"/>
            <w:vAlign w:val="center"/>
          </w:tcPr>
          <w:p w14:paraId="0EDFDA1D" w14:textId="77777777" w:rsidR="00AE0BC5" w:rsidRPr="00AE0BC5" w:rsidRDefault="00AE0BC5" w:rsidP="00AE0BC5">
            <w:pPr>
              <w:autoSpaceDE w:val="0"/>
              <w:autoSpaceDN w:val="0"/>
              <w:adjustRightInd w:val="0"/>
              <w:spacing w:after="0" w:afterAutospacing="0" w:line="240" w:lineRule="auto"/>
              <w:rPr>
                <w:rFonts w:ascii="Arial" w:eastAsia="Times New Roman" w:hAnsi="Arial" w:cs="Arial"/>
                <w:b/>
                <w:bCs/>
                <w:color w:val="auto"/>
              </w:rPr>
            </w:pPr>
            <w:r w:rsidRPr="00AE0BC5">
              <w:rPr>
                <w:rFonts w:ascii="Arial" w:eastAsia="Times New Roman" w:hAnsi="Arial" w:cs="Arial"/>
                <w:b/>
                <w:bCs/>
                <w:color w:val="auto"/>
              </w:rPr>
              <w:t>Purpose of Research Activity</w:t>
            </w:r>
          </w:p>
          <w:p w14:paraId="3CBF54F1" w14:textId="77777777" w:rsidR="00AE0BC5" w:rsidRPr="00AE0BC5" w:rsidRDefault="00AE0BC5" w:rsidP="00AE0BC5">
            <w:pPr>
              <w:spacing w:after="0" w:afterAutospacing="0" w:line="240" w:lineRule="auto"/>
              <w:rPr>
                <w:rFonts w:ascii="Arial" w:eastAsia="Times New Roman" w:hAnsi="Arial" w:cs="Arial"/>
                <w:color w:val="auto"/>
                <w:sz w:val="20"/>
                <w:szCs w:val="20"/>
              </w:rPr>
            </w:pPr>
          </w:p>
          <w:p w14:paraId="132A6331" w14:textId="77777777" w:rsidR="00AE0BC5" w:rsidRPr="00AE0BC5" w:rsidRDefault="00AE0BC5" w:rsidP="00AE0BC5">
            <w:pPr>
              <w:spacing w:after="0" w:afterAutospacing="0" w:line="240" w:lineRule="auto"/>
              <w:rPr>
                <w:rFonts w:ascii="Arial" w:eastAsia="Times New Roman" w:hAnsi="Arial" w:cs="Arial"/>
                <w:color w:val="auto"/>
                <w:sz w:val="20"/>
                <w:szCs w:val="20"/>
              </w:rPr>
            </w:pPr>
            <w:r w:rsidRPr="00AE0BC5">
              <w:rPr>
                <w:rFonts w:ascii="Arial" w:eastAsia="Times New Roman" w:hAnsi="Arial" w:cs="Arial"/>
                <w:color w:val="auto"/>
                <w:sz w:val="20"/>
                <w:szCs w:val="20"/>
              </w:rPr>
              <w:t>The purpose of this literature review is to identify whether research undertaken in the last few years can explain the interrelationships between the cognitive development, pubertal status, mental health and peer relationships of children and young people and how these might influence the extent of their risk-taking behaviours.</w:t>
            </w:r>
          </w:p>
          <w:p w14:paraId="5C2C06C5" w14:textId="77777777" w:rsidR="00AE0BC5" w:rsidRPr="00AE0BC5" w:rsidRDefault="00AE0BC5" w:rsidP="00AE0BC5">
            <w:pPr>
              <w:spacing w:after="0" w:afterAutospacing="0" w:line="240" w:lineRule="auto"/>
              <w:rPr>
                <w:rFonts w:ascii="Arial" w:eastAsia="Times New Roman" w:hAnsi="Arial" w:cs="Arial"/>
                <w:color w:val="auto"/>
                <w:sz w:val="20"/>
                <w:szCs w:val="20"/>
              </w:rPr>
            </w:pPr>
            <w:r w:rsidRPr="00AE0BC5">
              <w:rPr>
                <w:rFonts w:ascii="Arial" w:eastAsia="Times New Roman" w:hAnsi="Arial" w:cs="Arial"/>
                <w:color w:val="auto"/>
                <w:sz w:val="20"/>
                <w:szCs w:val="20"/>
              </w:rPr>
              <w:t xml:space="preserve">The conclusions drawn will enable consideration of whether these influences may be used as predictors of risk-taking behaviours. </w:t>
            </w:r>
          </w:p>
          <w:p w14:paraId="200CA7B5" w14:textId="77777777" w:rsidR="00AE0BC5" w:rsidRPr="00AE0BC5" w:rsidRDefault="00AE0BC5" w:rsidP="00AE0BC5">
            <w:pPr>
              <w:spacing w:after="0" w:afterAutospacing="0" w:line="240" w:lineRule="auto"/>
              <w:rPr>
                <w:rFonts w:ascii="Arial" w:eastAsia="Times New Roman" w:hAnsi="Arial" w:cs="Arial"/>
                <w:color w:val="auto"/>
                <w:sz w:val="20"/>
                <w:szCs w:val="20"/>
              </w:rPr>
            </w:pPr>
          </w:p>
          <w:p w14:paraId="208A9310" w14:textId="77777777" w:rsidR="00AE0BC5" w:rsidRPr="00AE0BC5" w:rsidDel="00425DA7" w:rsidRDefault="00AE0BC5" w:rsidP="00AE0BC5">
            <w:pPr>
              <w:spacing w:after="0" w:afterAutospacing="0" w:line="240" w:lineRule="auto"/>
              <w:rPr>
                <w:rFonts w:ascii="Arial" w:eastAsia="Times New Roman" w:hAnsi="Arial" w:cs="Arial"/>
                <w:color w:val="auto"/>
                <w:sz w:val="20"/>
                <w:szCs w:val="20"/>
              </w:rPr>
            </w:pPr>
            <w:r w:rsidRPr="00AE0BC5">
              <w:rPr>
                <w:rFonts w:ascii="Arial" w:eastAsia="Times New Roman" w:hAnsi="Arial" w:cs="Arial"/>
                <w:color w:val="808080"/>
                <w:sz w:val="18"/>
                <w:szCs w:val="18"/>
              </w:rPr>
              <w:t>(</w:t>
            </w:r>
            <w:proofErr w:type="gramStart"/>
            <w:r w:rsidRPr="00AE0BC5">
              <w:rPr>
                <w:rFonts w:ascii="Arial" w:eastAsia="Times New Roman" w:hAnsi="Arial" w:cs="Arial"/>
                <w:color w:val="808080"/>
                <w:sz w:val="18"/>
                <w:szCs w:val="18"/>
              </w:rPr>
              <w:t>this</w:t>
            </w:r>
            <w:proofErr w:type="gramEnd"/>
            <w:r w:rsidRPr="00AE0BC5">
              <w:rPr>
                <w:rFonts w:ascii="Arial" w:eastAsia="Times New Roman" w:hAnsi="Arial" w:cs="Arial"/>
                <w:color w:val="808080"/>
                <w:sz w:val="18"/>
                <w:szCs w:val="18"/>
              </w:rPr>
              <w:t xml:space="preserve"> box should expand as you type)</w:t>
            </w:r>
          </w:p>
        </w:tc>
      </w:tr>
      <w:tr w:rsidR="00AE0BC5" w:rsidRPr="00AE0BC5" w:rsidDel="002A152D" w14:paraId="0470BE3D" w14:textId="77777777" w:rsidTr="00223E6D">
        <w:trPr>
          <w:trHeight w:val="454"/>
        </w:trPr>
        <w:tc>
          <w:tcPr>
            <w:tcW w:w="272" w:type="pct"/>
          </w:tcPr>
          <w:p w14:paraId="373F35CE" w14:textId="77777777" w:rsidR="00AE0BC5" w:rsidRPr="00AE0BC5" w:rsidRDefault="00AE0BC5" w:rsidP="00AE0BC5">
            <w:pPr>
              <w:autoSpaceDE w:val="0"/>
              <w:autoSpaceDN w:val="0"/>
              <w:adjustRightInd w:val="0"/>
              <w:spacing w:after="0" w:afterAutospacing="0" w:line="240" w:lineRule="auto"/>
              <w:rPr>
                <w:rFonts w:ascii="Arial" w:eastAsia="Times New Roman" w:hAnsi="Arial" w:cs="Arial"/>
                <w:color w:val="auto"/>
              </w:rPr>
            </w:pPr>
            <w:r w:rsidRPr="00AE0BC5">
              <w:rPr>
                <w:rFonts w:ascii="Arial" w:eastAsia="Times New Roman" w:hAnsi="Arial" w:cs="Arial"/>
                <w:color w:val="auto"/>
              </w:rPr>
              <w:t>5</w:t>
            </w:r>
          </w:p>
        </w:tc>
        <w:tc>
          <w:tcPr>
            <w:tcW w:w="4728" w:type="pct"/>
            <w:gridSpan w:val="4"/>
            <w:vAlign w:val="center"/>
          </w:tcPr>
          <w:p w14:paraId="0EFFE333" w14:textId="77777777" w:rsidR="00AE0BC5" w:rsidRPr="00AE0BC5" w:rsidRDefault="00AE0BC5" w:rsidP="00AE0BC5">
            <w:pPr>
              <w:autoSpaceDE w:val="0"/>
              <w:autoSpaceDN w:val="0"/>
              <w:adjustRightInd w:val="0"/>
              <w:spacing w:after="0" w:afterAutospacing="0" w:line="240" w:lineRule="auto"/>
              <w:rPr>
                <w:rFonts w:ascii="Arial" w:eastAsia="Times New Roman" w:hAnsi="Arial" w:cs="Arial"/>
                <w:b/>
                <w:bCs/>
                <w:color w:val="auto"/>
              </w:rPr>
            </w:pPr>
            <w:r w:rsidRPr="00AE0BC5">
              <w:rPr>
                <w:rFonts w:ascii="Arial" w:eastAsia="Times New Roman" w:hAnsi="Arial" w:cs="Arial"/>
                <w:b/>
                <w:bCs/>
                <w:color w:val="auto"/>
              </w:rPr>
              <w:t>Research Question</w:t>
            </w:r>
          </w:p>
          <w:p w14:paraId="09BBDA52" w14:textId="77777777" w:rsidR="00AE0BC5" w:rsidRPr="00AE0BC5" w:rsidRDefault="00AE0BC5" w:rsidP="00AE0BC5">
            <w:pPr>
              <w:spacing w:after="0" w:afterAutospacing="0" w:line="240" w:lineRule="auto"/>
              <w:rPr>
                <w:rFonts w:ascii="Arial" w:eastAsia="Times New Roman" w:hAnsi="Arial" w:cs="Arial"/>
                <w:color w:val="auto"/>
                <w:sz w:val="20"/>
                <w:szCs w:val="20"/>
              </w:rPr>
            </w:pPr>
          </w:p>
          <w:p w14:paraId="06B33783" w14:textId="77777777" w:rsidR="00AE0BC5" w:rsidRPr="00AE0BC5" w:rsidRDefault="00AE0BC5" w:rsidP="00AE0BC5">
            <w:pPr>
              <w:spacing w:after="0" w:afterAutospacing="0" w:line="240" w:lineRule="auto"/>
              <w:rPr>
                <w:rFonts w:ascii="Arial" w:eastAsia="Times New Roman" w:hAnsi="Arial" w:cs="Arial"/>
                <w:color w:val="auto"/>
                <w:sz w:val="20"/>
                <w:szCs w:val="20"/>
              </w:rPr>
            </w:pPr>
            <w:r w:rsidRPr="00AE0BC5">
              <w:rPr>
                <w:rFonts w:ascii="Arial" w:eastAsia="Times New Roman" w:hAnsi="Arial" w:cs="Arial"/>
                <w:color w:val="auto"/>
                <w:sz w:val="20"/>
                <w:szCs w:val="20"/>
              </w:rPr>
              <w:t xml:space="preserve">To what extent do cognitive development, puberty, mental health and peers influence children and young people’s risk-taking behaviours, and how can the conclusions drawn be used to inform youth work practice? </w:t>
            </w:r>
          </w:p>
          <w:p w14:paraId="24654727" w14:textId="77777777" w:rsidR="00AE0BC5" w:rsidRPr="00AE0BC5" w:rsidRDefault="00AE0BC5" w:rsidP="00AE0BC5">
            <w:pPr>
              <w:spacing w:after="0" w:afterAutospacing="0" w:line="240" w:lineRule="auto"/>
              <w:rPr>
                <w:rFonts w:ascii="Arial" w:eastAsia="Times New Roman" w:hAnsi="Arial" w:cs="Arial"/>
                <w:color w:val="auto"/>
              </w:rPr>
            </w:pPr>
          </w:p>
          <w:p w14:paraId="5C675D3C" w14:textId="77777777" w:rsidR="00AE0BC5" w:rsidRPr="00AE0BC5" w:rsidRDefault="00AE0BC5" w:rsidP="00AE0BC5">
            <w:pPr>
              <w:autoSpaceDE w:val="0"/>
              <w:autoSpaceDN w:val="0"/>
              <w:adjustRightInd w:val="0"/>
              <w:spacing w:after="0" w:afterAutospacing="0" w:line="240" w:lineRule="auto"/>
              <w:rPr>
                <w:rFonts w:ascii="Arial" w:eastAsia="Times New Roman" w:hAnsi="Arial" w:cs="Arial"/>
                <w:b/>
                <w:bCs/>
                <w:color w:val="auto"/>
              </w:rPr>
            </w:pPr>
            <w:r w:rsidRPr="00AE0BC5">
              <w:rPr>
                <w:rFonts w:ascii="Arial" w:eastAsia="Times New Roman" w:hAnsi="Arial" w:cs="Arial"/>
                <w:color w:val="auto"/>
                <w:sz w:val="18"/>
                <w:szCs w:val="18"/>
              </w:rPr>
              <w:t>(</w:t>
            </w:r>
            <w:proofErr w:type="gramStart"/>
            <w:r w:rsidRPr="00AE0BC5">
              <w:rPr>
                <w:rFonts w:ascii="Arial" w:eastAsia="Times New Roman" w:hAnsi="Arial" w:cs="Arial"/>
                <w:color w:val="auto"/>
                <w:sz w:val="18"/>
                <w:szCs w:val="18"/>
              </w:rPr>
              <w:t>this</w:t>
            </w:r>
            <w:proofErr w:type="gramEnd"/>
            <w:r w:rsidRPr="00AE0BC5">
              <w:rPr>
                <w:rFonts w:ascii="Arial" w:eastAsia="Times New Roman" w:hAnsi="Arial" w:cs="Arial"/>
                <w:color w:val="auto"/>
                <w:sz w:val="18"/>
                <w:szCs w:val="18"/>
              </w:rPr>
              <w:t xml:space="preserve"> box should expand as you type)</w:t>
            </w:r>
          </w:p>
        </w:tc>
      </w:tr>
      <w:tr w:rsidR="00AE0BC5" w:rsidRPr="00AE0BC5" w14:paraId="36725859" w14:textId="77777777" w:rsidTr="00223E6D">
        <w:trPr>
          <w:trHeight w:val="454"/>
        </w:trPr>
        <w:tc>
          <w:tcPr>
            <w:tcW w:w="272" w:type="pct"/>
          </w:tcPr>
          <w:p w14:paraId="743ECBCD" w14:textId="77777777" w:rsidR="00AE0BC5" w:rsidRPr="00AE0BC5" w:rsidRDefault="00AE0BC5" w:rsidP="00AE0BC5">
            <w:pPr>
              <w:autoSpaceDE w:val="0"/>
              <w:autoSpaceDN w:val="0"/>
              <w:adjustRightInd w:val="0"/>
              <w:spacing w:after="0" w:afterAutospacing="0" w:line="240" w:lineRule="auto"/>
              <w:rPr>
                <w:rFonts w:ascii="Arial" w:eastAsia="Times New Roman" w:hAnsi="Arial" w:cs="Arial"/>
                <w:color w:val="auto"/>
              </w:rPr>
            </w:pPr>
            <w:r w:rsidRPr="00AE0BC5">
              <w:rPr>
                <w:rFonts w:ascii="Arial" w:eastAsia="Times New Roman" w:hAnsi="Arial" w:cs="Arial"/>
                <w:color w:val="auto"/>
              </w:rPr>
              <w:lastRenderedPageBreak/>
              <w:t>6</w:t>
            </w:r>
          </w:p>
        </w:tc>
        <w:tc>
          <w:tcPr>
            <w:tcW w:w="4728" w:type="pct"/>
            <w:gridSpan w:val="4"/>
            <w:vAlign w:val="center"/>
          </w:tcPr>
          <w:p w14:paraId="281D66AB" w14:textId="77777777" w:rsidR="00AE0BC5" w:rsidRPr="00AE0BC5" w:rsidRDefault="00AE0BC5" w:rsidP="00AE0BC5">
            <w:pPr>
              <w:autoSpaceDE w:val="0"/>
              <w:autoSpaceDN w:val="0"/>
              <w:adjustRightInd w:val="0"/>
              <w:spacing w:after="0" w:afterAutospacing="0" w:line="240" w:lineRule="auto"/>
              <w:rPr>
                <w:rFonts w:ascii="Arial" w:eastAsia="Times New Roman" w:hAnsi="Arial" w:cs="Arial"/>
                <w:b/>
                <w:bCs/>
                <w:color w:val="auto"/>
              </w:rPr>
            </w:pPr>
            <w:r w:rsidRPr="00AE0BC5">
              <w:rPr>
                <w:rFonts w:ascii="Arial" w:eastAsia="Times New Roman" w:hAnsi="Arial" w:cs="Arial"/>
                <w:b/>
                <w:bCs/>
                <w:color w:val="auto"/>
              </w:rPr>
              <w:t>Aims of Research Activity</w:t>
            </w:r>
          </w:p>
          <w:p w14:paraId="0AF876E1" w14:textId="77777777" w:rsidR="00AE0BC5" w:rsidRPr="00AE0BC5" w:rsidRDefault="00AE0BC5" w:rsidP="00AE0BC5">
            <w:pPr>
              <w:spacing w:after="0" w:afterAutospacing="0" w:line="240" w:lineRule="auto"/>
              <w:rPr>
                <w:rFonts w:ascii="Arial" w:eastAsia="Times New Roman" w:hAnsi="Arial" w:cs="Arial"/>
                <w:color w:val="auto"/>
                <w:sz w:val="20"/>
                <w:szCs w:val="20"/>
              </w:rPr>
            </w:pPr>
          </w:p>
          <w:p w14:paraId="78F55786" w14:textId="77777777" w:rsidR="00AE0BC5" w:rsidRPr="00AE0BC5" w:rsidRDefault="00AE0BC5" w:rsidP="00AE0BC5">
            <w:pPr>
              <w:spacing w:after="0" w:afterAutospacing="0" w:line="240" w:lineRule="auto"/>
              <w:rPr>
                <w:rFonts w:ascii="Arial" w:eastAsia="Times New Roman" w:hAnsi="Arial" w:cs="Arial"/>
                <w:color w:val="auto"/>
                <w:sz w:val="20"/>
                <w:szCs w:val="20"/>
              </w:rPr>
            </w:pPr>
            <w:r w:rsidRPr="00AE0BC5">
              <w:rPr>
                <w:rFonts w:ascii="Arial" w:eastAsia="Times New Roman" w:hAnsi="Arial" w:cs="Arial"/>
                <w:color w:val="auto"/>
                <w:sz w:val="20"/>
                <w:szCs w:val="20"/>
              </w:rPr>
              <w:t>The aim of this research is to identify or suggest indicators and/or predictors that youth work practitioners might use to shape their thinking, approach and work with children and young people who are either undertaking risky behaviour or indicating the possibility or likelihood of doing so in the future.</w:t>
            </w:r>
          </w:p>
          <w:p w14:paraId="772B9BF3" w14:textId="77777777" w:rsidR="00AE0BC5" w:rsidRPr="00AE0BC5" w:rsidRDefault="00AE0BC5" w:rsidP="00AE0BC5">
            <w:pPr>
              <w:spacing w:after="0" w:afterAutospacing="0" w:line="240" w:lineRule="auto"/>
              <w:rPr>
                <w:rFonts w:ascii="Arial" w:eastAsia="Times New Roman" w:hAnsi="Arial" w:cs="Arial"/>
                <w:color w:val="auto"/>
              </w:rPr>
            </w:pPr>
          </w:p>
          <w:p w14:paraId="5F0AA53F" w14:textId="77777777" w:rsidR="00AE0BC5" w:rsidRPr="00AE0BC5" w:rsidRDefault="00AE0BC5" w:rsidP="00AE0BC5">
            <w:pPr>
              <w:spacing w:after="0" w:afterAutospacing="0" w:line="240" w:lineRule="auto"/>
              <w:rPr>
                <w:rFonts w:ascii="Arial" w:eastAsia="Times New Roman" w:hAnsi="Arial" w:cs="Arial"/>
                <w:color w:val="auto"/>
                <w:sz w:val="20"/>
                <w:szCs w:val="20"/>
              </w:rPr>
            </w:pPr>
            <w:r w:rsidRPr="00AE0BC5">
              <w:rPr>
                <w:rFonts w:ascii="Arial" w:eastAsia="Times New Roman" w:hAnsi="Arial" w:cs="Arial"/>
                <w:color w:val="808080"/>
                <w:sz w:val="18"/>
                <w:szCs w:val="18"/>
              </w:rPr>
              <w:t>(</w:t>
            </w:r>
            <w:proofErr w:type="gramStart"/>
            <w:r w:rsidRPr="00AE0BC5">
              <w:rPr>
                <w:rFonts w:ascii="Arial" w:eastAsia="Times New Roman" w:hAnsi="Arial" w:cs="Arial"/>
                <w:color w:val="808080"/>
                <w:sz w:val="18"/>
                <w:szCs w:val="18"/>
              </w:rPr>
              <w:t>this</w:t>
            </w:r>
            <w:proofErr w:type="gramEnd"/>
            <w:r w:rsidRPr="00AE0BC5">
              <w:rPr>
                <w:rFonts w:ascii="Arial" w:eastAsia="Times New Roman" w:hAnsi="Arial" w:cs="Arial"/>
                <w:color w:val="808080"/>
                <w:sz w:val="18"/>
                <w:szCs w:val="18"/>
              </w:rPr>
              <w:t xml:space="preserve"> box should expand as you type)</w:t>
            </w:r>
          </w:p>
        </w:tc>
      </w:tr>
      <w:tr w:rsidR="00AE0BC5" w:rsidRPr="00AE0BC5" w14:paraId="3D93FA96" w14:textId="77777777" w:rsidTr="00223E6D">
        <w:trPr>
          <w:trHeight w:val="454"/>
        </w:trPr>
        <w:tc>
          <w:tcPr>
            <w:tcW w:w="272" w:type="pct"/>
          </w:tcPr>
          <w:p w14:paraId="5BB42ED7" w14:textId="77777777" w:rsidR="00AE0BC5" w:rsidRPr="00AE0BC5" w:rsidRDefault="00AE0BC5" w:rsidP="00AE0BC5">
            <w:pPr>
              <w:autoSpaceDE w:val="0"/>
              <w:autoSpaceDN w:val="0"/>
              <w:adjustRightInd w:val="0"/>
              <w:spacing w:after="0" w:afterAutospacing="0" w:line="240" w:lineRule="auto"/>
              <w:rPr>
                <w:rFonts w:ascii="Arial" w:eastAsia="Times New Roman" w:hAnsi="Arial" w:cs="Arial"/>
                <w:color w:val="auto"/>
              </w:rPr>
            </w:pPr>
            <w:r w:rsidRPr="00AE0BC5">
              <w:rPr>
                <w:rFonts w:ascii="Arial" w:eastAsia="Times New Roman" w:hAnsi="Arial" w:cs="Arial"/>
                <w:color w:val="auto"/>
              </w:rPr>
              <w:t>7</w:t>
            </w:r>
          </w:p>
        </w:tc>
        <w:tc>
          <w:tcPr>
            <w:tcW w:w="4728" w:type="pct"/>
            <w:gridSpan w:val="4"/>
            <w:vAlign w:val="center"/>
          </w:tcPr>
          <w:p w14:paraId="2A75C626" w14:textId="77777777" w:rsidR="00AE0BC5" w:rsidRPr="00AE0BC5" w:rsidRDefault="00AE0BC5" w:rsidP="00AE0BC5">
            <w:pPr>
              <w:autoSpaceDE w:val="0"/>
              <w:autoSpaceDN w:val="0"/>
              <w:adjustRightInd w:val="0"/>
              <w:spacing w:after="0" w:afterAutospacing="0" w:line="240" w:lineRule="auto"/>
              <w:rPr>
                <w:rFonts w:ascii="Arial" w:eastAsia="Times New Roman" w:hAnsi="Arial" w:cs="Arial"/>
                <w:b/>
                <w:bCs/>
                <w:color w:val="auto"/>
              </w:rPr>
            </w:pPr>
            <w:r w:rsidRPr="00AE0BC5">
              <w:rPr>
                <w:rFonts w:ascii="Arial" w:eastAsia="Times New Roman" w:hAnsi="Arial" w:cs="Arial"/>
                <w:b/>
                <w:bCs/>
                <w:color w:val="auto"/>
              </w:rPr>
              <w:t>Objectives of Research Activity</w:t>
            </w:r>
          </w:p>
          <w:p w14:paraId="033F63B2" w14:textId="77777777" w:rsidR="00AE0BC5" w:rsidRPr="00AE0BC5" w:rsidRDefault="00AE0BC5" w:rsidP="00AE0BC5">
            <w:pPr>
              <w:spacing w:after="0" w:afterAutospacing="0" w:line="240" w:lineRule="auto"/>
              <w:rPr>
                <w:rFonts w:ascii="Arial" w:eastAsia="Times New Roman" w:hAnsi="Arial" w:cs="Arial"/>
                <w:color w:val="auto"/>
                <w:sz w:val="20"/>
                <w:szCs w:val="20"/>
              </w:rPr>
            </w:pPr>
          </w:p>
          <w:p w14:paraId="31E04682" w14:textId="77777777" w:rsidR="00AE0BC5" w:rsidRPr="00AE0BC5" w:rsidRDefault="00AE0BC5" w:rsidP="00AE0BC5">
            <w:pPr>
              <w:spacing w:after="0" w:afterAutospacing="0" w:line="240" w:lineRule="auto"/>
              <w:rPr>
                <w:rFonts w:ascii="Arial" w:eastAsia="Times New Roman" w:hAnsi="Arial" w:cs="Arial"/>
                <w:color w:val="auto"/>
                <w:sz w:val="20"/>
                <w:szCs w:val="20"/>
              </w:rPr>
            </w:pPr>
            <w:r w:rsidRPr="00AE0BC5">
              <w:rPr>
                <w:rFonts w:ascii="Arial" w:eastAsia="Times New Roman" w:hAnsi="Arial" w:cs="Arial"/>
                <w:color w:val="auto"/>
                <w:sz w:val="20"/>
                <w:szCs w:val="20"/>
              </w:rPr>
              <w:t>To provide youth workers with additional early intervention and prevention skills and knowledge.</w:t>
            </w:r>
          </w:p>
          <w:p w14:paraId="03FDAE77" w14:textId="77777777" w:rsidR="00AE0BC5" w:rsidRPr="00AE0BC5" w:rsidRDefault="00AE0BC5" w:rsidP="00AE0BC5">
            <w:pPr>
              <w:spacing w:after="0" w:afterAutospacing="0" w:line="240" w:lineRule="auto"/>
              <w:rPr>
                <w:rFonts w:ascii="Arial" w:eastAsia="Times New Roman" w:hAnsi="Arial" w:cs="Arial"/>
                <w:color w:val="auto"/>
              </w:rPr>
            </w:pPr>
          </w:p>
          <w:p w14:paraId="361ACF6B"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808080"/>
                <w:sz w:val="18"/>
                <w:szCs w:val="18"/>
              </w:rPr>
              <w:t>(</w:t>
            </w:r>
            <w:proofErr w:type="gramStart"/>
            <w:r w:rsidRPr="00AE0BC5">
              <w:rPr>
                <w:rFonts w:ascii="Arial" w:eastAsia="Times New Roman" w:hAnsi="Arial" w:cs="Arial"/>
                <w:color w:val="808080"/>
                <w:sz w:val="18"/>
                <w:szCs w:val="18"/>
              </w:rPr>
              <w:t>this</w:t>
            </w:r>
            <w:proofErr w:type="gramEnd"/>
            <w:r w:rsidRPr="00AE0BC5">
              <w:rPr>
                <w:rFonts w:ascii="Arial" w:eastAsia="Times New Roman" w:hAnsi="Arial" w:cs="Arial"/>
                <w:color w:val="808080"/>
                <w:sz w:val="18"/>
                <w:szCs w:val="18"/>
              </w:rPr>
              <w:t xml:space="preserve"> box should expand as you type)</w:t>
            </w:r>
          </w:p>
        </w:tc>
      </w:tr>
      <w:tr w:rsidR="00AE0BC5" w:rsidRPr="00AE0BC5" w14:paraId="3D489694" w14:textId="77777777" w:rsidTr="00AE0BC5">
        <w:trPr>
          <w:trHeight w:val="454"/>
        </w:trPr>
        <w:tc>
          <w:tcPr>
            <w:tcW w:w="272" w:type="pct"/>
            <w:shd w:val="clear" w:color="auto" w:fill="F2F2F2"/>
          </w:tcPr>
          <w:p w14:paraId="7101279A" w14:textId="77777777" w:rsidR="00AE0BC5" w:rsidRPr="00AE0BC5" w:rsidRDefault="00AE0BC5" w:rsidP="00AE0BC5">
            <w:pPr>
              <w:spacing w:before="120" w:after="120" w:afterAutospacing="0" w:line="240" w:lineRule="auto"/>
              <w:rPr>
                <w:rFonts w:ascii="Arial" w:eastAsia="Times New Roman" w:hAnsi="Arial" w:cs="Arial"/>
                <w:color w:val="auto"/>
              </w:rPr>
            </w:pPr>
            <w:r w:rsidRPr="00AE0BC5">
              <w:rPr>
                <w:rFonts w:ascii="Arial" w:eastAsia="Times New Roman" w:hAnsi="Arial" w:cs="Arial"/>
                <w:color w:val="auto"/>
              </w:rPr>
              <w:t>8</w:t>
            </w:r>
          </w:p>
        </w:tc>
        <w:tc>
          <w:tcPr>
            <w:tcW w:w="4728" w:type="pct"/>
            <w:gridSpan w:val="4"/>
            <w:shd w:val="clear" w:color="auto" w:fill="F2F2F2"/>
            <w:vAlign w:val="center"/>
          </w:tcPr>
          <w:p w14:paraId="54593A5A" w14:textId="77777777" w:rsidR="00AE0BC5" w:rsidRPr="00AE0BC5" w:rsidRDefault="00AE0BC5" w:rsidP="00AE0BC5">
            <w:pPr>
              <w:spacing w:before="120" w:after="120" w:afterAutospacing="0" w:line="240" w:lineRule="auto"/>
              <w:rPr>
                <w:rFonts w:ascii="Arial" w:eastAsia="Times New Roman" w:hAnsi="Arial" w:cs="Arial"/>
                <w:b/>
                <w:color w:val="auto"/>
              </w:rPr>
            </w:pPr>
            <w:r w:rsidRPr="00AE0BC5">
              <w:rPr>
                <w:rFonts w:ascii="Arial" w:eastAsia="Times New Roman" w:hAnsi="Arial" w:cs="Arial"/>
                <w:b/>
                <w:color w:val="auto"/>
              </w:rPr>
              <w:t>Proposed methods (maximum 600 words)</w:t>
            </w:r>
          </w:p>
          <w:p w14:paraId="7E206ED3"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 xml:space="preserve">Provide a brief summary of all the methods that </w:t>
            </w:r>
            <w:r w:rsidRPr="00AE0BC5">
              <w:rPr>
                <w:rFonts w:ascii="Arial" w:eastAsia="Times New Roman" w:hAnsi="Arial" w:cs="Arial"/>
                <w:b/>
                <w:color w:val="auto"/>
              </w:rPr>
              <w:t>may</w:t>
            </w:r>
            <w:r w:rsidRPr="00AE0BC5">
              <w:rPr>
                <w:rFonts w:ascii="Arial" w:eastAsia="Times New Roman" w:hAnsi="Arial" w:cs="Arial"/>
                <w:color w:val="auto"/>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AE0BC5" w:rsidRPr="00AE0BC5" w14:paraId="565F75FA" w14:textId="77777777" w:rsidTr="00223E6D">
        <w:trPr>
          <w:trHeight w:val="454"/>
        </w:trPr>
        <w:tc>
          <w:tcPr>
            <w:tcW w:w="272" w:type="pct"/>
          </w:tcPr>
          <w:p w14:paraId="24C58468"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9</w:t>
            </w:r>
          </w:p>
        </w:tc>
        <w:tc>
          <w:tcPr>
            <w:tcW w:w="4728" w:type="pct"/>
            <w:gridSpan w:val="4"/>
            <w:vAlign w:val="center"/>
          </w:tcPr>
          <w:p w14:paraId="48755F0D" w14:textId="77777777" w:rsidR="00AE0BC5" w:rsidRPr="00AE0BC5" w:rsidRDefault="00AE0BC5" w:rsidP="00AE0BC5">
            <w:pPr>
              <w:spacing w:after="0" w:afterAutospacing="0" w:line="240" w:lineRule="auto"/>
              <w:rPr>
                <w:rFonts w:ascii="Arial" w:eastAsia="Times New Roman" w:hAnsi="Arial" w:cs="Arial"/>
                <w:color w:val="auto"/>
              </w:rPr>
            </w:pPr>
          </w:p>
          <w:p w14:paraId="59CC4452"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This research will be conducted by literature review.</w:t>
            </w:r>
          </w:p>
          <w:p w14:paraId="0C65EC63" w14:textId="77777777" w:rsidR="00AE0BC5" w:rsidRPr="00AE0BC5" w:rsidRDefault="00AE0BC5" w:rsidP="00AE0BC5">
            <w:pPr>
              <w:spacing w:after="0" w:afterAutospacing="0" w:line="240" w:lineRule="auto"/>
              <w:rPr>
                <w:rFonts w:ascii="Arial" w:eastAsia="Times New Roman" w:hAnsi="Arial" w:cs="Arial"/>
                <w:color w:val="auto"/>
              </w:rPr>
            </w:pPr>
          </w:p>
          <w:p w14:paraId="3D2A4956"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It will be conducted through a critical review of recent peer-reviewed research literature from appropriate academic sources.</w:t>
            </w:r>
            <w:r w:rsidRPr="00AE0BC5">
              <w:rPr>
                <w:rFonts w:ascii="Arial" w:eastAsia="Times New Roman" w:hAnsi="Arial" w:cs="Arial"/>
                <w:color w:val="auto"/>
              </w:rPr>
              <w:cr/>
              <w:t>It may include statistics from government sources.</w:t>
            </w:r>
          </w:p>
          <w:p w14:paraId="1A4C4B00"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It may include information in the public domain that has been published by relevant professional bodies or organisations.</w:t>
            </w:r>
          </w:p>
          <w:p w14:paraId="7BE601E8" w14:textId="77777777" w:rsidR="00AE0BC5" w:rsidRPr="00AE0BC5" w:rsidRDefault="00AE0BC5" w:rsidP="00AE0BC5">
            <w:pPr>
              <w:spacing w:after="0" w:afterAutospacing="0" w:line="240" w:lineRule="auto"/>
              <w:rPr>
                <w:rFonts w:ascii="Arial" w:eastAsia="Times New Roman" w:hAnsi="Arial" w:cs="Arial"/>
                <w:color w:val="auto"/>
              </w:rPr>
            </w:pPr>
          </w:p>
          <w:p w14:paraId="41E4295A"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 xml:space="preserve">These methods have been selected as they offer reliable sources that are readily accessible during the ‘stay at home’ lockdowns we are experiencing during the Covid-19 pandemic.  </w:t>
            </w:r>
          </w:p>
          <w:p w14:paraId="69133623" w14:textId="77777777" w:rsidR="00AE0BC5" w:rsidRPr="00AE0BC5" w:rsidRDefault="00AE0BC5" w:rsidP="00AE0BC5">
            <w:pPr>
              <w:spacing w:after="0" w:afterAutospacing="0" w:line="240" w:lineRule="auto"/>
              <w:rPr>
                <w:rFonts w:ascii="Arial" w:eastAsia="Times New Roman" w:hAnsi="Arial" w:cs="Arial"/>
                <w:color w:val="auto"/>
              </w:rPr>
            </w:pPr>
          </w:p>
          <w:p w14:paraId="2110D1C1" w14:textId="77777777" w:rsidR="00AE0BC5" w:rsidRPr="00AE0BC5" w:rsidRDefault="00AE0BC5" w:rsidP="00AE0BC5">
            <w:pPr>
              <w:spacing w:after="0" w:afterAutospacing="0" w:line="240" w:lineRule="auto"/>
              <w:rPr>
                <w:rFonts w:ascii="Arial" w:eastAsia="Times New Roman" w:hAnsi="Arial" w:cs="Arial"/>
                <w:color w:val="auto"/>
              </w:rPr>
            </w:pPr>
          </w:p>
          <w:p w14:paraId="1D4BA851" w14:textId="77777777" w:rsidR="00AE0BC5" w:rsidRPr="00AE0BC5" w:rsidRDefault="00AE0BC5" w:rsidP="00AE0BC5">
            <w:pPr>
              <w:spacing w:after="0" w:afterAutospacing="0" w:line="240" w:lineRule="auto"/>
              <w:rPr>
                <w:rFonts w:ascii="Arial" w:eastAsia="Times New Roman" w:hAnsi="Arial" w:cs="Arial"/>
                <w:color w:val="auto"/>
              </w:rPr>
            </w:pPr>
          </w:p>
          <w:p w14:paraId="7A84DEAC" w14:textId="77777777" w:rsidR="00AE0BC5" w:rsidRPr="00AE0BC5" w:rsidRDefault="00AE0BC5" w:rsidP="00AE0BC5">
            <w:pPr>
              <w:spacing w:after="0" w:afterAutospacing="0" w:line="240" w:lineRule="auto"/>
              <w:rPr>
                <w:rFonts w:ascii="Arial" w:eastAsia="Times New Roman" w:hAnsi="Arial" w:cs="Arial"/>
                <w:b/>
                <w:color w:val="auto"/>
              </w:rPr>
            </w:pPr>
            <w:r w:rsidRPr="00AE0BC5">
              <w:rPr>
                <w:rFonts w:ascii="Arial" w:eastAsia="Times New Roman" w:hAnsi="Arial" w:cs="Arial"/>
                <w:color w:val="808080"/>
                <w:sz w:val="18"/>
                <w:szCs w:val="18"/>
              </w:rPr>
              <w:t>(</w:t>
            </w:r>
            <w:proofErr w:type="gramStart"/>
            <w:r w:rsidRPr="00AE0BC5">
              <w:rPr>
                <w:rFonts w:ascii="Arial" w:eastAsia="Times New Roman" w:hAnsi="Arial" w:cs="Arial"/>
                <w:color w:val="808080"/>
                <w:sz w:val="18"/>
                <w:szCs w:val="18"/>
              </w:rPr>
              <w:t>this</w:t>
            </w:r>
            <w:proofErr w:type="gramEnd"/>
            <w:r w:rsidRPr="00AE0BC5">
              <w:rPr>
                <w:rFonts w:ascii="Arial" w:eastAsia="Times New Roman" w:hAnsi="Arial" w:cs="Arial"/>
                <w:color w:val="808080"/>
                <w:sz w:val="18"/>
                <w:szCs w:val="18"/>
              </w:rPr>
              <w:t xml:space="preserve"> box should expand as you type)</w:t>
            </w:r>
          </w:p>
        </w:tc>
      </w:tr>
    </w:tbl>
    <w:p w14:paraId="273DDDA6" w14:textId="33089D79" w:rsidR="00AE0BC5" w:rsidRPr="00AE0BC5" w:rsidRDefault="00AE0BC5" w:rsidP="00AE0BC5">
      <w:pPr>
        <w:spacing w:after="0" w:afterAutospacing="0" w:line="240" w:lineRule="auto"/>
        <w:rPr>
          <w:rFonts w:ascii="Times New Roman" w:eastAsia="Times New Roman" w:hAnsi="Times New Roman" w:cs="Times New Roman"/>
          <w:color w:val="auto"/>
          <w:sz w:val="20"/>
          <w:szCs w:val="20"/>
        </w:rPr>
      </w:pP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AE0BC5" w:rsidRPr="00AE0BC5" w14:paraId="0F4E13B7" w14:textId="77777777" w:rsidTr="00AE0BC5">
        <w:trPr>
          <w:trHeight w:val="454"/>
        </w:trPr>
        <w:tc>
          <w:tcPr>
            <w:tcW w:w="272" w:type="pct"/>
            <w:shd w:val="clear" w:color="auto" w:fill="F2F2F2"/>
          </w:tcPr>
          <w:p w14:paraId="0B6CFD61" w14:textId="77777777" w:rsidR="00AE0BC5" w:rsidRPr="00AE0BC5" w:rsidRDefault="00AE0BC5" w:rsidP="00AE0BC5">
            <w:pPr>
              <w:spacing w:before="120" w:after="0" w:afterAutospacing="0" w:line="240" w:lineRule="auto"/>
              <w:rPr>
                <w:rFonts w:ascii="Arial" w:eastAsia="Times New Roman" w:hAnsi="Arial" w:cs="Arial"/>
                <w:bCs/>
                <w:color w:val="auto"/>
              </w:rPr>
            </w:pPr>
            <w:r w:rsidRPr="00AE0BC5">
              <w:rPr>
                <w:rFonts w:ascii="Arial" w:eastAsia="Times New Roman" w:hAnsi="Arial" w:cs="Arial"/>
                <w:bCs/>
                <w:color w:val="auto"/>
              </w:rPr>
              <w:t>10</w:t>
            </w:r>
          </w:p>
        </w:tc>
        <w:tc>
          <w:tcPr>
            <w:tcW w:w="4728" w:type="pct"/>
            <w:shd w:val="clear" w:color="auto" w:fill="F2F2F2"/>
            <w:vAlign w:val="center"/>
          </w:tcPr>
          <w:p w14:paraId="6F411E12" w14:textId="77777777" w:rsidR="00AE0BC5" w:rsidRPr="00AE0BC5" w:rsidRDefault="00AE0BC5" w:rsidP="00AE0BC5">
            <w:pPr>
              <w:spacing w:before="120" w:after="0" w:afterAutospacing="0" w:line="240" w:lineRule="auto"/>
              <w:rPr>
                <w:rFonts w:ascii="Arial" w:eastAsia="Times New Roman" w:hAnsi="Arial" w:cs="Arial"/>
                <w:b/>
                <w:color w:val="auto"/>
              </w:rPr>
            </w:pPr>
            <w:r w:rsidRPr="00AE0BC5">
              <w:rPr>
                <w:rFonts w:ascii="Arial" w:eastAsia="Times New Roman" w:hAnsi="Arial" w:cs="Arial"/>
                <w:b/>
                <w:color w:val="auto"/>
              </w:rPr>
              <w:t>Location of research activity</w:t>
            </w:r>
          </w:p>
          <w:p w14:paraId="302B7C58"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Identify all locations where research activity will take place.</w:t>
            </w:r>
          </w:p>
        </w:tc>
      </w:tr>
      <w:tr w:rsidR="00AE0BC5" w:rsidRPr="00AE0BC5" w14:paraId="572CD856" w14:textId="77777777" w:rsidTr="00223E6D">
        <w:trPr>
          <w:trHeight w:val="454"/>
        </w:trPr>
        <w:tc>
          <w:tcPr>
            <w:tcW w:w="272" w:type="pct"/>
          </w:tcPr>
          <w:p w14:paraId="4156FB7E" w14:textId="77777777" w:rsidR="00AE0BC5" w:rsidRPr="00AE0BC5" w:rsidRDefault="00AE0BC5" w:rsidP="00AE0BC5">
            <w:pPr>
              <w:spacing w:after="0" w:afterAutospacing="0" w:line="240" w:lineRule="auto"/>
              <w:rPr>
                <w:rFonts w:ascii="Arial" w:eastAsia="Times New Roman" w:hAnsi="Arial" w:cs="Arial"/>
                <w:bCs/>
                <w:color w:val="auto"/>
              </w:rPr>
            </w:pPr>
            <w:r w:rsidRPr="00AE0BC5">
              <w:rPr>
                <w:rFonts w:ascii="Arial" w:eastAsia="Times New Roman" w:hAnsi="Arial" w:cs="Arial"/>
                <w:bCs/>
                <w:color w:val="auto"/>
              </w:rPr>
              <w:t>11</w:t>
            </w:r>
          </w:p>
        </w:tc>
        <w:tc>
          <w:tcPr>
            <w:tcW w:w="4728" w:type="pct"/>
            <w:vAlign w:val="center"/>
          </w:tcPr>
          <w:p w14:paraId="40FAEA76"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Not applicable</w:t>
            </w:r>
          </w:p>
          <w:p w14:paraId="75019AF6" w14:textId="77777777" w:rsidR="00AE0BC5" w:rsidRPr="00AE0BC5" w:rsidRDefault="00AE0BC5" w:rsidP="00AE0BC5">
            <w:pPr>
              <w:spacing w:after="0" w:afterAutospacing="0" w:line="240" w:lineRule="auto"/>
              <w:rPr>
                <w:rFonts w:ascii="Arial" w:eastAsia="Times New Roman" w:hAnsi="Arial" w:cs="Arial"/>
                <w:color w:val="auto"/>
              </w:rPr>
            </w:pPr>
          </w:p>
          <w:p w14:paraId="59A2D75C" w14:textId="77777777" w:rsidR="00AE0BC5" w:rsidRPr="00AE0BC5" w:rsidRDefault="00AE0BC5" w:rsidP="00AE0BC5">
            <w:pPr>
              <w:spacing w:after="0" w:afterAutospacing="0" w:line="240" w:lineRule="auto"/>
              <w:rPr>
                <w:rFonts w:ascii="Arial" w:eastAsia="Times New Roman" w:hAnsi="Arial" w:cs="Arial"/>
                <w:b/>
                <w:color w:val="auto"/>
              </w:rPr>
            </w:pPr>
            <w:r w:rsidRPr="00AE0BC5">
              <w:rPr>
                <w:rFonts w:ascii="Arial" w:eastAsia="Times New Roman" w:hAnsi="Arial" w:cs="Arial"/>
                <w:color w:val="808080"/>
                <w:sz w:val="18"/>
                <w:szCs w:val="18"/>
              </w:rPr>
              <w:t>(</w:t>
            </w:r>
            <w:proofErr w:type="gramStart"/>
            <w:r w:rsidRPr="00AE0BC5">
              <w:rPr>
                <w:rFonts w:ascii="Arial" w:eastAsia="Times New Roman" w:hAnsi="Arial" w:cs="Arial"/>
                <w:color w:val="808080"/>
                <w:sz w:val="18"/>
                <w:szCs w:val="18"/>
              </w:rPr>
              <w:t>this</w:t>
            </w:r>
            <w:proofErr w:type="gramEnd"/>
            <w:r w:rsidRPr="00AE0BC5">
              <w:rPr>
                <w:rFonts w:ascii="Arial" w:eastAsia="Times New Roman" w:hAnsi="Arial" w:cs="Arial"/>
                <w:color w:val="808080"/>
                <w:sz w:val="18"/>
                <w:szCs w:val="18"/>
              </w:rPr>
              <w:t xml:space="preserve"> box should expand as you type)</w:t>
            </w:r>
          </w:p>
        </w:tc>
      </w:tr>
      <w:tr w:rsidR="00AE0BC5" w:rsidRPr="00AE0BC5" w14:paraId="00F03CC2" w14:textId="77777777" w:rsidTr="00AE0BC5">
        <w:trPr>
          <w:trHeight w:val="454"/>
        </w:trPr>
        <w:tc>
          <w:tcPr>
            <w:tcW w:w="272" w:type="pct"/>
            <w:shd w:val="clear" w:color="auto" w:fill="F2F2F2"/>
          </w:tcPr>
          <w:p w14:paraId="6E743501" w14:textId="77777777" w:rsidR="00AE0BC5" w:rsidRPr="00AE0BC5" w:rsidRDefault="00AE0BC5" w:rsidP="00AE0BC5">
            <w:pPr>
              <w:spacing w:before="120" w:after="0" w:afterAutospacing="0" w:line="240" w:lineRule="auto"/>
              <w:rPr>
                <w:rFonts w:ascii="Arial" w:eastAsia="Times New Roman" w:hAnsi="Arial" w:cs="Arial"/>
                <w:bCs/>
                <w:color w:val="auto"/>
              </w:rPr>
            </w:pPr>
            <w:r w:rsidRPr="00AE0BC5">
              <w:rPr>
                <w:rFonts w:ascii="Arial" w:eastAsia="Times New Roman" w:hAnsi="Arial" w:cs="Arial"/>
                <w:bCs/>
                <w:color w:val="auto"/>
              </w:rPr>
              <w:t>12</w:t>
            </w:r>
          </w:p>
        </w:tc>
        <w:tc>
          <w:tcPr>
            <w:tcW w:w="4728" w:type="pct"/>
            <w:shd w:val="clear" w:color="auto" w:fill="F2F2F2"/>
            <w:vAlign w:val="center"/>
          </w:tcPr>
          <w:p w14:paraId="7B22586D" w14:textId="77777777" w:rsidR="00AE0BC5" w:rsidRPr="00AE0BC5" w:rsidRDefault="00AE0BC5" w:rsidP="00AE0BC5">
            <w:pPr>
              <w:spacing w:before="120" w:after="0" w:afterAutospacing="0" w:line="240" w:lineRule="auto"/>
              <w:rPr>
                <w:rFonts w:ascii="Arial" w:eastAsia="Times New Roman" w:hAnsi="Arial" w:cs="Arial"/>
                <w:b/>
                <w:color w:val="auto"/>
              </w:rPr>
            </w:pPr>
            <w:r w:rsidRPr="00AE0BC5">
              <w:rPr>
                <w:rFonts w:ascii="Arial" w:eastAsia="Times New Roman" w:hAnsi="Arial" w:cs="Arial"/>
                <w:b/>
                <w:color w:val="auto"/>
              </w:rPr>
              <w:t>Research activity outside of the UK</w:t>
            </w:r>
          </w:p>
          <w:p w14:paraId="6FA7518B" w14:textId="77777777" w:rsidR="00AE0BC5" w:rsidRPr="00AE0BC5" w:rsidRDefault="00AE0BC5" w:rsidP="00AE0BC5">
            <w:pPr>
              <w:autoSpaceDE w:val="0"/>
              <w:autoSpaceDN w:val="0"/>
              <w:adjustRightInd w:val="0"/>
              <w:spacing w:after="0" w:afterAutospacing="0" w:line="240" w:lineRule="auto"/>
              <w:rPr>
                <w:rFonts w:ascii="Arial" w:eastAsia="Times New Roman" w:hAnsi="Arial" w:cs="Arial"/>
                <w:color w:val="auto"/>
              </w:rPr>
            </w:pPr>
            <w:r w:rsidRPr="00AE0BC5">
              <w:rPr>
                <w:rFonts w:ascii="Arial" w:eastAsia="Times New Roman" w:hAnsi="Arial" w:cs="Arial"/>
                <w:color w:val="auto"/>
              </w:rPr>
              <w:t>If research activity will take place overseas, you are responsible for ensuring that local ethical considerations are complied with and that the relevant permissions are sought. Specify any local guidelines (</w:t>
            </w:r>
            <w:proofErr w:type="gramStart"/>
            <w:r w:rsidRPr="00AE0BC5">
              <w:rPr>
                <w:rFonts w:ascii="Arial" w:eastAsia="Times New Roman" w:hAnsi="Arial" w:cs="Arial"/>
                <w:color w:val="auto"/>
              </w:rPr>
              <w:t>e.g.</w:t>
            </w:r>
            <w:proofErr w:type="gramEnd"/>
            <w:r w:rsidRPr="00AE0BC5">
              <w:rPr>
                <w:rFonts w:ascii="Arial" w:eastAsia="Times New Roman" w:hAnsi="Arial" w:cs="Arial"/>
                <w:color w:val="auto"/>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E0BC5">
              <w:rPr>
                <w:rFonts w:ascii="Arial" w:eastAsia="Times New Roman" w:hAnsi="Arial" w:cs="Arial"/>
                <w:color w:val="auto"/>
              </w:rPr>
              <w:t>particular cultural</w:t>
            </w:r>
            <w:proofErr w:type="gramEnd"/>
            <w:r w:rsidRPr="00AE0BC5">
              <w:rPr>
                <w:rFonts w:ascii="Arial" w:eastAsia="Times New Roman" w:hAnsi="Arial" w:cs="Arial"/>
                <w:color w:val="auto"/>
              </w:rPr>
              <w:t xml:space="preserve"> and/or legal sensitivities or vulnerabilities of participants.</w:t>
            </w:r>
          </w:p>
        </w:tc>
      </w:tr>
      <w:tr w:rsidR="00AE0BC5" w:rsidRPr="00AE0BC5" w14:paraId="05F8B29B" w14:textId="77777777" w:rsidTr="00223E6D">
        <w:trPr>
          <w:trHeight w:val="454"/>
        </w:trPr>
        <w:tc>
          <w:tcPr>
            <w:tcW w:w="272" w:type="pct"/>
          </w:tcPr>
          <w:p w14:paraId="1B578A50" w14:textId="77777777" w:rsidR="00AE0BC5" w:rsidRPr="00AE0BC5" w:rsidRDefault="00AE0BC5" w:rsidP="00AE0BC5">
            <w:pPr>
              <w:spacing w:after="0" w:afterAutospacing="0" w:line="240" w:lineRule="auto"/>
              <w:rPr>
                <w:rFonts w:ascii="Arial" w:eastAsia="Times New Roman" w:hAnsi="Arial" w:cs="Arial"/>
                <w:bCs/>
                <w:color w:val="auto"/>
              </w:rPr>
            </w:pPr>
            <w:r w:rsidRPr="00AE0BC5">
              <w:rPr>
                <w:rFonts w:ascii="Arial" w:eastAsia="Times New Roman" w:hAnsi="Arial" w:cs="Arial"/>
                <w:bCs/>
                <w:color w:val="auto"/>
              </w:rPr>
              <w:t>13</w:t>
            </w:r>
          </w:p>
        </w:tc>
        <w:tc>
          <w:tcPr>
            <w:tcW w:w="4728" w:type="pct"/>
            <w:vAlign w:val="center"/>
          </w:tcPr>
          <w:p w14:paraId="0861DC82" w14:textId="77777777" w:rsidR="00AE0BC5" w:rsidRPr="00AE0BC5" w:rsidRDefault="00AE0BC5" w:rsidP="00AE0BC5">
            <w:pPr>
              <w:spacing w:after="0" w:afterAutospacing="0" w:line="240" w:lineRule="auto"/>
              <w:rPr>
                <w:rFonts w:ascii="Arial" w:eastAsia="Times New Roman" w:hAnsi="Arial" w:cs="Arial"/>
                <w:color w:val="auto"/>
              </w:rPr>
            </w:pPr>
            <w:r w:rsidRPr="00AE0BC5">
              <w:rPr>
                <w:rFonts w:ascii="Arial" w:eastAsia="Times New Roman" w:hAnsi="Arial" w:cs="Arial"/>
                <w:color w:val="auto"/>
              </w:rPr>
              <w:t>Not applicable.</w:t>
            </w:r>
          </w:p>
          <w:p w14:paraId="2D55241B" w14:textId="77777777" w:rsidR="00AE0BC5" w:rsidRPr="00AE0BC5" w:rsidRDefault="00AE0BC5" w:rsidP="00AE0BC5">
            <w:pPr>
              <w:spacing w:after="0" w:afterAutospacing="0" w:line="240" w:lineRule="auto"/>
              <w:rPr>
                <w:rFonts w:ascii="Arial" w:eastAsia="Times New Roman" w:hAnsi="Arial" w:cs="Arial"/>
                <w:color w:val="auto"/>
              </w:rPr>
            </w:pPr>
          </w:p>
          <w:p w14:paraId="3656FCD5" w14:textId="77777777" w:rsidR="00AE0BC5" w:rsidRPr="00AE0BC5" w:rsidRDefault="00AE0BC5" w:rsidP="00AE0BC5">
            <w:pPr>
              <w:spacing w:after="0" w:afterAutospacing="0" w:line="240" w:lineRule="auto"/>
              <w:rPr>
                <w:rFonts w:ascii="Arial" w:eastAsia="Times New Roman" w:hAnsi="Arial" w:cs="Arial"/>
                <w:color w:val="auto"/>
              </w:rPr>
            </w:pPr>
          </w:p>
          <w:p w14:paraId="422E517B" w14:textId="77777777" w:rsidR="00AE0BC5" w:rsidRPr="00AE0BC5" w:rsidRDefault="00AE0BC5" w:rsidP="00AE0BC5">
            <w:pPr>
              <w:spacing w:after="0" w:afterAutospacing="0" w:line="240" w:lineRule="auto"/>
              <w:rPr>
                <w:rFonts w:ascii="Arial" w:eastAsia="Times New Roman" w:hAnsi="Arial" w:cs="Arial"/>
                <w:b/>
                <w:i/>
                <w:color w:val="auto"/>
              </w:rPr>
            </w:pPr>
            <w:r w:rsidRPr="00AE0BC5">
              <w:rPr>
                <w:rFonts w:ascii="Arial" w:eastAsia="Times New Roman" w:hAnsi="Arial" w:cs="Arial"/>
                <w:i/>
                <w:color w:val="808080"/>
                <w:sz w:val="18"/>
                <w:szCs w:val="18"/>
              </w:rPr>
              <w:t>(</w:t>
            </w:r>
            <w:proofErr w:type="gramStart"/>
            <w:r w:rsidRPr="00AE0BC5">
              <w:rPr>
                <w:rFonts w:ascii="Arial" w:eastAsia="Times New Roman" w:hAnsi="Arial" w:cs="Arial"/>
                <w:i/>
                <w:color w:val="808080"/>
                <w:sz w:val="18"/>
                <w:szCs w:val="18"/>
              </w:rPr>
              <w:t>this</w:t>
            </w:r>
            <w:proofErr w:type="gramEnd"/>
            <w:r w:rsidRPr="00AE0BC5">
              <w:rPr>
                <w:rFonts w:ascii="Arial" w:eastAsia="Times New Roman" w:hAnsi="Arial" w:cs="Arial"/>
                <w:i/>
                <w:color w:val="808080"/>
                <w:sz w:val="18"/>
                <w:szCs w:val="18"/>
              </w:rPr>
              <w:t xml:space="preserve"> box should expand as you type)</w:t>
            </w:r>
          </w:p>
        </w:tc>
      </w:tr>
    </w:tbl>
    <w:p w14:paraId="30E88C65" w14:textId="77777777" w:rsidR="00AE0BC5" w:rsidRPr="00AE0BC5" w:rsidRDefault="00AE0BC5" w:rsidP="00AE0BC5">
      <w:pPr>
        <w:spacing w:after="0" w:afterAutospacing="0" w:line="240" w:lineRule="auto"/>
        <w:rPr>
          <w:rFonts w:ascii="Times New Roman" w:eastAsia="Times New Roman" w:hAnsi="Times New Roman" w:cs="Times New Roman"/>
          <w:color w:val="auto"/>
          <w:sz w:val="20"/>
          <w:szCs w:val="20"/>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E0BC5" w:rsidRPr="00AE0BC5" w14:paraId="60F81365" w14:textId="77777777" w:rsidTr="00AE0BC5">
        <w:trPr>
          <w:trHeight w:val="383"/>
        </w:trPr>
        <w:tc>
          <w:tcPr>
            <w:tcW w:w="567" w:type="dxa"/>
            <w:vMerge w:val="restart"/>
            <w:shd w:val="clear" w:color="auto" w:fill="F2F2F2"/>
          </w:tcPr>
          <w:p w14:paraId="645EDF59"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lastRenderedPageBreak/>
              <w:t>14</w:t>
            </w:r>
          </w:p>
        </w:tc>
        <w:tc>
          <w:tcPr>
            <w:tcW w:w="7371" w:type="dxa"/>
            <w:vMerge w:val="restart"/>
            <w:shd w:val="clear" w:color="auto" w:fill="F2F2F2"/>
            <w:vAlign w:val="center"/>
          </w:tcPr>
          <w:p w14:paraId="26AB3F50"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 xml:space="preserve">Use of documentation not in the public domain: Are any documents </w:t>
            </w:r>
            <w:r w:rsidRPr="00AE0BC5">
              <w:rPr>
                <w:rFonts w:ascii="Arial" w:eastAsia="Times New Roman" w:hAnsi="Arial" w:cs="Arial"/>
                <w:b/>
                <w:color w:val="auto"/>
                <w:u w:val="single"/>
              </w:rPr>
              <w:t>NOT</w:t>
            </w:r>
            <w:r w:rsidRPr="00AE0BC5">
              <w:rPr>
                <w:rFonts w:ascii="Arial" w:eastAsia="Times New Roman" w:hAnsi="Arial" w:cs="Arial"/>
                <w:color w:val="auto"/>
              </w:rPr>
              <w:t xml:space="preserve"> publicly available?   </w:t>
            </w:r>
          </w:p>
          <w:p w14:paraId="12A89BB5" w14:textId="77777777" w:rsidR="00AE0BC5" w:rsidRPr="00AE0BC5" w:rsidRDefault="00AE0BC5" w:rsidP="00AE0BC5">
            <w:pPr>
              <w:autoSpaceDE w:val="0"/>
              <w:autoSpaceDN w:val="0"/>
              <w:adjustRightInd w:val="0"/>
              <w:rPr>
                <w:rFonts w:ascii="Arial" w:eastAsia="Times New Roman" w:hAnsi="Arial" w:cs="Arial"/>
                <w:bCs/>
                <w:color w:val="auto"/>
              </w:rPr>
            </w:pPr>
          </w:p>
        </w:tc>
        <w:tc>
          <w:tcPr>
            <w:tcW w:w="1276" w:type="dxa"/>
            <w:shd w:val="clear" w:color="auto" w:fill="F2F2F2"/>
            <w:vAlign w:val="center"/>
          </w:tcPr>
          <w:p w14:paraId="696A38B5"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Arial" w:eastAsia="Times New Roman" w:hAnsi="Arial" w:cs="Arial"/>
                <w:b/>
                <w:color w:val="auto"/>
              </w:rPr>
              <w:t>NO</w:t>
            </w:r>
          </w:p>
        </w:tc>
        <w:tc>
          <w:tcPr>
            <w:tcW w:w="1276" w:type="dxa"/>
            <w:shd w:val="clear" w:color="auto" w:fill="D9D9D9"/>
            <w:vAlign w:val="center"/>
          </w:tcPr>
          <w:sdt>
            <w:sdtPr>
              <w:rPr>
                <w:rFonts w:ascii="Arial" w:eastAsia="Times New Roman" w:hAnsi="Arial" w:cs="Arial"/>
                <w:bCs/>
                <w:color w:val="auto"/>
              </w:rPr>
              <w:id w:val="1420137672"/>
              <w14:checkbox>
                <w14:checked w14:val="1"/>
                <w14:checkedState w14:val="2612" w14:font="MS Gothic"/>
                <w14:uncheckedState w14:val="2610" w14:font="MS Gothic"/>
              </w14:checkbox>
            </w:sdtPr>
            <w:sdtEndPr/>
            <w:sdtContent>
              <w:p w14:paraId="2B0E5C4F"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Cs/>
                    <w:color w:val="auto"/>
                  </w:rPr>
                  <w:t>☒</w:t>
                </w:r>
              </w:p>
            </w:sdtContent>
          </w:sdt>
        </w:tc>
      </w:tr>
      <w:tr w:rsidR="00AE0BC5" w:rsidRPr="00AE0BC5" w14:paraId="4713D640" w14:textId="77777777" w:rsidTr="00AE0BC5">
        <w:trPr>
          <w:trHeight w:val="218"/>
        </w:trPr>
        <w:tc>
          <w:tcPr>
            <w:tcW w:w="567" w:type="dxa"/>
            <w:vMerge/>
            <w:shd w:val="clear" w:color="auto" w:fill="F2F2F2"/>
          </w:tcPr>
          <w:p w14:paraId="280CFB96" w14:textId="77777777" w:rsidR="00AE0BC5" w:rsidRPr="00AE0BC5" w:rsidRDefault="00AE0BC5" w:rsidP="00AE0BC5">
            <w:pPr>
              <w:autoSpaceDE w:val="0"/>
              <w:autoSpaceDN w:val="0"/>
              <w:adjustRightInd w:val="0"/>
              <w:rPr>
                <w:rFonts w:ascii="Arial" w:eastAsia="Times New Roman" w:hAnsi="Arial" w:cs="Arial"/>
                <w:bCs/>
                <w:color w:val="auto"/>
              </w:rPr>
            </w:pPr>
          </w:p>
        </w:tc>
        <w:tc>
          <w:tcPr>
            <w:tcW w:w="7371" w:type="dxa"/>
            <w:vMerge/>
            <w:shd w:val="clear" w:color="auto" w:fill="F2F2F2"/>
          </w:tcPr>
          <w:p w14:paraId="151C6091" w14:textId="77777777" w:rsidR="00AE0BC5" w:rsidRPr="00AE0BC5" w:rsidRDefault="00AE0BC5" w:rsidP="00AE0BC5">
            <w:pPr>
              <w:autoSpaceDE w:val="0"/>
              <w:autoSpaceDN w:val="0"/>
              <w:adjustRightInd w:val="0"/>
              <w:rPr>
                <w:rFonts w:ascii="Arial" w:eastAsia="Times New Roman" w:hAnsi="Arial" w:cs="Arial"/>
                <w:bCs/>
                <w:color w:val="auto"/>
              </w:rPr>
            </w:pPr>
          </w:p>
        </w:tc>
        <w:tc>
          <w:tcPr>
            <w:tcW w:w="1276" w:type="dxa"/>
            <w:shd w:val="clear" w:color="auto" w:fill="F2F2F2"/>
            <w:vAlign w:val="center"/>
          </w:tcPr>
          <w:p w14:paraId="7CB1618E" w14:textId="77777777" w:rsidR="00AE0BC5" w:rsidRPr="00AE0BC5" w:rsidRDefault="00AE0BC5" w:rsidP="00AE0BC5">
            <w:pPr>
              <w:autoSpaceDE w:val="0"/>
              <w:autoSpaceDN w:val="0"/>
              <w:adjustRightInd w:val="0"/>
              <w:jc w:val="center"/>
              <w:rPr>
                <w:rFonts w:ascii="Arial" w:eastAsia="Times New Roman" w:hAnsi="Arial" w:cs="Arial"/>
                <w:b/>
                <w:color w:val="auto"/>
              </w:rPr>
            </w:pPr>
            <w:r w:rsidRPr="00AE0BC5">
              <w:rPr>
                <w:rFonts w:ascii="Arial" w:eastAsia="Times New Roman" w:hAnsi="Arial" w:cs="Arial"/>
                <w:b/>
                <w:color w:val="auto"/>
              </w:rPr>
              <w:t>YES</w:t>
            </w:r>
          </w:p>
        </w:tc>
        <w:tc>
          <w:tcPr>
            <w:tcW w:w="1276" w:type="dxa"/>
            <w:shd w:val="clear" w:color="auto" w:fill="D9D9D9"/>
            <w:vAlign w:val="center"/>
          </w:tcPr>
          <w:p w14:paraId="3BF87E58" w14:textId="77777777" w:rsidR="00AE0BC5" w:rsidRPr="00AE0BC5" w:rsidRDefault="005B76E4" w:rsidP="00AE0BC5">
            <w:pPr>
              <w:autoSpaceDE w:val="0"/>
              <w:autoSpaceDN w:val="0"/>
              <w:adjustRightInd w:val="0"/>
              <w:jc w:val="center"/>
              <w:rPr>
                <w:rFonts w:ascii="Arial" w:eastAsia="Times New Roman" w:hAnsi="Arial" w:cs="Arial"/>
                <w:bCs/>
                <w:color w:val="auto"/>
              </w:rPr>
            </w:pPr>
            <w:sdt>
              <w:sdtPr>
                <w:rPr>
                  <w:rFonts w:ascii="Arial" w:eastAsia="Times New Roman" w:hAnsi="Arial" w:cs="Arial"/>
                  <w:bCs/>
                  <w:color w:val="auto"/>
                </w:rPr>
                <w:id w:val="1644230281"/>
                <w14:checkbox>
                  <w14:checked w14:val="0"/>
                  <w14:checkedState w14:val="2612" w14:font="MS Gothic"/>
                  <w14:uncheckedState w14:val="2610" w14:font="MS Gothic"/>
                </w14:checkbox>
              </w:sdtPr>
              <w:sdtEndPr/>
              <w:sdtContent>
                <w:r w:rsidR="00AE0BC5" w:rsidRPr="00AE0BC5">
                  <w:rPr>
                    <w:rFonts w:ascii="Segoe UI Symbol" w:eastAsia="Times New Roman" w:hAnsi="Segoe UI Symbol" w:cs="Segoe UI Symbol"/>
                    <w:bCs/>
                    <w:color w:val="auto"/>
                  </w:rPr>
                  <w:t>☐</w:t>
                </w:r>
              </w:sdtContent>
            </w:sdt>
          </w:p>
        </w:tc>
      </w:tr>
      <w:tr w:rsidR="00AE0BC5" w:rsidRPr="00AE0BC5" w14:paraId="117531C7" w14:textId="77777777" w:rsidTr="00AE0BC5">
        <w:tc>
          <w:tcPr>
            <w:tcW w:w="567" w:type="dxa"/>
            <w:shd w:val="clear" w:color="auto" w:fill="FFFFFF"/>
          </w:tcPr>
          <w:p w14:paraId="5F0F3EBF"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15</w:t>
            </w:r>
          </w:p>
        </w:tc>
        <w:tc>
          <w:tcPr>
            <w:tcW w:w="9923" w:type="dxa"/>
            <w:gridSpan w:val="3"/>
            <w:shd w:val="clear" w:color="auto" w:fill="FFFFFF"/>
          </w:tcPr>
          <w:p w14:paraId="66E71BFF"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 xml:space="preserve">If </w:t>
            </w:r>
            <w:proofErr w:type="gramStart"/>
            <w:r w:rsidRPr="00AE0BC5">
              <w:rPr>
                <w:rFonts w:ascii="Arial" w:eastAsia="Times New Roman" w:hAnsi="Arial" w:cs="Arial"/>
                <w:color w:val="auto"/>
              </w:rPr>
              <w:t>Yes</w:t>
            </w:r>
            <w:proofErr w:type="gramEnd"/>
            <w:r w:rsidRPr="00AE0BC5">
              <w:rPr>
                <w:rFonts w:ascii="Arial" w:eastAsia="Times New Roman" w:hAnsi="Arial" w:cs="Arial"/>
                <w:color w:val="auto"/>
              </w:rPr>
              <w:t>, please provide details here of how you will gain access to specific documentation that is not in the public domain and that this is in accordance with prevailing data protection law of the country in question and England and Wales.</w:t>
            </w:r>
          </w:p>
          <w:p w14:paraId="4B29F415" w14:textId="77777777" w:rsidR="00AE0BC5" w:rsidRPr="00AE0BC5" w:rsidRDefault="00AE0BC5" w:rsidP="00AE0BC5">
            <w:pPr>
              <w:rPr>
                <w:rFonts w:ascii="Arial" w:eastAsia="Times New Roman" w:hAnsi="Arial" w:cs="Arial"/>
                <w:color w:val="auto"/>
              </w:rPr>
            </w:pPr>
          </w:p>
          <w:p w14:paraId="2385996E" w14:textId="77777777" w:rsidR="00AE0BC5" w:rsidRPr="00AE0BC5" w:rsidRDefault="00AE0BC5" w:rsidP="00AE0BC5">
            <w:pPr>
              <w:rPr>
                <w:rFonts w:ascii="Arial" w:eastAsia="Times New Roman" w:hAnsi="Arial" w:cs="Arial"/>
                <w:color w:val="auto"/>
              </w:rPr>
            </w:pPr>
          </w:p>
          <w:p w14:paraId="575BD598" w14:textId="77777777" w:rsidR="00AE0BC5" w:rsidRPr="00AE0BC5" w:rsidRDefault="00AE0BC5" w:rsidP="00AE0BC5">
            <w:pPr>
              <w:rPr>
                <w:rFonts w:ascii="Arial" w:eastAsia="Times New Roman" w:hAnsi="Arial" w:cs="Arial"/>
                <w:color w:val="auto"/>
              </w:rPr>
            </w:pPr>
          </w:p>
          <w:p w14:paraId="791E10BE" w14:textId="77777777" w:rsidR="00AE0BC5" w:rsidRPr="00AE0BC5" w:rsidRDefault="00AE0BC5" w:rsidP="00AE0BC5">
            <w:pPr>
              <w:autoSpaceDE w:val="0"/>
              <w:autoSpaceDN w:val="0"/>
              <w:adjustRightInd w:val="0"/>
              <w:rPr>
                <w:rFonts w:ascii="Arial" w:eastAsia="Times New Roman" w:hAnsi="Arial" w:cs="Arial"/>
                <w:bCs/>
                <w:color w:val="auto"/>
              </w:rPr>
            </w:pPr>
            <w:r w:rsidRPr="00AE0BC5">
              <w:rPr>
                <w:rFonts w:ascii="Arial" w:eastAsia="Times New Roman" w:hAnsi="Arial" w:cs="Arial"/>
                <w:i/>
                <w:color w:val="auto"/>
                <w:sz w:val="18"/>
                <w:szCs w:val="18"/>
              </w:rPr>
              <w:t>(</w:t>
            </w:r>
            <w:proofErr w:type="gramStart"/>
            <w:r w:rsidRPr="00AE0BC5">
              <w:rPr>
                <w:rFonts w:ascii="Arial" w:eastAsia="Times New Roman" w:hAnsi="Arial" w:cs="Arial"/>
                <w:i/>
                <w:color w:val="auto"/>
                <w:sz w:val="18"/>
                <w:szCs w:val="18"/>
              </w:rPr>
              <w:t>this</w:t>
            </w:r>
            <w:proofErr w:type="gramEnd"/>
            <w:r w:rsidRPr="00AE0BC5">
              <w:rPr>
                <w:rFonts w:ascii="Arial" w:eastAsia="Times New Roman" w:hAnsi="Arial" w:cs="Arial"/>
                <w:i/>
                <w:color w:val="auto"/>
                <w:sz w:val="18"/>
                <w:szCs w:val="18"/>
              </w:rPr>
              <w:t xml:space="preserve"> box should expand as you type)</w:t>
            </w:r>
          </w:p>
        </w:tc>
      </w:tr>
    </w:tbl>
    <w:p w14:paraId="5803505F" w14:textId="77777777" w:rsidR="00AE0BC5" w:rsidRPr="00AE0BC5" w:rsidRDefault="00AE0BC5" w:rsidP="00AE0BC5">
      <w:pPr>
        <w:autoSpaceDE w:val="0"/>
        <w:autoSpaceDN w:val="0"/>
        <w:adjustRightInd w:val="0"/>
        <w:spacing w:after="240" w:afterAutospacing="0" w:line="240" w:lineRule="auto"/>
        <w:jc w:val="both"/>
        <w:rPr>
          <w:rFonts w:ascii="Arial" w:eastAsia="Times New Roman" w:hAnsi="Arial" w:cs="Arial"/>
          <w:b/>
          <w:color w:val="auto"/>
        </w:rPr>
      </w:pPr>
    </w:p>
    <w:p w14:paraId="122F2561" w14:textId="77777777" w:rsidR="00AE0BC5" w:rsidRPr="00AE0BC5" w:rsidRDefault="00AE0BC5" w:rsidP="00AE0BC5">
      <w:pPr>
        <w:spacing w:after="0" w:afterAutospacing="0" w:line="240" w:lineRule="auto"/>
        <w:rPr>
          <w:rFonts w:ascii="Arial" w:eastAsia="Times New Roman" w:hAnsi="Arial" w:cs="Arial"/>
          <w:b/>
          <w:color w:val="auto"/>
        </w:rPr>
      </w:pPr>
      <w:r w:rsidRPr="00AE0BC5">
        <w:rPr>
          <w:rFonts w:ascii="Arial" w:eastAsia="Times New Roman" w:hAnsi="Arial" w:cs="Arial"/>
          <w:b/>
          <w:color w:val="auto"/>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E0BC5" w:rsidRPr="00AE0BC5" w14:paraId="2BD850CA" w14:textId="77777777" w:rsidTr="00AE0BC5">
        <w:tc>
          <w:tcPr>
            <w:tcW w:w="562" w:type="dxa"/>
            <w:shd w:val="clear" w:color="auto" w:fill="F2F2F2"/>
          </w:tcPr>
          <w:p w14:paraId="35B9BE0D" w14:textId="77777777" w:rsidR="00AE0BC5" w:rsidRPr="00AE0BC5" w:rsidRDefault="00AE0BC5" w:rsidP="00AE0BC5">
            <w:pPr>
              <w:autoSpaceDE w:val="0"/>
              <w:autoSpaceDN w:val="0"/>
              <w:adjustRightInd w:val="0"/>
              <w:jc w:val="both"/>
              <w:rPr>
                <w:rFonts w:ascii="Arial" w:eastAsia="Times New Roman" w:hAnsi="Arial" w:cs="Arial"/>
                <w:b/>
                <w:color w:val="auto"/>
              </w:rPr>
            </w:pPr>
            <w:r w:rsidRPr="00AE0BC5">
              <w:rPr>
                <w:rFonts w:ascii="Arial" w:eastAsia="Times New Roman" w:hAnsi="Arial" w:cs="Arial"/>
                <w:color w:val="auto"/>
              </w:rPr>
              <w:t>1</w:t>
            </w:r>
          </w:p>
        </w:tc>
        <w:tc>
          <w:tcPr>
            <w:tcW w:w="8227" w:type="dxa"/>
            <w:shd w:val="clear" w:color="auto" w:fill="F2F2F2"/>
          </w:tcPr>
          <w:p w14:paraId="31BCBAF6" w14:textId="77777777" w:rsidR="00AE0BC5" w:rsidRPr="00AE0BC5" w:rsidRDefault="00AE0BC5" w:rsidP="00AE0BC5">
            <w:pPr>
              <w:autoSpaceDE w:val="0"/>
              <w:autoSpaceDN w:val="0"/>
              <w:adjustRightInd w:val="0"/>
              <w:jc w:val="both"/>
              <w:rPr>
                <w:rFonts w:ascii="Arial" w:eastAsia="Times New Roman" w:hAnsi="Arial" w:cs="Arial"/>
                <w:b/>
                <w:color w:val="auto"/>
              </w:rPr>
            </w:pPr>
            <w:r w:rsidRPr="00AE0BC5">
              <w:rPr>
                <w:rFonts w:ascii="Arial" w:eastAsia="Times New Roman" w:hAnsi="Arial" w:cs="Arial"/>
                <w:b/>
                <w:color w:val="auto"/>
              </w:rPr>
              <w:t xml:space="preserve">Will the research activity </w:t>
            </w:r>
            <w:proofErr w:type="gramStart"/>
            <w:r w:rsidRPr="00AE0BC5">
              <w:rPr>
                <w:rFonts w:ascii="Arial" w:eastAsia="Times New Roman" w:hAnsi="Arial" w:cs="Arial"/>
                <w:b/>
                <w:color w:val="auto"/>
              </w:rPr>
              <w:t>include:</w:t>
            </w:r>
            <w:proofErr w:type="gramEnd"/>
          </w:p>
        </w:tc>
        <w:tc>
          <w:tcPr>
            <w:tcW w:w="846" w:type="dxa"/>
            <w:shd w:val="clear" w:color="auto" w:fill="F2F2F2"/>
          </w:tcPr>
          <w:p w14:paraId="305D38B9" w14:textId="77777777" w:rsidR="00AE0BC5" w:rsidRPr="00AE0BC5" w:rsidRDefault="00AE0BC5" w:rsidP="00AE0BC5">
            <w:pPr>
              <w:autoSpaceDE w:val="0"/>
              <w:autoSpaceDN w:val="0"/>
              <w:adjustRightInd w:val="0"/>
              <w:jc w:val="center"/>
              <w:rPr>
                <w:rFonts w:ascii="Arial" w:eastAsia="Times New Roman" w:hAnsi="Arial" w:cs="Arial"/>
                <w:b/>
                <w:bCs/>
                <w:color w:val="auto"/>
              </w:rPr>
            </w:pPr>
          </w:p>
          <w:p w14:paraId="0355E462"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YES</w:t>
            </w:r>
          </w:p>
        </w:tc>
        <w:tc>
          <w:tcPr>
            <w:tcW w:w="816" w:type="dxa"/>
            <w:shd w:val="clear" w:color="auto" w:fill="F2F2F2"/>
          </w:tcPr>
          <w:p w14:paraId="1127288B" w14:textId="77777777" w:rsidR="00AE0BC5" w:rsidRPr="00AE0BC5" w:rsidRDefault="00AE0BC5" w:rsidP="00AE0BC5">
            <w:pPr>
              <w:autoSpaceDE w:val="0"/>
              <w:autoSpaceDN w:val="0"/>
              <w:adjustRightInd w:val="0"/>
              <w:jc w:val="center"/>
              <w:rPr>
                <w:rFonts w:ascii="Arial" w:eastAsia="Times New Roman" w:hAnsi="Arial" w:cs="Arial"/>
                <w:b/>
                <w:bCs/>
                <w:color w:val="auto"/>
              </w:rPr>
            </w:pPr>
          </w:p>
          <w:p w14:paraId="264B2507"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NO</w:t>
            </w:r>
          </w:p>
        </w:tc>
      </w:tr>
      <w:tr w:rsidR="00AE0BC5" w:rsidRPr="00AE0BC5" w14:paraId="3845D2F7" w14:textId="77777777" w:rsidTr="00AE0BC5">
        <w:trPr>
          <w:trHeight w:val="439"/>
        </w:trPr>
        <w:tc>
          <w:tcPr>
            <w:tcW w:w="562" w:type="dxa"/>
            <w:shd w:val="clear" w:color="auto" w:fill="F2F2F2"/>
          </w:tcPr>
          <w:p w14:paraId="24A027A8"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2</w:t>
            </w:r>
          </w:p>
        </w:tc>
        <w:tc>
          <w:tcPr>
            <w:tcW w:w="8227" w:type="dxa"/>
            <w:shd w:val="clear" w:color="auto" w:fill="F2F2F2"/>
            <w:vAlign w:val="center"/>
          </w:tcPr>
          <w:p w14:paraId="2F1E1C71"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Use of a questionnaire or similar research instrument?</w:t>
            </w:r>
          </w:p>
        </w:tc>
        <w:tc>
          <w:tcPr>
            <w:tcW w:w="846" w:type="dxa"/>
            <w:shd w:val="clear" w:color="auto" w:fill="BFBFBF"/>
            <w:vAlign w:val="center"/>
          </w:tcPr>
          <w:sdt>
            <w:sdtPr>
              <w:rPr>
                <w:rFonts w:ascii="Arial" w:eastAsia="Times New Roman" w:hAnsi="Arial" w:cs="Arial"/>
                <w:b/>
                <w:bCs/>
                <w:color w:val="auto"/>
              </w:rPr>
              <w:id w:val="1843739070"/>
              <w14:checkbox>
                <w14:checked w14:val="0"/>
                <w14:checkedState w14:val="2612" w14:font="MS Gothic"/>
                <w14:uncheckedState w14:val="2610" w14:font="MS Gothic"/>
              </w14:checkbox>
            </w:sdtPr>
            <w:sdtEndPr/>
            <w:sdtContent>
              <w:p w14:paraId="3135EEAC"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474143939"/>
              <w14:checkbox>
                <w14:checked w14:val="1"/>
                <w14:checkedState w14:val="2612" w14:font="MS Gothic"/>
                <w14:uncheckedState w14:val="2610" w14:font="MS Gothic"/>
              </w14:checkbox>
            </w:sdtPr>
            <w:sdtEndPr/>
            <w:sdtContent>
              <w:p w14:paraId="7D120B3B"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371C3E3B" w14:textId="77777777" w:rsidTr="00AE0BC5">
        <w:trPr>
          <w:trHeight w:val="439"/>
        </w:trPr>
        <w:tc>
          <w:tcPr>
            <w:tcW w:w="562" w:type="dxa"/>
            <w:shd w:val="clear" w:color="auto" w:fill="F2F2F2"/>
          </w:tcPr>
          <w:p w14:paraId="69BB235F"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3</w:t>
            </w:r>
          </w:p>
        </w:tc>
        <w:tc>
          <w:tcPr>
            <w:tcW w:w="8227" w:type="dxa"/>
            <w:shd w:val="clear" w:color="auto" w:fill="F2F2F2"/>
            <w:vAlign w:val="center"/>
          </w:tcPr>
          <w:p w14:paraId="4B48E4F4"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Use of interviews?</w:t>
            </w:r>
          </w:p>
        </w:tc>
        <w:tc>
          <w:tcPr>
            <w:tcW w:w="846" w:type="dxa"/>
            <w:shd w:val="clear" w:color="auto" w:fill="BFBFBF"/>
            <w:vAlign w:val="center"/>
          </w:tcPr>
          <w:sdt>
            <w:sdtPr>
              <w:rPr>
                <w:rFonts w:ascii="Arial" w:eastAsia="Times New Roman" w:hAnsi="Arial" w:cs="Arial"/>
                <w:b/>
                <w:bCs/>
                <w:color w:val="auto"/>
              </w:rPr>
              <w:id w:val="-800765487"/>
              <w14:checkbox>
                <w14:checked w14:val="0"/>
                <w14:checkedState w14:val="2612" w14:font="MS Gothic"/>
                <w14:uncheckedState w14:val="2610" w14:font="MS Gothic"/>
              </w14:checkbox>
            </w:sdtPr>
            <w:sdtEndPr/>
            <w:sdtContent>
              <w:p w14:paraId="46843EA1"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749926786"/>
              <w14:checkbox>
                <w14:checked w14:val="1"/>
                <w14:checkedState w14:val="2612" w14:font="MS Gothic"/>
                <w14:uncheckedState w14:val="2610" w14:font="MS Gothic"/>
              </w14:checkbox>
            </w:sdtPr>
            <w:sdtEndPr/>
            <w:sdtContent>
              <w:p w14:paraId="5A638618"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78B09C57" w14:textId="77777777" w:rsidTr="00AE0BC5">
        <w:trPr>
          <w:trHeight w:val="403"/>
        </w:trPr>
        <w:tc>
          <w:tcPr>
            <w:tcW w:w="562" w:type="dxa"/>
            <w:shd w:val="clear" w:color="auto" w:fill="F2F2F2"/>
          </w:tcPr>
          <w:p w14:paraId="518C2C68"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4</w:t>
            </w:r>
          </w:p>
        </w:tc>
        <w:tc>
          <w:tcPr>
            <w:tcW w:w="8227" w:type="dxa"/>
            <w:shd w:val="clear" w:color="auto" w:fill="F2F2F2"/>
            <w:vAlign w:val="center"/>
          </w:tcPr>
          <w:p w14:paraId="09907CDC"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Use of diaries?</w:t>
            </w:r>
          </w:p>
        </w:tc>
        <w:tc>
          <w:tcPr>
            <w:tcW w:w="846" w:type="dxa"/>
            <w:shd w:val="clear" w:color="auto" w:fill="BFBFBF"/>
            <w:vAlign w:val="center"/>
          </w:tcPr>
          <w:sdt>
            <w:sdtPr>
              <w:rPr>
                <w:rFonts w:ascii="Arial" w:eastAsia="Times New Roman" w:hAnsi="Arial" w:cs="Arial"/>
                <w:b/>
                <w:bCs/>
                <w:color w:val="auto"/>
              </w:rPr>
              <w:id w:val="319468663"/>
              <w14:checkbox>
                <w14:checked w14:val="0"/>
                <w14:checkedState w14:val="2612" w14:font="MS Gothic"/>
                <w14:uncheckedState w14:val="2610" w14:font="MS Gothic"/>
              </w14:checkbox>
            </w:sdtPr>
            <w:sdtEndPr/>
            <w:sdtContent>
              <w:p w14:paraId="0712A6B1"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900483589"/>
              <w14:checkbox>
                <w14:checked w14:val="1"/>
                <w14:checkedState w14:val="2612" w14:font="MS Gothic"/>
                <w14:uncheckedState w14:val="2610" w14:font="MS Gothic"/>
              </w14:checkbox>
            </w:sdtPr>
            <w:sdtEndPr/>
            <w:sdtContent>
              <w:p w14:paraId="71919290"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6BF80FDC" w14:textId="77777777" w:rsidTr="00AE0BC5">
        <w:trPr>
          <w:trHeight w:val="403"/>
        </w:trPr>
        <w:tc>
          <w:tcPr>
            <w:tcW w:w="562" w:type="dxa"/>
            <w:shd w:val="clear" w:color="auto" w:fill="F2F2F2"/>
          </w:tcPr>
          <w:p w14:paraId="2A6AA387"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5</w:t>
            </w:r>
          </w:p>
        </w:tc>
        <w:tc>
          <w:tcPr>
            <w:tcW w:w="8227" w:type="dxa"/>
            <w:shd w:val="clear" w:color="auto" w:fill="F2F2F2"/>
            <w:vAlign w:val="center"/>
          </w:tcPr>
          <w:p w14:paraId="58103780"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Participant observation with their knowledge?</w:t>
            </w:r>
          </w:p>
        </w:tc>
        <w:tc>
          <w:tcPr>
            <w:tcW w:w="846" w:type="dxa"/>
            <w:shd w:val="clear" w:color="auto" w:fill="BFBFBF"/>
            <w:vAlign w:val="center"/>
          </w:tcPr>
          <w:sdt>
            <w:sdtPr>
              <w:rPr>
                <w:rFonts w:ascii="Arial" w:eastAsia="Times New Roman" w:hAnsi="Arial" w:cs="Arial"/>
                <w:b/>
                <w:bCs/>
                <w:color w:val="auto"/>
              </w:rPr>
              <w:id w:val="282394886"/>
              <w14:checkbox>
                <w14:checked w14:val="0"/>
                <w14:checkedState w14:val="2612" w14:font="MS Gothic"/>
                <w14:uncheckedState w14:val="2610" w14:font="MS Gothic"/>
              </w14:checkbox>
            </w:sdtPr>
            <w:sdtEndPr/>
            <w:sdtContent>
              <w:p w14:paraId="012E11F4"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1338917432"/>
              <w14:checkbox>
                <w14:checked w14:val="1"/>
                <w14:checkedState w14:val="2612" w14:font="MS Gothic"/>
                <w14:uncheckedState w14:val="2610" w14:font="MS Gothic"/>
              </w14:checkbox>
            </w:sdtPr>
            <w:sdtEndPr/>
            <w:sdtContent>
              <w:p w14:paraId="5F73790F"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634FBC01" w14:textId="77777777" w:rsidTr="00AE0BC5">
        <w:trPr>
          <w:trHeight w:val="439"/>
        </w:trPr>
        <w:tc>
          <w:tcPr>
            <w:tcW w:w="562" w:type="dxa"/>
            <w:shd w:val="clear" w:color="auto" w:fill="F2F2F2"/>
          </w:tcPr>
          <w:p w14:paraId="2685674E"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6</w:t>
            </w:r>
          </w:p>
        </w:tc>
        <w:tc>
          <w:tcPr>
            <w:tcW w:w="8227" w:type="dxa"/>
            <w:shd w:val="clear" w:color="auto" w:fill="F2F2F2"/>
            <w:vAlign w:val="center"/>
          </w:tcPr>
          <w:p w14:paraId="66D8E2E4"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Participant observation without their knowledge?</w:t>
            </w:r>
          </w:p>
        </w:tc>
        <w:tc>
          <w:tcPr>
            <w:tcW w:w="846" w:type="dxa"/>
            <w:shd w:val="clear" w:color="auto" w:fill="BFBFBF"/>
            <w:vAlign w:val="center"/>
          </w:tcPr>
          <w:sdt>
            <w:sdtPr>
              <w:rPr>
                <w:rFonts w:ascii="Arial" w:eastAsia="Times New Roman" w:hAnsi="Arial" w:cs="Arial"/>
                <w:b/>
                <w:bCs/>
                <w:color w:val="auto"/>
              </w:rPr>
              <w:id w:val="-1942599491"/>
              <w14:checkbox>
                <w14:checked w14:val="0"/>
                <w14:checkedState w14:val="2612" w14:font="MS Gothic"/>
                <w14:uncheckedState w14:val="2610" w14:font="MS Gothic"/>
              </w14:checkbox>
            </w:sdtPr>
            <w:sdtEndPr/>
            <w:sdtContent>
              <w:p w14:paraId="29853094"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626286741"/>
              <w14:checkbox>
                <w14:checked w14:val="1"/>
                <w14:checkedState w14:val="2612" w14:font="MS Gothic"/>
                <w14:uncheckedState w14:val="2610" w14:font="MS Gothic"/>
              </w14:checkbox>
            </w:sdtPr>
            <w:sdtEndPr/>
            <w:sdtContent>
              <w:p w14:paraId="75A558E2"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2277C701" w14:textId="77777777" w:rsidTr="00AE0BC5">
        <w:trPr>
          <w:trHeight w:val="403"/>
        </w:trPr>
        <w:tc>
          <w:tcPr>
            <w:tcW w:w="562" w:type="dxa"/>
            <w:shd w:val="clear" w:color="auto" w:fill="F2F2F2"/>
          </w:tcPr>
          <w:p w14:paraId="04EC4D68"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7</w:t>
            </w:r>
          </w:p>
        </w:tc>
        <w:tc>
          <w:tcPr>
            <w:tcW w:w="8227" w:type="dxa"/>
            <w:shd w:val="clear" w:color="auto" w:fill="F2F2F2"/>
            <w:vAlign w:val="center"/>
          </w:tcPr>
          <w:p w14:paraId="7862367D"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Use of video or audio recording?</w:t>
            </w:r>
          </w:p>
        </w:tc>
        <w:tc>
          <w:tcPr>
            <w:tcW w:w="846" w:type="dxa"/>
            <w:shd w:val="clear" w:color="auto" w:fill="BFBFBF"/>
            <w:vAlign w:val="center"/>
          </w:tcPr>
          <w:sdt>
            <w:sdtPr>
              <w:rPr>
                <w:rFonts w:ascii="Arial" w:eastAsia="Times New Roman" w:hAnsi="Arial" w:cs="Arial"/>
                <w:b/>
                <w:bCs/>
                <w:color w:val="auto"/>
              </w:rPr>
              <w:id w:val="-387187341"/>
              <w14:checkbox>
                <w14:checked w14:val="0"/>
                <w14:checkedState w14:val="2612" w14:font="MS Gothic"/>
                <w14:uncheckedState w14:val="2610" w14:font="MS Gothic"/>
              </w14:checkbox>
            </w:sdtPr>
            <w:sdtEndPr/>
            <w:sdtContent>
              <w:p w14:paraId="6AD163F3"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1580675213"/>
              <w14:checkbox>
                <w14:checked w14:val="1"/>
                <w14:checkedState w14:val="2612" w14:font="MS Gothic"/>
                <w14:uncheckedState w14:val="2610" w14:font="MS Gothic"/>
              </w14:checkbox>
            </w:sdtPr>
            <w:sdtEndPr/>
            <w:sdtContent>
              <w:p w14:paraId="7DF45BEE"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6BD30C1A" w14:textId="77777777" w:rsidTr="00AE0BC5">
        <w:trPr>
          <w:trHeight w:val="439"/>
        </w:trPr>
        <w:tc>
          <w:tcPr>
            <w:tcW w:w="562" w:type="dxa"/>
            <w:shd w:val="clear" w:color="auto" w:fill="F2F2F2"/>
          </w:tcPr>
          <w:p w14:paraId="681A297C"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8</w:t>
            </w:r>
          </w:p>
        </w:tc>
        <w:tc>
          <w:tcPr>
            <w:tcW w:w="8227" w:type="dxa"/>
            <w:shd w:val="clear" w:color="auto" w:fill="F2F2F2"/>
            <w:vAlign w:val="center"/>
          </w:tcPr>
          <w:p w14:paraId="4EB655C2"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Access to personal or confidential information without the participants’ specific consent?</w:t>
            </w:r>
          </w:p>
        </w:tc>
        <w:tc>
          <w:tcPr>
            <w:tcW w:w="846" w:type="dxa"/>
            <w:shd w:val="clear" w:color="auto" w:fill="BFBFBF"/>
            <w:vAlign w:val="center"/>
          </w:tcPr>
          <w:sdt>
            <w:sdtPr>
              <w:rPr>
                <w:rFonts w:ascii="Arial" w:eastAsia="Times New Roman" w:hAnsi="Arial" w:cs="Arial"/>
                <w:b/>
                <w:bCs/>
                <w:color w:val="auto"/>
              </w:rPr>
              <w:id w:val="-1397120567"/>
              <w14:checkbox>
                <w14:checked w14:val="0"/>
                <w14:checkedState w14:val="2612" w14:font="MS Gothic"/>
                <w14:uncheckedState w14:val="2610" w14:font="MS Gothic"/>
              </w14:checkbox>
            </w:sdtPr>
            <w:sdtEndPr/>
            <w:sdtContent>
              <w:p w14:paraId="4404D9E7"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587048268"/>
              <w14:checkbox>
                <w14:checked w14:val="1"/>
                <w14:checkedState w14:val="2612" w14:font="MS Gothic"/>
                <w14:uncheckedState w14:val="2610" w14:font="MS Gothic"/>
              </w14:checkbox>
            </w:sdtPr>
            <w:sdtEndPr/>
            <w:sdtContent>
              <w:p w14:paraId="09285860"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4D7A7F35" w14:textId="77777777" w:rsidTr="00AE0BC5">
        <w:trPr>
          <w:trHeight w:val="403"/>
        </w:trPr>
        <w:tc>
          <w:tcPr>
            <w:tcW w:w="562" w:type="dxa"/>
            <w:shd w:val="clear" w:color="auto" w:fill="F2F2F2"/>
          </w:tcPr>
          <w:p w14:paraId="1A842840"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9</w:t>
            </w:r>
          </w:p>
        </w:tc>
        <w:tc>
          <w:tcPr>
            <w:tcW w:w="8227" w:type="dxa"/>
            <w:shd w:val="clear" w:color="auto" w:fill="F2F2F2"/>
            <w:vAlign w:val="center"/>
          </w:tcPr>
          <w:p w14:paraId="5B08DAD1"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eastAsia="Times New Roman" w:hAnsi="Arial" w:cs="Arial"/>
                <w:b/>
                <w:bCs/>
                <w:color w:val="auto"/>
              </w:rPr>
              <w:id w:val="-723911514"/>
              <w14:checkbox>
                <w14:checked w14:val="0"/>
                <w14:checkedState w14:val="2612" w14:font="MS Gothic"/>
                <w14:uncheckedState w14:val="2610" w14:font="MS Gothic"/>
              </w14:checkbox>
            </w:sdtPr>
            <w:sdtEndPr/>
            <w:sdtContent>
              <w:p w14:paraId="7DBF6D46"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655270249"/>
              <w14:checkbox>
                <w14:checked w14:val="1"/>
                <w14:checkedState w14:val="2612" w14:font="MS Gothic"/>
                <w14:uncheckedState w14:val="2610" w14:font="MS Gothic"/>
              </w14:checkbox>
            </w:sdtPr>
            <w:sdtEndPr/>
            <w:sdtContent>
              <w:p w14:paraId="33CFFF1B"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66EBDA5D" w14:textId="77777777" w:rsidTr="00AE0BC5">
        <w:trPr>
          <w:trHeight w:val="403"/>
        </w:trPr>
        <w:tc>
          <w:tcPr>
            <w:tcW w:w="562" w:type="dxa"/>
            <w:shd w:val="clear" w:color="auto" w:fill="F2F2F2"/>
          </w:tcPr>
          <w:p w14:paraId="6F6EEA45"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10</w:t>
            </w:r>
          </w:p>
        </w:tc>
        <w:tc>
          <w:tcPr>
            <w:tcW w:w="8227" w:type="dxa"/>
            <w:shd w:val="clear" w:color="auto" w:fill="F2F2F2"/>
            <w:vAlign w:val="center"/>
          </w:tcPr>
          <w:p w14:paraId="0D1E46FD"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Performance of any acts which may cause embarrassment or affect self-esteem?</w:t>
            </w:r>
          </w:p>
        </w:tc>
        <w:tc>
          <w:tcPr>
            <w:tcW w:w="846" w:type="dxa"/>
            <w:shd w:val="clear" w:color="auto" w:fill="BFBFBF"/>
            <w:vAlign w:val="center"/>
          </w:tcPr>
          <w:sdt>
            <w:sdtPr>
              <w:rPr>
                <w:rFonts w:ascii="Arial" w:eastAsia="Times New Roman" w:hAnsi="Arial" w:cs="Arial"/>
                <w:b/>
                <w:bCs/>
                <w:color w:val="auto"/>
              </w:rPr>
              <w:id w:val="1994977168"/>
              <w14:checkbox>
                <w14:checked w14:val="0"/>
                <w14:checkedState w14:val="2612" w14:font="MS Gothic"/>
                <w14:uncheckedState w14:val="2610" w14:font="MS Gothic"/>
              </w14:checkbox>
            </w:sdtPr>
            <w:sdtEndPr/>
            <w:sdtContent>
              <w:p w14:paraId="5D961D5E"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2119442801"/>
              <w14:checkbox>
                <w14:checked w14:val="1"/>
                <w14:checkedState w14:val="2612" w14:font="MS Gothic"/>
                <w14:uncheckedState w14:val="2610" w14:font="MS Gothic"/>
              </w14:checkbox>
            </w:sdtPr>
            <w:sdtEndPr/>
            <w:sdtContent>
              <w:p w14:paraId="62F18799"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r>
      <w:tr w:rsidR="00AE0BC5" w:rsidRPr="00AE0BC5" w14:paraId="41ADEC41" w14:textId="77777777" w:rsidTr="00AE0BC5">
        <w:trPr>
          <w:trHeight w:val="403"/>
        </w:trPr>
        <w:tc>
          <w:tcPr>
            <w:tcW w:w="562" w:type="dxa"/>
            <w:shd w:val="clear" w:color="auto" w:fill="F2F2F2"/>
          </w:tcPr>
          <w:p w14:paraId="0124FD34"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11</w:t>
            </w:r>
          </w:p>
        </w:tc>
        <w:tc>
          <w:tcPr>
            <w:tcW w:w="8227" w:type="dxa"/>
            <w:shd w:val="clear" w:color="auto" w:fill="F2F2F2"/>
            <w:vAlign w:val="center"/>
          </w:tcPr>
          <w:p w14:paraId="03125816"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Investigation of participants involved in illegal activities?</w:t>
            </w:r>
          </w:p>
        </w:tc>
        <w:tc>
          <w:tcPr>
            <w:tcW w:w="846" w:type="dxa"/>
            <w:shd w:val="clear" w:color="auto" w:fill="BFBFBF"/>
            <w:vAlign w:val="center"/>
          </w:tcPr>
          <w:sdt>
            <w:sdtPr>
              <w:rPr>
                <w:rFonts w:ascii="Arial" w:eastAsia="Times New Roman" w:hAnsi="Arial" w:cs="Arial"/>
                <w:b/>
                <w:bCs/>
                <w:color w:val="auto"/>
              </w:rPr>
              <w:id w:val="-570350383"/>
              <w14:checkbox>
                <w14:checked w14:val="0"/>
                <w14:checkedState w14:val="2612" w14:font="MS Gothic"/>
                <w14:uncheckedState w14:val="2610" w14:font="MS Gothic"/>
              </w14:checkbox>
            </w:sdtPr>
            <w:sdtEndPr/>
            <w:sdtContent>
              <w:p w14:paraId="71C9ED34"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904758639"/>
              <w14:checkbox>
                <w14:checked w14:val="1"/>
                <w14:checkedState w14:val="2612" w14:font="MS Gothic"/>
                <w14:uncheckedState w14:val="2610" w14:font="MS Gothic"/>
              </w14:checkbox>
            </w:sdtPr>
            <w:sdtEndPr/>
            <w:sdtContent>
              <w:p w14:paraId="6A9DC57B"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r>
      <w:tr w:rsidR="00AE0BC5" w:rsidRPr="00AE0BC5" w14:paraId="69FE14AB" w14:textId="77777777" w:rsidTr="00AE0BC5">
        <w:trPr>
          <w:trHeight w:val="403"/>
        </w:trPr>
        <w:tc>
          <w:tcPr>
            <w:tcW w:w="562" w:type="dxa"/>
            <w:shd w:val="clear" w:color="auto" w:fill="F2F2F2"/>
          </w:tcPr>
          <w:p w14:paraId="484D5B05"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12</w:t>
            </w:r>
          </w:p>
        </w:tc>
        <w:tc>
          <w:tcPr>
            <w:tcW w:w="8227" w:type="dxa"/>
            <w:shd w:val="clear" w:color="auto" w:fill="F2F2F2"/>
            <w:vAlign w:val="center"/>
          </w:tcPr>
          <w:p w14:paraId="5AA9ADC0"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Use of procedures that involve deception?</w:t>
            </w:r>
          </w:p>
        </w:tc>
        <w:tc>
          <w:tcPr>
            <w:tcW w:w="846" w:type="dxa"/>
            <w:shd w:val="clear" w:color="auto" w:fill="BFBFBF"/>
            <w:vAlign w:val="center"/>
          </w:tcPr>
          <w:sdt>
            <w:sdtPr>
              <w:rPr>
                <w:rFonts w:ascii="Arial" w:eastAsia="Times New Roman" w:hAnsi="Arial" w:cs="Arial"/>
                <w:b/>
                <w:bCs/>
                <w:color w:val="auto"/>
              </w:rPr>
              <w:id w:val="362719355"/>
              <w14:checkbox>
                <w14:checked w14:val="0"/>
                <w14:checkedState w14:val="2612" w14:font="MS Gothic"/>
                <w14:uncheckedState w14:val="2610" w14:font="MS Gothic"/>
              </w14:checkbox>
            </w:sdtPr>
            <w:sdtEndPr/>
            <w:sdtContent>
              <w:p w14:paraId="3A7B7DE9"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1074700241"/>
              <w14:checkbox>
                <w14:checked w14:val="1"/>
                <w14:checkedState w14:val="2612" w14:font="MS Gothic"/>
                <w14:uncheckedState w14:val="2610" w14:font="MS Gothic"/>
              </w14:checkbox>
            </w:sdtPr>
            <w:sdtEndPr/>
            <w:sdtContent>
              <w:p w14:paraId="2E9A2159"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r>
      <w:tr w:rsidR="00AE0BC5" w:rsidRPr="00AE0BC5" w14:paraId="0C20A056" w14:textId="77777777" w:rsidTr="00AE0BC5">
        <w:trPr>
          <w:trHeight w:val="403"/>
        </w:trPr>
        <w:tc>
          <w:tcPr>
            <w:tcW w:w="562" w:type="dxa"/>
            <w:shd w:val="clear" w:color="auto" w:fill="F2F2F2"/>
          </w:tcPr>
          <w:p w14:paraId="536BCCF2"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13</w:t>
            </w:r>
          </w:p>
        </w:tc>
        <w:tc>
          <w:tcPr>
            <w:tcW w:w="8227" w:type="dxa"/>
            <w:shd w:val="clear" w:color="auto" w:fill="F2F2F2"/>
            <w:vAlign w:val="center"/>
          </w:tcPr>
          <w:p w14:paraId="69A23E2C"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Administration of any substance, agent or placebo?</w:t>
            </w:r>
          </w:p>
        </w:tc>
        <w:tc>
          <w:tcPr>
            <w:tcW w:w="846" w:type="dxa"/>
            <w:shd w:val="clear" w:color="auto" w:fill="BFBFBF"/>
            <w:vAlign w:val="center"/>
          </w:tcPr>
          <w:sdt>
            <w:sdtPr>
              <w:rPr>
                <w:rFonts w:ascii="Arial" w:eastAsia="Times New Roman" w:hAnsi="Arial" w:cs="Arial"/>
                <w:b/>
                <w:bCs/>
                <w:color w:val="auto"/>
              </w:rPr>
              <w:id w:val="-1924798936"/>
              <w14:checkbox>
                <w14:checked w14:val="0"/>
                <w14:checkedState w14:val="2612" w14:font="MS Gothic"/>
                <w14:uncheckedState w14:val="2610" w14:font="MS Gothic"/>
              </w14:checkbox>
            </w:sdtPr>
            <w:sdtEndPr/>
            <w:sdtContent>
              <w:p w14:paraId="10380B28"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624625241"/>
              <w14:checkbox>
                <w14:checked w14:val="1"/>
                <w14:checkedState w14:val="2612" w14:font="MS Gothic"/>
                <w14:uncheckedState w14:val="2610" w14:font="MS Gothic"/>
              </w14:checkbox>
            </w:sdtPr>
            <w:sdtEndPr/>
            <w:sdtContent>
              <w:p w14:paraId="5110C9F5"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r>
      <w:tr w:rsidR="00AE0BC5" w:rsidRPr="00AE0BC5" w14:paraId="4E4DE4F3" w14:textId="77777777" w:rsidTr="00AE0BC5">
        <w:trPr>
          <w:trHeight w:val="403"/>
        </w:trPr>
        <w:tc>
          <w:tcPr>
            <w:tcW w:w="562" w:type="dxa"/>
            <w:shd w:val="clear" w:color="auto" w:fill="F2F2F2"/>
          </w:tcPr>
          <w:p w14:paraId="5AB3BF09"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14</w:t>
            </w:r>
          </w:p>
        </w:tc>
        <w:tc>
          <w:tcPr>
            <w:tcW w:w="8227" w:type="dxa"/>
            <w:shd w:val="clear" w:color="auto" w:fill="F2F2F2"/>
            <w:vAlign w:val="center"/>
          </w:tcPr>
          <w:p w14:paraId="3CB49429"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Working with live vertebrate animals?</w:t>
            </w:r>
          </w:p>
        </w:tc>
        <w:tc>
          <w:tcPr>
            <w:tcW w:w="846" w:type="dxa"/>
            <w:shd w:val="clear" w:color="auto" w:fill="BFBFBF"/>
            <w:vAlign w:val="center"/>
          </w:tcPr>
          <w:sdt>
            <w:sdtPr>
              <w:rPr>
                <w:rFonts w:ascii="Arial" w:eastAsia="Times New Roman" w:hAnsi="Arial" w:cs="Arial"/>
                <w:b/>
                <w:bCs/>
                <w:color w:val="auto"/>
              </w:rPr>
              <w:id w:val="300428637"/>
              <w14:checkbox>
                <w14:checked w14:val="0"/>
                <w14:checkedState w14:val="2612" w14:font="MS Gothic"/>
                <w14:uncheckedState w14:val="2610" w14:font="MS Gothic"/>
              </w14:checkbox>
            </w:sdtPr>
            <w:sdtEndPr/>
            <w:sdtContent>
              <w:p w14:paraId="76A4C534"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816" w:type="dxa"/>
            <w:shd w:val="clear" w:color="auto" w:fill="BFBFBF"/>
            <w:vAlign w:val="center"/>
          </w:tcPr>
          <w:sdt>
            <w:sdtPr>
              <w:rPr>
                <w:rFonts w:ascii="Arial" w:eastAsia="Times New Roman" w:hAnsi="Arial" w:cs="Arial"/>
                <w:b/>
                <w:bCs/>
                <w:color w:val="auto"/>
              </w:rPr>
              <w:id w:val="-1236861983"/>
              <w14:checkbox>
                <w14:checked w14:val="1"/>
                <w14:checkedState w14:val="2612" w14:font="MS Gothic"/>
                <w14:uncheckedState w14:val="2610" w14:font="MS Gothic"/>
              </w14:checkbox>
            </w:sdtPr>
            <w:sdtEndPr/>
            <w:sdtContent>
              <w:p w14:paraId="2A2E53B4"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r>
      <w:tr w:rsidR="00AE0BC5" w:rsidRPr="00AE0BC5" w14:paraId="26623C25" w14:textId="77777777" w:rsidTr="00AE0BC5">
        <w:trPr>
          <w:trHeight w:val="403"/>
        </w:trPr>
        <w:tc>
          <w:tcPr>
            <w:tcW w:w="562" w:type="dxa"/>
            <w:shd w:val="clear" w:color="auto" w:fill="F2F2F2"/>
          </w:tcPr>
          <w:p w14:paraId="1D551FD6"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15</w:t>
            </w:r>
          </w:p>
        </w:tc>
        <w:tc>
          <w:tcPr>
            <w:tcW w:w="8227" w:type="dxa"/>
            <w:shd w:val="clear" w:color="auto" w:fill="F2F2F2"/>
            <w:vAlign w:val="center"/>
          </w:tcPr>
          <w:p w14:paraId="65B31B3F"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Other primary data collection methods, please explain in this box</w:t>
            </w:r>
          </w:p>
          <w:p w14:paraId="23293D2B"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 xml:space="preserve">For example, ‘focus </w:t>
            </w:r>
            <w:proofErr w:type="gramStart"/>
            <w:r w:rsidRPr="00AE0BC5">
              <w:rPr>
                <w:rFonts w:ascii="Arial" w:eastAsia="Times New Roman" w:hAnsi="Arial" w:cs="Arial"/>
                <w:color w:val="auto"/>
              </w:rPr>
              <w:t>groups’</w:t>
            </w:r>
            <w:proofErr w:type="gramEnd"/>
            <w:r w:rsidRPr="00AE0BC5">
              <w:rPr>
                <w:rFonts w:ascii="Arial" w:eastAsia="Times New Roman" w:hAnsi="Arial" w:cs="Arial"/>
                <w:color w:val="auto"/>
              </w:rPr>
              <w:t>. Please indicate the type of data collection method(s) in this box and tick the accompany box.</w:t>
            </w:r>
          </w:p>
        </w:tc>
        <w:tc>
          <w:tcPr>
            <w:tcW w:w="846" w:type="dxa"/>
            <w:vMerge w:val="restart"/>
            <w:shd w:val="clear" w:color="auto" w:fill="BFBFBF"/>
            <w:vAlign w:val="center"/>
          </w:tcPr>
          <w:sdt>
            <w:sdtPr>
              <w:rPr>
                <w:rFonts w:ascii="Arial" w:eastAsia="Times New Roman" w:hAnsi="Arial" w:cs="Arial"/>
                <w:b/>
                <w:bCs/>
                <w:color w:val="auto"/>
              </w:rPr>
              <w:id w:val="2049023668"/>
              <w14:checkbox>
                <w14:checked w14:val="0"/>
                <w14:checkedState w14:val="2612" w14:font="MS Gothic"/>
                <w14:uncheckedState w14:val="2610" w14:font="MS Gothic"/>
              </w14:checkbox>
            </w:sdtPr>
            <w:sdtEndPr/>
            <w:sdtContent>
              <w:p w14:paraId="001C6913"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Segoe UI Symbol" w:eastAsia="Times New Roman" w:hAnsi="Segoe UI Symbol" w:cs="Segoe UI Symbol"/>
                    <w:b/>
                    <w:bCs/>
                    <w:color w:val="auto"/>
                  </w:rPr>
                  <w:t>☐</w:t>
                </w:r>
              </w:p>
            </w:sdtContent>
          </w:sdt>
        </w:tc>
        <w:tc>
          <w:tcPr>
            <w:tcW w:w="816" w:type="dxa"/>
            <w:vMerge w:val="restart"/>
            <w:shd w:val="clear" w:color="auto" w:fill="BFBFBF"/>
            <w:vAlign w:val="center"/>
          </w:tcPr>
          <w:sdt>
            <w:sdtPr>
              <w:rPr>
                <w:rFonts w:ascii="Arial" w:eastAsia="Times New Roman" w:hAnsi="Arial" w:cs="Arial"/>
                <w:b/>
                <w:bCs/>
                <w:color w:val="auto"/>
              </w:rPr>
              <w:id w:val="1900947946"/>
              <w14:checkbox>
                <w14:checked w14:val="1"/>
                <w14:checkedState w14:val="2612" w14:font="MS Gothic"/>
                <w14:uncheckedState w14:val="2610" w14:font="MS Gothic"/>
              </w14:checkbox>
            </w:sdtPr>
            <w:sdtEndPr/>
            <w:sdtContent>
              <w:p w14:paraId="5CF7B832"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Segoe UI Symbol" w:eastAsia="Times New Roman" w:hAnsi="Segoe UI Symbol" w:cs="Segoe UI Symbol"/>
                    <w:b/>
                    <w:bCs/>
                    <w:color w:val="auto"/>
                  </w:rPr>
                  <w:t>☒</w:t>
                </w:r>
              </w:p>
            </w:sdtContent>
          </w:sdt>
        </w:tc>
      </w:tr>
      <w:tr w:rsidR="00AE0BC5" w:rsidRPr="00AE0BC5" w14:paraId="791F1B5C" w14:textId="77777777" w:rsidTr="00AE0BC5">
        <w:trPr>
          <w:trHeight w:val="403"/>
        </w:trPr>
        <w:tc>
          <w:tcPr>
            <w:tcW w:w="562" w:type="dxa"/>
          </w:tcPr>
          <w:p w14:paraId="21AA2179"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16</w:t>
            </w:r>
          </w:p>
        </w:tc>
        <w:tc>
          <w:tcPr>
            <w:tcW w:w="8227" w:type="dxa"/>
            <w:shd w:val="clear" w:color="auto" w:fill="auto"/>
            <w:vAlign w:val="center"/>
          </w:tcPr>
          <w:p w14:paraId="16D2E41E"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Details of any other primary data collection method:</w:t>
            </w:r>
          </w:p>
          <w:p w14:paraId="33861F7A" w14:textId="77777777" w:rsidR="00AE0BC5" w:rsidRPr="00AE0BC5" w:rsidRDefault="00AE0BC5" w:rsidP="00AE0BC5">
            <w:pPr>
              <w:rPr>
                <w:rFonts w:ascii="Arial" w:eastAsia="Times New Roman" w:hAnsi="Arial" w:cs="Arial"/>
                <w:color w:val="auto"/>
                <w:sz w:val="20"/>
              </w:rPr>
            </w:pPr>
          </w:p>
          <w:p w14:paraId="3B725739" w14:textId="77777777" w:rsidR="00AE0BC5" w:rsidRPr="00AE0BC5" w:rsidRDefault="00AE0BC5" w:rsidP="00AE0BC5">
            <w:pPr>
              <w:rPr>
                <w:rFonts w:ascii="Arial" w:eastAsia="Times New Roman" w:hAnsi="Arial" w:cs="Arial"/>
                <w:color w:val="auto"/>
                <w:sz w:val="20"/>
              </w:rPr>
            </w:pPr>
          </w:p>
          <w:p w14:paraId="2C88FF9F" w14:textId="77777777" w:rsidR="00AE0BC5" w:rsidRPr="00AE0BC5" w:rsidRDefault="00AE0BC5" w:rsidP="00AE0BC5">
            <w:pPr>
              <w:rPr>
                <w:rFonts w:ascii="Arial" w:eastAsia="Times New Roman" w:hAnsi="Arial" w:cs="Arial"/>
                <w:color w:val="auto"/>
              </w:rPr>
            </w:pPr>
          </w:p>
          <w:p w14:paraId="1EC34F67"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sz w:val="18"/>
                <w:szCs w:val="18"/>
              </w:rPr>
              <w:t>(</w:t>
            </w:r>
            <w:proofErr w:type="gramStart"/>
            <w:r w:rsidRPr="00AE0BC5">
              <w:rPr>
                <w:rFonts w:ascii="Arial" w:eastAsia="Times New Roman" w:hAnsi="Arial" w:cs="Arial"/>
                <w:color w:val="auto"/>
                <w:sz w:val="18"/>
                <w:szCs w:val="18"/>
              </w:rPr>
              <w:t>this</w:t>
            </w:r>
            <w:proofErr w:type="gramEnd"/>
            <w:r w:rsidRPr="00AE0BC5">
              <w:rPr>
                <w:rFonts w:ascii="Arial" w:eastAsia="Times New Roman" w:hAnsi="Arial" w:cs="Arial"/>
                <w:color w:val="auto"/>
                <w:sz w:val="18"/>
                <w:szCs w:val="18"/>
              </w:rPr>
              <w:t xml:space="preserve"> box should expand as you type)</w:t>
            </w:r>
          </w:p>
        </w:tc>
        <w:tc>
          <w:tcPr>
            <w:tcW w:w="846" w:type="dxa"/>
            <w:vMerge/>
            <w:shd w:val="clear" w:color="auto" w:fill="BFBFBF"/>
            <w:vAlign w:val="center"/>
          </w:tcPr>
          <w:p w14:paraId="45C9F7B0" w14:textId="77777777" w:rsidR="00AE0BC5" w:rsidRPr="00AE0BC5" w:rsidRDefault="00AE0BC5" w:rsidP="00AE0BC5">
            <w:pPr>
              <w:autoSpaceDE w:val="0"/>
              <w:autoSpaceDN w:val="0"/>
              <w:adjustRightInd w:val="0"/>
              <w:jc w:val="center"/>
              <w:rPr>
                <w:rFonts w:ascii="Arial" w:eastAsia="Times New Roman" w:hAnsi="Arial" w:cs="Arial"/>
                <w:b/>
                <w:bCs/>
                <w:color w:val="auto"/>
              </w:rPr>
            </w:pPr>
          </w:p>
        </w:tc>
        <w:tc>
          <w:tcPr>
            <w:tcW w:w="816" w:type="dxa"/>
            <w:vMerge/>
            <w:shd w:val="clear" w:color="auto" w:fill="BFBFBF"/>
            <w:vAlign w:val="center"/>
          </w:tcPr>
          <w:p w14:paraId="702FE989" w14:textId="77777777" w:rsidR="00AE0BC5" w:rsidRPr="00AE0BC5" w:rsidRDefault="00AE0BC5" w:rsidP="00AE0BC5">
            <w:pPr>
              <w:autoSpaceDE w:val="0"/>
              <w:autoSpaceDN w:val="0"/>
              <w:adjustRightInd w:val="0"/>
              <w:jc w:val="center"/>
              <w:rPr>
                <w:rFonts w:ascii="Arial" w:eastAsia="Times New Roman" w:hAnsi="Arial" w:cs="Arial"/>
                <w:b/>
                <w:bCs/>
                <w:color w:val="auto"/>
              </w:rPr>
            </w:pPr>
          </w:p>
        </w:tc>
      </w:tr>
    </w:tbl>
    <w:p w14:paraId="39699C85" w14:textId="77777777" w:rsidR="00AE0BC5" w:rsidRPr="00AE0BC5" w:rsidRDefault="00AE0BC5" w:rsidP="00AE0BC5">
      <w:pPr>
        <w:spacing w:after="0" w:afterAutospacing="0" w:line="240" w:lineRule="auto"/>
        <w:jc w:val="both"/>
        <w:rPr>
          <w:rFonts w:ascii="Arial" w:eastAsia="Times New Roman" w:hAnsi="Arial" w:cs="Arial"/>
          <w:bCs/>
          <w:iCs/>
          <w:color w:val="auto"/>
        </w:rPr>
      </w:pPr>
      <w:r w:rsidRPr="00AE0BC5">
        <w:rPr>
          <w:rFonts w:ascii="Arial" w:eastAsia="Times New Roman" w:hAnsi="Arial" w:cs="Arial"/>
          <w:bCs/>
          <w:iCs/>
          <w:color w:val="auto"/>
        </w:rPr>
        <w:t xml:space="preserve">If NO to every question, then the research activity is (ethically) low risk and </w:t>
      </w:r>
      <w:r w:rsidRPr="00AE0BC5">
        <w:rPr>
          <w:rFonts w:ascii="Arial" w:eastAsia="Times New Roman" w:hAnsi="Arial" w:cs="Arial"/>
          <w:b/>
          <w:bCs/>
          <w:iCs/>
          <w:color w:val="auto"/>
        </w:rPr>
        <w:t>may</w:t>
      </w:r>
      <w:r w:rsidRPr="00AE0BC5">
        <w:rPr>
          <w:rFonts w:ascii="Arial" w:eastAsia="Times New Roman" w:hAnsi="Arial" w:cs="Arial"/>
          <w:bCs/>
          <w:iCs/>
          <w:color w:val="auto"/>
        </w:rPr>
        <w:t xml:space="preserve"> be exempt from </w:t>
      </w:r>
      <w:r w:rsidRPr="00AE0BC5">
        <w:rPr>
          <w:rFonts w:ascii="Arial" w:eastAsia="Times New Roman" w:hAnsi="Arial" w:cs="Arial"/>
          <w:b/>
          <w:bCs/>
          <w:iCs/>
          <w:color w:val="auto"/>
        </w:rPr>
        <w:t>some</w:t>
      </w:r>
      <w:r w:rsidRPr="00AE0BC5">
        <w:rPr>
          <w:rFonts w:ascii="Arial" w:eastAsia="Times New Roman" w:hAnsi="Arial" w:cs="Arial"/>
          <w:bCs/>
          <w:iCs/>
          <w:color w:val="auto"/>
        </w:rPr>
        <w:t xml:space="preserve"> of the following sections (please refer to Guidance Notes).</w:t>
      </w:r>
    </w:p>
    <w:p w14:paraId="23A67D26" w14:textId="77777777" w:rsidR="00AE0BC5" w:rsidRPr="00AE0BC5" w:rsidRDefault="00AE0BC5" w:rsidP="00AE0BC5">
      <w:pPr>
        <w:spacing w:after="0" w:afterAutospacing="0" w:line="240" w:lineRule="auto"/>
        <w:rPr>
          <w:rFonts w:ascii="Arial" w:eastAsia="Times New Roman" w:hAnsi="Arial" w:cs="Arial"/>
          <w:bCs/>
          <w:iCs/>
          <w:color w:val="auto"/>
        </w:rPr>
      </w:pPr>
    </w:p>
    <w:p w14:paraId="451BE4AF" w14:textId="77777777" w:rsidR="00AE0BC5" w:rsidRPr="00AE0BC5" w:rsidRDefault="00AE0BC5" w:rsidP="00AE0BC5">
      <w:pPr>
        <w:spacing w:after="0" w:afterAutospacing="0" w:line="240" w:lineRule="auto"/>
        <w:rPr>
          <w:rFonts w:ascii="Arial" w:eastAsia="Times New Roman" w:hAnsi="Arial" w:cs="Arial"/>
          <w:bCs/>
          <w:iCs/>
          <w:color w:val="auto"/>
        </w:rPr>
      </w:pPr>
      <w:r w:rsidRPr="00AE0BC5">
        <w:rPr>
          <w:rFonts w:ascii="Arial" w:eastAsia="Times New Roman" w:hAnsi="Arial" w:cs="Arial"/>
          <w:bCs/>
          <w:iCs/>
          <w:color w:val="auto"/>
        </w:rPr>
        <w:t xml:space="preserve">If YES to any question, then no research activity should be undertaken until full ethical approval has been obtained. </w:t>
      </w:r>
    </w:p>
    <w:p w14:paraId="5A20EB29" w14:textId="77777777" w:rsidR="00AE0BC5" w:rsidRPr="00AE0BC5" w:rsidRDefault="00AE0BC5" w:rsidP="00AE0BC5">
      <w:pPr>
        <w:spacing w:after="0" w:afterAutospacing="0" w:line="240" w:lineRule="auto"/>
        <w:rPr>
          <w:rFonts w:ascii="Arial" w:eastAsia="Times New Roman" w:hAnsi="Arial" w:cs="Arial"/>
          <w:bCs/>
          <w:iCs/>
          <w:color w:val="auto"/>
        </w:rPr>
      </w:pPr>
    </w:p>
    <w:p w14:paraId="3BEA58B7" w14:textId="77777777" w:rsidR="00AE0BC5" w:rsidRPr="00AE0BC5" w:rsidRDefault="00AE0BC5" w:rsidP="00AE0BC5">
      <w:pPr>
        <w:autoSpaceDE w:val="0"/>
        <w:autoSpaceDN w:val="0"/>
        <w:adjustRightInd w:val="0"/>
        <w:spacing w:after="240" w:afterAutospacing="0" w:line="240" w:lineRule="auto"/>
        <w:jc w:val="both"/>
        <w:rPr>
          <w:rFonts w:ascii="Arial" w:eastAsia="Times New Roman" w:hAnsi="Arial" w:cs="Arial"/>
          <w:b/>
          <w:color w:val="auto"/>
        </w:rPr>
      </w:pPr>
      <w:r w:rsidRPr="00AE0BC5">
        <w:rPr>
          <w:rFonts w:ascii="Arial" w:eastAsia="Times New Roman" w:hAnsi="Arial" w:cs="Arial"/>
          <w:b/>
          <w:color w:val="auto"/>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AE0BC5" w:rsidRPr="00AE0BC5" w14:paraId="6BFCA021" w14:textId="77777777" w:rsidTr="00AE0BC5">
        <w:tc>
          <w:tcPr>
            <w:tcW w:w="562" w:type="dxa"/>
            <w:shd w:val="clear" w:color="auto" w:fill="F2F2F2"/>
          </w:tcPr>
          <w:p w14:paraId="285A2FA3" w14:textId="77777777" w:rsidR="00AE0BC5" w:rsidRPr="00AE0BC5" w:rsidRDefault="00AE0BC5" w:rsidP="00AE0BC5">
            <w:pPr>
              <w:autoSpaceDE w:val="0"/>
              <w:autoSpaceDN w:val="0"/>
              <w:adjustRightInd w:val="0"/>
              <w:jc w:val="both"/>
              <w:rPr>
                <w:rFonts w:ascii="Arial" w:eastAsia="Times New Roman" w:hAnsi="Arial" w:cs="Arial"/>
                <w:b/>
                <w:color w:val="auto"/>
              </w:rPr>
            </w:pPr>
            <w:r w:rsidRPr="00AE0BC5">
              <w:rPr>
                <w:rFonts w:ascii="Arial" w:eastAsia="Times New Roman" w:hAnsi="Arial" w:cs="Arial"/>
                <w:color w:val="auto"/>
              </w:rPr>
              <w:lastRenderedPageBreak/>
              <w:t>1</w:t>
            </w:r>
          </w:p>
        </w:tc>
        <w:tc>
          <w:tcPr>
            <w:tcW w:w="8217" w:type="dxa"/>
            <w:shd w:val="clear" w:color="auto" w:fill="F2F2F2"/>
          </w:tcPr>
          <w:p w14:paraId="26E23AD0" w14:textId="77777777" w:rsidR="00AE0BC5" w:rsidRPr="00AE0BC5" w:rsidRDefault="00AE0BC5" w:rsidP="00AE0BC5">
            <w:pPr>
              <w:autoSpaceDE w:val="0"/>
              <w:autoSpaceDN w:val="0"/>
              <w:adjustRightInd w:val="0"/>
              <w:jc w:val="both"/>
              <w:rPr>
                <w:rFonts w:ascii="Arial" w:eastAsia="Times New Roman" w:hAnsi="Arial" w:cs="Arial"/>
                <w:b/>
                <w:color w:val="auto"/>
              </w:rPr>
            </w:pPr>
            <w:r w:rsidRPr="00AE0BC5">
              <w:rPr>
                <w:rFonts w:ascii="Arial" w:eastAsia="Times New Roman" w:hAnsi="Arial" w:cs="Arial"/>
                <w:b/>
                <w:color w:val="auto"/>
              </w:rPr>
              <w:t xml:space="preserve">Who are the intended </w:t>
            </w:r>
            <w:proofErr w:type="gramStart"/>
            <w:r w:rsidRPr="00AE0BC5">
              <w:rPr>
                <w:rFonts w:ascii="Arial" w:eastAsia="Times New Roman" w:hAnsi="Arial" w:cs="Arial"/>
                <w:b/>
                <w:color w:val="auto"/>
              </w:rPr>
              <w:t>participants:</w:t>
            </w:r>
            <w:proofErr w:type="gramEnd"/>
          </w:p>
        </w:tc>
        <w:tc>
          <w:tcPr>
            <w:tcW w:w="850" w:type="dxa"/>
            <w:shd w:val="clear" w:color="auto" w:fill="F2F2F2"/>
          </w:tcPr>
          <w:p w14:paraId="4FF6F2B0" w14:textId="77777777" w:rsidR="00AE0BC5" w:rsidRPr="00AE0BC5" w:rsidRDefault="00AE0BC5" w:rsidP="00AE0BC5">
            <w:pPr>
              <w:autoSpaceDE w:val="0"/>
              <w:autoSpaceDN w:val="0"/>
              <w:adjustRightInd w:val="0"/>
              <w:jc w:val="center"/>
              <w:rPr>
                <w:rFonts w:ascii="Arial" w:eastAsia="Times New Roman" w:hAnsi="Arial" w:cs="Arial"/>
                <w:b/>
                <w:bCs/>
                <w:color w:val="auto"/>
              </w:rPr>
            </w:pPr>
          </w:p>
          <w:p w14:paraId="4FC91B75"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YES</w:t>
            </w:r>
          </w:p>
        </w:tc>
        <w:tc>
          <w:tcPr>
            <w:tcW w:w="822" w:type="dxa"/>
            <w:shd w:val="clear" w:color="auto" w:fill="F2F2F2"/>
          </w:tcPr>
          <w:p w14:paraId="712F4951" w14:textId="77777777" w:rsidR="00AE0BC5" w:rsidRPr="00AE0BC5" w:rsidRDefault="00AE0BC5" w:rsidP="00AE0BC5">
            <w:pPr>
              <w:autoSpaceDE w:val="0"/>
              <w:autoSpaceDN w:val="0"/>
              <w:adjustRightInd w:val="0"/>
              <w:jc w:val="center"/>
              <w:rPr>
                <w:rFonts w:ascii="Arial" w:eastAsia="Times New Roman" w:hAnsi="Arial" w:cs="Arial"/>
                <w:b/>
                <w:bCs/>
                <w:color w:val="auto"/>
              </w:rPr>
            </w:pPr>
          </w:p>
          <w:p w14:paraId="3E1CA542"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NO</w:t>
            </w:r>
          </w:p>
        </w:tc>
      </w:tr>
      <w:tr w:rsidR="00AE0BC5" w:rsidRPr="00AE0BC5" w14:paraId="6206AF3C" w14:textId="77777777" w:rsidTr="00AE0BC5">
        <w:trPr>
          <w:trHeight w:val="439"/>
        </w:trPr>
        <w:tc>
          <w:tcPr>
            <w:tcW w:w="562" w:type="dxa"/>
            <w:shd w:val="clear" w:color="auto" w:fill="F2F2F2"/>
          </w:tcPr>
          <w:p w14:paraId="5597F2F2"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2</w:t>
            </w:r>
          </w:p>
        </w:tc>
        <w:tc>
          <w:tcPr>
            <w:tcW w:w="8217" w:type="dxa"/>
            <w:shd w:val="clear" w:color="auto" w:fill="F2F2F2"/>
            <w:vAlign w:val="center"/>
          </w:tcPr>
          <w:p w14:paraId="4150098D"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Students or staff at the University?</w:t>
            </w:r>
          </w:p>
        </w:tc>
        <w:tc>
          <w:tcPr>
            <w:tcW w:w="850" w:type="dxa"/>
            <w:shd w:val="clear" w:color="auto" w:fill="BFBFBF"/>
            <w:vAlign w:val="center"/>
          </w:tcPr>
          <w:sdt>
            <w:sdtPr>
              <w:rPr>
                <w:rFonts w:ascii="Arial" w:eastAsia="Times New Roman" w:hAnsi="Arial" w:cs="Arial"/>
                <w:b/>
                <w:bCs/>
                <w:color w:val="auto"/>
              </w:rPr>
              <w:id w:val="-227763996"/>
              <w14:checkbox>
                <w14:checked w14:val="0"/>
                <w14:checkedState w14:val="2612" w14:font="MS Gothic"/>
                <w14:uncheckedState w14:val="2610" w14:font="MS Gothic"/>
              </w14:checkbox>
            </w:sdtPr>
            <w:sdtEndPr/>
            <w:sdtContent>
              <w:p w14:paraId="368B45AF"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22" w:type="dxa"/>
            <w:shd w:val="clear" w:color="auto" w:fill="BFBFBF"/>
            <w:vAlign w:val="center"/>
          </w:tcPr>
          <w:sdt>
            <w:sdtPr>
              <w:rPr>
                <w:rFonts w:ascii="Arial" w:eastAsia="Times New Roman" w:hAnsi="Arial" w:cs="Arial"/>
                <w:b/>
                <w:bCs/>
                <w:color w:val="auto"/>
              </w:rPr>
              <w:id w:val="-947306252"/>
              <w14:checkbox>
                <w14:checked w14:val="1"/>
                <w14:checkedState w14:val="2612" w14:font="MS Gothic"/>
                <w14:uncheckedState w14:val="2610" w14:font="MS Gothic"/>
              </w14:checkbox>
            </w:sdtPr>
            <w:sdtEndPr/>
            <w:sdtContent>
              <w:p w14:paraId="17FD0DCA"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61B907F3" w14:textId="77777777" w:rsidTr="00AE0BC5">
        <w:trPr>
          <w:trHeight w:val="403"/>
        </w:trPr>
        <w:tc>
          <w:tcPr>
            <w:tcW w:w="562" w:type="dxa"/>
            <w:shd w:val="clear" w:color="auto" w:fill="F2F2F2"/>
          </w:tcPr>
          <w:p w14:paraId="357D7B1F"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3</w:t>
            </w:r>
          </w:p>
        </w:tc>
        <w:tc>
          <w:tcPr>
            <w:tcW w:w="8217" w:type="dxa"/>
            <w:shd w:val="clear" w:color="auto" w:fill="F2F2F2"/>
            <w:vAlign w:val="center"/>
          </w:tcPr>
          <w:p w14:paraId="29E92470"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Adults (over the age of 18 and competent to give consent)?</w:t>
            </w:r>
          </w:p>
        </w:tc>
        <w:tc>
          <w:tcPr>
            <w:tcW w:w="850" w:type="dxa"/>
            <w:shd w:val="clear" w:color="auto" w:fill="BFBFBF"/>
            <w:vAlign w:val="center"/>
          </w:tcPr>
          <w:sdt>
            <w:sdtPr>
              <w:rPr>
                <w:rFonts w:ascii="Arial" w:eastAsia="Times New Roman" w:hAnsi="Arial" w:cs="Arial"/>
                <w:b/>
                <w:bCs/>
                <w:color w:val="auto"/>
              </w:rPr>
              <w:id w:val="-1780247199"/>
              <w14:checkbox>
                <w14:checked w14:val="0"/>
                <w14:checkedState w14:val="2612" w14:font="MS Gothic"/>
                <w14:uncheckedState w14:val="2610" w14:font="MS Gothic"/>
              </w14:checkbox>
            </w:sdtPr>
            <w:sdtEndPr/>
            <w:sdtContent>
              <w:p w14:paraId="70279DCC"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22" w:type="dxa"/>
            <w:shd w:val="clear" w:color="auto" w:fill="BFBFBF"/>
            <w:vAlign w:val="center"/>
          </w:tcPr>
          <w:sdt>
            <w:sdtPr>
              <w:rPr>
                <w:rFonts w:ascii="Arial" w:eastAsia="Times New Roman" w:hAnsi="Arial" w:cs="Arial"/>
                <w:b/>
                <w:bCs/>
                <w:color w:val="auto"/>
              </w:rPr>
              <w:id w:val="666435130"/>
              <w14:checkbox>
                <w14:checked w14:val="1"/>
                <w14:checkedState w14:val="2612" w14:font="MS Gothic"/>
                <w14:uncheckedState w14:val="2610" w14:font="MS Gothic"/>
              </w14:checkbox>
            </w:sdtPr>
            <w:sdtEndPr/>
            <w:sdtContent>
              <w:p w14:paraId="3ADD9565"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6ED0E6DA" w14:textId="77777777" w:rsidTr="00AE0BC5">
        <w:trPr>
          <w:trHeight w:val="439"/>
        </w:trPr>
        <w:tc>
          <w:tcPr>
            <w:tcW w:w="562" w:type="dxa"/>
            <w:shd w:val="clear" w:color="auto" w:fill="F2F2F2"/>
          </w:tcPr>
          <w:p w14:paraId="1272E154"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4</w:t>
            </w:r>
          </w:p>
        </w:tc>
        <w:tc>
          <w:tcPr>
            <w:tcW w:w="8217" w:type="dxa"/>
            <w:shd w:val="clear" w:color="auto" w:fill="F2F2F2"/>
            <w:vAlign w:val="center"/>
          </w:tcPr>
          <w:p w14:paraId="5C3B0425"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Vulnerable adults?</w:t>
            </w:r>
          </w:p>
        </w:tc>
        <w:tc>
          <w:tcPr>
            <w:tcW w:w="850" w:type="dxa"/>
            <w:shd w:val="clear" w:color="auto" w:fill="BFBFBF"/>
            <w:vAlign w:val="center"/>
          </w:tcPr>
          <w:sdt>
            <w:sdtPr>
              <w:rPr>
                <w:rFonts w:ascii="Arial" w:eastAsia="Times New Roman" w:hAnsi="Arial" w:cs="Arial"/>
                <w:b/>
                <w:bCs/>
                <w:color w:val="auto"/>
              </w:rPr>
              <w:id w:val="555978563"/>
              <w14:checkbox>
                <w14:checked w14:val="0"/>
                <w14:checkedState w14:val="2612" w14:font="MS Gothic"/>
                <w14:uncheckedState w14:val="2610" w14:font="MS Gothic"/>
              </w14:checkbox>
            </w:sdtPr>
            <w:sdtEndPr/>
            <w:sdtContent>
              <w:p w14:paraId="5F1AD4DC"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22" w:type="dxa"/>
            <w:shd w:val="clear" w:color="auto" w:fill="BFBFBF"/>
            <w:vAlign w:val="center"/>
          </w:tcPr>
          <w:sdt>
            <w:sdtPr>
              <w:rPr>
                <w:rFonts w:ascii="Arial" w:eastAsia="Times New Roman" w:hAnsi="Arial" w:cs="Arial"/>
                <w:b/>
                <w:bCs/>
                <w:color w:val="auto"/>
              </w:rPr>
              <w:id w:val="-435668532"/>
              <w14:checkbox>
                <w14:checked w14:val="1"/>
                <w14:checkedState w14:val="2612" w14:font="MS Gothic"/>
                <w14:uncheckedState w14:val="2610" w14:font="MS Gothic"/>
              </w14:checkbox>
            </w:sdtPr>
            <w:sdtEndPr/>
            <w:sdtContent>
              <w:p w14:paraId="2364D876"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52E0AE0D" w14:textId="77777777" w:rsidTr="00AE0BC5">
        <w:trPr>
          <w:trHeight w:val="403"/>
        </w:trPr>
        <w:tc>
          <w:tcPr>
            <w:tcW w:w="562" w:type="dxa"/>
            <w:shd w:val="clear" w:color="auto" w:fill="F2F2F2"/>
          </w:tcPr>
          <w:p w14:paraId="5F353E0B"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5</w:t>
            </w:r>
          </w:p>
        </w:tc>
        <w:tc>
          <w:tcPr>
            <w:tcW w:w="8217" w:type="dxa"/>
            <w:shd w:val="clear" w:color="auto" w:fill="F2F2F2"/>
            <w:vAlign w:val="center"/>
          </w:tcPr>
          <w:p w14:paraId="189A07C9"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Children and Young People under the age of 18? (Consent from Parent, Carer or Guardian will be required)</w:t>
            </w:r>
          </w:p>
        </w:tc>
        <w:tc>
          <w:tcPr>
            <w:tcW w:w="850" w:type="dxa"/>
            <w:shd w:val="clear" w:color="auto" w:fill="BFBFBF"/>
            <w:vAlign w:val="center"/>
          </w:tcPr>
          <w:sdt>
            <w:sdtPr>
              <w:rPr>
                <w:rFonts w:ascii="Arial" w:eastAsia="Times New Roman" w:hAnsi="Arial" w:cs="Arial"/>
                <w:b/>
                <w:bCs/>
                <w:color w:val="auto"/>
              </w:rPr>
              <w:id w:val="-375472827"/>
              <w14:checkbox>
                <w14:checked w14:val="0"/>
                <w14:checkedState w14:val="2612" w14:font="MS Gothic"/>
                <w14:uncheckedState w14:val="2610" w14:font="MS Gothic"/>
              </w14:checkbox>
            </w:sdtPr>
            <w:sdtEndPr/>
            <w:sdtContent>
              <w:p w14:paraId="6829710D"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22" w:type="dxa"/>
            <w:shd w:val="clear" w:color="auto" w:fill="BFBFBF"/>
            <w:vAlign w:val="center"/>
          </w:tcPr>
          <w:sdt>
            <w:sdtPr>
              <w:rPr>
                <w:rFonts w:ascii="Arial" w:eastAsia="Times New Roman" w:hAnsi="Arial" w:cs="Arial"/>
                <w:b/>
                <w:bCs/>
                <w:color w:val="auto"/>
              </w:rPr>
              <w:id w:val="1887361462"/>
              <w14:checkbox>
                <w14:checked w14:val="1"/>
                <w14:checkedState w14:val="2612" w14:font="MS Gothic"/>
                <w14:uncheckedState w14:val="2610" w14:font="MS Gothic"/>
              </w14:checkbox>
            </w:sdtPr>
            <w:sdtEndPr/>
            <w:sdtContent>
              <w:p w14:paraId="18E2E10F"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46AA56C1" w14:textId="77777777" w:rsidTr="00AE0BC5">
        <w:trPr>
          <w:trHeight w:val="403"/>
        </w:trPr>
        <w:tc>
          <w:tcPr>
            <w:tcW w:w="562" w:type="dxa"/>
            <w:shd w:val="clear" w:color="auto" w:fill="F2F2F2"/>
          </w:tcPr>
          <w:p w14:paraId="10820C02"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6</w:t>
            </w:r>
          </w:p>
        </w:tc>
        <w:tc>
          <w:tcPr>
            <w:tcW w:w="8217" w:type="dxa"/>
            <w:shd w:val="clear" w:color="auto" w:fill="F2F2F2"/>
            <w:vAlign w:val="center"/>
          </w:tcPr>
          <w:p w14:paraId="68134FB0"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Prisoners?</w:t>
            </w:r>
          </w:p>
        </w:tc>
        <w:tc>
          <w:tcPr>
            <w:tcW w:w="850" w:type="dxa"/>
            <w:shd w:val="clear" w:color="auto" w:fill="BFBFBF"/>
            <w:vAlign w:val="center"/>
          </w:tcPr>
          <w:sdt>
            <w:sdtPr>
              <w:rPr>
                <w:rFonts w:ascii="Arial" w:eastAsia="Times New Roman" w:hAnsi="Arial" w:cs="Arial"/>
                <w:b/>
                <w:bCs/>
                <w:color w:val="auto"/>
              </w:rPr>
              <w:id w:val="1692793907"/>
              <w14:checkbox>
                <w14:checked w14:val="0"/>
                <w14:checkedState w14:val="2612" w14:font="MS Gothic"/>
                <w14:uncheckedState w14:val="2610" w14:font="MS Gothic"/>
              </w14:checkbox>
            </w:sdtPr>
            <w:sdtEndPr/>
            <w:sdtContent>
              <w:p w14:paraId="47E4FE29"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22" w:type="dxa"/>
            <w:shd w:val="clear" w:color="auto" w:fill="BFBFBF"/>
            <w:vAlign w:val="center"/>
          </w:tcPr>
          <w:sdt>
            <w:sdtPr>
              <w:rPr>
                <w:rFonts w:ascii="Arial" w:eastAsia="Times New Roman" w:hAnsi="Arial" w:cs="Arial"/>
                <w:b/>
                <w:bCs/>
                <w:color w:val="auto"/>
              </w:rPr>
              <w:id w:val="326411418"/>
              <w14:checkbox>
                <w14:checked w14:val="1"/>
                <w14:checkedState w14:val="2612" w14:font="MS Gothic"/>
                <w14:uncheckedState w14:val="2610" w14:font="MS Gothic"/>
              </w14:checkbox>
            </w:sdtPr>
            <w:sdtEndPr/>
            <w:sdtContent>
              <w:p w14:paraId="36F741F6"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2D7DB8E4" w14:textId="77777777" w:rsidTr="00AE0BC5">
        <w:trPr>
          <w:trHeight w:val="439"/>
        </w:trPr>
        <w:tc>
          <w:tcPr>
            <w:tcW w:w="562" w:type="dxa"/>
            <w:shd w:val="clear" w:color="auto" w:fill="F2F2F2"/>
          </w:tcPr>
          <w:p w14:paraId="0FCF0288"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7</w:t>
            </w:r>
          </w:p>
        </w:tc>
        <w:tc>
          <w:tcPr>
            <w:tcW w:w="8217" w:type="dxa"/>
            <w:shd w:val="clear" w:color="auto" w:fill="F2F2F2"/>
            <w:vAlign w:val="center"/>
          </w:tcPr>
          <w:p w14:paraId="13A0DBC6"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Young offenders?</w:t>
            </w:r>
          </w:p>
        </w:tc>
        <w:tc>
          <w:tcPr>
            <w:tcW w:w="850" w:type="dxa"/>
            <w:shd w:val="clear" w:color="auto" w:fill="BFBFBF"/>
            <w:vAlign w:val="center"/>
          </w:tcPr>
          <w:sdt>
            <w:sdtPr>
              <w:rPr>
                <w:rFonts w:ascii="Arial" w:eastAsia="Times New Roman" w:hAnsi="Arial" w:cs="Arial"/>
                <w:b/>
                <w:bCs/>
                <w:color w:val="auto"/>
              </w:rPr>
              <w:id w:val="1255410168"/>
              <w14:checkbox>
                <w14:checked w14:val="0"/>
                <w14:checkedState w14:val="2612" w14:font="MS Gothic"/>
                <w14:uncheckedState w14:val="2610" w14:font="MS Gothic"/>
              </w14:checkbox>
            </w:sdtPr>
            <w:sdtEndPr/>
            <w:sdtContent>
              <w:p w14:paraId="1D1BEF88"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22" w:type="dxa"/>
            <w:shd w:val="clear" w:color="auto" w:fill="BFBFBF"/>
            <w:vAlign w:val="center"/>
          </w:tcPr>
          <w:sdt>
            <w:sdtPr>
              <w:rPr>
                <w:rFonts w:ascii="Arial" w:eastAsia="Times New Roman" w:hAnsi="Arial" w:cs="Arial"/>
                <w:b/>
                <w:bCs/>
                <w:color w:val="auto"/>
              </w:rPr>
              <w:id w:val="-1236000582"/>
              <w14:checkbox>
                <w14:checked w14:val="1"/>
                <w14:checkedState w14:val="2612" w14:font="MS Gothic"/>
                <w14:uncheckedState w14:val="2610" w14:font="MS Gothic"/>
              </w14:checkbox>
            </w:sdtPr>
            <w:sdtEndPr/>
            <w:sdtContent>
              <w:p w14:paraId="53C0FB83"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1DB7F5C9" w14:textId="77777777" w:rsidTr="00AE0BC5">
        <w:trPr>
          <w:trHeight w:val="403"/>
        </w:trPr>
        <w:tc>
          <w:tcPr>
            <w:tcW w:w="562" w:type="dxa"/>
            <w:shd w:val="clear" w:color="auto" w:fill="F2F2F2"/>
          </w:tcPr>
          <w:p w14:paraId="4B2AD6AC"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8</w:t>
            </w:r>
          </w:p>
        </w:tc>
        <w:tc>
          <w:tcPr>
            <w:tcW w:w="8217" w:type="dxa"/>
            <w:shd w:val="clear" w:color="auto" w:fill="F2F2F2"/>
            <w:vAlign w:val="center"/>
          </w:tcPr>
          <w:p w14:paraId="457A6824"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Those who could be considered to have a particularly dependent relationship with the investigator or a gatekeeper?</w:t>
            </w:r>
          </w:p>
        </w:tc>
        <w:tc>
          <w:tcPr>
            <w:tcW w:w="850" w:type="dxa"/>
            <w:shd w:val="clear" w:color="auto" w:fill="BFBFBF"/>
            <w:vAlign w:val="center"/>
          </w:tcPr>
          <w:sdt>
            <w:sdtPr>
              <w:rPr>
                <w:rFonts w:ascii="Arial" w:eastAsia="Times New Roman" w:hAnsi="Arial" w:cs="Arial"/>
                <w:b/>
                <w:bCs/>
                <w:color w:val="auto"/>
              </w:rPr>
              <w:id w:val="-1016453075"/>
              <w14:checkbox>
                <w14:checked w14:val="0"/>
                <w14:checkedState w14:val="2612" w14:font="MS Gothic"/>
                <w14:uncheckedState w14:val="2610" w14:font="MS Gothic"/>
              </w14:checkbox>
            </w:sdtPr>
            <w:sdtEndPr/>
            <w:sdtContent>
              <w:p w14:paraId="03F9F6E3"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822" w:type="dxa"/>
            <w:shd w:val="clear" w:color="auto" w:fill="BFBFBF"/>
            <w:vAlign w:val="center"/>
          </w:tcPr>
          <w:sdt>
            <w:sdtPr>
              <w:rPr>
                <w:rFonts w:ascii="Arial" w:eastAsia="Times New Roman" w:hAnsi="Arial" w:cs="Arial"/>
                <w:b/>
                <w:bCs/>
                <w:color w:val="auto"/>
              </w:rPr>
              <w:id w:val="1673070048"/>
              <w14:checkbox>
                <w14:checked w14:val="1"/>
                <w14:checkedState w14:val="2612" w14:font="MS Gothic"/>
                <w14:uncheckedState w14:val="2610" w14:font="MS Gothic"/>
              </w14:checkbox>
            </w:sdtPr>
            <w:sdtEndPr/>
            <w:sdtContent>
              <w:p w14:paraId="278112B8"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r>
      <w:tr w:rsidR="00AE0BC5" w:rsidRPr="00AE0BC5" w14:paraId="2EFAB625" w14:textId="77777777" w:rsidTr="00AE0BC5">
        <w:trPr>
          <w:trHeight w:val="403"/>
        </w:trPr>
        <w:tc>
          <w:tcPr>
            <w:tcW w:w="562" w:type="dxa"/>
            <w:shd w:val="clear" w:color="auto" w:fill="F2F2F2"/>
          </w:tcPr>
          <w:p w14:paraId="355CEACD"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9</w:t>
            </w:r>
          </w:p>
        </w:tc>
        <w:tc>
          <w:tcPr>
            <w:tcW w:w="8217" w:type="dxa"/>
            <w:shd w:val="clear" w:color="auto" w:fill="F2F2F2"/>
            <w:vAlign w:val="center"/>
          </w:tcPr>
          <w:p w14:paraId="48A87897"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People engaged in illegal activities?</w:t>
            </w:r>
          </w:p>
        </w:tc>
        <w:tc>
          <w:tcPr>
            <w:tcW w:w="850" w:type="dxa"/>
            <w:shd w:val="clear" w:color="auto" w:fill="BFBFBF"/>
            <w:vAlign w:val="center"/>
          </w:tcPr>
          <w:sdt>
            <w:sdtPr>
              <w:rPr>
                <w:rFonts w:ascii="Arial" w:eastAsia="Times New Roman" w:hAnsi="Arial" w:cs="Arial"/>
                <w:b/>
                <w:bCs/>
                <w:color w:val="auto"/>
              </w:rPr>
              <w:id w:val="-1519850840"/>
              <w14:checkbox>
                <w14:checked w14:val="0"/>
                <w14:checkedState w14:val="2612" w14:font="MS Gothic"/>
                <w14:uncheckedState w14:val="2610" w14:font="MS Gothic"/>
              </w14:checkbox>
            </w:sdtPr>
            <w:sdtEndPr/>
            <w:sdtContent>
              <w:p w14:paraId="02270297"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822" w:type="dxa"/>
            <w:shd w:val="clear" w:color="auto" w:fill="BFBFBF"/>
            <w:vAlign w:val="center"/>
          </w:tcPr>
          <w:sdt>
            <w:sdtPr>
              <w:rPr>
                <w:rFonts w:ascii="Arial" w:eastAsia="Times New Roman" w:hAnsi="Arial" w:cs="Arial"/>
                <w:b/>
                <w:bCs/>
                <w:color w:val="auto"/>
              </w:rPr>
              <w:id w:val="1072859745"/>
              <w14:checkbox>
                <w14:checked w14:val="1"/>
                <w14:checkedState w14:val="2612" w14:font="MS Gothic"/>
                <w14:uncheckedState w14:val="2610" w14:font="MS Gothic"/>
              </w14:checkbox>
            </w:sdtPr>
            <w:sdtEndPr/>
            <w:sdtContent>
              <w:p w14:paraId="2D9B0424"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r>
      <w:tr w:rsidR="00AE0BC5" w:rsidRPr="00AE0BC5" w14:paraId="076FC7E6" w14:textId="77777777" w:rsidTr="00AE0BC5">
        <w:trPr>
          <w:trHeight w:val="403"/>
        </w:trPr>
        <w:tc>
          <w:tcPr>
            <w:tcW w:w="562" w:type="dxa"/>
            <w:shd w:val="clear" w:color="auto" w:fill="F2F2F2"/>
          </w:tcPr>
          <w:p w14:paraId="632A647C"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10</w:t>
            </w:r>
          </w:p>
        </w:tc>
        <w:tc>
          <w:tcPr>
            <w:tcW w:w="8217" w:type="dxa"/>
            <w:shd w:val="clear" w:color="auto" w:fill="F2F2F2"/>
            <w:vAlign w:val="center"/>
          </w:tcPr>
          <w:p w14:paraId="6C5DC7FB"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Others (please identify specifically any group who may be unable to give consent) please indicate here and tick the appropriate box.</w:t>
            </w:r>
          </w:p>
          <w:p w14:paraId="64CDC757" w14:textId="77777777" w:rsidR="00AE0BC5" w:rsidRPr="00AE0BC5" w:rsidRDefault="00AE0BC5" w:rsidP="00AE0BC5">
            <w:pPr>
              <w:autoSpaceDE w:val="0"/>
              <w:autoSpaceDN w:val="0"/>
              <w:adjustRightInd w:val="0"/>
              <w:rPr>
                <w:rFonts w:ascii="Arial" w:eastAsia="Times New Roman" w:hAnsi="Arial" w:cs="Arial"/>
                <w:color w:val="auto"/>
              </w:rPr>
            </w:pPr>
          </w:p>
        </w:tc>
        <w:tc>
          <w:tcPr>
            <w:tcW w:w="850" w:type="dxa"/>
            <w:vMerge w:val="restart"/>
            <w:shd w:val="clear" w:color="auto" w:fill="BFBFBF"/>
            <w:vAlign w:val="center"/>
          </w:tcPr>
          <w:sdt>
            <w:sdtPr>
              <w:rPr>
                <w:rFonts w:ascii="Arial" w:eastAsia="Times New Roman" w:hAnsi="Arial" w:cs="Arial"/>
                <w:b/>
                <w:bCs/>
                <w:color w:val="auto"/>
              </w:rPr>
              <w:id w:val="-1984918035"/>
              <w14:checkbox>
                <w14:checked w14:val="0"/>
                <w14:checkedState w14:val="2612" w14:font="MS Gothic"/>
                <w14:uncheckedState w14:val="2610" w14:font="MS Gothic"/>
              </w14:checkbox>
            </w:sdtPr>
            <w:sdtEndPr/>
            <w:sdtContent>
              <w:p w14:paraId="456548D2"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822" w:type="dxa"/>
            <w:vMerge w:val="restart"/>
            <w:shd w:val="clear" w:color="auto" w:fill="BFBFBF"/>
            <w:vAlign w:val="center"/>
          </w:tcPr>
          <w:sdt>
            <w:sdtPr>
              <w:rPr>
                <w:rFonts w:ascii="Arial" w:eastAsia="Times New Roman" w:hAnsi="Arial" w:cs="Arial"/>
                <w:b/>
                <w:bCs/>
                <w:color w:val="auto"/>
              </w:rPr>
              <w:id w:val="-1870052561"/>
              <w14:checkbox>
                <w14:checked w14:val="1"/>
                <w14:checkedState w14:val="2612" w14:font="MS Gothic"/>
                <w14:uncheckedState w14:val="2610" w14:font="MS Gothic"/>
              </w14:checkbox>
            </w:sdtPr>
            <w:sdtEndPr/>
            <w:sdtContent>
              <w:p w14:paraId="59A76F90"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r>
      <w:tr w:rsidR="00AE0BC5" w:rsidRPr="00AE0BC5" w14:paraId="253286E0" w14:textId="77777777" w:rsidTr="00AE0BC5">
        <w:trPr>
          <w:trHeight w:val="403"/>
        </w:trPr>
        <w:tc>
          <w:tcPr>
            <w:tcW w:w="562" w:type="dxa"/>
          </w:tcPr>
          <w:p w14:paraId="66547B33"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11</w:t>
            </w:r>
          </w:p>
        </w:tc>
        <w:tc>
          <w:tcPr>
            <w:tcW w:w="8217" w:type="dxa"/>
            <w:shd w:val="clear" w:color="auto" w:fill="auto"/>
            <w:vAlign w:val="center"/>
          </w:tcPr>
          <w:p w14:paraId="520739A7"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Other – please indicate here:</w:t>
            </w:r>
          </w:p>
          <w:p w14:paraId="7A3BAB9C" w14:textId="77777777" w:rsidR="00AE0BC5" w:rsidRPr="00AE0BC5" w:rsidRDefault="00AE0BC5" w:rsidP="00AE0BC5">
            <w:pPr>
              <w:rPr>
                <w:rFonts w:ascii="Arial" w:eastAsia="Times New Roman" w:hAnsi="Arial" w:cs="Arial"/>
                <w:color w:val="auto"/>
                <w:sz w:val="20"/>
              </w:rPr>
            </w:pPr>
          </w:p>
          <w:p w14:paraId="5E3367BF" w14:textId="77777777" w:rsidR="00AE0BC5" w:rsidRPr="00AE0BC5" w:rsidRDefault="00AE0BC5" w:rsidP="00AE0BC5">
            <w:pPr>
              <w:rPr>
                <w:rFonts w:ascii="Arial" w:eastAsia="Times New Roman" w:hAnsi="Arial" w:cs="Arial"/>
                <w:color w:val="auto"/>
                <w:sz w:val="20"/>
              </w:rPr>
            </w:pPr>
          </w:p>
          <w:p w14:paraId="751FEFC3" w14:textId="77777777" w:rsidR="00AE0BC5" w:rsidRPr="00AE0BC5" w:rsidRDefault="00AE0BC5" w:rsidP="00AE0BC5">
            <w:pPr>
              <w:rPr>
                <w:rFonts w:ascii="Arial" w:eastAsia="Times New Roman" w:hAnsi="Arial" w:cs="Arial"/>
                <w:color w:val="auto"/>
              </w:rPr>
            </w:pPr>
          </w:p>
          <w:p w14:paraId="653E02D3"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808080"/>
                <w:sz w:val="18"/>
                <w:szCs w:val="18"/>
              </w:rPr>
              <w:t>(</w:t>
            </w:r>
            <w:proofErr w:type="gramStart"/>
            <w:r w:rsidRPr="00AE0BC5">
              <w:rPr>
                <w:rFonts w:ascii="Arial" w:eastAsia="Times New Roman" w:hAnsi="Arial" w:cs="Arial"/>
                <w:color w:val="808080"/>
                <w:sz w:val="18"/>
                <w:szCs w:val="18"/>
              </w:rPr>
              <w:t>this</w:t>
            </w:r>
            <w:proofErr w:type="gramEnd"/>
            <w:r w:rsidRPr="00AE0BC5">
              <w:rPr>
                <w:rFonts w:ascii="Arial" w:eastAsia="Times New Roman" w:hAnsi="Arial" w:cs="Arial"/>
                <w:color w:val="808080"/>
                <w:sz w:val="18"/>
                <w:szCs w:val="18"/>
              </w:rPr>
              <w:t xml:space="preserve"> box should expand as you type)</w:t>
            </w:r>
          </w:p>
        </w:tc>
        <w:tc>
          <w:tcPr>
            <w:tcW w:w="850" w:type="dxa"/>
            <w:vMerge/>
            <w:shd w:val="clear" w:color="auto" w:fill="BFBFBF"/>
            <w:vAlign w:val="center"/>
          </w:tcPr>
          <w:p w14:paraId="16FF4394" w14:textId="77777777" w:rsidR="00AE0BC5" w:rsidRPr="00AE0BC5" w:rsidRDefault="00AE0BC5" w:rsidP="00AE0BC5">
            <w:pPr>
              <w:autoSpaceDE w:val="0"/>
              <w:autoSpaceDN w:val="0"/>
              <w:adjustRightInd w:val="0"/>
              <w:jc w:val="center"/>
              <w:rPr>
                <w:rFonts w:ascii="Arial" w:eastAsia="Times New Roman" w:hAnsi="Arial" w:cs="Arial"/>
                <w:b/>
                <w:bCs/>
                <w:color w:val="auto"/>
              </w:rPr>
            </w:pPr>
          </w:p>
        </w:tc>
        <w:tc>
          <w:tcPr>
            <w:tcW w:w="822" w:type="dxa"/>
            <w:vMerge/>
            <w:shd w:val="clear" w:color="auto" w:fill="BFBFBF"/>
            <w:vAlign w:val="center"/>
          </w:tcPr>
          <w:p w14:paraId="59D03FF5" w14:textId="77777777" w:rsidR="00AE0BC5" w:rsidRPr="00AE0BC5" w:rsidRDefault="00AE0BC5" w:rsidP="00AE0BC5">
            <w:pPr>
              <w:autoSpaceDE w:val="0"/>
              <w:autoSpaceDN w:val="0"/>
              <w:adjustRightInd w:val="0"/>
              <w:jc w:val="center"/>
              <w:rPr>
                <w:rFonts w:ascii="Arial" w:eastAsia="Times New Roman" w:hAnsi="Arial" w:cs="Arial"/>
                <w:b/>
                <w:bCs/>
                <w:color w:val="auto"/>
              </w:rPr>
            </w:pPr>
          </w:p>
        </w:tc>
      </w:tr>
    </w:tbl>
    <w:p w14:paraId="1E6D164B" w14:textId="77777777" w:rsidR="00AE0BC5" w:rsidRPr="00AE0BC5" w:rsidRDefault="00AE0BC5" w:rsidP="00AE0BC5">
      <w:pPr>
        <w:spacing w:after="0" w:afterAutospacing="0" w:line="240" w:lineRule="auto"/>
        <w:rPr>
          <w:rFonts w:ascii="Arial" w:eastAsia="Times New Roman" w:hAnsi="Arial" w:cs="Arial"/>
          <w:bCs/>
          <w:color w:val="auto"/>
          <w:sz w:val="24"/>
          <w:szCs w:val="24"/>
        </w:rPr>
      </w:pPr>
    </w:p>
    <w:tbl>
      <w:tblPr>
        <w:tblStyle w:val="TableGrid"/>
        <w:tblW w:w="10451" w:type="dxa"/>
        <w:tblLook w:val="04A0" w:firstRow="1" w:lastRow="0" w:firstColumn="1" w:lastColumn="0" w:noHBand="0" w:noVBand="1"/>
      </w:tblPr>
      <w:tblGrid>
        <w:gridCol w:w="562"/>
        <w:gridCol w:w="3256"/>
        <w:gridCol w:w="6633"/>
      </w:tblGrid>
      <w:tr w:rsidR="00AE0BC5" w:rsidRPr="00AE0BC5" w14:paraId="446A3636" w14:textId="77777777" w:rsidTr="00AE0BC5">
        <w:trPr>
          <w:trHeight w:val="403"/>
        </w:trPr>
        <w:tc>
          <w:tcPr>
            <w:tcW w:w="562" w:type="dxa"/>
            <w:tcBorders>
              <w:bottom w:val="single" w:sz="4" w:space="0" w:color="auto"/>
            </w:tcBorders>
            <w:shd w:val="clear" w:color="auto" w:fill="F2F2F2"/>
          </w:tcPr>
          <w:p w14:paraId="59FD09B2" w14:textId="77777777" w:rsidR="00AE0BC5" w:rsidRPr="00AE0BC5" w:rsidRDefault="00AE0BC5" w:rsidP="00AE0BC5">
            <w:pPr>
              <w:rPr>
                <w:rFonts w:ascii="Arial" w:eastAsia="Times New Roman" w:hAnsi="Arial" w:cs="Arial"/>
                <w:bCs/>
                <w:color w:val="auto"/>
              </w:rPr>
            </w:pPr>
            <w:r w:rsidRPr="00AE0BC5">
              <w:rPr>
                <w:rFonts w:ascii="Arial" w:eastAsia="Times New Roman" w:hAnsi="Arial" w:cs="Arial"/>
                <w:bCs/>
                <w:color w:val="auto"/>
              </w:rPr>
              <w:t>12</w:t>
            </w:r>
          </w:p>
        </w:tc>
        <w:tc>
          <w:tcPr>
            <w:tcW w:w="9889" w:type="dxa"/>
            <w:gridSpan w:val="2"/>
            <w:tcBorders>
              <w:bottom w:val="single" w:sz="4" w:space="0" w:color="auto"/>
            </w:tcBorders>
            <w:shd w:val="clear" w:color="auto" w:fill="F2F2F2"/>
            <w:vAlign w:val="center"/>
          </w:tcPr>
          <w:p w14:paraId="5B69D252" w14:textId="77777777" w:rsidR="00AE0BC5" w:rsidRPr="00AE0BC5" w:rsidRDefault="00AE0BC5" w:rsidP="00AE0BC5">
            <w:pPr>
              <w:rPr>
                <w:rFonts w:ascii="Arial" w:eastAsia="Times New Roman" w:hAnsi="Arial" w:cs="Arial"/>
                <w:b/>
                <w:color w:val="auto"/>
              </w:rPr>
            </w:pPr>
            <w:r w:rsidRPr="00AE0BC5">
              <w:rPr>
                <w:rFonts w:ascii="Arial" w:eastAsia="Times New Roman" w:hAnsi="Arial" w:cs="Arial"/>
                <w:b/>
                <w:color w:val="auto"/>
              </w:rPr>
              <w:t>Participant numbers and source</w:t>
            </w:r>
          </w:p>
          <w:p w14:paraId="05B679C5"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 xml:space="preserve">Provide an estimate of the expected number of participants. How will you identify participants and how will they be recruited? </w:t>
            </w:r>
          </w:p>
        </w:tc>
      </w:tr>
      <w:tr w:rsidR="00AE0BC5" w:rsidRPr="00AE0BC5" w14:paraId="4BF900E0" w14:textId="77777777" w:rsidTr="00AE0BC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39AE7F92" w14:textId="77777777" w:rsidR="00AE0BC5" w:rsidRPr="00AE0BC5" w:rsidRDefault="00AE0BC5" w:rsidP="00AE0BC5">
            <w:pPr>
              <w:rPr>
                <w:rFonts w:ascii="Arial" w:eastAsia="Times New Roman" w:hAnsi="Arial" w:cs="Arial"/>
                <w:color w:val="auto"/>
              </w:rPr>
            </w:pPr>
            <w:r w:rsidRPr="00AE0BC5">
              <w:rPr>
                <w:rFonts w:ascii="Arial" w:eastAsia="Times New Roman" w:hAnsi="Arial" w:cs="Arial"/>
                <w:color w:val="auto"/>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660E897" w14:textId="77777777" w:rsidR="00AE0BC5" w:rsidRPr="00AE0BC5" w:rsidRDefault="00AE0BC5" w:rsidP="00AE0BC5">
            <w:pPr>
              <w:rPr>
                <w:rFonts w:ascii="Arial" w:eastAsia="Times New Roman" w:hAnsi="Arial" w:cs="Arial"/>
                <w:color w:val="auto"/>
              </w:rPr>
            </w:pPr>
            <w:r w:rsidRPr="00AE0BC5">
              <w:rPr>
                <w:rFonts w:ascii="Arial" w:eastAsia="Times New Roman" w:hAnsi="Arial" w:cs="Arial"/>
                <w:color w:val="auto"/>
              </w:rPr>
              <w:t>How many participants are expected?</w:t>
            </w:r>
          </w:p>
          <w:p w14:paraId="7EC7DFEA" w14:textId="77777777" w:rsidR="00AE0BC5" w:rsidRPr="00AE0BC5" w:rsidRDefault="00AE0BC5" w:rsidP="00AE0BC5">
            <w:pPr>
              <w:rPr>
                <w:rFonts w:ascii="Arial" w:eastAsia="Times New Roman" w:hAnsi="Arial" w:cs="Arial"/>
                <w:color w:val="auto"/>
              </w:rPr>
            </w:pPr>
          </w:p>
        </w:tc>
        <w:tc>
          <w:tcPr>
            <w:tcW w:w="6633" w:type="dxa"/>
            <w:tcBorders>
              <w:top w:val="single" w:sz="4" w:space="0" w:color="auto"/>
              <w:left w:val="single" w:sz="4" w:space="0" w:color="auto"/>
              <w:bottom w:val="single" w:sz="4" w:space="0" w:color="auto"/>
              <w:right w:val="single" w:sz="4" w:space="0" w:color="auto"/>
            </w:tcBorders>
            <w:vAlign w:val="center"/>
          </w:tcPr>
          <w:p w14:paraId="54E605F9" w14:textId="77777777" w:rsidR="00AE0BC5" w:rsidRPr="00AE0BC5" w:rsidRDefault="00AE0BC5" w:rsidP="00AE0BC5">
            <w:pPr>
              <w:rPr>
                <w:rFonts w:ascii="Arial" w:eastAsia="Times New Roman" w:hAnsi="Arial" w:cs="Arial"/>
                <w:color w:val="auto"/>
              </w:rPr>
            </w:pPr>
          </w:p>
          <w:p w14:paraId="178005F0" w14:textId="77777777" w:rsidR="00AE0BC5" w:rsidRPr="00AE0BC5" w:rsidRDefault="00AE0BC5" w:rsidP="00AE0BC5">
            <w:pPr>
              <w:rPr>
                <w:rFonts w:ascii="Arial" w:eastAsia="Times New Roman" w:hAnsi="Arial" w:cs="Arial"/>
                <w:color w:val="auto"/>
              </w:rPr>
            </w:pPr>
            <w:r w:rsidRPr="00AE0BC5">
              <w:rPr>
                <w:rFonts w:ascii="Arial" w:eastAsia="Times New Roman" w:hAnsi="Arial" w:cs="Arial"/>
                <w:color w:val="auto"/>
              </w:rPr>
              <w:t>Not applicable.</w:t>
            </w:r>
          </w:p>
          <w:p w14:paraId="257091EB" w14:textId="77777777" w:rsidR="00AE0BC5" w:rsidRPr="00AE0BC5" w:rsidRDefault="00AE0BC5" w:rsidP="00AE0BC5">
            <w:pPr>
              <w:rPr>
                <w:rFonts w:ascii="Arial" w:eastAsia="Times New Roman" w:hAnsi="Arial" w:cs="Arial"/>
                <w:color w:val="auto"/>
              </w:rPr>
            </w:pPr>
          </w:p>
          <w:p w14:paraId="6A9AB405" w14:textId="77777777" w:rsidR="00AE0BC5" w:rsidRPr="00AE0BC5" w:rsidRDefault="00AE0BC5" w:rsidP="00AE0BC5">
            <w:pPr>
              <w:rPr>
                <w:rFonts w:ascii="Arial" w:eastAsia="Times New Roman" w:hAnsi="Arial" w:cs="Arial"/>
                <w:b/>
                <w:color w:val="auto"/>
              </w:rPr>
            </w:pPr>
            <w:r w:rsidRPr="00AE0BC5">
              <w:rPr>
                <w:rFonts w:ascii="Arial" w:eastAsia="Times New Roman" w:hAnsi="Arial" w:cs="Arial"/>
                <w:i/>
                <w:color w:val="808080"/>
                <w:sz w:val="18"/>
                <w:szCs w:val="18"/>
              </w:rPr>
              <w:t>(</w:t>
            </w:r>
            <w:proofErr w:type="gramStart"/>
            <w:r w:rsidRPr="00AE0BC5">
              <w:rPr>
                <w:rFonts w:ascii="Arial" w:eastAsia="Times New Roman" w:hAnsi="Arial" w:cs="Arial"/>
                <w:i/>
                <w:color w:val="808080"/>
                <w:sz w:val="18"/>
                <w:szCs w:val="18"/>
              </w:rPr>
              <w:t>this</w:t>
            </w:r>
            <w:proofErr w:type="gramEnd"/>
            <w:r w:rsidRPr="00AE0BC5">
              <w:rPr>
                <w:rFonts w:ascii="Arial" w:eastAsia="Times New Roman" w:hAnsi="Arial" w:cs="Arial"/>
                <w:i/>
                <w:color w:val="808080"/>
                <w:sz w:val="18"/>
                <w:szCs w:val="18"/>
              </w:rPr>
              <w:t xml:space="preserve"> box should expand as you type)</w:t>
            </w:r>
          </w:p>
        </w:tc>
      </w:tr>
      <w:tr w:rsidR="00AE0BC5" w:rsidRPr="00AE0BC5" w14:paraId="6AAAA463" w14:textId="77777777" w:rsidTr="00AE0BC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2AA38225" w14:textId="77777777" w:rsidR="00AE0BC5" w:rsidRPr="00AE0BC5" w:rsidRDefault="00AE0BC5" w:rsidP="00AE0BC5">
            <w:pPr>
              <w:rPr>
                <w:rFonts w:ascii="Arial" w:eastAsia="Times New Roman" w:hAnsi="Arial" w:cs="Arial"/>
                <w:color w:val="auto"/>
              </w:rPr>
            </w:pPr>
            <w:r w:rsidRPr="00AE0BC5">
              <w:rPr>
                <w:rFonts w:ascii="Arial" w:eastAsia="Times New Roman" w:hAnsi="Arial" w:cs="Arial"/>
                <w:color w:val="auto"/>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DC48714" w14:textId="77777777" w:rsidR="00AE0BC5" w:rsidRPr="00AE0BC5" w:rsidRDefault="00AE0BC5" w:rsidP="00AE0BC5">
            <w:pPr>
              <w:rPr>
                <w:rFonts w:ascii="Arial" w:eastAsia="Times New Roman" w:hAnsi="Arial" w:cs="Arial"/>
                <w:color w:val="auto"/>
              </w:rPr>
            </w:pPr>
            <w:r w:rsidRPr="00AE0BC5">
              <w:rPr>
                <w:rFonts w:ascii="Arial" w:eastAsia="Times New Roman" w:hAnsi="Arial" w:cs="Arial"/>
                <w:color w:val="auto"/>
              </w:rPr>
              <w:t>Who will the participants be?</w:t>
            </w:r>
          </w:p>
          <w:p w14:paraId="577EE899" w14:textId="77777777" w:rsidR="00AE0BC5" w:rsidRPr="00AE0BC5" w:rsidRDefault="00AE0BC5" w:rsidP="00AE0BC5">
            <w:pPr>
              <w:rPr>
                <w:rFonts w:ascii="Arial" w:eastAsia="Times New Roman" w:hAnsi="Arial" w:cs="Arial"/>
                <w:color w:val="auto"/>
              </w:rPr>
            </w:pPr>
          </w:p>
        </w:tc>
        <w:tc>
          <w:tcPr>
            <w:tcW w:w="6633" w:type="dxa"/>
            <w:tcBorders>
              <w:top w:val="single" w:sz="4" w:space="0" w:color="auto"/>
              <w:left w:val="single" w:sz="4" w:space="0" w:color="auto"/>
              <w:bottom w:val="single" w:sz="4" w:space="0" w:color="auto"/>
              <w:right w:val="single" w:sz="4" w:space="0" w:color="auto"/>
            </w:tcBorders>
            <w:vAlign w:val="center"/>
          </w:tcPr>
          <w:p w14:paraId="3AAE29B9" w14:textId="77777777" w:rsidR="00AE0BC5" w:rsidRPr="00AE0BC5" w:rsidRDefault="00AE0BC5" w:rsidP="00AE0BC5">
            <w:pPr>
              <w:rPr>
                <w:rFonts w:ascii="Arial" w:eastAsia="Times New Roman" w:hAnsi="Arial" w:cs="Arial"/>
                <w:color w:val="auto"/>
              </w:rPr>
            </w:pPr>
          </w:p>
          <w:p w14:paraId="46836683" w14:textId="77777777" w:rsidR="00AE0BC5" w:rsidRPr="00AE0BC5" w:rsidRDefault="00AE0BC5" w:rsidP="00AE0BC5">
            <w:pPr>
              <w:rPr>
                <w:rFonts w:ascii="Arial" w:eastAsia="Times New Roman" w:hAnsi="Arial" w:cs="Arial"/>
                <w:color w:val="auto"/>
              </w:rPr>
            </w:pPr>
            <w:r w:rsidRPr="00AE0BC5">
              <w:rPr>
                <w:rFonts w:ascii="Arial" w:eastAsia="Times New Roman" w:hAnsi="Arial" w:cs="Arial"/>
                <w:color w:val="auto"/>
              </w:rPr>
              <w:t>Not applicable.</w:t>
            </w:r>
          </w:p>
          <w:p w14:paraId="3A00944B" w14:textId="77777777" w:rsidR="00AE0BC5" w:rsidRPr="00AE0BC5" w:rsidRDefault="00AE0BC5" w:rsidP="00AE0BC5">
            <w:pPr>
              <w:rPr>
                <w:rFonts w:ascii="Arial" w:eastAsia="Times New Roman" w:hAnsi="Arial" w:cs="Arial"/>
                <w:color w:val="auto"/>
              </w:rPr>
            </w:pPr>
          </w:p>
          <w:p w14:paraId="4345DFE1" w14:textId="77777777" w:rsidR="00AE0BC5" w:rsidRPr="00AE0BC5" w:rsidRDefault="00AE0BC5" w:rsidP="00AE0BC5">
            <w:pPr>
              <w:rPr>
                <w:rFonts w:ascii="Arial" w:eastAsia="Times New Roman" w:hAnsi="Arial" w:cs="Arial"/>
                <w:i/>
                <w:color w:val="808080"/>
                <w:sz w:val="18"/>
                <w:szCs w:val="18"/>
              </w:rPr>
            </w:pPr>
            <w:r w:rsidRPr="00AE0BC5">
              <w:rPr>
                <w:rFonts w:ascii="Arial" w:eastAsia="Times New Roman" w:hAnsi="Arial" w:cs="Arial"/>
                <w:i/>
                <w:color w:val="808080"/>
                <w:sz w:val="18"/>
                <w:szCs w:val="18"/>
              </w:rPr>
              <w:t>(</w:t>
            </w:r>
            <w:proofErr w:type="gramStart"/>
            <w:r w:rsidRPr="00AE0BC5">
              <w:rPr>
                <w:rFonts w:ascii="Arial" w:eastAsia="Times New Roman" w:hAnsi="Arial" w:cs="Arial"/>
                <w:i/>
                <w:color w:val="808080"/>
                <w:sz w:val="18"/>
                <w:szCs w:val="18"/>
              </w:rPr>
              <w:t>this</w:t>
            </w:r>
            <w:proofErr w:type="gramEnd"/>
            <w:r w:rsidRPr="00AE0BC5">
              <w:rPr>
                <w:rFonts w:ascii="Arial" w:eastAsia="Times New Roman" w:hAnsi="Arial" w:cs="Arial"/>
                <w:i/>
                <w:color w:val="808080"/>
                <w:sz w:val="18"/>
                <w:szCs w:val="18"/>
              </w:rPr>
              <w:t xml:space="preserve"> box should expand as you type)</w:t>
            </w:r>
          </w:p>
        </w:tc>
      </w:tr>
      <w:tr w:rsidR="00AE0BC5" w:rsidRPr="00AE0BC5" w14:paraId="19B39053" w14:textId="77777777" w:rsidTr="00AE0BC5">
        <w:trPr>
          <w:trHeight w:val="403"/>
        </w:trPr>
        <w:tc>
          <w:tcPr>
            <w:tcW w:w="562" w:type="dxa"/>
            <w:tcBorders>
              <w:top w:val="single" w:sz="4" w:space="0" w:color="auto"/>
            </w:tcBorders>
            <w:shd w:val="clear" w:color="auto" w:fill="F2F2F2"/>
          </w:tcPr>
          <w:p w14:paraId="2F714827" w14:textId="77777777" w:rsidR="00AE0BC5" w:rsidRPr="00AE0BC5" w:rsidRDefault="00AE0BC5" w:rsidP="00AE0BC5">
            <w:pPr>
              <w:rPr>
                <w:rFonts w:ascii="Arial" w:eastAsia="Times New Roman" w:hAnsi="Arial" w:cs="Arial"/>
                <w:color w:val="auto"/>
              </w:rPr>
            </w:pPr>
            <w:r w:rsidRPr="00AE0BC5">
              <w:rPr>
                <w:rFonts w:ascii="Arial" w:eastAsia="Times New Roman" w:hAnsi="Arial" w:cs="Arial"/>
                <w:color w:val="auto"/>
              </w:rPr>
              <w:t>15</w:t>
            </w:r>
          </w:p>
        </w:tc>
        <w:tc>
          <w:tcPr>
            <w:tcW w:w="3256" w:type="dxa"/>
            <w:tcBorders>
              <w:top w:val="single" w:sz="4" w:space="0" w:color="auto"/>
            </w:tcBorders>
            <w:shd w:val="clear" w:color="auto" w:fill="F2F2F2"/>
            <w:vAlign w:val="center"/>
          </w:tcPr>
          <w:p w14:paraId="27E9C002" w14:textId="77777777" w:rsidR="00AE0BC5" w:rsidRPr="00AE0BC5" w:rsidRDefault="00AE0BC5" w:rsidP="00AE0BC5">
            <w:pPr>
              <w:rPr>
                <w:rFonts w:ascii="Arial" w:eastAsia="Times New Roman" w:hAnsi="Arial" w:cs="Arial"/>
                <w:color w:val="auto"/>
              </w:rPr>
            </w:pPr>
            <w:r w:rsidRPr="00AE0BC5">
              <w:rPr>
                <w:rFonts w:ascii="Arial" w:eastAsia="Times New Roman" w:hAnsi="Arial" w:cs="Arial"/>
                <w:color w:val="auto"/>
              </w:rPr>
              <w:t>How will you identify the participants?</w:t>
            </w:r>
          </w:p>
        </w:tc>
        <w:tc>
          <w:tcPr>
            <w:tcW w:w="6633" w:type="dxa"/>
            <w:tcBorders>
              <w:top w:val="single" w:sz="4" w:space="0" w:color="auto"/>
            </w:tcBorders>
            <w:vAlign w:val="center"/>
          </w:tcPr>
          <w:p w14:paraId="4D77DD46" w14:textId="77777777" w:rsidR="00AE0BC5" w:rsidRPr="00AE0BC5" w:rsidRDefault="00AE0BC5" w:rsidP="00AE0BC5">
            <w:pPr>
              <w:rPr>
                <w:rFonts w:ascii="Arial" w:eastAsia="Times New Roman" w:hAnsi="Arial" w:cs="Arial"/>
                <w:color w:val="auto"/>
              </w:rPr>
            </w:pPr>
          </w:p>
          <w:p w14:paraId="0A70AA63" w14:textId="77777777" w:rsidR="00AE0BC5" w:rsidRPr="00AE0BC5" w:rsidRDefault="00AE0BC5" w:rsidP="00AE0BC5">
            <w:pPr>
              <w:rPr>
                <w:rFonts w:ascii="Arial" w:eastAsia="Times New Roman" w:hAnsi="Arial" w:cs="Arial"/>
                <w:color w:val="auto"/>
              </w:rPr>
            </w:pPr>
            <w:r w:rsidRPr="00AE0BC5">
              <w:rPr>
                <w:rFonts w:ascii="Arial" w:eastAsia="Times New Roman" w:hAnsi="Arial" w:cs="Arial"/>
                <w:color w:val="auto"/>
              </w:rPr>
              <w:t>Not applicable.</w:t>
            </w:r>
          </w:p>
          <w:p w14:paraId="1F455748" w14:textId="77777777" w:rsidR="00AE0BC5" w:rsidRPr="00AE0BC5" w:rsidRDefault="00AE0BC5" w:rsidP="00AE0BC5">
            <w:pPr>
              <w:rPr>
                <w:rFonts w:ascii="Arial" w:eastAsia="Times New Roman" w:hAnsi="Arial" w:cs="Arial"/>
                <w:color w:val="auto"/>
              </w:rPr>
            </w:pPr>
          </w:p>
          <w:p w14:paraId="42322B4A" w14:textId="77777777" w:rsidR="00AE0BC5" w:rsidRPr="00AE0BC5" w:rsidRDefault="00AE0BC5" w:rsidP="00AE0BC5">
            <w:pPr>
              <w:rPr>
                <w:rFonts w:ascii="Arial" w:eastAsia="Times New Roman" w:hAnsi="Arial" w:cs="Arial"/>
                <w:color w:val="808080"/>
                <w:sz w:val="18"/>
                <w:szCs w:val="18"/>
              </w:rPr>
            </w:pPr>
            <w:r w:rsidRPr="00AE0BC5">
              <w:rPr>
                <w:rFonts w:ascii="Arial" w:eastAsia="Times New Roman" w:hAnsi="Arial" w:cs="Arial"/>
                <w:i/>
                <w:color w:val="808080"/>
                <w:sz w:val="18"/>
                <w:szCs w:val="18"/>
              </w:rPr>
              <w:t>(</w:t>
            </w:r>
            <w:proofErr w:type="gramStart"/>
            <w:r w:rsidRPr="00AE0BC5">
              <w:rPr>
                <w:rFonts w:ascii="Arial" w:eastAsia="Times New Roman" w:hAnsi="Arial" w:cs="Arial"/>
                <w:i/>
                <w:color w:val="808080"/>
                <w:sz w:val="18"/>
                <w:szCs w:val="18"/>
              </w:rPr>
              <w:t>this</w:t>
            </w:r>
            <w:proofErr w:type="gramEnd"/>
            <w:r w:rsidRPr="00AE0BC5">
              <w:rPr>
                <w:rFonts w:ascii="Arial" w:eastAsia="Times New Roman" w:hAnsi="Arial" w:cs="Arial"/>
                <w:i/>
                <w:color w:val="808080"/>
                <w:sz w:val="18"/>
                <w:szCs w:val="18"/>
              </w:rPr>
              <w:t xml:space="preserve"> box should expand as you type)</w:t>
            </w:r>
          </w:p>
        </w:tc>
      </w:tr>
    </w:tbl>
    <w:p w14:paraId="5F264940" w14:textId="6C8E0997" w:rsidR="00AE0BC5" w:rsidRPr="00AE0BC5" w:rsidRDefault="00AE0BC5" w:rsidP="00AE0BC5">
      <w:pPr>
        <w:spacing w:after="0" w:afterAutospacing="0" w:line="240" w:lineRule="auto"/>
        <w:rPr>
          <w:rFonts w:ascii="Times New Roman" w:eastAsia="Times New Roman" w:hAnsi="Times New Roman" w:cs="Times New Roman"/>
          <w:color w:val="auto"/>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AE0BC5" w:rsidRPr="00AE0BC5" w14:paraId="2DE76944" w14:textId="77777777" w:rsidTr="00AE0BC5">
        <w:tc>
          <w:tcPr>
            <w:tcW w:w="562" w:type="dxa"/>
            <w:shd w:val="clear" w:color="auto" w:fill="F2F2F2"/>
          </w:tcPr>
          <w:p w14:paraId="5AD513D6" w14:textId="77777777" w:rsidR="00AE0BC5" w:rsidRPr="00AE0BC5" w:rsidRDefault="00AE0BC5" w:rsidP="00AE0BC5">
            <w:pPr>
              <w:autoSpaceDE w:val="0"/>
              <w:autoSpaceDN w:val="0"/>
              <w:adjustRightInd w:val="0"/>
              <w:jc w:val="both"/>
              <w:rPr>
                <w:rFonts w:ascii="Arial" w:eastAsia="Times New Roman" w:hAnsi="Arial" w:cs="Arial"/>
                <w:bCs/>
                <w:color w:val="auto"/>
              </w:rPr>
            </w:pPr>
            <w:r w:rsidRPr="00AE0BC5">
              <w:rPr>
                <w:rFonts w:ascii="Arial" w:eastAsia="Times New Roman" w:hAnsi="Arial" w:cs="Arial"/>
                <w:bCs/>
                <w:color w:val="auto"/>
              </w:rPr>
              <w:t>16</w:t>
            </w:r>
          </w:p>
        </w:tc>
        <w:tc>
          <w:tcPr>
            <w:tcW w:w="7088" w:type="dxa"/>
            <w:shd w:val="clear" w:color="auto" w:fill="F2F2F2"/>
          </w:tcPr>
          <w:p w14:paraId="3B66CEAF" w14:textId="77777777" w:rsidR="00AE0BC5" w:rsidRPr="00AE0BC5" w:rsidRDefault="00AE0BC5" w:rsidP="00AE0BC5">
            <w:pPr>
              <w:autoSpaceDE w:val="0"/>
              <w:autoSpaceDN w:val="0"/>
              <w:adjustRightInd w:val="0"/>
              <w:jc w:val="both"/>
              <w:rPr>
                <w:rFonts w:ascii="Arial" w:eastAsia="Times New Roman" w:hAnsi="Arial" w:cs="Arial"/>
                <w:b/>
                <w:color w:val="auto"/>
              </w:rPr>
            </w:pPr>
            <w:r w:rsidRPr="00AE0BC5">
              <w:rPr>
                <w:rFonts w:ascii="Arial" w:eastAsia="Times New Roman" w:hAnsi="Arial" w:cs="Arial"/>
                <w:b/>
                <w:color w:val="auto"/>
              </w:rPr>
              <w:t>Information for participants:</w:t>
            </w:r>
          </w:p>
        </w:tc>
        <w:tc>
          <w:tcPr>
            <w:tcW w:w="992" w:type="dxa"/>
            <w:shd w:val="clear" w:color="auto" w:fill="F2F2F2"/>
            <w:vAlign w:val="bottom"/>
          </w:tcPr>
          <w:p w14:paraId="7213F686" w14:textId="77777777" w:rsidR="00AE0BC5" w:rsidRPr="00AE0BC5" w:rsidRDefault="00AE0BC5" w:rsidP="00AE0BC5">
            <w:pPr>
              <w:autoSpaceDE w:val="0"/>
              <w:autoSpaceDN w:val="0"/>
              <w:adjustRightInd w:val="0"/>
              <w:jc w:val="center"/>
              <w:rPr>
                <w:rFonts w:ascii="Arial" w:eastAsia="Times New Roman" w:hAnsi="Arial" w:cs="Arial"/>
                <w:b/>
                <w:bCs/>
                <w:color w:val="auto"/>
                <w:sz w:val="16"/>
                <w:szCs w:val="16"/>
              </w:rPr>
            </w:pPr>
          </w:p>
          <w:p w14:paraId="02E5628D"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YES</w:t>
            </w:r>
          </w:p>
        </w:tc>
        <w:tc>
          <w:tcPr>
            <w:tcW w:w="851" w:type="dxa"/>
            <w:shd w:val="clear" w:color="auto" w:fill="F2F2F2"/>
            <w:vAlign w:val="bottom"/>
          </w:tcPr>
          <w:p w14:paraId="3502760B"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NO</w:t>
            </w:r>
          </w:p>
        </w:tc>
        <w:tc>
          <w:tcPr>
            <w:tcW w:w="992" w:type="dxa"/>
            <w:shd w:val="clear" w:color="auto" w:fill="F2F2F2"/>
          </w:tcPr>
          <w:p w14:paraId="3A774E07" w14:textId="77777777" w:rsidR="00AE0BC5" w:rsidRPr="00AE0BC5" w:rsidRDefault="00AE0BC5" w:rsidP="00AE0BC5">
            <w:pPr>
              <w:autoSpaceDE w:val="0"/>
              <w:autoSpaceDN w:val="0"/>
              <w:adjustRightInd w:val="0"/>
              <w:jc w:val="center"/>
              <w:rPr>
                <w:rFonts w:ascii="Arial" w:eastAsia="Times New Roman" w:hAnsi="Arial" w:cs="Arial"/>
                <w:b/>
                <w:bCs/>
                <w:color w:val="auto"/>
                <w:sz w:val="16"/>
                <w:szCs w:val="16"/>
              </w:rPr>
            </w:pPr>
          </w:p>
          <w:p w14:paraId="0DF93EB5"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N/A</w:t>
            </w:r>
          </w:p>
        </w:tc>
      </w:tr>
      <w:tr w:rsidR="00AE0BC5" w:rsidRPr="00AE0BC5" w14:paraId="62EA500F" w14:textId="77777777" w:rsidTr="00AE0BC5">
        <w:trPr>
          <w:trHeight w:val="439"/>
        </w:trPr>
        <w:tc>
          <w:tcPr>
            <w:tcW w:w="562" w:type="dxa"/>
            <w:shd w:val="clear" w:color="auto" w:fill="F2F2F2"/>
          </w:tcPr>
          <w:p w14:paraId="21BE226F"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17</w:t>
            </w:r>
          </w:p>
        </w:tc>
        <w:tc>
          <w:tcPr>
            <w:tcW w:w="7088" w:type="dxa"/>
            <w:shd w:val="clear" w:color="auto" w:fill="F2F2F2"/>
            <w:vAlign w:val="center"/>
          </w:tcPr>
          <w:p w14:paraId="163BAFCE"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Will you describe the main research procedures to participants in advance, so that they are informed about what to expect?</w:t>
            </w:r>
          </w:p>
        </w:tc>
        <w:tc>
          <w:tcPr>
            <w:tcW w:w="992" w:type="dxa"/>
            <w:shd w:val="clear" w:color="auto" w:fill="BFBFBF"/>
            <w:vAlign w:val="center"/>
          </w:tcPr>
          <w:sdt>
            <w:sdtPr>
              <w:rPr>
                <w:rFonts w:ascii="Arial" w:eastAsia="Times New Roman" w:hAnsi="Arial" w:cs="Arial"/>
                <w:b/>
                <w:bCs/>
                <w:color w:val="auto"/>
              </w:rPr>
              <w:id w:val="638854427"/>
              <w14:checkbox>
                <w14:checked w14:val="0"/>
                <w14:checkedState w14:val="2612" w14:font="MS Gothic"/>
                <w14:uncheckedState w14:val="2610" w14:font="MS Gothic"/>
              </w14:checkbox>
            </w:sdtPr>
            <w:sdtEndPr/>
            <w:sdtContent>
              <w:p w14:paraId="0AD41D26"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1838415725"/>
              <w14:checkbox>
                <w14:checked w14:val="0"/>
                <w14:checkedState w14:val="2612" w14:font="MS Gothic"/>
                <w14:uncheckedState w14:val="2610" w14:font="MS Gothic"/>
              </w14:checkbox>
            </w:sdtPr>
            <w:sdtEndPr/>
            <w:sdtContent>
              <w:p w14:paraId="066EEDD6"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auto"/>
              </w:rPr>
              <w:id w:val="2018272357"/>
              <w14:checkbox>
                <w14:checked w14:val="1"/>
                <w14:checkedState w14:val="2612" w14:font="MS Gothic"/>
                <w14:uncheckedState w14:val="2610" w14:font="MS Gothic"/>
              </w14:checkbox>
            </w:sdtPr>
            <w:sdtEndPr/>
            <w:sdtContent>
              <w:p w14:paraId="68A6D29A"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0FB5FCEC" w14:textId="77777777" w:rsidTr="00AE0BC5">
        <w:trPr>
          <w:trHeight w:val="403"/>
        </w:trPr>
        <w:tc>
          <w:tcPr>
            <w:tcW w:w="562" w:type="dxa"/>
            <w:shd w:val="clear" w:color="auto" w:fill="F2F2F2"/>
          </w:tcPr>
          <w:p w14:paraId="520E41CA"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18</w:t>
            </w:r>
          </w:p>
        </w:tc>
        <w:tc>
          <w:tcPr>
            <w:tcW w:w="7088" w:type="dxa"/>
            <w:shd w:val="clear" w:color="auto" w:fill="F2F2F2"/>
            <w:vAlign w:val="center"/>
          </w:tcPr>
          <w:p w14:paraId="07FEC345"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Will you tell participants that their participation is voluntary?</w:t>
            </w:r>
          </w:p>
        </w:tc>
        <w:tc>
          <w:tcPr>
            <w:tcW w:w="992" w:type="dxa"/>
            <w:shd w:val="clear" w:color="auto" w:fill="BFBFBF"/>
            <w:vAlign w:val="center"/>
          </w:tcPr>
          <w:sdt>
            <w:sdtPr>
              <w:rPr>
                <w:rFonts w:ascii="Arial" w:eastAsia="Times New Roman" w:hAnsi="Arial" w:cs="Arial"/>
                <w:b/>
                <w:bCs/>
                <w:color w:val="auto"/>
              </w:rPr>
              <w:id w:val="1917978816"/>
              <w14:checkbox>
                <w14:checked w14:val="0"/>
                <w14:checkedState w14:val="2612" w14:font="MS Gothic"/>
                <w14:uncheckedState w14:val="2610" w14:font="MS Gothic"/>
              </w14:checkbox>
            </w:sdtPr>
            <w:sdtEndPr/>
            <w:sdtContent>
              <w:p w14:paraId="5395DC39"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266745090"/>
              <w14:checkbox>
                <w14:checked w14:val="0"/>
                <w14:checkedState w14:val="2612" w14:font="MS Gothic"/>
                <w14:uncheckedState w14:val="2610" w14:font="MS Gothic"/>
              </w14:checkbox>
            </w:sdtPr>
            <w:sdtEndPr/>
            <w:sdtContent>
              <w:p w14:paraId="372E4C5A"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auto"/>
              </w:rPr>
              <w:id w:val="1964613576"/>
              <w14:checkbox>
                <w14:checked w14:val="1"/>
                <w14:checkedState w14:val="2612" w14:font="MS Gothic"/>
                <w14:uncheckedState w14:val="2610" w14:font="MS Gothic"/>
              </w14:checkbox>
            </w:sdtPr>
            <w:sdtEndPr/>
            <w:sdtContent>
              <w:p w14:paraId="0633E3C7"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567E27AA" w14:textId="77777777" w:rsidTr="00AE0BC5">
        <w:trPr>
          <w:trHeight w:val="439"/>
        </w:trPr>
        <w:tc>
          <w:tcPr>
            <w:tcW w:w="562" w:type="dxa"/>
            <w:shd w:val="clear" w:color="auto" w:fill="F2F2F2"/>
          </w:tcPr>
          <w:p w14:paraId="53B4A2FB"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19</w:t>
            </w:r>
          </w:p>
        </w:tc>
        <w:tc>
          <w:tcPr>
            <w:tcW w:w="7088" w:type="dxa"/>
            <w:shd w:val="clear" w:color="auto" w:fill="F2F2F2"/>
            <w:vAlign w:val="center"/>
          </w:tcPr>
          <w:p w14:paraId="53DD4854"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Will you obtain written consent for participation?</w:t>
            </w:r>
          </w:p>
        </w:tc>
        <w:tc>
          <w:tcPr>
            <w:tcW w:w="992" w:type="dxa"/>
            <w:shd w:val="clear" w:color="auto" w:fill="BFBFBF"/>
            <w:vAlign w:val="center"/>
          </w:tcPr>
          <w:sdt>
            <w:sdtPr>
              <w:rPr>
                <w:rFonts w:ascii="Arial" w:eastAsia="Times New Roman" w:hAnsi="Arial" w:cs="Arial"/>
                <w:b/>
                <w:bCs/>
                <w:color w:val="auto"/>
              </w:rPr>
              <w:id w:val="173071009"/>
              <w14:checkbox>
                <w14:checked w14:val="0"/>
                <w14:checkedState w14:val="2612" w14:font="MS Gothic"/>
                <w14:uncheckedState w14:val="2610" w14:font="MS Gothic"/>
              </w14:checkbox>
            </w:sdtPr>
            <w:sdtEndPr/>
            <w:sdtContent>
              <w:p w14:paraId="6B2CB3DA"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1777214799"/>
              <w14:checkbox>
                <w14:checked w14:val="0"/>
                <w14:checkedState w14:val="2612" w14:font="MS Gothic"/>
                <w14:uncheckedState w14:val="2610" w14:font="MS Gothic"/>
              </w14:checkbox>
            </w:sdtPr>
            <w:sdtEndPr/>
            <w:sdtContent>
              <w:p w14:paraId="2CFC9D45"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auto"/>
              </w:rPr>
              <w:id w:val="-2046200750"/>
              <w14:checkbox>
                <w14:checked w14:val="1"/>
                <w14:checkedState w14:val="2612" w14:font="MS Gothic"/>
                <w14:uncheckedState w14:val="2610" w14:font="MS Gothic"/>
              </w14:checkbox>
            </w:sdtPr>
            <w:sdtEndPr/>
            <w:sdtContent>
              <w:p w14:paraId="722A2945"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43AD9082" w14:textId="77777777" w:rsidTr="00AE0BC5">
        <w:trPr>
          <w:trHeight w:val="403"/>
        </w:trPr>
        <w:tc>
          <w:tcPr>
            <w:tcW w:w="562" w:type="dxa"/>
            <w:shd w:val="clear" w:color="auto" w:fill="F2F2F2"/>
          </w:tcPr>
          <w:p w14:paraId="40C4784E"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20</w:t>
            </w:r>
          </w:p>
        </w:tc>
        <w:tc>
          <w:tcPr>
            <w:tcW w:w="7088" w:type="dxa"/>
            <w:shd w:val="clear" w:color="auto" w:fill="F2F2F2"/>
            <w:vAlign w:val="center"/>
          </w:tcPr>
          <w:p w14:paraId="4C48101E"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eastAsia="Times New Roman" w:hAnsi="Arial" w:cs="Arial"/>
                <w:b/>
                <w:bCs/>
                <w:color w:val="auto"/>
              </w:rPr>
              <w:id w:val="1907947677"/>
              <w14:checkbox>
                <w14:checked w14:val="0"/>
                <w14:checkedState w14:val="2612" w14:font="MS Gothic"/>
                <w14:uncheckedState w14:val="2610" w14:font="MS Gothic"/>
              </w14:checkbox>
            </w:sdtPr>
            <w:sdtEndPr/>
            <w:sdtContent>
              <w:p w14:paraId="039F2931"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1997954874"/>
              <w14:checkbox>
                <w14:checked w14:val="0"/>
                <w14:checkedState w14:val="2612" w14:font="MS Gothic"/>
                <w14:uncheckedState w14:val="2610" w14:font="MS Gothic"/>
              </w14:checkbox>
            </w:sdtPr>
            <w:sdtEndPr/>
            <w:sdtContent>
              <w:p w14:paraId="0BFBEB8F"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auto"/>
              </w:rPr>
              <w:id w:val="833887313"/>
              <w14:checkbox>
                <w14:checked w14:val="1"/>
                <w14:checkedState w14:val="2612" w14:font="MS Gothic"/>
                <w14:uncheckedState w14:val="2610" w14:font="MS Gothic"/>
              </w14:checkbox>
            </w:sdtPr>
            <w:sdtEndPr/>
            <w:sdtContent>
              <w:p w14:paraId="5A888D9C"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1B51B418" w14:textId="77777777" w:rsidTr="00AE0BC5">
        <w:trPr>
          <w:trHeight w:val="439"/>
        </w:trPr>
        <w:tc>
          <w:tcPr>
            <w:tcW w:w="562" w:type="dxa"/>
            <w:shd w:val="clear" w:color="auto" w:fill="F2F2F2"/>
          </w:tcPr>
          <w:p w14:paraId="748DA836"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21</w:t>
            </w:r>
          </w:p>
        </w:tc>
        <w:tc>
          <w:tcPr>
            <w:tcW w:w="7088" w:type="dxa"/>
            <w:shd w:val="clear" w:color="auto" w:fill="F2F2F2"/>
            <w:vAlign w:val="center"/>
          </w:tcPr>
          <w:p w14:paraId="797B096A"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If the research is observational, will you ask participants for their consent to being observed?</w:t>
            </w:r>
          </w:p>
        </w:tc>
        <w:tc>
          <w:tcPr>
            <w:tcW w:w="992" w:type="dxa"/>
            <w:shd w:val="clear" w:color="auto" w:fill="BFBFBF"/>
            <w:vAlign w:val="center"/>
          </w:tcPr>
          <w:sdt>
            <w:sdtPr>
              <w:rPr>
                <w:rFonts w:ascii="Arial" w:eastAsia="Times New Roman" w:hAnsi="Arial" w:cs="Arial"/>
                <w:b/>
                <w:bCs/>
                <w:color w:val="auto"/>
              </w:rPr>
              <w:id w:val="-65498961"/>
              <w14:checkbox>
                <w14:checked w14:val="0"/>
                <w14:checkedState w14:val="2612" w14:font="MS Gothic"/>
                <w14:uncheckedState w14:val="2610" w14:font="MS Gothic"/>
              </w14:checkbox>
            </w:sdtPr>
            <w:sdtEndPr/>
            <w:sdtContent>
              <w:p w14:paraId="002513A2"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327907113"/>
              <w14:checkbox>
                <w14:checked w14:val="0"/>
                <w14:checkedState w14:val="2612" w14:font="MS Gothic"/>
                <w14:uncheckedState w14:val="2610" w14:font="MS Gothic"/>
              </w14:checkbox>
            </w:sdtPr>
            <w:sdtEndPr/>
            <w:sdtContent>
              <w:p w14:paraId="296EE586"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auto"/>
              </w:rPr>
              <w:id w:val="-843242132"/>
              <w14:checkbox>
                <w14:checked w14:val="1"/>
                <w14:checkedState w14:val="2612" w14:font="MS Gothic"/>
                <w14:uncheckedState w14:val="2610" w14:font="MS Gothic"/>
              </w14:checkbox>
            </w:sdtPr>
            <w:sdtEndPr/>
            <w:sdtContent>
              <w:p w14:paraId="1E681DF3"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0D8B703E" w14:textId="77777777" w:rsidTr="00AE0BC5">
        <w:trPr>
          <w:trHeight w:val="403"/>
        </w:trPr>
        <w:tc>
          <w:tcPr>
            <w:tcW w:w="562" w:type="dxa"/>
            <w:shd w:val="clear" w:color="auto" w:fill="F2F2F2"/>
          </w:tcPr>
          <w:p w14:paraId="2876B4C4"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lastRenderedPageBreak/>
              <w:t>22</w:t>
            </w:r>
          </w:p>
        </w:tc>
        <w:tc>
          <w:tcPr>
            <w:tcW w:w="7088" w:type="dxa"/>
            <w:shd w:val="clear" w:color="auto" w:fill="F2F2F2"/>
            <w:vAlign w:val="center"/>
          </w:tcPr>
          <w:p w14:paraId="6D0197F2"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Will you tell participants that they may withdraw from the research at any time and for any reason?</w:t>
            </w:r>
          </w:p>
        </w:tc>
        <w:tc>
          <w:tcPr>
            <w:tcW w:w="992" w:type="dxa"/>
            <w:shd w:val="clear" w:color="auto" w:fill="BFBFBF"/>
            <w:vAlign w:val="center"/>
          </w:tcPr>
          <w:sdt>
            <w:sdtPr>
              <w:rPr>
                <w:rFonts w:ascii="Arial" w:eastAsia="Times New Roman" w:hAnsi="Arial" w:cs="Arial"/>
                <w:b/>
                <w:bCs/>
                <w:color w:val="auto"/>
              </w:rPr>
              <w:id w:val="-1689744163"/>
              <w14:checkbox>
                <w14:checked w14:val="0"/>
                <w14:checkedState w14:val="2612" w14:font="MS Gothic"/>
                <w14:uncheckedState w14:val="2610" w14:font="MS Gothic"/>
              </w14:checkbox>
            </w:sdtPr>
            <w:sdtEndPr/>
            <w:sdtContent>
              <w:p w14:paraId="712F0976"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1160307203"/>
              <w14:checkbox>
                <w14:checked w14:val="0"/>
                <w14:checkedState w14:val="2612" w14:font="MS Gothic"/>
                <w14:uncheckedState w14:val="2610" w14:font="MS Gothic"/>
              </w14:checkbox>
            </w:sdtPr>
            <w:sdtEndPr/>
            <w:sdtContent>
              <w:p w14:paraId="348AD919"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auto"/>
              </w:rPr>
              <w:id w:val="-270004211"/>
              <w14:checkbox>
                <w14:checked w14:val="1"/>
                <w14:checkedState w14:val="2612" w14:font="MS Gothic"/>
                <w14:uncheckedState w14:val="2610" w14:font="MS Gothic"/>
              </w14:checkbox>
            </w:sdtPr>
            <w:sdtEndPr/>
            <w:sdtContent>
              <w:p w14:paraId="4DB756D8"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480BF973" w14:textId="77777777" w:rsidTr="00AE0BC5">
        <w:trPr>
          <w:trHeight w:val="439"/>
        </w:trPr>
        <w:tc>
          <w:tcPr>
            <w:tcW w:w="562" w:type="dxa"/>
            <w:shd w:val="clear" w:color="auto" w:fill="F2F2F2"/>
          </w:tcPr>
          <w:p w14:paraId="395DB0D9"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23</w:t>
            </w:r>
          </w:p>
        </w:tc>
        <w:tc>
          <w:tcPr>
            <w:tcW w:w="7088" w:type="dxa"/>
            <w:shd w:val="clear" w:color="auto" w:fill="F2F2F2"/>
            <w:vAlign w:val="center"/>
          </w:tcPr>
          <w:p w14:paraId="5A5642C2"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With questionnaires, will you give participants the option of omitting questions they do not want to answer?</w:t>
            </w:r>
          </w:p>
        </w:tc>
        <w:tc>
          <w:tcPr>
            <w:tcW w:w="992" w:type="dxa"/>
            <w:shd w:val="clear" w:color="auto" w:fill="BFBFBF"/>
            <w:vAlign w:val="center"/>
          </w:tcPr>
          <w:sdt>
            <w:sdtPr>
              <w:rPr>
                <w:rFonts w:ascii="Arial" w:eastAsia="Times New Roman" w:hAnsi="Arial" w:cs="Arial"/>
                <w:b/>
                <w:bCs/>
                <w:color w:val="auto"/>
              </w:rPr>
              <w:id w:val="-120004605"/>
              <w14:checkbox>
                <w14:checked w14:val="0"/>
                <w14:checkedState w14:val="2612" w14:font="MS Gothic"/>
                <w14:uncheckedState w14:val="2610" w14:font="MS Gothic"/>
              </w14:checkbox>
            </w:sdtPr>
            <w:sdtEndPr/>
            <w:sdtContent>
              <w:p w14:paraId="3A4BE2B8"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502748247"/>
              <w14:checkbox>
                <w14:checked w14:val="0"/>
                <w14:checkedState w14:val="2612" w14:font="MS Gothic"/>
                <w14:uncheckedState w14:val="2610" w14:font="MS Gothic"/>
              </w14:checkbox>
            </w:sdtPr>
            <w:sdtEndPr/>
            <w:sdtContent>
              <w:p w14:paraId="0C45894F"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auto"/>
              </w:rPr>
              <w:id w:val="196125454"/>
              <w14:checkbox>
                <w14:checked w14:val="1"/>
                <w14:checkedState w14:val="2612" w14:font="MS Gothic"/>
                <w14:uncheckedState w14:val="2610" w14:font="MS Gothic"/>
              </w14:checkbox>
            </w:sdtPr>
            <w:sdtEndPr/>
            <w:sdtContent>
              <w:p w14:paraId="62B154B8"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27F28B69" w14:textId="77777777" w:rsidTr="00AE0BC5">
        <w:trPr>
          <w:trHeight w:val="403"/>
        </w:trPr>
        <w:tc>
          <w:tcPr>
            <w:tcW w:w="562" w:type="dxa"/>
            <w:shd w:val="clear" w:color="auto" w:fill="F2F2F2"/>
          </w:tcPr>
          <w:p w14:paraId="0E6D8C1E"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24</w:t>
            </w:r>
          </w:p>
        </w:tc>
        <w:tc>
          <w:tcPr>
            <w:tcW w:w="7088" w:type="dxa"/>
            <w:shd w:val="clear" w:color="auto" w:fill="F2F2F2"/>
            <w:vAlign w:val="center"/>
          </w:tcPr>
          <w:p w14:paraId="1BA51E7C"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eastAsia="Times New Roman" w:hAnsi="Arial" w:cs="Arial"/>
                <w:b/>
                <w:bCs/>
                <w:color w:val="auto"/>
              </w:rPr>
              <w:id w:val="96221617"/>
              <w14:checkbox>
                <w14:checked w14:val="0"/>
                <w14:checkedState w14:val="2612" w14:font="MS Gothic"/>
                <w14:uncheckedState w14:val="2610" w14:font="MS Gothic"/>
              </w14:checkbox>
            </w:sdtPr>
            <w:sdtEndPr/>
            <w:sdtContent>
              <w:p w14:paraId="288F4EBE"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715357891"/>
              <w14:checkbox>
                <w14:checked w14:val="0"/>
                <w14:checkedState w14:val="2612" w14:font="MS Gothic"/>
                <w14:uncheckedState w14:val="2610" w14:font="MS Gothic"/>
              </w14:checkbox>
            </w:sdtPr>
            <w:sdtEndPr/>
            <w:sdtContent>
              <w:p w14:paraId="1CCCA4BE"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FF0000"/>
              </w:rPr>
              <w:id w:val="-861819308"/>
              <w14:checkbox>
                <w14:checked w14:val="1"/>
                <w14:checkedState w14:val="2612" w14:font="MS Gothic"/>
                <w14:uncheckedState w14:val="2610" w14:font="MS Gothic"/>
              </w14:checkbox>
            </w:sdtPr>
            <w:sdtEndPr/>
            <w:sdtContent>
              <w:p w14:paraId="71D8DF11"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FF0000"/>
                  </w:rPr>
                  <w:t>☒</w:t>
                </w:r>
              </w:p>
            </w:sdtContent>
          </w:sdt>
        </w:tc>
      </w:tr>
      <w:tr w:rsidR="00AE0BC5" w:rsidRPr="00AE0BC5" w14:paraId="05E79659" w14:textId="77777777" w:rsidTr="00AE0BC5">
        <w:trPr>
          <w:trHeight w:val="439"/>
        </w:trPr>
        <w:tc>
          <w:tcPr>
            <w:tcW w:w="562" w:type="dxa"/>
            <w:shd w:val="clear" w:color="auto" w:fill="F2F2F2"/>
          </w:tcPr>
          <w:p w14:paraId="1EDAF4EB"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25</w:t>
            </w:r>
          </w:p>
        </w:tc>
        <w:tc>
          <w:tcPr>
            <w:tcW w:w="7088" w:type="dxa"/>
            <w:shd w:val="clear" w:color="auto" w:fill="F2F2F2"/>
            <w:vAlign w:val="center"/>
          </w:tcPr>
          <w:p w14:paraId="50F29092"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Will you debrief participants at the end of their participation, in a way appropriate to the type of research undertaken?</w:t>
            </w:r>
          </w:p>
        </w:tc>
        <w:tc>
          <w:tcPr>
            <w:tcW w:w="992" w:type="dxa"/>
            <w:shd w:val="clear" w:color="auto" w:fill="BFBFBF"/>
            <w:vAlign w:val="center"/>
          </w:tcPr>
          <w:sdt>
            <w:sdtPr>
              <w:rPr>
                <w:rFonts w:ascii="Arial" w:eastAsia="Times New Roman" w:hAnsi="Arial" w:cs="Arial"/>
                <w:b/>
                <w:bCs/>
                <w:color w:val="auto"/>
              </w:rPr>
              <w:id w:val="1507015635"/>
              <w14:checkbox>
                <w14:checked w14:val="0"/>
                <w14:checkedState w14:val="2612" w14:font="MS Gothic"/>
                <w14:uncheckedState w14:val="2610" w14:font="MS Gothic"/>
              </w14:checkbox>
            </w:sdtPr>
            <w:sdtEndPr/>
            <w:sdtContent>
              <w:p w14:paraId="04A10989"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282701375"/>
              <w14:checkbox>
                <w14:checked w14:val="0"/>
                <w14:checkedState w14:val="2612" w14:font="MS Gothic"/>
                <w14:uncheckedState w14:val="2610" w14:font="MS Gothic"/>
              </w14:checkbox>
            </w:sdtPr>
            <w:sdtEndPr/>
            <w:sdtContent>
              <w:p w14:paraId="30F76DBD"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auto"/>
              </w:rPr>
              <w:id w:val="-1075428902"/>
              <w14:checkbox>
                <w14:checked w14:val="1"/>
                <w14:checkedState w14:val="2612" w14:font="MS Gothic"/>
                <w14:uncheckedState w14:val="2610" w14:font="MS Gothic"/>
              </w14:checkbox>
            </w:sdtPr>
            <w:sdtEndPr/>
            <w:sdtContent>
              <w:p w14:paraId="1F39C281"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43D36570" w14:textId="77777777" w:rsidTr="00AE0BC5">
        <w:trPr>
          <w:trHeight w:val="403"/>
        </w:trPr>
        <w:tc>
          <w:tcPr>
            <w:tcW w:w="562" w:type="dxa"/>
            <w:tcBorders>
              <w:bottom w:val="single" w:sz="4" w:space="0" w:color="auto"/>
            </w:tcBorders>
            <w:shd w:val="clear" w:color="auto" w:fill="F2F2F2"/>
          </w:tcPr>
          <w:p w14:paraId="207F92C0"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26</w:t>
            </w:r>
          </w:p>
        </w:tc>
        <w:tc>
          <w:tcPr>
            <w:tcW w:w="9923" w:type="dxa"/>
            <w:gridSpan w:val="4"/>
            <w:tcBorders>
              <w:bottom w:val="single" w:sz="4" w:space="0" w:color="auto"/>
            </w:tcBorders>
            <w:shd w:val="clear" w:color="auto" w:fill="F2F2F2"/>
            <w:vAlign w:val="center"/>
          </w:tcPr>
          <w:p w14:paraId="592D8EFD"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If NO</w:t>
            </w:r>
            <w:r w:rsidRPr="00AE0BC5">
              <w:rPr>
                <w:rFonts w:ascii="Arial" w:eastAsia="Times New Roman" w:hAnsi="Arial" w:cs="Arial"/>
                <w:b/>
                <w:bCs/>
                <w:color w:val="auto"/>
              </w:rPr>
              <w:t xml:space="preserve"> </w:t>
            </w:r>
            <w:r w:rsidRPr="00AE0BC5">
              <w:rPr>
                <w:rFonts w:ascii="Arial" w:eastAsia="Times New Roman" w:hAnsi="Arial" w:cs="Arial"/>
                <w:color w:val="auto"/>
              </w:rPr>
              <w:t xml:space="preserve">to any of above questions, please give an explanation </w:t>
            </w:r>
          </w:p>
        </w:tc>
      </w:tr>
      <w:tr w:rsidR="00AE0BC5" w:rsidRPr="00AE0BC5" w14:paraId="25C7E418" w14:textId="77777777" w:rsidTr="00223E6D">
        <w:trPr>
          <w:trHeight w:val="403"/>
        </w:trPr>
        <w:tc>
          <w:tcPr>
            <w:tcW w:w="562" w:type="dxa"/>
          </w:tcPr>
          <w:p w14:paraId="1FE75840" w14:textId="77777777" w:rsidR="00AE0BC5" w:rsidRPr="00AE0BC5" w:rsidRDefault="00AE0BC5" w:rsidP="00AE0BC5">
            <w:pPr>
              <w:rPr>
                <w:rFonts w:ascii="Arial" w:eastAsia="Times New Roman" w:hAnsi="Arial" w:cs="Arial"/>
                <w:color w:val="auto"/>
              </w:rPr>
            </w:pPr>
            <w:r w:rsidRPr="00AE0BC5">
              <w:rPr>
                <w:rFonts w:ascii="Arial" w:eastAsia="Times New Roman" w:hAnsi="Arial" w:cs="Arial"/>
                <w:color w:val="auto"/>
              </w:rPr>
              <w:t>27</w:t>
            </w:r>
          </w:p>
        </w:tc>
        <w:tc>
          <w:tcPr>
            <w:tcW w:w="9923" w:type="dxa"/>
            <w:gridSpan w:val="4"/>
            <w:vAlign w:val="center"/>
          </w:tcPr>
          <w:p w14:paraId="09314B92" w14:textId="77777777" w:rsidR="00AE0BC5" w:rsidRPr="00AE0BC5" w:rsidRDefault="00AE0BC5" w:rsidP="00AE0BC5">
            <w:pPr>
              <w:rPr>
                <w:rFonts w:ascii="Arial" w:eastAsia="Times New Roman" w:hAnsi="Arial" w:cs="Arial"/>
                <w:color w:val="auto"/>
              </w:rPr>
            </w:pPr>
          </w:p>
          <w:p w14:paraId="432CDBFB" w14:textId="77777777" w:rsidR="00AE0BC5" w:rsidRPr="00AE0BC5" w:rsidRDefault="00AE0BC5" w:rsidP="00AE0BC5">
            <w:pPr>
              <w:rPr>
                <w:rFonts w:ascii="Arial" w:eastAsia="Times New Roman" w:hAnsi="Arial" w:cs="Arial"/>
                <w:color w:val="auto"/>
              </w:rPr>
            </w:pPr>
          </w:p>
          <w:p w14:paraId="2B001203" w14:textId="77777777" w:rsidR="00AE0BC5" w:rsidRPr="00AE0BC5" w:rsidRDefault="00AE0BC5" w:rsidP="00AE0BC5">
            <w:pPr>
              <w:rPr>
                <w:rFonts w:ascii="Arial" w:eastAsia="Times New Roman" w:hAnsi="Arial" w:cs="Arial"/>
                <w:color w:val="auto"/>
              </w:rPr>
            </w:pPr>
          </w:p>
          <w:p w14:paraId="3CBFD129" w14:textId="77777777" w:rsidR="00AE0BC5" w:rsidRPr="00AE0BC5" w:rsidRDefault="00AE0BC5" w:rsidP="00AE0BC5">
            <w:pPr>
              <w:autoSpaceDE w:val="0"/>
              <w:autoSpaceDN w:val="0"/>
              <w:adjustRightInd w:val="0"/>
              <w:rPr>
                <w:rFonts w:ascii="Times New Roman" w:eastAsia="Times New Roman" w:hAnsi="Times New Roman" w:cs="Arial"/>
                <w:color w:val="auto"/>
                <w:sz w:val="20"/>
              </w:rPr>
            </w:pPr>
            <w:r w:rsidRPr="00AE0BC5">
              <w:rPr>
                <w:rFonts w:ascii="Arial" w:eastAsia="Times New Roman" w:hAnsi="Arial" w:cs="Arial"/>
                <w:i/>
                <w:color w:val="808080"/>
                <w:sz w:val="18"/>
                <w:szCs w:val="18"/>
              </w:rPr>
              <w:t>(</w:t>
            </w:r>
            <w:proofErr w:type="gramStart"/>
            <w:r w:rsidRPr="00AE0BC5">
              <w:rPr>
                <w:rFonts w:ascii="Arial" w:eastAsia="Times New Roman" w:hAnsi="Arial" w:cs="Arial"/>
                <w:i/>
                <w:color w:val="808080"/>
                <w:sz w:val="18"/>
                <w:szCs w:val="18"/>
              </w:rPr>
              <w:t>this</w:t>
            </w:r>
            <w:proofErr w:type="gramEnd"/>
            <w:r w:rsidRPr="00AE0BC5">
              <w:rPr>
                <w:rFonts w:ascii="Arial" w:eastAsia="Times New Roman" w:hAnsi="Arial" w:cs="Arial"/>
                <w:i/>
                <w:color w:val="808080"/>
                <w:sz w:val="18"/>
                <w:szCs w:val="18"/>
              </w:rPr>
              <w:t xml:space="preserve"> box should expand as you type)</w:t>
            </w:r>
          </w:p>
        </w:tc>
      </w:tr>
    </w:tbl>
    <w:p w14:paraId="00862A2A" w14:textId="77777777" w:rsidR="00AE0BC5" w:rsidRPr="00AE0BC5" w:rsidRDefault="00AE0BC5" w:rsidP="00AE0BC5">
      <w:pPr>
        <w:spacing w:after="0" w:afterAutospacing="0" w:line="240" w:lineRule="auto"/>
        <w:rPr>
          <w:rFonts w:ascii="Times New Roman" w:eastAsia="Times New Roman" w:hAnsi="Times New Roman" w:cs="Times New Roman"/>
          <w:color w:val="auto"/>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AE0BC5" w:rsidRPr="00AE0BC5" w14:paraId="1A55738A" w14:textId="77777777" w:rsidTr="00AE0BC5">
        <w:tc>
          <w:tcPr>
            <w:tcW w:w="562" w:type="dxa"/>
            <w:shd w:val="clear" w:color="auto" w:fill="F2F2F2"/>
          </w:tcPr>
          <w:p w14:paraId="360C3EA3" w14:textId="77777777" w:rsidR="00AE0BC5" w:rsidRPr="00AE0BC5" w:rsidRDefault="00AE0BC5" w:rsidP="00AE0BC5">
            <w:pPr>
              <w:autoSpaceDE w:val="0"/>
              <w:autoSpaceDN w:val="0"/>
              <w:adjustRightInd w:val="0"/>
              <w:jc w:val="both"/>
              <w:rPr>
                <w:rFonts w:ascii="Arial" w:eastAsia="Times New Roman" w:hAnsi="Arial" w:cs="Arial"/>
                <w:bCs/>
                <w:color w:val="auto"/>
              </w:rPr>
            </w:pPr>
            <w:r w:rsidRPr="00AE0BC5">
              <w:rPr>
                <w:rFonts w:ascii="Arial" w:eastAsia="Times New Roman" w:hAnsi="Arial" w:cs="Arial"/>
                <w:bCs/>
                <w:color w:val="auto"/>
              </w:rPr>
              <w:t>28</w:t>
            </w:r>
          </w:p>
        </w:tc>
        <w:tc>
          <w:tcPr>
            <w:tcW w:w="7088" w:type="dxa"/>
            <w:shd w:val="clear" w:color="auto" w:fill="F2F2F2"/>
          </w:tcPr>
          <w:p w14:paraId="0ECBC198" w14:textId="77777777" w:rsidR="00AE0BC5" w:rsidRPr="00AE0BC5" w:rsidRDefault="00AE0BC5" w:rsidP="00AE0BC5">
            <w:pPr>
              <w:autoSpaceDE w:val="0"/>
              <w:autoSpaceDN w:val="0"/>
              <w:adjustRightInd w:val="0"/>
              <w:jc w:val="both"/>
              <w:rPr>
                <w:rFonts w:ascii="Arial" w:eastAsia="Times New Roman" w:hAnsi="Arial" w:cs="Arial"/>
                <w:b/>
                <w:color w:val="auto"/>
              </w:rPr>
            </w:pPr>
            <w:r w:rsidRPr="00AE0BC5">
              <w:rPr>
                <w:rFonts w:ascii="Arial" w:eastAsia="Times New Roman" w:hAnsi="Arial" w:cs="Arial"/>
                <w:b/>
                <w:color w:val="auto"/>
              </w:rPr>
              <w:t>Information for participants:</w:t>
            </w:r>
          </w:p>
        </w:tc>
        <w:tc>
          <w:tcPr>
            <w:tcW w:w="992" w:type="dxa"/>
            <w:shd w:val="clear" w:color="auto" w:fill="F2F2F2"/>
            <w:vAlign w:val="bottom"/>
          </w:tcPr>
          <w:p w14:paraId="39CEA302" w14:textId="77777777" w:rsidR="00AE0BC5" w:rsidRPr="00AE0BC5" w:rsidRDefault="00AE0BC5" w:rsidP="00AE0BC5">
            <w:pPr>
              <w:autoSpaceDE w:val="0"/>
              <w:autoSpaceDN w:val="0"/>
              <w:adjustRightInd w:val="0"/>
              <w:jc w:val="center"/>
              <w:rPr>
                <w:rFonts w:ascii="Arial" w:eastAsia="Times New Roman" w:hAnsi="Arial" w:cs="Arial"/>
                <w:b/>
                <w:bCs/>
                <w:color w:val="auto"/>
                <w:sz w:val="16"/>
                <w:szCs w:val="16"/>
              </w:rPr>
            </w:pPr>
          </w:p>
          <w:p w14:paraId="475065CF"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YES</w:t>
            </w:r>
          </w:p>
        </w:tc>
        <w:tc>
          <w:tcPr>
            <w:tcW w:w="851" w:type="dxa"/>
            <w:shd w:val="clear" w:color="auto" w:fill="F2F2F2"/>
            <w:vAlign w:val="bottom"/>
          </w:tcPr>
          <w:p w14:paraId="725E871E"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NO</w:t>
            </w:r>
          </w:p>
        </w:tc>
        <w:tc>
          <w:tcPr>
            <w:tcW w:w="992" w:type="dxa"/>
            <w:shd w:val="clear" w:color="auto" w:fill="F2F2F2"/>
            <w:vAlign w:val="bottom"/>
          </w:tcPr>
          <w:p w14:paraId="2F7290B2" w14:textId="77777777" w:rsidR="00AE0BC5" w:rsidRPr="00AE0BC5" w:rsidRDefault="00AE0BC5" w:rsidP="00AE0BC5">
            <w:pPr>
              <w:autoSpaceDE w:val="0"/>
              <w:autoSpaceDN w:val="0"/>
              <w:adjustRightInd w:val="0"/>
              <w:jc w:val="center"/>
              <w:rPr>
                <w:rFonts w:ascii="Arial" w:eastAsia="Times New Roman" w:hAnsi="Arial" w:cs="Arial"/>
                <w:b/>
                <w:bCs/>
                <w:color w:val="auto"/>
                <w:sz w:val="16"/>
                <w:szCs w:val="16"/>
              </w:rPr>
            </w:pPr>
          </w:p>
          <w:p w14:paraId="5925CDCF" w14:textId="77777777" w:rsidR="00AE0BC5" w:rsidRPr="00AE0BC5" w:rsidRDefault="00AE0BC5" w:rsidP="00AE0BC5">
            <w:pPr>
              <w:autoSpaceDE w:val="0"/>
              <w:autoSpaceDN w:val="0"/>
              <w:adjustRightInd w:val="0"/>
              <w:jc w:val="center"/>
              <w:rPr>
                <w:rFonts w:ascii="Arial" w:eastAsia="Times New Roman" w:hAnsi="Arial" w:cs="Arial"/>
                <w:b/>
                <w:bCs/>
                <w:color w:val="auto"/>
              </w:rPr>
            </w:pPr>
            <w:r w:rsidRPr="00AE0BC5">
              <w:rPr>
                <w:rFonts w:ascii="Arial" w:eastAsia="Times New Roman" w:hAnsi="Arial" w:cs="Arial"/>
                <w:b/>
                <w:bCs/>
                <w:color w:val="auto"/>
              </w:rPr>
              <w:t>N/A</w:t>
            </w:r>
          </w:p>
        </w:tc>
      </w:tr>
      <w:tr w:rsidR="00AE0BC5" w:rsidRPr="00AE0BC5" w14:paraId="2BE8A3F3" w14:textId="77777777" w:rsidTr="00AE0BC5">
        <w:trPr>
          <w:trHeight w:val="439"/>
        </w:trPr>
        <w:tc>
          <w:tcPr>
            <w:tcW w:w="562" w:type="dxa"/>
            <w:shd w:val="clear" w:color="auto" w:fill="F2F2F2"/>
          </w:tcPr>
          <w:p w14:paraId="5B3E39D7"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29</w:t>
            </w:r>
          </w:p>
        </w:tc>
        <w:tc>
          <w:tcPr>
            <w:tcW w:w="7088" w:type="dxa"/>
            <w:shd w:val="clear" w:color="auto" w:fill="F2F2F2"/>
            <w:vAlign w:val="center"/>
          </w:tcPr>
          <w:p w14:paraId="7D3DDC98"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Will participants be paid?</w:t>
            </w:r>
          </w:p>
        </w:tc>
        <w:tc>
          <w:tcPr>
            <w:tcW w:w="992" w:type="dxa"/>
            <w:shd w:val="clear" w:color="auto" w:fill="BFBFBF"/>
            <w:vAlign w:val="center"/>
          </w:tcPr>
          <w:sdt>
            <w:sdtPr>
              <w:rPr>
                <w:rFonts w:ascii="Arial" w:eastAsia="Times New Roman" w:hAnsi="Arial" w:cs="Arial"/>
                <w:b/>
                <w:bCs/>
                <w:color w:val="auto"/>
              </w:rPr>
              <w:id w:val="51043762"/>
              <w14:checkbox>
                <w14:checked w14:val="0"/>
                <w14:checkedState w14:val="2612" w14:font="MS Gothic"/>
                <w14:uncheckedState w14:val="2610" w14:font="MS Gothic"/>
              </w14:checkbox>
            </w:sdtPr>
            <w:sdtEndPr/>
            <w:sdtContent>
              <w:p w14:paraId="4944BE36"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256140063"/>
              <w14:checkbox>
                <w14:checked w14:val="0"/>
                <w14:checkedState w14:val="2612" w14:font="MS Gothic"/>
                <w14:uncheckedState w14:val="2610" w14:font="MS Gothic"/>
              </w14:checkbox>
            </w:sdtPr>
            <w:sdtEndPr/>
            <w:sdtContent>
              <w:p w14:paraId="6D41F55B"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auto"/>
              </w:rPr>
              <w:id w:val="634219724"/>
              <w14:checkbox>
                <w14:checked w14:val="1"/>
                <w14:checkedState w14:val="2612" w14:font="MS Gothic"/>
                <w14:uncheckedState w14:val="2610" w14:font="MS Gothic"/>
              </w14:checkbox>
            </w:sdtPr>
            <w:sdtEndPr/>
            <w:sdtContent>
              <w:p w14:paraId="166E98CD"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4C025AD9" w14:textId="77777777" w:rsidTr="00AE0BC5">
        <w:trPr>
          <w:trHeight w:val="403"/>
        </w:trPr>
        <w:tc>
          <w:tcPr>
            <w:tcW w:w="562" w:type="dxa"/>
            <w:shd w:val="clear" w:color="auto" w:fill="F2F2F2"/>
          </w:tcPr>
          <w:p w14:paraId="16E672F4"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30</w:t>
            </w:r>
          </w:p>
        </w:tc>
        <w:tc>
          <w:tcPr>
            <w:tcW w:w="7088" w:type="dxa"/>
            <w:shd w:val="clear" w:color="auto" w:fill="F2F2F2"/>
            <w:vAlign w:val="center"/>
          </w:tcPr>
          <w:p w14:paraId="21D4ADAB"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Is specialist electrical or other equipment to be used with participants?</w:t>
            </w:r>
          </w:p>
        </w:tc>
        <w:tc>
          <w:tcPr>
            <w:tcW w:w="992" w:type="dxa"/>
            <w:shd w:val="clear" w:color="auto" w:fill="BFBFBF"/>
            <w:vAlign w:val="center"/>
          </w:tcPr>
          <w:sdt>
            <w:sdtPr>
              <w:rPr>
                <w:rFonts w:ascii="Arial" w:eastAsia="Times New Roman" w:hAnsi="Arial" w:cs="Arial"/>
                <w:b/>
                <w:bCs/>
                <w:color w:val="auto"/>
              </w:rPr>
              <w:id w:val="-1438982454"/>
              <w14:checkbox>
                <w14:checked w14:val="0"/>
                <w14:checkedState w14:val="2612" w14:font="MS Gothic"/>
                <w14:uncheckedState w14:val="2610" w14:font="MS Gothic"/>
              </w14:checkbox>
            </w:sdtPr>
            <w:sdtEndPr/>
            <w:sdtContent>
              <w:p w14:paraId="77174758"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2089267095"/>
              <w14:checkbox>
                <w14:checked w14:val="0"/>
                <w14:checkedState w14:val="2612" w14:font="MS Gothic"/>
                <w14:uncheckedState w14:val="2610" w14:font="MS Gothic"/>
              </w14:checkbox>
            </w:sdtPr>
            <w:sdtEndPr/>
            <w:sdtContent>
              <w:p w14:paraId="5318ED15"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auto"/>
              </w:rPr>
              <w:id w:val="425468845"/>
              <w14:checkbox>
                <w14:checked w14:val="1"/>
                <w14:checkedState w14:val="2612" w14:font="MS Gothic"/>
                <w14:uncheckedState w14:val="2610" w14:font="MS Gothic"/>
              </w14:checkbox>
            </w:sdtPr>
            <w:sdtEndPr/>
            <w:sdtContent>
              <w:p w14:paraId="7E4C310A"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629D4BD7" w14:textId="77777777" w:rsidTr="00AE0BC5">
        <w:trPr>
          <w:trHeight w:val="439"/>
        </w:trPr>
        <w:tc>
          <w:tcPr>
            <w:tcW w:w="562" w:type="dxa"/>
            <w:shd w:val="clear" w:color="auto" w:fill="F2F2F2"/>
          </w:tcPr>
          <w:p w14:paraId="11640762"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31</w:t>
            </w:r>
          </w:p>
        </w:tc>
        <w:tc>
          <w:tcPr>
            <w:tcW w:w="7088" w:type="dxa"/>
            <w:shd w:val="clear" w:color="auto" w:fill="F2F2F2"/>
            <w:vAlign w:val="center"/>
          </w:tcPr>
          <w:p w14:paraId="457BF831" w14:textId="77777777" w:rsidR="00AE0BC5" w:rsidRPr="00AE0BC5" w:rsidRDefault="00AE0BC5" w:rsidP="00AE0BC5">
            <w:pPr>
              <w:autoSpaceDE w:val="0"/>
              <w:autoSpaceDN w:val="0"/>
              <w:adjustRightInd w:val="0"/>
              <w:rPr>
                <w:rFonts w:ascii="Arial" w:eastAsia="Times New Roman" w:hAnsi="Arial" w:cs="Arial"/>
                <w:color w:val="auto"/>
              </w:rPr>
            </w:pPr>
            <w:r w:rsidRPr="00AE0BC5">
              <w:rPr>
                <w:rFonts w:ascii="Arial" w:eastAsia="Times New Roman" w:hAnsi="Arial" w:cs="Arial"/>
                <w:color w:val="auto"/>
              </w:rPr>
              <w:t>Are there any financial or other interests to the investigator or University arising from this study?</w:t>
            </w:r>
          </w:p>
        </w:tc>
        <w:tc>
          <w:tcPr>
            <w:tcW w:w="992" w:type="dxa"/>
            <w:shd w:val="clear" w:color="auto" w:fill="BFBFBF"/>
            <w:vAlign w:val="center"/>
          </w:tcPr>
          <w:sdt>
            <w:sdtPr>
              <w:rPr>
                <w:rFonts w:ascii="Arial" w:eastAsia="Times New Roman" w:hAnsi="Arial" w:cs="Arial"/>
                <w:b/>
                <w:bCs/>
                <w:color w:val="auto"/>
              </w:rPr>
              <w:id w:val="-225606969"/>
              <w14:checkbox>
                <w14:checked w14:val="0"/>
                <w14:checkedState w14:val="2612" w14:font="MS Gothic"/>
                <w14:uncheckedState w14:val="2610" w14:font="MS Gothic"/>
              </w14:checkbox>
            </w:sdtPr>
            <w:sdtEndPr/>
            <w:sdtContent>
              <w:p w14:paraId="3FED557B"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c>
          <w:tcPr>
            <w:tcW w:w="851" w:type="dxa"/>
            <w:shd w:val="clear" w:color="auto" w:fill="BFBFBF"/>
            <w:vAlign w:val="center"/>
          </w:tcPr>
          <w:sdt>
            <w:sdtPr>
              <w:rPr>
                <w:rFonts w:ascii="Arial" w:eastAsia="Times New Roman" w:hAnsi="Arial" w:cs="Arial"/>
                <w:b/>
                <w:bCs/>
                <w:color w:val="auto"/>
              </w:rPr>
              <w:id w:val="-1565337314"/>
              <w14:checkbox>
                <w14:checked w14:val="0"/>
                <w14:checkedState w14:val="2612" w14:font="MS Gothic"/>
                <w14:uncheckedState w14:val="2610" w14:font="MS Gothic"/>
              </w14:checkbox>
            </w:sdtPr>
            <w:sdtEndPr/>
            <w:sdtContent>
              <w:p w14:paraId="0EF515D2" w14:textId="77777777" w:rsidR="00AE0BC5" w:rsidRPr="00AE0BC5" w:rsidRDefault="00AE0BC5" w:rsidP="00AE0BC5">
                <w:pPr>
                  <w:autoSpaceDE w:val="0"/>
                  <w:autoSpaceDN w:val="0"/>
                  <w:adjustRightInd w:val="0"/>
                  <w:jc w:val="center"/>
                  <w:rPr>
                    <w:rFonts w:ascii="Arial" w:eastAsia="Times New Roman" w:hAnsi="Arial" w:cs="Arial"/>
                    <w:bCs/>
                    <w:color w:val="auto"/>
                  </w:rPr>
                </w:pPr>
                <w:r w:rsidRPr="00AE0BC5">
                  <w:rPr>
                    <w:rFonts w:ascii="Segoe UI Symbol" w:eastAsia="Times New Roman" w:hAnsi="Segoe UI Symbol" w:cs="Segoe UI Symbol"/>
                    <w:b/>
                    <w:bCs/>
                    <w:color w:val="auto"/>
                  </w:rPr>
                  <w:t>☐</w:t>
                </w:r>
              </w:p>
            </w:sdtContent>
          </w:sdt>
        </w:tc>
        <w:tc>
          <w:tcPr>
            <w:tcW w:w="992" w:type="dxa"/>
            <w:shd w:val="clear" w:color="auto" w:fill="BFBFBF"/>
            <w:vAlign w:val="center"/>
          </w:tcPr>
          <w:sdt>
            <w:sdtPr>
              <w:rPr>
                <w:rFonts w:ascii="Arial" w:eastAsia="Times New Roman" w:hAnsi="Arial" w:cs="Arial"/>
                <w:b/>
                <w:bCs/>
                <w:color w:val="auto"/>
              </w:rPr>
              <w:id w:val="-133575194"/>
              <w14:checkbox>
                <w14:checked w14:val="1"/>
                <w14:checkedState w14:val="2612" w14:font="MS Gothic"/>
                <w14:uncheckedState w14:val="2610" w14:font="MS Gothic"/>
              </w14:checkbox>
            </w:sdtPr>
            <w:sdtEndPr/>
            <w:sdtContent>
              <w:p w14:paraId="6B52CD5D" w14:textId="77777777" w:rsidR="00AE0BC5" w:rsidRPr="00AE0BC5" w:rsidRDefault="00AE0BC5" w:rsidP="00AE0BC5">
                <w:pPr>
                  <w:autoSpaceDE w:val="0"/>
                  <w:autoSpaceDN w:val="0"/>
                  <w:adjustRightInd w:val="0"/>
                  <w:jc w:val="center"/>
                  <w:rPr>
                    <w:rFonts w:ascii="Arial" w:eastAsia="Times New Roman" w:hAnsi="Arial" w:cs="Arial"/>
                    <w:color w:val="auto"/>
                  </w:rPr>
                </w:pPr>
                <w:r w:rsidRPr="00AE0BC5">
                  <w:rPr>
                    <w:rFonts w:ascii="Segoe UI Symbol" w:eastAsia="Times New Roman" w:hAnsi="Segoe UI Symbol" w:cs="Segoe UI Symbol"/>
                    <w:b/>
                    <w:bCs/>
                    <w:color w:val="auto"/>
                  </w:rPr>
                  <w:t>☒</w:t>
                </w:r>
              </w:p>
            </w:sdtContent>
          </w:sdt>
        </w:tc>
      </w:tr>
      <w:tr w:rsidR="00AE0BC5" w:rsidRPr="00AE0BC5" w14:paraId="643562AE" w14:textId="77777777" w:rsidTr="00AE0BC5">
        <w:trPr>
          <w:trHeight w:val="403"/>
        </w:trPr>
        <w:tc>
          <w:tcPr>
            <w:tcW w:w="562" w:type="dxa"/>
            <w:shd w:val="clear" w:color="auto" w:fill="F2F2F2"/>
          </w:tcPr>
          <w:p w14:paraId="4773560A" w14:textId="77777777" w:rsidR="00AE0BC5" w:rsidRPr="00AE0BC5" w:rsidRDefault="00AE0BC5" w:rsidP="00914D3C">
            <w:r w:rsidRPr="00AE0BC5">
              <w:t>32</w:t>
            </w:r>
          </w:p>
        </w:tc>
        <w:tc>
          <w:tcPr>
            <w:tcW w:w="7088" w:type="dxa"/>
            <w:shd w:val="clear" w:color="auto" w:fill="F2F2F2"/>
            <w:vAlign w:val="center"/>
          </w:tcPr>
          <w:p w14:paraId="2EB89CCB" w14:textId="77777777" w:rsidR="00AE0BC5" w:rsidRPr="00AE0BC5" w:rsidRDefault="00AE0BC5" w:rsidP="00914D3C">
            <w:r w:rsidRPr="00AE0BC5">
              <w:t>Will the research activity involve deliberately misleading participants in any way, or the partial or full concealment of the specific study aims?</w:t>
            </w:r>
          </w:p>
        </w:tc>
        <w:tc>
          <w:tcPr>
            <w:tcW w:w="992" w:type="dxa"/>
            <w:shd w:val="clear" w:color="auto" w:fill="BFBFBF"/>
            <w:vAlign w:val="center"/>
          </w:tcPr>
          <w:sdt>
            <w:sdtPr>
              <w:rPr>
                <w:b/>
                <w:bCs/>
              </w:rPr>
              <w:id w:val="-873932248"/>
              <w14:checkbox>
                <w14:checked w14:val="0"/>
                <w14:checkedState w14:val="2612" w14:font="MS Gothic"/>
                <w14:uncheckedState w14:val="2610" w14:font="MS Gothic"/>
              </w14:checkbox>
            </w:sdtPr>
            <w:sdtEndPr/>
            <w:sdtContent>
              <w:p w14:paraId="7B63E572" w14:textId="77777777" w:rsidR="00AE0BC5" w:rsidRPr="00AE0BC5" w:rsidRDefault="00AE0BC5" w:rsidP="00914D3C">
                <w:r w:rsidRPr="00AE0BC5">
                  <w:rPr>
                    <w:rFonts w:ascii="Segoe UI Symbol" w:hAnsi="Segoe UI Symbol" w:cs="Segoe UI Symbol"/>
                    <w:b/>
                    <w:bCs/>
                  </w:rPr>
                  <w:t>☐</w:t>
                </w:r>
              </w:p>
            </w:sdtContent>
          </w:sdt>
        </w:tc>
        <w:tc>
          <w:tcPr>
            <w:tcW w:w="851" w:type="dxa"/>
            <w:shd w:val="clear" w:color="auto" w:fill="BFBFBF"/>
            <w:vAlign w:val="center"/>
          </w:tcPr>
          <w:sdt>
            <w:sdtPr>
              <w:rPr>
                <w:b/>
                <w:bCs/>
              </w:rPr>
              <w:id w:val="-1867361740"/>
              <w14:checkbox>
                <w14:checked w14:val="0"/>
                <w14:checkedState w14:val="2612" w14:font="MS Gothic"/>
                <w14:uncheckedState w14:val="2610" w14:font="MS Gothic"/>
              </w14:checkbox>
            </w:sdtPr>
            <w:sdtEndPr/>
            <w:sdtContent>
              <w:p w14:paraId="42662E1D" w14:textId="77777777" w:rsidR="00AE0BC5" w:rsidRPr="00AE0BC5" w:rsidRDefault="00AE0BC5" w:rsidP="00914D3C">
                <w:pPr>
                  <w:rPr>
                    <w:bCs/>
                  </w:rPr>
                </w:pPr>
                <w:r w:rsidRPr="00AE0BC5">
                  <w:rPr>
                    <w:rFonts w:ascii="Segoe UI Symbol" w:hAnsi="Segoe UI Symbol" w:cs="Segoe UI Symbol"/>
                    <w:b/>
                    <w:bCs/>
                  </w:rPr>
                  <w:t>☐</w:t>
                </w:r>
              </w:p>
            </w:sdtContent>
          </w:sdt>
        </w:tc>
        <w:tc>
          <w:tcPr>
            <w:tcW w:w="992" w:type="dxa"/>
            <w:shd w:val="clear" w:color="auto" w:fill="BFBFBF"/>
            <w:vAlign w:val="center"/>
          </w:tcPr>
          <w:sdt>
            <w:sdtPr>
              <w:rPr>
                <w:b/>
                <w:bCs/>
              </w:rPr>
              <w:id w:val="214328365"/>
              <w14:checkbox>
                <w14:checked w14:val="1"/>
                <w14:checkedState w14:val="2612" w14:font="MS Gothic"/>
                <w14:uncheckedState w14:val="2610" w14:font="MS Gothic"/>
              </w14:checkbox>
            </w:sdtPr>
            <w:sdtEndPr/>
            <w:sdtContent>
              <w:p w14:paraId="6503F75C" w14:textId="77777777" w:rsidR="00AE0BC5" w:rsidRPr="00AE0BC5" w:rsidRDefault="00AE0BC5" w:rsidP="00914D3C">
                <w:r w:rsidRPr="00AE0BC5">
                  <w:rPr>
                    <w:rFonts w:ascii="Segoe UI Symbol" w:hAnsi="Segoe UI Symbol" w:cs="Segoe UI Symbol"/>
                    <w:b/>
                    <w:bCs/>
                  </w:rPr>
                  <w:t>☒</w:t>
                </w:r>
              </w:p>
            </w:sdtContent>
          </w:sdt>
        </w:tc>
      </w:tr>
      <w:tr w:rsidR="00AE0BC5" w:rsidRPr="00AE0BC5" w14:paraId="14ABE6E0" w14:textId="77777777" w:rsidTr="00AE0BC5">
        <w:trPr>
          <w:trHeight w:val="403"/>
        </w:trPr>
        <w:tc>
          <w:tcPr>
            <w:tcW w:w="562" w:type="dxa"/>
            <w:shd w:val="clear" w:color="auto" w:fill="F2F2F2"/>
          </w:tcPr>
          <w:p w14:paraId="6F179A61" w14:textId="77777777" w:rsidR="00AE0BC5" w:rsidRPr="00AE0BC5" w:rsidRDefault="00AE0BC5" w:rsidP="00914D3C">
            <w:r w:rsidRPr="00AE0BC5">
              <w:t>33</w:t>
            </w:r>
          </w:p>
        </w:tc>
        <w:tc>
          <w:tcPr>
            <w:tcW w:w="9923" w:type="dxa"/>
            <w:gridSpan w:val="4"/>
            <w:shd w:val="clear" w:color="auto" w:fill="F2F2F2"/>
            <w:vAlign w:val="center"/>
          </w:tcPr>
          <w:p w14:paraId="778A6E06" w14:textId="77777777" w:rsidR="00AE0BC5" w:rsidRPr="00AE0BC5" w:rsidRDefault="00AE0BC5" w:rsidP="00914D3C">
            <w:r w:rsidRPr="00AE0BC5">
              <w:t>If YES</w:t>
            </w:r>
            <w:r w:rsidRPr="00AE0BC5">
              <w:rPr>
                <w:b/>
                <w:bCs/>
              </w:rPr>
              <w:t xml:space="preserve"> </w:t>
            </w:r>
            <w:r w:rsidRPr="00AE0BC5">
              <w:t xml:space="preserve">to any question, please provide full details </w:t>
            </w:r>
          </w:p>
        </w:tc>
      </w:tr>
      <w:tr w:rsidR="00AE0BC5" w:rsidRPr="00AE0BC5" w14:paraId="0254865A" w14:textId="77777777" w:rsidTr="00223E6D">
        <w:trPr>
          <w:trHeight w:val="403"/>
        </w:trPr>
        <w:tc>
          <w:tcPr>
            <w:tcW w:w="562" w:type="dxa"/>
          </w:tcPr>
          <w:p w14:paraId="21C4DB3F" w14:textId="77777777" w:rsidR="00AE0BC5" w:rsidRPr="00AE0BC5" w:rsidRDefault="00AE0BC5" w:rsidP="00914D3C">
            <w:r w:rsidRPr="00AE0BC5">
              <w:t>34</w:t>
            </w:r>
          </w:p>
        </w:tc>
        <w:tc>
          <w:tcPr>
            <w:tcW w:w="9923" w:type="dxa"/>
            <w:gridSpan w:val="4"/>
            <w:vAlign w:val="center"/>
          </w:tcPr>
          <w:p w14:paraId="181BB863" w14:textId="77777777" w:rsidR="00AE0BC5" w:rsidRPr="00AE0BC5" w:rsidRDefault="00AE0BC5" w:rsidP="00914D3C"/>
          <w:p w14:paraId="7A7D5FCA" w14:textId="77777777" w:rsidR="00AE0BC5" w:rsidRPr="00AE0BC5" w:rsidRDefault="00AE0BC5" w:rsidP="00914D3C"/>
          <w:p w14:paraId="36D0C092" w14:textId="77777777" w:rsidR="00AE0BC5" w:rsidRPr="00AE0BC5" w:rsidRDefault="00AE0BC5" w:rsidP="00914D3C"/>
          <w:p w14:paraId="01786202" w14:textId="77777777" w:rsidR="00AE0BC5" w:rsidRPr="00AE0BC5" w:rsidRDefault="00AE0BC5" w:rsidP="00914D3C">
            <w:pPr>
              <w:rPr>
                <w:rFonts w:ascii="Times New Roman" w:hAnsi="Times New Roman"/>
                <w:sz w:val="20"/>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bl>
    <w:p w14:paraId="7FB2D0D5" w14:textId="77777777" w:rsidR="00AE0BC5" w:rsidRPr="00AE0BC5" w:rsidRDefault="00AE0BC5" w:rsidP="00914D3C">
      <w:pPr>
        <w:rPr>
          <w:b/>
        </w:rPr>
      </w:pPr>
    </w:p>
    <w:p w14:paraId="0A02722E" w14:textId="77777777" w:rsidR="00AE0BC5" w:rsidRPr="00AE0BC5" w:rsidRDefault="00AE0BC5" w:rsidP="00914D3C">
      <w:pPr>
        <w:rPr>
          <w:b/>
        </w:rPr>
      </w:pPr>
      <w:r w:rsidRPr="00AE0BC5">
        <w:rPr>
          <w:b/>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14D3C" w:rsidRPr="00AE0BC5" w14:paraId="619CF9F5" w14:textId="77777777" w:rsidTr="00AE0BC5">
        <w:tc>
          <w:tcPr>
            <w:tcW w:w="596" w:type="dxa"/>
            <w:tcBorders>
              <w:bottom w:val="single" w:sz="4" w:space="0" w:color="auto"/>
            </w:tcBorders>
            <w:shd w:val="clear" w:color="auto" w:fill="F2F2F2"/>
          </w:tcPr>
          <w:p w14:paraId="1AE2FE25" w14:textId="77777777" w:rsidR="00AE0BC5" w:rsidRPr="00AE0BC5" w:rsidRDefault="00AE0BC5" w:rsidP="00914D3C">
            <w:r w:rsidRPr="00AE0BC5">
              <w:t>1</w:t>
            </w:r>
          </w:p>
        </w:tc>
        <w:tc>
          <w:tcPr>
            <w:tcW w:w="9923" w:type="dxa"/>
            <w:gridSpan w:val="4"/>
            <w:tcBorders>
              <w:bottom w:val="single" w:sz="4" w:space="0" w:color="auto"/>
            </w:tcBorders>
            <w:shd w:val="clear" w:color="auto" w:fill="F2F2F2"/>
          </w:tcPr>
          <w:p w14:paraId="113C8419" w14:textId="77777777" w:rsidR="00AE0BC5" w:rsidRPr="00AE0BC5" w:rsidRDefault="00AE0BC5" w:rsidP="00914D3C">
            <w:pPr>
              <w:rPr>
                <w:b/>
                <w:bCs/>
              </w:rPr>
            </w:pPr>
            <w:r w:rsidRPr="00AE0BC5">
              <w:rPr>
                <w:b/>
                <w:bCs/>
              </w:rPr>
              <w:br w:type="page"/>
              <w:t>Outline any anticipated risks</w:t>
            </w:r>
            <w:r w:rsidRPr="00AE0BC5">
              <w:rPr>
                <w:rFonts w:eastAsia="SimSun"/>
                <w:b/>
                <w:bCs/>
                <w:lang w:eastAsia="zh-CN"/>
              </w:rPr>
              <w:t xml:space="preserve"> </w:t>
            </w:r>
            <w:r w:rsidRPr="00AE0BC5">
              <w:rPr>
                <w:b/>
                <w:bCs/>
              </w:rPr>
              <w:t xml:space="preserve">that may adversely affect any of the participants, the researchers and/or the University, and the steps that will be taken to address them. </w:t>
            </w:r>
          </w:p>
          <w:p w14:paraId="59A45E77" w14:textId="77777777" w:rsidR="00AE0BC5" w:rsidRPr="00AE0BC5" w:rsidRDefault="00AE0BC5" w:rsidP="00914D3C">
            <w:pPr>
              <w:rPr>
                <w:rFonts w:ascii="Times New Roman" w:hAnsi="Times New Roman"/>
                <w:sz w:val="20"/>
              </w:rPr>
            </w:pPr>
          </w:p>
          <w:p w14:paraId="11C8DB97" w14:textId="77777777" w:rsidR="00AE0BC5" w:rsidRPr="00AE0BC5" w:rsidRDefault="00AE0BC5" w:rsidP="00914D3C">
            <w:pPr>
              <w:rPr>
                <w:sz w:val="20"/>
              </w:rPr>
            </w:pPr>
            <w:r w:rsidRPr="00AE0BC5">
              <w:t>If you have completed a full risk assessment (for example as required by a laboratory, or external research collaborator) you may append that to this form.</w:t>
            </w:r>
            <w:r w:rsidRPr="00AE0BC5">
              <w:rPr>
                <w:sz w:val="20"/>
              </w:rPr>
              <w:t xml:space="preserve">  </w:t>
            </w:r>
          </w:p>
        </w:tc>
      </w:tr>
      <w:tr w:rsidR="00AE0BC5" w:rsidRPr="00AE0BC5" w14:paraId="367DFA31" w14:textId="77777777" w:rsidTr="00AE0BC5">
        <w:tc>
          <w:tcPr>
            <w:tcW w:w="596" w:type="dxa"/>
            <w:vMerge w:val="restart"/>
            <w:shd w:val="clear" w:color="auto" w:fill="F2F2F2"/>
          </w:tcPr>
          <w:p w14:paraId="5E2E1E7E" w14:textId="77777777" w:rsidR="00AE0BC5" w:rsidRPr="00AE0BC5" w:rsidRDefault="00AE0BC5" w:rsidP="00914D3C">
            <w:pPr>
              <w:rPr>
                <w:sz w:val="20"/>
                <w:szCs w:val="16"/>
              </w:rPr>
            </w:pPr>
            <w:r w:rsidRPr="00AE0BC5">
              <w:rPr>
                <w:sz w:val="20"/>
                <w:szCs w:val="16"/>
              </w:rPr>
              <w:t>2</w:t>
            </w:r>
          </w:p>
        </w:tc>
        <w:tc>
          <w:tcPr>
            <w:tcW w:w="8393" w:type="dxa"/>
            <w:gridSpan w:val="2"/>
            <w:vMerge w:val="restart"/>
            <w:shd w:val="clear" w:color="auto" w:fill="F2F2F2"/>
          </w:tcPr>
          <w:p w14:paraId="2A54B698" w14:textId="77777777" w:rsidR="00AE0BC5" w:rsidRPr="00AE0BC5" w:rsidRDefault="00AE0BC5" w:rsidP="00914D3C">
            <w:pPr>
              <w:rPr>
                <w:b/>
                <w:bCs/>
                <w:sz w:val="20"/>
                <w:szCs w:val="16"/>
              </w:rPr>
            </w:pPr>
            <w:r w:rsidRPr="00AE0BC5">
              <w:rPr>
                <w:b/>
                <w:bCs/>
                <w:sz w:val="20"/>
                <w:szCs w:val="16"/>
              </w:rPr>
              <w:t xml:space="preserve">Full risk assessment completed and appended? </w:t>
            </w:r>
          </w:p>
          <w:p w14:paraId="0EEDB180" w14:textId="77777777" w:rsidR="00AE0BC5" w:rsidRPr="00AE0BC5" w:rsidRDefault="00AE0BC5" w:rsidP="00914D3C">
            <w:pPr>
              <w:rPr>
                <w:b/>
                <w:bCs/>
                <w:sz w:val="20"/>
                <w:szCs w:val="16"/>
              </w:rPr>
            </w:pPr>
          </w:p>
        </w:tc>
        <w:tc>
          <w:tcPr>
            <w:tcW w:w="850" w:type="dxa"/>
            <w:tcBorders>
              <w:bottom w:val="single" w:sz="4" w:space="0" w:color="auto"/>
            </w:tcBorders>
            <w:shd w:val="clear" w:color="auto" w:fill="F2F2F2"/>
          </w:tcPr>
          <w:p w14:paraId="4FBF2B87" w14:textId="77777777" w:rsidR="00AE0BC5" w:rsidRPr="00AE0BC5" w:rsidRDefault="00AE0BC5" w:rsidP="00914D3C">
            <w:pPr>
              <w:rPr>
                <w:b/>
                <w:bCs/>
              </w:rPr>
            </w:pPr>
            <w:r w:rsidRPr="00AE0BC5">
              <w:rPr>
                <w:b/>
                <w:bCs/>
              </w:rPr>
              <w:t xml:space="preserve">Yes </w:t>
            </w:r>
          </w:p>
        </w:tc>
        <w:tc>
          <w:tcPr>
            <w:tcW w:w="680" w:type="dxa"/>
            <w:tcBorders>
              <w:bottom w:val="single" w:sz="4" w:space="0" w:color="auto"/>
            </w:tcBorders>
            <w:shd w:val="clear" w:color="auto" w:fill="BFBFBF"/>
          </w:tcPr>
          <w:p w14:paraId="73F5C470" w14:textId="77777777" w:rsidR="00AE0BC5" w:rsidRPr="00AE0BC5" w:rsidRDefault="005B76E4" w:rsidP="00914D3C">
            <w:pPr>
              <w:rPr>
                <w:b/>
                <w:bCs/>
                <w:sz w:val="20"/>
                <w:szCs w:val="16"/>
              </w:rPr>
            </w:pPr>
            <w:sdt>
              <w:sdtPr>
                <w:id w:val="-2006964611"/>
                <w14:checkbox>
                  <w14:checked w14:val="0"/>
                  <w14:checkedState w14:val="2612" w14:font="MS Gothic"/>
                  <w14:uncheckedState w14:val="2610" w14:font="MS Gothic"/>
                </w14:checkbox>
              </w:sdtPr>
              <w:sdtEndPr/>
              <w:sdtContent>
                <w:r w:rsidR="00AE0BC5" w:rsidRPr="00AE0BC5">
                  <w:rPr>
                    <w:rFonts w:ascii="Segoe UI Symbol" w:hAnsi="Segoe UI Symbol" w:cs="Segoe UI Symbol"/>
                  </w:rPr>
                  <w:t>☐</w:t>
                </w:r>
              </w:sdtContent>
            </w:sdt>
          </w:p>
        </w:tc>
      </w:tr>
      <w:tr w:rsidR="00AE0BC5" w:rsidRPr="00AE0BC5" w14:paraId="74EDF2D1" w14:textId="77777777" w:rsidTr="00AE0BC5">
        <w:tc>
          <w:tcPr>
            <w:tcW w:w="596" w:type="dxa"/>
            <w:vMerge/>
            <w:tcBorders>
              <w:bottom w:val="single" w:sz="4" w:space="0" w:color="auto"/>
            </w:tcBorders>
            <w:shd w:val="clear" w:color="auto" w:fill="F2F2F2"/>
          </w:tcPr>
          <w:p w14:paraId="19F40D3C" w14:textId="77777777" w:rsidR="00AE0BC5" w:rsidRPr="00AE0BC5" w:rsidRDefault="00AE0BC5" w:rsidP="00914D3C">
            <w:pPr>
              <w:rPr>
                <w:sz w:val="20"/>
                <w:szCs w:val="16"/>
              </w:rPr>
            </w:pPr>
          </w:p>
        </w:tc>
        <w:tc>
          <w:tcPr>
            <w:tcW w:w="8393" w:type="dxa"/>
            <w:gridSpan w:val="2"/>
            <w:vMerge/>
            <w:tcBorders>
              <w:bottom w:val="single" w:sz="4" w:space="0" w:color="auto"/>
            </w:tcBorders>
            <w:shd w:val="clear" w:color="auto" w:fill="F2F2F2"/>
          </w:tcPr>
          <w:p w14:paraId="42AC6BB2" w14:textId="77777777" w:rsidR="00AE0BC5" w:rsidRPr="00AE0BC5" w:rsidRDefault="00AE0BC5" w:rsidP="00914D3C">
            <w:pPr>
              <w:rPr>
                <w:b/>
                <w:bCs/>
                <w:sz w:val="20"/>
                <w:szCs w:val="16"/>
              </w:rPr>
            </w:pPr>
          </w:p>
        </w:tc>
        <w:tc>
          <w:tcPr>
            <w:tcW w:w="850" w:type="dxa"/>
            <w:tcBorders>
              <w:bottom w:val="single" w:sz="4" w:space="0" w:color="auto"/>
            </w:tcBorders>
            <w:shd w:val="clear" w:color="auto" w:fill="F2F2F2"/>
          </w:tcPr>
          <w:p w14:paraId="6BAC6EA4" w14:textId="77777777" w:rsidR="00AE0BC5" w:rsidRPr="00AE0BC5" w:rsidRDefault="00AE0BC5" w:rsidP="00914D3C">
            <w:pPr>
              <w:rPr>
                <w:b/>
                <w:bCs/>
              </w:rPr>
            </w:pPr>
            <w:r w:rsidRPr="00AE0BC5">
              <w:rPr>
                <w:b/>
                <w:bCs/>
              </w:rPr>
              <w:t>No</w:t>
            </w:r>
          </w:p>
        </w:tc>
        <w:tc>
          <w:tcPr>
            <w:tcW w:w="680" w:type="dxa"/>
            <w:tcBorders>
              <w:bottom w:val="single" w:sz="4" w:space="0" w:color="auto"/>
            </w:tcBorders>
            <w:shd w:val="clear" w:color="auto" w:fill="BFBFBF"/>
          </w:tcPr>
          <w:p w14:paraId="511D87C2" w14:textId="77777777" w:rsidR="00AE0BC5" w:rsidRPr="00AE0BC5" w:rsidRDefault="005B76E4" w:rsidP="00914D3C">
            <w:sdt>
              <w:sdtPr>
                <w:id w:val="-389729326"/>
                <w14:checkbox>
                  <w14:checked w14:val="1"/>
                  <w14:checkedState w14:val="2612" w14:font="MS Gothic"/>
                  <w14:uncheckedState w14:val="2610" w14:font="MS Gothic"/>
                </w14:checkbox>
              </w:sdtPr>
              <w:sdtEndPr/>
              <w:sdtContent>
                <w:r w:rsidR="00AE0BC5" w:rsidRPr="00AE0BC5">
                  <w:rPr>
                    <w:rFonts w:ascii="Segoe UI Symbol" w:hAnsi="Segoe UI Symbol" w:cs="Segoe UI Symbol"/>
                  </w:rPr>
                  <w:t>☒</w:t>
                </w:r>
              </w:sdtContent>
            </w:sdt>
          </w:p>
        </w:tc>
      </w:tr>
      <w:tr w:rsidR="00914D3C" w:rsidRPr="00AE0BC5" w14:paraId="4E972878" w14:textId="77777777" w:rsidTr="00AE0BC5">
        <w:tc>
          <w:tcPr>
            <w:tcW w:w="596" w:type="dxa"/>
            <w:tcBorders>
              <w:bottom w:val="single" w:sz="4" w:space="0" w:color="auto"/>
            </w:tcBorders>
            <w:shd w:val="clear" w:color="auto" w:fill="F2F2F2"/>
          </w:tcPr>
          <w:p w14:paraId="678937DB" w14:textId="77777777" w:rsidR="00AE0BC5" w:rsidRPr="00AE0BC5" w:rsidRDefault="00AE0BC5" w:rsidP="00914D3C">
            <w:r w:rsidRPr="00AE0BC5">
              <w:t>3</w:t>
            </w:r>
          </w:p>
        </w:tc>
        <w:tc>
          <w:tcPr>
            <w:tcW w:w="9923" w:type="dxa"/>
            <w:gridSpan w:val="4"/>
            <w:tcBorders>
              <w:bottom w:val="single" w:sz="4" w:space="0" w:color="auto"/>
            </w:tcBorders>
            <w:shd w:val="clear" w:color="auto" w:fill="F2F2F2"/>
          </w:tcPr>
          <w:p w14:paraId="1630B72F" w14:textId="77777777" w:rsidR="00AE0BC5" w:rsidRPr="00AE0BC5" w:rsidRDefault="00AE0BC5" w:rsidP="00914D3C">
            <w:r w:rsidRPr="00AE0BC5">
              <w:rPr>
                <w:b/>
              </w:rPr>
              <w:t>Risks to participants</w:t>
            </w:r>
          </w:p>
          <w:p w14:paraId="65F04BC1" w14:textId="77777777" w:rsidR="00AE0BC5" w:rsidRPr="00AE0BC5" w:rsidRDefault="00AE0BC5" w:rsidP="00914D3C">
            <w:r w:rsidRPr="00AE0BC5">
              <w:t>For example: emotional distress, financial disclosure, physical harm, transfer of personal data, sensitive organisational information</w:t>
            </w:r>
          </w:p>
        </w:tc>
      </w:tr>
      <w:tr w:rsidR="00AE0BC5" w:rsidRPr="00AE0BC5" w14:paraId="3AA5875C" w14:textId="77777777" w:rsidTr="00223E6D">
        <w:tc>
          <w:tcPr>
            <w:tcW w:w="596" w:type="dxa"/>
            <w:tcBorders>
              <w:top w:val="single" w:sz="4" w:space="0" w:color="auto"/>
              <w:bottom w:val="single" w:sz="4" w:space="0" w:color="auto"/>
            </w:tcBorders>
          </w:tcPr>
          <w:p w14:paraId="17F85904" w14:textId="77777777" w:rsidR="00AE0BC5" w:rsidRPr="00AE0BC5" w:rsidRDefault="00AE0BC5" w:rsidP="00914D3C">
            <w:r w:rsidRPr="00AE0BC5">
              <w:t>4</w:t>
            </w:r>
          </w:p>
        </w:tc>
        <w:tc>
          <w:tcPr>
            <w:tcW w:w="4991" w:type="dxa"/>
            <w:tcBorders>
              <w:top w:val="single" w:sz="4" w:space="0" w:color="auto"/>
              <w:bottom w:val="single" w:sz="4" w:space="0" w:color="auto"/>
            </w:tcBorders>
          </w:tcPr>
          <w:p w14:paraId="2D7BA4A1" w14:textId="77777777" w:rsidR="00AE0BC5" w:rsidRPr="00AE0BC5" w:rsidRDefault="00AE0BC5" w:rsidP="00914D3C">
            <w:r w:rsidRPr="00AE0BC5">
              <w:t>Risk to Participant:</w:t>
            </w:r>
          </w:p>
          <w:p w14:paraId="7B677479" w14:textId="77777777" w:rsidR="00AE0BC5" w:rsidRPr="00AE0BC5" w:rsidRDefault="00AE0BC5" w:rsidP="00914D3C"/>
          <w:p w14:paraId="4AEC4ACE" w14:textId="77777777" w:rsidR="00AE0BC5" w:rsidRPr="00AE0BC5" w:rsidRDefault="00AE0BC5" w:rsidP="00914D3C">
            <w:r w:rsidRPr="00AE0BC5">
              <w:lastRenderedPageBreak/>
              <w:t>Not applicable.</w:t>
            </w:r>
          </w:p>
          <w:p w14:paraId="65FE9C9F" w14:textId="77777777" w:rsidR="00AE0BC5" w:rsidRPr="00AE0BC5" w:rsidRDefault="00AE0BC5" w:rsidP="00914D3C">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3CB6D27" w14:textId="77777777" w:rsidR="00AE0BC5" w:rsidRPr="00AE0BC5" w:rsidRDefault="00AE0BC5" w:rsidP="00914D3C">
            <w:pPr>
              <w:rPr>
                <w:i/>
                <w:sz w:val="18"/>
                <w:szCs w:val="18"/>
              </w:rPr>
            </w:pPr>
            <w:r w:rsidRPr="00AE0BC5">
              <w:rPr>
                <w:i/>
                <w:sz w:val="18"/>
                <w:szCs w:val="18"/>
              </w:rPr>
              <w:lastRenderedPageBreak/>
              <w:t xml:space="preserve">How will you mitigate the Risk </w:t>
            </w:r>
            <w:proofErr w:type="gramStart"/>
            <w:r w:rsidRPr="00AE0BC5">
              <w:rPr>
                <w:i/>
                <w:sz w:val="18"/>
                <w:szCs w:val="18"/>
              </w:rPr>
              <w:t>to Participant</w:t>
            </w:r>
            <w:proofErr w:type="gramEnd"/>
          </w:p>
          <w:p w14:paraId="5E2778DD" w14:textId="77777777" w:rsidR="00AE0BC5" w:rsidRPr="00AE0BC5" w:rsidRDefault="00AE0BC5" w:rsidP="00914D3C"/>
          <w:p w14:paraId="2B548E54" w14:textId="77777777" w:rsidR="00AE0BC5" w:rsidRPr="00AE0BC5" w:rsidRDefault="00AE0BC5" w:rsidP="00914D3C"/>
          <w:p w14:paraId="65E4F066" w14:textId="77777777" w:rsidR="00AE0BC5" w:rsidRPr="00AE0BC5" w:rsidRDefault="00AE0BC5" w:rsidP="00914D3C"/>
          <w:p w14:paraId="1AE768A0" w14:textId="77777777" w:rsidR="00AE0BC5" w:rsidRPr="00AE0BC5" w:rsidRDefault="00AE0BC5" w:rsidP="00914D3C">
            <w:pPr>
              <w:rPr>
                <w:rFonts w:ascii="Times New Roman" w:hAnsi="Times New Roman"/>
                <w:i/>
                <w:sz w:val="20"/>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914D3C" w:rsidRPr="00AE0BC5" w14:paraId="72DD17D0" w14:textId="77777777" w:rsidTr="00AE0BC5">
        <w:tc>
          <w:tcPr>
            <w:tcW w:w="596" w:type="dxa"/>
            <w:tcBorders>
              <w:bottom w:val="single" w:sz="4" w:space="0" w:color="auto"/>
            </w:tcBorders>
            <w:shd w:val="clear" w:color="auto" w:fill="F2F2F2"/>
          </w:tcPr>
          <w:p w14:paraId="7B46A7F7" w14:textId="77777777" w:rsidR="00AE0BC5" w:rsidRPr="00AE0BC5" w:rsidRDefault="00AE0BC5" w:rsidP="00914D3C">
            <w:r w:rsidRPr="00AE0BC5">
              <w:lastRenderedPageBreak/>
              <w:t>5</w:t>
            </w:r>
          </w:p>
        </w:tc>
        <w:tc>
          <w:tcPr>
            <w:tcW w:w="9923" w:type="dxa"/>
            <w:gridSpan w:val="4"/>
            <w:tcBorders>
              <w:bottom w:val="single" w:sz="4" w:space="0" w:color="auto"/>
            </w:tcBorders>
            <w:shd w:val="clear" w:color="auto" w:fill="F2F2F2"/>
          </w:tcPr>
          <w:p w14:paraId="60A69CE0" w14:textId="77777777" w:rsidR="00AE0BC5" w:rsidRPr="00AE0BC5" w:rsidRDefault="00AE0BC5" w:rsidP="00914D3C">
            <w:r w:rsidRPr="00AE0BC5">
              <w:rPr>
                <w:bCs/>
              </w:rPr>
              <w:t>If research activity may include sensitive, embarrassing or upsetting topics (</w:t>
            </w:r>
            <w:proofErr w:type="gramStart"/>
            <w:r w:rsidRPr="00AE0BC5">
              <w:rPr>
                <w:bCs/>
              </w:rPr>
              <w:t>e.g.</w:t>
            </w:r>
            <w:proofErr w:type="gramEnd"/>
            <w:r w:rsidRPr="00AE0BC5">
              <w:rPr>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E0BC5">
              <w:rPr>
                <w:color w:val="161616"/>
                <w:lang w:val="en-US"/>
              </w:rPr>
              <w:t xml:space="preserve">where applicable, consent procedures should make it clear that if something potentially or </w:t>
            </w:r>
            <w:proofErr w:type="gramStart"/>
            <w:r w:rsidRPr="00AE0BC5">
              <w:rPr>
                <w:color w:val="161616"/>
                <w:lang w:val="en-US"/>
              </w:rPr>
              <w:t>actually illegal</w:t>
            </w:r>
            <w:proofErr w:type="gramEnd"/>
            <w:r w:rsidRPr="00AE0BC5">
              <w:rPr>
                <w:color w:val="161616"/>
                <w:lang w:val="en-US"/>
              </w:rPr>
              <w:t xml:space="preserve"> is discovered in the course of a project, it may need to be disclosed to the proper authorities</w:t>
            </w:r>
          </w:p>
        </w:tc>
      </w:tr>
      <w:tr w:rsidR="00AE0BC5" w:rsidRPr="00AE0BC5" w14:paraId="4FC1AC97" w14:textId="77777777" w:rsidTr="00223E6D">
        <w:tc>
          <w:tcPr>
            <w:tcW w:w="596" w:type="dxa"/>
            <w:tcBorders>
              <w:top w:val="single" w:sz="4" w:space="0" w:color="auto"/>
              <w:bottom w:val="single" w:sz="4" w:space="0" w:color="auto"/>
            </w:tcBorders>
          </w:tcPr>
          <w:p w14:paraId="26E7699F" w14:textId="77777777" w:rsidR="00AE0BC5" w:rsidRPr="00AE0BC5" w:rsidRDefault="00AE0BC5" w:rsidP="00914D3C"/>
        </w:tc>
        <w:tc>
          <w:tcPr>
            <w:tcW w:w="9923" w:type="dxa"/>
            <w:gridSpan w:val="4"/>
            <w:tcBorders>
              <w:top w:val="single" w:sz="4" w:space="0" w:color="auto"/>
              <w:bottom w:val="single" w:sz="4" w:space="0" w:color="auto"/>
            </w:tcBorders>
          </w:tcPr>
          <w:p w14:paraId="16CBB156" w14:textId="77777777" w:rsidR="00AE0BC5" w:rsidRPr="00AE0BC5" w:rsidRDefault="00AE0BC5" w:rsidP="00914D3C"/>
          <w:p w14:paraId="1F5EE90A" w14:textId="77777777" w:rsidR="00AE0BC5" w:rsidRPr="00AE0BC5" w:rsidRDefault="00AE0BC5" w:rsidP="00914D3C">
            <w:r w:rsidRPr="00AE0BC5">
              <w:t>Not applicable.</w:t>
            </w:r>
          </w:p>
          <w:p w14:paraId="171EF256" w14:textId="77777777" w:rsidR="00AE0BC5" w:rsidRPr="00AE0BC5" w:rsidRDefault="00AE0BC5" w:rsidP="00914D3C"/>
          <w:p w14:paraId="19438E95" w14:textId="77777777" w:rsidR="00AE0BC5" w:rsidRPr="00AE0BC5" w:rsidRDefault="00AE0BC5" w:rsidP="00914D3C">
            <w:pPr>
              <w:rPr>
                <w:rFonts w:ascii="Times New Roman" w:hAnsi="Times New Roman"/>
                <w:sz w:val="20"/>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914D3C" w:rsidRPr="00AE0BC5" w14:paraId="5A57990A" w14:textId="77777777" w:rsidTr="00AE0BC5">
        <w:tc>
          <w:tcPr>
            <w:tcW w:w="596" w:type="dxa"/>
            <w:tcBorders>
              <w:top w:val="single" w:sz="4" w:space="0" w:color="auto"/>
              <w:bottom w:val="single" w:sz="4" w:space="0" w:color="auto"/>
            </w:tcBorders>
            <w:shd w:val="clear" w:color="auto" w:fill="F2F2F2"/>
          </w:tcPr>
          <w:p w14:paraId="5406FB1D" w14:textId="77777777" w:rsidR="00AE0BC5" w:rsidRPr="00AE0BC5" w:rsidRDefault="00AE0BC5" w:rsidP="00914D3C">
            <w:r w:rsidRPr="00AE0BC5">
              <w:t>6</w:t>
            </w:r>
          </w:p>
        </w:tc>
        <w:tc>
          <w:tcPr>
            <w:tcW w:w="9923" w:type="dxa"/>
            <w:gridSpan w:val="4"/>
            <w:tcBorders>
              <w:top w:val="single" w:sz="4" w:space="0" w:color="auto"/>
              <w:bottom w:val="single" w:sz="4" w:space="0" w:color="auto"/>
            </w:tcBorders>
            <w:shd w:val="clear" w:color="auto" w:fill="F2F2F2"/>
          </w:tcPr>
          <w:p w14:paraId="2ADC74B5" w14:textId="77777777" w:rsidR="00AE0BC5" w:rsidRPr="00AE0BC5" w:rsidRDefault="00AE0BC5" w:rsidP="00914D3C">
            <w:r w:rsidRPr="00AE0BC5">
              <w:rPr>
                <w:b/>
              </w:rPr>
              <w:t>Risks to investigator</w:t>
            </w:r>
          </w:p>
          <w:p w14:paraId="6676102E" w14:textId="77777777" w:rsidR="00AE0BC5" w:rsidRPr="00AE0BC5" w:rsidRDefault="00AE0BC5" w:rsidP="00914D3C">
            <w:r w:rsidRPr="00AE0BC5">
              <w:t>For example: personal safety, physical harm, emotional distress, risk of accusation of harm/impropriety, conflict of interest</w:t>
            </w:r>
          </w:p>
        </w:tc>
      </w:tr>
      <w:tr w:rsidR="00AE0BC5" w:rsidRPr="00AE0BC5" w14:paraId="7F79D71B" w14:textId="77777777" w:rsidTr="00223E6D">
        <w:tc>
          <w:tcPr>
            <w:tcW w:w="596" w:type="dxa"/>
            <w:tcBorders>
              <w:top w:val="single" w:sz="4" w:space="0" w:color="auto"/>
              <w:bottom w:val="single" w:sz="4" w:space="0" w:color="auto"/>
            </w:tcBorders>
          </w:tcPr>
          <w:p w14:paraId="6D96F6C9" w14:textId="77777777" w:rsidR="00AE0BC5" w:rsidRPr="00AE0BC5" w:rsidRDefault="00AE0BC5" w:rsidP="00914D3C"/>
        </w:tc>
        <w:tc>
          <w:tcPr>
            <w:tcW w:w="4991" w:type="dxa"/>
            <w:tcBorders>
              <w:top w:val="single" w:sz="4" w:space="0" w:color="auto"/>
              <w:bottom w:val="single" w:sz="4" w:space="0" w:color="auto"/>
            </w:tcBorders>
          </w:tcPr>
          <w:p w14:paraId="53867B46" w14:textId="77777777" w:rsidR="00AE0BC5" w:rsidRPr="00AE0BC5" w:rsidRDefault="00AE0BC5" w:rsidP="00914D3C">
            <w:r w:rsidRPr="00AE0BC5">
              <w:t>Risk to Investigator:</w:t>
            </w:r>
          </w:p>
          <w:p w14:paraId="693408D0" w14:textId="77777777" w:rsidR="00AE0BC5" w:rsidRPr="00AE0BC5" w:rsidRDefault="00AE0BC5" w:rsidP="00914D3C"/>
          <w:p w14:paraId="0C431258" w14:textId="77777777" w:rsidR="00AE0BC5" w:rsidRPr="00AE0BC5" w:rsidRDefault="00AE0BC5" w:rsidP="00914D3C">
            <w:r w:rsidRPr="00AE0BC5">
              <w:t>Eye strain from working online.</w:t>
            </w:r>
          </w:p>
          <w:p w14:paraId="04237A56" w14:textId="77777777" w:rsidR="00AE0BC5" w:rsidRPr="00AE0BC5" w:rsidRDefault="00AE0BC5" w:rsidP="00914D3C">
            <w:r w:rsidRPr="00AE0BC5">
              <w:t>Aches and pains.</w:t>
            </w:r>
          </w:p>
          <w:p w14:paraId="6018E9D7" w14:textId="77777777" w:rsidR="00AE0BC5" w:rsidRPr="00AE0BC5" w:rsidRDefault="00AE0BC5" w:rsidP="00914D3C"/>
          <w:p w14:paraId="36CFCA94" w14:textId="77777777" w:rsidR="00AE0BC5" w:rsidRPr="00AE0BC5" w:rsidRDefault="00AE0BC5" w:rsidP="00914D3C">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C9B51B3" w14:textId="77777777" w:rsidR="00AE0BC5" w:rsidRPr="00AE0BC5" w:rsidRDefault="00AE0BC5" w:rsidP="00914D3C">
            <w:pPr>
              <w:rPr>
                <w:i/>
                <w:sz w:val="18"/>
                <w:szCs w:val="18"/>
              </w:rPr>
            </w:pPr>
            <w:r w:rsidRPr="00AE0BC5">
              <w:rPr>
                <w:i/>
                <w:sz w:val="18"/>
                <w:szCs w:val="18"/>
              </w:rPr>
              <w:t xml:space="preserve">How will you mitigate the Risk to </w:t>
            </w:r>
            <w:proofErr w:type="gramStart"/>
            <w:r w:rsidRPr="00AE0BC5">
              <w:rPr>
                <w:i/>
                <w:sz w:val="18"/>
                <w:szCs w:val="18"/>
              </w:rPr>
              <w:t>Investigator:</w:t>
            </w:r>
            <w:proofErr w:type="gramEnd"/>
          </w:p>
          <w:p w14:paraId="4D9A3A3C" w14:textId="77777777" w:rsidR="00AE0BC5" w:rsidRPr="00AE0BC5" w:rsidRDefault="00AE0BC5" w:rsidP="00914D3C"/>
          <w:p w14:paraId="30B8F374" w14:textId="77777777" w:rsidR="00AE0BC5" w:rsidRPr="00AE0BC5" w:rsidRDefault="00AE0BC5" w:rsidP="00914D3C">
            <w:r w:rsidRPr="00AE0BC5">
              <w:t>Regular breaks.</w:t>
            </w:r>
          </w:p>
          <w:p w14:paraId="426072F2" w14:textId="77777777" w:rsidR="00AE0BC5" w:rsidRPr="00AE0BC5" w:rsidRDefault="00AE0BC5" w:rsidP="00914D3C">
            <w:r w:rsidRPr="00AE0BC5">
              <w:t>Correct posture.</w:t>
            </w:r>
          </w:p>
          <w:p w14:paraId="09268489" w14:textId="77777777" w:rsidR="00AE0BC5" w:rsidRPr="00AE0BC5" w:rsidRDefault="00AE0BC5" w:rsidP="00914D3C"/>
          <w:p w14:paraId="25B72E59" w14:textId="77777777" w:rsidR="00AE0BC5" w:rsidRPr="00AE0BC5" w:rsidRDefault="00AE0BC5" w:rsidP="00914D3C">
            <w:pPr>
              <w:rPr>
                <w:rFonts w:ascii="Times New Roman" w:hAnsi="Times New Roman"/>
                <w:sz w:val="20"/>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914D3C" w:rsidRPr="00AE0BC5" w14:paraId="73F24BBA" w14:textId="77777777" w:rsidTr="00AE0BC5">
        <w:tc>
          <w:tcPr>
            <w:tcW w:w="596" w:type="dxa"/>
            <w:tcBorders>
              <w:top w:val="single" w:sz="4" w:space="0" w:color="auto"/>
              <w:bottom w:val="single" w:sz="4" w:space="0" w:color="auto"/>
            </w:tcBorders>
            <w:shd w:val="clear" w:color="auto" w:fill="F2F2F2"/>
          </w:tcPr>
          <w:p w14:paraId="003E31A8" w14:textId="77777777" w:rsidR="00AE0BC5" w:rsidRPr="00AE0BC5" w:rsidRDefault="00AE0BC5" w:rsidP="00914D3C">
            <w:r w:rsidRPr="00AE0BC5">
              <w:t>7</w:t>
            </w:r>
          </w:p>
        </w:tc>
        <w:tc>
          <w:tcPr>
            <w:tcW w:w="9923" w:type="dxa"/>
            <w:gridSpan w:val="4"/>
            <w:tcBorders>
              <w:top w:val="single" w:sz="4" w:space="0" w:color="auto"/>
              <w:bottom w:val="single" w:sz="4" w:space="0" w:color="auto"/>
            </w:tcBorders>
            <w:shd w:val="clear" w:color="auto" w:fill="F2F2F2"/>
          </w:tcPr>
          <w:p w14:paraId="6D039D78" w14:textId="77777777" w:rsidR="00AE0BC5" w:rsidRPr="00AE0BC5" w:rsidRDefault="00AE0BC5" w:rsidP="00914D3C">
            <w:r w:rsidRPr="00AE0BC5">
              <w:rPr>
                <w:b/>
              </w:rPr>
              <w:t>University/institutional risks</w:t>
            </w:r>
          </w:p>
          <w:p w14:paraId="3EBD0193" w14:textId="77777777" w:rsidR="00AE0BC5" w:rsidRPr="00AE0BC5" w:rsidRDefault="00AE0BC5" w:rsidP="00914D3C">
            <w:r w:rsidRPr="00AE0BC5">
              <w:t>For example: adverse publicity, financial loss, data protection</w:t>
            </w:r>
          </w:p>
        </w:tc>
      </w:tr>
      <w:tr w:rsidR="00AE0BC5" w:rsidRPr="00AE0BC5" w14:paraId="33DA433B" w14:textId="77777777" w:rsidTr="00223E6D">
        <w:tc>
          <w:tcPr>
            <w:tcW w:w="596" w:type="dxa"/>
            <w:tcBorders>
              <w:top w:val="single" w:sz="4" w:space="0" w:color="auto"/>
              <w:bottom w:val="single" w:sz="4" w:space="0" w:color="auto"/>
            </w:tcBorders>
          </w:tcPr>
          <w:p w14:paraId="31500AEB" w14:textId="77777777" w:rsidR="00AE0BC5" w:rsidRPr="00AE0BC5" w:rsidRDefault="00AE0BC5" w:rsidP="00914D3C"/>
        </w:tc>
        <w:tc>
          <w:tcPr>
            <w:tcW w:w="4991" w:type="dxa"/>
            <w:tcBorders>
              <w:top w:val="single" w:sz="4" w:space="0" w:color="auto"/>
              <w:bottom w:val="single" w:sz="4" w:space="0" w:color="auto"/>
            </w:tcBorders>
          </w:tcPr>
          <w:p w14:paraId="66BFA605" w14:textId="77777777" w:rsidR="00AE0BC5" w:rsidRPr="00AE0BC5" w:rsidRDefault="00AE0BC5" w:rsidP="00914D3C">
            <w:r w:rsidRPr="00AE0BC5">
              <w:t>Risk to University:</w:t>
            </w:r>
          </w:p>
          <w:p w14:paraId="6151070C" w14:textId="77777777" w:rsidR="00AE0BC5" w:rsidRPr="00AE0BC5" w:rsidRDefault="00AE0BC5" w:rsidP="00914D3C">
            <w:r w:rsidRPr="00AE0BC5">
              <w:tab/>
            </w:r>
          </w:p>
          <w:p w14:paraId="7C885383" w14:textId="77777777" w:rsidR="00AE0BC5" w:rsidRPr="00AE0BC5" w:rsidRDefault="00AE0BC5" w:rsidP="00914D3C">
            <w:r w:rsidRPr="00AE0BC5">
              <w:t>Data protection compromised.</w:t>
            </w:r>
          </w:p>
          <w:p w14:paraId="14F8C7F9" w14:textId="77777777" w:rsidR="00AE0BC5" w:rsidRPr="00AE0BC5" w:rsidRDefault="00AE0BC5" w:rsidP="00914D3C"/>
          <w:p w14:paraId="271C46D8" w14:textId="77777777" w:rsidR="00AE0BC5" w:rsidRPr="00AE0BC5" w:rsidRDefault="00AE0BC5" w:rsidP="00914D3C">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02D68678" w14:textId="77777777" w:rsidR="00AE0BC5" w:rsidRPr="00AE0BC5" w:rsidRDefault="00AE0BC5" w:rsidP="00914D3C">
            <w:pPr>
              <w:rPr>
                <w:i/>
                <w:sz w:val="18"/>
                <w:szCs w:val="18"/>
              </w:rPr>
            </w:pPr>
            <w:r w:rsidRPr="00AE0BC5">
              <w:rPr>
                <w:i/>
                <w:sz w:val="18"/>
                <w:szCs w:val="18"/>
              </w:rPr>
              <w:t xml:space="preserve">How will you mitigate the Risk to </w:t>
            </w:r>
            <w:proofErr w:type="gramStart"/>
            <w:r w:rsidRPr="00AE0BC5">
              <w:rPr>
                <w:i/>
                <w:sz w:val="18"/>
                <w:szCs w:val="18"/>
              </w:rPr>
              <w:t>University:</w:t>
            </w:r>
            <w:proofErr w:type="gramEnd"/>
          </w:p>
          <w:p w14:paraId="7AF14D55" w14:textId="77777777" w:rsidR="00AE0BC5" w:rsidRPr="00AE0BC5" w:rsidRDefault="00AE0BC5" w:rsidP="00914D3C"/>
          <w:p w14:paraId="1630A860" w14:textId="77777777" w:rsidR="00AE0BC5" w:rsidRPr="00AE0BC5" w:rsidRDefault="00AE0BC5" w:rsidP="00914D3C">
            <w:r w:rsidRPr="00AE0BC5">
              <w:t>Safe storage of information.</w:t>
            </w:r>
          </w:p>
          <w:p w14:paraId="63B8240B" w14:textId="77777777" w:rsidR="00AE0BC5" w:rsidRPr="00AE0BC5" w:rsidRDefault="00AE0BC5" w:rsidP="00914D3C"/>
          <w:p w14:paraId="2A4BAA8A" w14:textId="77777777" w:rsidR="00AE0BC5" w:rsidRPr="00AE0BC5" w:rsidRDefault="00AE0BC5" w:rsidP="00914D3C">
            <w:pPr>
              <w:rPr>
                <w:rFonts w:ascii="Times New Roman" w:hAnsi="Times New Roman"/>
                <w:sz w:val="20"/>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bl>
    <w:p w14:paraId="5751F2C4" w14:textId="77777777" w:rsidR="00AE0BC5" w:rsidRPr="00AE0BC5" w:rsidRDefault="00AE0BC5" w:rsidP="00914D3C">
      <w:pPr>
        <w:rPr>
          <w:rFonts w:ascii="Times New Roman" w:hAnsi="Times New Roman"/>
          <w:sz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14D3C" w:rsidRPr="00AE0BC5" w14:paraId="08622AED" w14:textId="77777777" w:rsidTr="00AE0BC5">
        <w:tc>
          <w:tcPr>
            <w:tcW w:w="596" w:type="dxa"/>
            <w:tcBorders>
              <w:top w:val="single" w:sz="4" w:space="0" w:color="auto"/>
              <w:bottom w:val="single" w:sz="4" w:space="0" w:color="auto"/>
            </w:tcBorders>
            <w:shd w:val="clear" w:color="auto" w:fill="F2F2F2"/>
          </w:tcPr>
          <w:p w14:paraId="7DDB3C37" w14:textId="77777777" w:rsidR="00AE0BC5" w:rsidRPr="00AE0BC5" w:rsidRDefault="00AE0BC5" w:rsidP="00914D3C">
            <w:pPr>
              <w:rPr>
                <w:bCs/>
              </w:rPr>
            </w:pPr>
            <w:r w:rsidRPr="00AE0BC5">
              <w:rPr>
                <w:bCs/>
              </w:rPr>
              <w:t>8</w:t>
            </w:r>
          </w:p>
        </w:tc>
        <w:tc>
          <w:tcPr>
            <w:tcW w:w="9923" w:type="dxa"/>
            <w:gridSpan w:val="4"/>
            <w:tcBorders>
              <w:top w:val="single" w:sz="4" w:space="0" w:color="auto"/>
              <w:bottom w:val="single" w:sz="4" w:space="0" w:color="auto"/>
            </w:tcBorders>
            <w:shd w:val="clear" w:color="auto" w:fill="F2F2F2"/>
          </w:tcPr>
          <w:p w14:paraId="5EA20337" w14:textId="77777777" w:rsidR="00AE0BC5" w:rsidRPr="00AE0BC5" w:rsidRDefault="00AE0BC5" w:rsidP="00914D3C">
            <w:pPr>
              <w:rPr>
                <w:b/>
              </w:rPr>
            </w:pPr>
            <w:r w:rsidRPr="00AE0BC5">
              <w:rPr>
                <w:b/>
              </w:rPr>
              <w:t>Disclosure and Barring Service</w:t>
            </w:r>
          </w:p>
        </w:tc>
      </w:tr>
      <w:tr w:rsidR="00AE0BC5" w:rsidRPr="00AE0BC5" w14:paraId="32600FBC" w14:textId="77777777" w:rsidTr="00AE0BC5">
        <w:tc>
          <w:tcPr>
            <w:tcW w:w="596" w:type="dxa"/>
            <w:tcBorders>
              <w:top w:val="single" w:sz="4" w:space="0" w:color="auto"/>
              <w:bottom w:val="single" w:sz="4" w:space="0" w:color="auto"/>
            </w:tcBorders>
            <w:shd w:val="clear" w:color="auto" w:fill="F2F2F2"/>
          </w:tcPr>
          <w:p w14:paraId="391586B0" w14:textId="77777777" w:rsidR="00AE0BC5" w:rsidRPr="00AE0BC5" w:rsidRDefault="00AE0BC5" w:rsidP="00914D3C">
            <w:pPr>
              <w:rPr>
                <w:bCs/>
              </w:rPr>
            </w:pPr>
            <w:r w:rsidRPr="00AE0BC5">
              <w:rPr>
                <w:bCs/>
              </w:rPr>
              <w:lastRenderedPageBreak/>
              <w:t>9</w:t>
            </w:r>
          </w:p>
        </w:tc>
        <w:tc>
          <w:tcPr>
            <w:tcW w:w="7401" w:type="dxa"/>
            <w:tcBorders>
              <w:top w:val="single" w:sz="4" w:space="0" w:color="auto"/>
              <w:bottom w:val="single" w:sz="4" w:space="0" w:color="auto"/>
            </w:tcBorders>
            <w:shd w:val="clear" w:color="auto" w:fill="F2F2F2"/>
          </w:tcPr>
          <w:p w14:paraId="09DCD772" w14:textId="77777777" w:rsidR="00AE0BC5" w:rsidRPr="00AE0BC5" w:rsidRDefault="00AE0BC5" w:rsidP="00914D3C">
            <w:pPr>
              <w:rPr>
                <w:sz w:val="16"/>
                <w:szCs w:val="16"/>
              </w:rPr>
            </w:pPr>
            <w:r w:rsidRPr="00AE0BC5">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7841EB28" w14:textId="77777777" w:rsidR="00AE0BC5" w:rsidRPr="00AE0BC5" w:rsidRDefault="00AE0BC5" w:rsidP="00914D3C">
            <w:pPr>
              <w:rPr>
                <w:b/>
                <w:bCs/>
              </w:rPr>
            </w:pPr>
            <w:r w:rsidRPr="00AE0BC5">
              <w:rPr>
                <w:b/>
                <w:bCs/>
              </w:rPr>
              <w:t>YES</w:t>
            </w:r>
          </w:p>
          <w:p w14:paraId="13E746F5" w14:textId="77777777" w:rsidR="00AE0BC5" w:rsidRPr="00AE0BC5" w:rsidRDefault="00AE0BC5" w:rsidP="00914D3C">
            <w:pPr>
              <w:rPr>
                <w:b/>
              </w:rPr>
            </w:pPr>
          </w:p>
        </w:tc>
        <w:tc>
          <w:tcPr>
            <w:tcW w:w="850" w:type="dxa"/>
            <w:tcBorders>
              <w:top w:val="single" w:sz="4" w:space="0" w:color="auto"/>
              <w:bottom w:val="single" w:sz="4" w:space="0" w:color="auto"/>
            </w:tcBorders>
            <w:shd w:val="clear" w:color="auto" w:fill="F2F2F2"/>
            <w:vAlign w:val="bottom"/>
          </w:tcPr>
          <w:p w14:paraId="2A99EE5C" w14:textId="77777777" w:rsidR="00AE0BC5" w:rsidRPr="00AE0BC5" w:rsidRDefault="00AE0BC5" w:rsidP="00914D3C">
            <w:pPr>
              <w:rPr>
                <w:b/>
                <w:bCs/>
              </w:rPr>
            </w:pPr>
            <w:r w:rsidRPr="00AE0BC5">
              <w:rPr>
                <w:b/>
                <w:bCs/>
              </w:rPr>
              <w:t>NO</w:t>
            </w:r>
          </w:p>
          <w:p w14:paraId="6E5A1297" w14:textId="77777777" w:rsidR="00AE0BC5" w:rsidRPr="00AE0BC5" w:rsidRDefault="00AE0BC5" w:rsidP="00914D3C">
            <w:pPr>
              <w:rPr>
                <w:b/>
              </w:rPr>
            </w:pPr>
          </w:p>
        </w:tc>
        <w:tc>
          <w:tcPr>
            <w:tcW w:w="851" w:type="dxa"/>
            <w:tcBorders>
              <w:top w:val="single" w:sz="4" w:space="0" w:color="auto"/>
              <w:bottom w:val="single" w:sz="4" w:space="0" w:color="auto"/>
            </w:tcBorders>
            <w:shd w:val="clear" w:color="auto" w:fill="F2F2F2"/>
            <w:vAlign w:val="bottom"/>
          </w:tcPr>
          <w:p w14:paraId="10881C86" w14:textId="77777777" w:rsidR="00AE0BC5" w:rsidRPr="00AE0BC5" w:rsidRDefault="00AE0BC5" w:rsidP="00914D3C">
            <w:pPr>
              <w:rPr>
                <w:b/>
                <w:bCs/>
              </w:rPr>
            </w:pPr>
            <w:r w:rsidRPr="00AE0BC5">
              <w:rPr>
                <w:b/>
                <w:bCs/>
              </w:rPr>
              <w:t>N/A</w:t>
            </w:r>
          </w:p>
          <w:p w14:paraId="50BB0949" w14:textId="77777777" w:rsidR="00AE0BC5" w:rsidRPr="00AE0BC5" w:rsidRDefault="00AE0BC5" w:rsidP="00914D3C">
            <w:pPr>
              <w:rPr>
                <w:b/>
              </w:rPr>
            </w:pPr>
          </w:p>
        </w:tc>
      </w:tr>
      <w:tr w:rsidR="00AE0BC5" w:rsidRPr="00AE0BC5" w14:paraId="55E30900" w14:textId="77777777" w:rsidTr="00AE0BC5">
        <w:trPr>
          <w:trHeight w:val="492"/>
        </w:trPr>
        <w:tc>
          <w:tcPr>
            <w:tcW w:w="596" w:type="dxa"/>
            <w:tcBorders>
              <w:top w:val="single" w:sz="4" w:space="0" w:color="auto"/>
              <w:bottom w:val="single" w:sz="4" w:space="0" w:color="auto"/>
            </w:tcBorders>
            <w:shd w:val="clear" w:color="auto" w:fill="F2F2F2"/>
          </w:tcPr>
          <w:p w14:paraId="2A486D73" w14:textId="77777777" w:rsidR="00AE0BC5" w:rsidRPr="00AE0BC5" w:rsidRDefault="00AE0BC5" w:rsidP="00914D3C">
            <w:pPr>
              <w:rPr>
                <w:bCs/>
              </w:rPr>
            </w:pPr>
            <w:r w:rsidRPr="00AE0BC5">
              <w:rPr>
                <w:bCs/>
              </w:rPr>
              <w:t>10</w:t>
            </w:r>
          </w:p>
        </w:tc>
        <w:tc>
          <w:tcPr>
            <w:tcW w:w="7401" w:type="dxa"/>
            <w:tcBorders>
              <w:top w:val="single" w:sz="4" w:space="0" w:color="auto"/>
              <w:bottom w:val="single" w:sz="4" w:space="0" w:color="auto"/>
            </w:tcBorders>
            <w:shd w:val="clear" w:color="auto" w:fill="F2F2F2"/>
            <w:vAlign w:val="center"/>
          </w:tcPr>
          <w:p w14:paraId="379B9990" w14:textId="77777777" w:rsidR="00AE0BC5" w:rsidRPr="00AE0BC5" w:rsidRDefault="00AE0BC5" w:rsidP="00914D3C">
            <w:r w:rsidRPr="00AE0BC5">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675EF969" w14:textId="77777777" w:rsidR="00AE0BC5" w:rsidRPr="00AE0BC5" w:rsidRDefault="005B76E4" w:rsidP="00914D3C">
            <w:pPr>
              <w:rPr>
                <w:b/>
                <w:sz w:val="16"/>
                <w:szCs w:val="16"/>
              </w:rPr>
            </w:pPr>
            <w:sdt>
              <w:sdtPr>
                <w:rPr>
                  <w:b/>
                  <w:bCs/>
                </w:rPr>
                <w:id w:val="-1418780434"/>
                <w14:checkbox>
                  <w14:checked w14:val="0"/>
                  <w14:checkedState w14:val="2612" w14:font="MS Gothic"/>
                  <w14:uncheckedState w14:val="2610" w14:font="MS Gothic"/>
                </w14:checkbox>
              </w:sdtPr>
              <w:sdtEndPr/>
              <w:sdtContent>
                <w:r w:rsidR="00AE0BC5" w:rsidRPr="00AE0BC5">
                  <w:rPr>
                    <w:rFonts w:ascii="Segoe UI Symbol" w:hAnsi="Segoe UI Symbol" w:cs="Segoe UI Symbol"/>
                    <w:b/>
                    <w:bCs/>
                  </w:rPr>
                  <w:t>☐</w:t>
                </w:r>
              </w:sdtContent>
            </w:sdt>
          </w:p>
        </w:tc>
        <w:tc>
          <w:tcPr>
            <w:tcW w:w="850" w:type="dxa"/>
            <w:tcBorders>
              <w:top w:val="single" w:sz="4" w:space="0" w:color="auto"/>
              <w:bottom w:val="single" w:sz="4" w:space="0" w:color="auto"/>
            </w:tcBorders>
            <w:shd w:val="clear" w:color="auto" w:fill="BFBFBF"/>
            <w:vAlign w:val="center"/>
          </w:tcPr>
          <w:p w14:paraId="419311A7" w14:textId="77777777" w:rsidR="00AE0BC5" w:rsidRPr="00AE0BC5" w:rsidRDefault="005B76E4" w:rsidP="00914D3C">
            <w:pPr>
              <w:rPr>
                <w:b/>
                <w:sz w:val="16"/>
                <w:szCs w:val="16"/>
              </w:rPr>
            </w:pPr>
            <w:sdt>
              <w:sdtPr>
                <w:rPr>
                  <w:b/>
                  <w:bCs/>
                </w:rPr>
                <w:id w:val="-2018915239"/>
                <w14:checkbox>
                  <w14:checked w14:val="0"/>
                  <w14:checkedState w14:val="2612" w14:font="MS Gothic"/>
                  <w14:uncheckedState w14:val="2610" w14:font="MS Gothic"/>
                </w14:checkbox>
              </w:sdtPr>
              <w:sdtEndPr/>
              <w:sdtContent>
                <w:r w:rsidR="00AE0BC5" w:rsidRPr="00AE0BC5">
                  <w:rPr>
                    <w:rFonts w:ascii="Segoe UI Symbol" w:hAnsi="Segoe UI Symbol" w:cs="Segoe UI Symbol"/>
                    <w:b/>
                    <w:bCs/>
                  </w:rPr>
                  <w:t>☐</w:t>
                </w:r>
              </w:sdtContent>
            </w:sdt>
          </w:p>
        </w:tc>
        <w:tc>
          <w:tcPr>
            <w:tcW w:w="851" w:type="dxa"/>
            <w:tcBorders>
              <w:top w:val="single" w:sz="4" w:space="0" w:color="auto"/>
              <w:bottom w:val="single" w:sz="4" w:space="0" w:color="auto"/>
            </w:tcBorders>
            <w:shd w:val="clear" w:color="auto" w:fill="BFBFBF"/>
            <w:vAlign w:val="center"/>
          </w:tcPr>
          <w:p w14:paraId="42190BB5" w14:textId="77777777" w:rsidR="00AE0BC5" w:rsidRPr="00AE0BC5" w:rsidRDefault="005B76E4" w:rsidP="00914D3C">
            <w:pPr>
              <w:rPr>
                <w:b/>
                <w:sz w:val="16"/>
                <w:szCs w:val="16"/>
              </w:rPr>
            </w:pPr>
            <w:sdt>
              <w:sdtPr>
                <w:rPr>
                  <w:b/>
                  <w:bCs/>
                </w:rPr>
                <w:id w:val="-774482751"/>
                <w14:checkbox>
                  <w14:checked w14:val="1"/>
                  <w14:checkedState w14:val="2612" w14:font="MS Gothic"/>
                  <w14:uncheckedState w14:val="2610" w14:font="MS Gothic"/>
                </w14:checkbox>
              </w:sdtPr>
              <w:sdtEndPr/>
              <w:sdtContent>
                <w:r w:rsidR="00AE0BC5" w:rsidRPr="00AE0BC5">
                  <w:rPr>
                    <w:rFonts w:ascii="Segoe UI Symbol" w:hAnsi="Segoe UI Symbol" w:cs="Segoe UI Symbol"/>
                    <w:b/>
                    <w:bCs/>
                  </w:rPr>
                  <w:t>☒</w:t>
                </w:r>
              </w:sdtContent>
            </w:sdt>
          </w:p>
        </w:tc>
      </w:tr>
    </w:tbl>
    <w:p w14:paraId="01DD3493" w14:textId="77777777" w:rsidR="00AE0BC5" w:rsidRPr="00AE0BC5" w:rsidRDefault="00AE0BC5" w:rsidP="00914D3C">
      <w:pPr>
        <w:rPr>
          <w:b/>
        </w:rPr>
      </w:pPr>
    </w:p>
    <w:p w14:paraId="1E368A46" w14:textId="77777777" w:rsidR="00AE0BC5" w:rsidRPr="00AE0BC5" w:rsidRDefault="00AE0BC5" w:rsidP="00914D3C">
      <w:pPr>
        <w:rPr>
          <w:b/>
        </w:rPr>
      </w:pPr>
      <w:r w:rsidRPr="00AE0BC5">
        <w:rPr>
          <w:b/>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14D3C" w:rsidRPr="00AE0BC5" w14:paraId="49222D59" w14:textId="77777777" w:rsidTr="00AE0BC5">
        <w:tc>
          <w:tcPr>
            <w:tcW w:w="596" w:type="dxa"/>
            <w:tcBorders>
              <w:top w:val="single" w:sz="4" w:space="0" w:color="auto"/>
              <w:bottom w:val="single" w:sz="4" w:space="0" w:color="auto"/>
            </w:tcBorders>
            <w:shd w:val="clear" w:color="auto" w:fill="F2F2F2"/>
          </w:tcPr>
          <w:p w14:paraId="2D6372FB" w14:textId="77777777" w:rsidR="00AE0BC5" w:rsidRPr="00AE0BC5" w:rsidRDefault="00AE0BC5" w:rsidP="00914D3C">
            <w:pPr>
              <w:rPr>
                <w:bCs/>
              </w:rPr>
            </w:pPr>
            <w:r w:rsidRPr="00AE0BC5">
              <w:rPr>
                <w:bCs/>
              </w:rPr>
              <w:t>1</w:t>
            </w:r>
          </w:p>
        </w:tc>
        <w:tc>
          <w:tcPr>
            <w:tcW w:w="9923" w:type="dxa"/>
            <w:tcBorders>
              <w:top w:val="single" w:sz="4" w:space="0" w:color="auto"/>
              <w:bottom w:val="single" w:sz="4" w:space="0" w:color="auto"/>
            </w:tcBorders>
            <w:shd w:val="clear" w:color="auto" w:fill="F2F2F2"/>
          </w:tcPr>
          <w:p w14:paraId="5B3EBF9A" w14:textId="77777777" w:rsidR="00AE0BC5" w:rsidRPr="00AE0BC5" w:rsidRDefault="00AE0BC5" w:rsidP="00914D3C">
            <w:r w:rsidRPr="00AE0BC5">
              <w:rPr>
                <w:b/>
              </w:rPr>
              <w:t>Feedback</w:t>
            </w:r>
          </w:p>
          <w:p w14:paraId="11496E89" w14:textId="77777777" w:rsidR="00AE0BC5" w:rsidRPr="00AE0BC5" w:rsidRDefault="00AE0BC5" w:rsidP="00914D3C">
            <w:r w:rsidRPr="00AE0BC5">
              <w:t xml:space="preserve">What de-briefing and feedback will be provided to participants, how will this be done and when? </w:t>
            </w:r>
          </w:p>
        </w:tc>
      </w:tr>
      <w:tr w:rsidR="00AE0BC5" w:rsidRPr="00AE0BC5" w14:paraId="61B0FF84" w14:textId="77777777" w:rsidTr="00223E6D">
        <w:tc>
          <w:tcPr>
            <w:tcW w:w="596" w:type="dxa"/>
            <w:tcBorders>
              <w:top w:val="single" w:sz="4" w:space="0" w:color="auto"/>
              <w:bottom w:val="single" w:sz="4" w:space="0" w:color="auto"/>
            </w:tcBorders>
          </w:tcPr>
          <w:p w14:paraId="3F329649" w14:textId="77777777" w:rsidR="00AE0BC5" w:rsidRPr="00AE0BC5" w:rsidRDefault="00AE0BC5" w:rsidP="00914D3C">
            <w:pPr>
              <w:rPr>
                <w:bCs/>
              </w:rPr>
            </w:pPr>
          </w:p>
        </w:tc>
        <w:tc>
          <w:tcPr>
            <w:tcW w:w="9923" w:type="dxa"/>
            <w:tcBorders>
              <w:top w:val="single" w:sz="4" w:space="0" w:color="auto"/>
              <w:bottom w:val="single" w:sz="4" w:space="0" w:color="auto"/>
            </w:tcBorders>
          </w:tcPr>
          <w:p w14:paraId="12BC3807" w14:textId="77777777" w:rsidR="00AE0BC5" w:rsidRPr="00AE0BC5" w:rsidRDefault="00AE0BC5" w:rsidP="00914D3C"/>
          <w:p w14:paraId="59BE1F49" w14:textId="77777777" w:rsidR="00AE0BC5" w:rsidRPr="00AE0BC5" w:rsidRDefault="00AE0BC5" w:rsidP="00914D3C">
            <w:r w:rsidRPr="00AE0BC5">
              <w:t>Not applicable.</w:t>
            </w:r>
          </w:p>
          <w:p w14:paraId="6DC31CF1" w14:textId="77777777" w:rsidR="00AE0BC5" w:rsidRPr="00AE0BC5" w:rsidRDefault="00AE0BC5" w:rsidP="00914D3C"/>
          <w:p w14:paraId="713A3931" w14:textId="77777777" w:rsidR="00AE0BC5" w:rsidRPr="00AE0BC5" w:rsidRDefault="00AE0BC5" w:rsidP="00914D3C">
            <w:pPr>
              <w:rPr>
                <w:rFonts w:ascii="Times New Roman" w:hAnsi="Times New Roman"/>
                <w:sz w:val="20"/>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914D3C" w:rsidRPr="00AE0BC5" w14:paraId="30F03560" w14:textId="77777777" w:rsidTr="00AE0BC5">
        <w:tc>
          <w:tcPr>
            <w:tcW w:w="596" w:type="dxa"/>
            <w:tcBorders>
              <w:top w:val="single" w:sz="4" w:space="0" w:color="auto"/>
              <w:bottom w:val="single" w:sz="4" w:space="0" w:color="auto"/>
            </w:tcBorders>
            <w:shd w:val="clear" w:color="auto" w:fill="F2F2F2"/>
          </w:tcPr>
          <w:p w14:paraId="5E474863" w14:textId="77777777" w:rsidR="00AE0BC5" w:rsidRPr="00AE0BC5" w:rsidRDefault="00AE0BC5" w:rsidP="00914D3C">
            <w:pPr>
              <w:rPr>
                <w:bCs/>
              </w:rPr>
            </w:pPr>
            <w:r w:rsidRPr="00AE0BC5">
              <w:rPr>
                <w:bCs/>
              </w:rPr>
              <w:t>2</w:t>
            </w:r>
          </w:p>
        </w:tc>
        <w:tc>
          <w:tcPr>
            <w:tcW w:w="9923" w:type="dxa"/>
            <w:tcBorders>
              <w:top w:val="single" w:sz="4" w:space="0" w:color="auto"/>
              <w:bottom w:val="single" w:sz="4" w:space="0" w:color="auto"/>
            </w:tcBorders>
            <w:shd w:val="clear" w:color="auto" w:fill="F2F2F2"/>
          </w:tcPr>
          <w:p w14:paraId="6FB0EB35" w14:textId="77777777" w:rsidR="00AE0BC5" w:rsidRPr="00AE0BC5" w:rsidRDefault="00AE0BC5" w:rsidP="00914D3C">
            <w:r w:rsidRPr="00AE0BC5">
              <w:rPr>
                <w:b/>
              </w:rPr>
              <w:t>Informed consent</w:t>
            </w:r>
          </w:p>
          <w:p w14:paraId="713C4A02" w14:textId="77777777" w:rsidR="00AE0BC5" w:rsidRPr="00AE0BC5" w:rsidRDefault="00AE0BC5" w:rsidP="00914D3C">
            <w:r w:rsidRPr="00AE0BC5">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E0BC5" w:rsidRPr="00AE0BC5" w14:paraId="446DCDAD" w14:textId="77777777" w:rsidTr="00223E6D">
        <w:tc>
          <w:tcPr>
            <w:tcW w:w="596" w:type="dxa"/>
            <w:tcBorders>
              <w:top w:val="single" w:sz="4" w:space="0" w:color="auto"/>
              <w:bottom w:val="single" w:sz="4" w:space="0" w:color="auto"/>
            </w:tcBorders>
          </w:tcPr>
          <w:p w14:paraId="0A3C6717" w14:textId="77777777" w:rsidR="00AE0BC5" w:rsidRPr="00AE0BC5" w:rsidRDefault="00AE0BC5" w:rsidP="00914D3C">
            <w:pPr>
              <w:rPr>
                <w:bCs/>
              </w:rPr>
            </w:pPr>
          </w:p>
        </w:tc>
        <w:tc>
          <w:tcPr>
            <w:tcW w:w="9923" w:type="dxa"/>
            <w:tcBorders>
              <w:top w:val="single" w:sz="4" w:space="0" w:color="auto"/>
              <w:bottom w:val="single" w:sz="4" w:space="0" w:color="auto"/>
            </w:tcBorders>
          </w:tcPr>
          <w:p w14:paraId="4A4B8E35" w14:textId="77777777" w:rsidR="00AE0BC5" w:rsidRPr="00AE0BC5" w:rsidRDefault="00AE0BC5" w:rsidP="00914D3C"/>
          <w:p w14:paraId="4F9B7194" w14:textId="77777777" w:rsidR="00AE0BC5" w:rsidRPr="00AE0BC5" w:rsidRDefault="00AE0BC5" w:rsidP="00914D3C">
            <w:r w:rsidRPr="00AE0BC5">
              <w:t>Not applicable.</w:t>
            </w:r>
          </w:p>
          <w:p w14:paraId="19610AF1" w14:textId="77777777" w:rsidR="00AE0BC5" w:rsidRPr="00AE0BC5" w:rsidRDefault="00AE0BC5" w:rsidP="00914D3C"/>
          <w:p w14:paraId="3AED80AA" w14:textId="77777777" w:rsidR="00AE0BC5" w:rsidRPr="00AE0BC5" w:rsidRDefault="00AE0BC5" w:rsidP="00914D3C">
            <w:pPr>
              <w:rPr>
                <w:rFonts w:ascii="Times New Roman" w:hAnsi="Times New Roman"/>
                <w:sz w:val="20"/>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914D3C" w:rsidRPr="00AE0BC5" w14:paraId="3A1E2788" w14:textId="77777777" w:rsidTr="00AE0BC5">
        <w:tc>
          <w:tcPr>
            <w:tcW w:w="596" w:type="dxa"/>
            <w:tcBorders>
              <w:top w:val="single" w:sz="4" w:space="0" w:color="auto"/>
              <w:bottom w:val="single" w:sz="4" w:space="0" w:color="auto"/>
            </w:tcBorders>
            <w:shd w:val="clear" w:color="auto" w:fill="F2F2F2"/>
          </w:tcPr>
          <w:p w14:paraId="43785079" w14:textId="77777777" w:rsidR="00AE0BC5" w:rsidRPr="00AE0BC5" w:rsidRDefault="00AE0BC5" w:rsidP="00914D3C">
            <w:pPr>
              <w:rPr>
                <w:bCs/>
              </w:rPr>
            </w:pPr>
            <w:r w:rsidRPr="00AE0BC5">
              <w:rPr>
                <w:bCs/>
              </w:rPr>
              <w:t>3</w:t>
            </w:r>
          </w:p>
        </w:tc>
        <w:tc>
          <w:tcPr>
            <w:tcW w:w="9923" w:type="dxa"/>
            <w:tcBorders>
              <w:top w:val="single" w:sz="4" w:space="0" w:color="auto"/>
              <w:bottom w:val="single" w:sz="4" w:space="0" w:color="auto"/>
            </w:tcBorders>
            <w:shd w:val="clear" w:color="auto" w:fill="F2F2F2"/>
          </w:tcPr>
          <w:p w14:paraId="79B3F7A3" w14:textId="77777777" w:rsidR="00AE0BC5" w:rsidRPr="00AE0BC5" w:rsidRDefault="00AE0BC5" w:rsidP="00914D3C">
            <w:pPr>
              <w:rPr>
                <w:b/>
              </w:rPr>
            </w:pPr>
            <w:r w:rsidRPr="00AE0BC5">
              <w:rPr>
                <w:b/>
              </w:rPr>
              <w:t>Confidentiality / Anonymity</w:t>
            </w:r>
          </w:p>
          <w:p w14:paraId="08302593" w14:textId="77777777" w:rsidR="00AE0BC5" w:rsidRPr="00AE0BC5" w:rsidRDefault="00AE0BC5" w:rsidP="00914D3C">
            <w:r w:rsidRPr="00AE0BC5">
              <w:t xml:space="preserve">Set out how anonymity of participants and confidentiality will be ensured in any outputs. If anonymity is not being offered, explain why this is the case. </w:t>
            </w:r>
          </w:p>
        </w:tc>
      </w:tr>
      <w:tr w:rsidR="00AE0BC5" w:rsidRPr="00AE0BC5" w14:paraId="119DAF44" w14:textId="77777777" w:rsidTr="00223E6D">
        <w:tc>
          <w:tcPr>
            <w:tcW w:w="596" w:type="dxa"/>
            <w:tcBorders>
              <w:top w:val="single" w:sz="4" w:space="0" w:color="auto"/>
              <w:bottom w:val="single" w:sz="4" w:space="0" w:color="auto"/>
            </w:tcBorders>
          </w:tcPr>
          <w:p w14:paraId="31DF6FEA" w14:textId="77777777" w:rsidR="00AE0BC5" w:rsidRPr="00AE0BC5" w:rsidRDefault="00AE0BC5" w:rsidP="00914D3C">
            <w:pPr>
              <w:rPr>
                <w:bCs/>
              </w:rPr>
            </w:pPr>
          </w:p>
        </w:tc>
        <w:tc>
          <w:tcPr>
            <w:tcW w:w="9923" w:type="dxa"/>
            <w:tcBorders>
              <w:top w:val="single" w:sz="4" w:space="0" w:color="auto"/>
              <w:bottom w:val="single" w:sz="4" w:space="0" w:color="auto"/>
            </w:tcBorders>
          </w:tcPr>
          <w:p w14:paraId="63D51FE0" w14:textId="77777777" w:rsidR="00AE0BC5" w:rsidRPr="00AE0BC5" w:rsidRDefault="00AE0BC5" w:rsidP="00914D3C"/>
          <w:p w14:paraId="0234B33D" w14:textId="77777777" w:rsidR="00AE0BC5" w:rsidRPr="00AE0BC5" w:rsidRDefault="00AE0BC5" w:rsidP="00914D3C">
            <w:r w:rsidRPr="00AE0BC5">
              <w:t>Not applicable.</w:t>
            </w:r>
          </w:p>
          <w:p w14:paraId="3ACCDCFD" w14:textId="77777777" w:rsidR="00AE0BC5" w:rsidRPr="00AE0BC5" w:rsidRDefault="00AE0BC5" w:rsidP="00914D3C"/>
          <w:p w14:paraId="6046A7BC" w14:textId="77777777" w:rsidR="00AE0BC5" w:rsidRPr="00AE0BC5" w:rsidRDefault="00AE0BC5" w:rsidP="00914D3C">
            <w:pPr>
              <w:rPr>
                <w:rFonts w:ascii="Times New Roman" w:hAnsi="Times New Roman"/>
                <w:sz w:val="20"/>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bl>
    <w:p w14:paraId="0CAF6634" w14:textId="77777777" w:rsidR="00A2089C" w:rsidRDefault="00A2089C" w:rsidP="00914D3C">
      <w:pPr>
        <w:rPr>
          <w:b/>
        </w:rPr>
      </w:pPr>
    </w:p>
    <w:p w14:paraId="29A82117" w14:textId="3FF0804E" w:rsidR="00AE0BC5" w:rsidRPr="00AE0BC5" w:rsidRDefault="00AE0BC5" w:rsidP="00914D3C">
      <w:pPr>
        <w:rPr>
          <w:b/>
        </w:rPr>
      </w:pPr>
      <w:r w:rsidRPr="00AE0BC5">
        <w:rPr>
          <w:b/>
        </w:rPr>
        <w:t>SECTION J: Data Protection and Storage</w:t>
      </w:r>
    </w:p>
    <w:p w14:paraId="320A3437" w14:textId="77777777" w:rsidR="00AE0BC5" w:rsidRPr="00AE0BC5" w:rsidRDefault="00AE0BC5" w:rsidP="00914D3C">
      <w:pPr>
        <w:rPr>
          <w:rFonts w:ascii="Times New Roman" w:hAnsi="Times New Roman"/>
          <w:color w:val="000000"/>
          <w:sz w:val="24"/>
          <w:szCs w:val="24"/>
        </w:rPr>
      </w:pPr>
      <w:r w:rsidRPr="00AE0BC5">
        <w:rPr>
          <w:color w:val="000000"/>
        </w:rPr>
        <w:lastRenderedPageBreak/>
        <w:t>In completing this section refer to the University’s Research Data Management Policy and the extensive resources on the University’s Research Data Management web pages (</w:t>
      </w:r>
      <w:hyperlink r:id="rId170" w:history="1">
        <w:r w:rsidRPr="00AE0BC5">
          <w:rPr>
            <w:color w:val="0000FF"/>
            <w:u w:val="single"/>
          </w:rPr>
          <w:t>http://uwtsd.ac.uk/library/research-data-management/</w:t>
        </w:r>
      </w:hyperlink>
      <w:r w:rsidRPr="00AE0BC5">
        <w:rPr>
          <w:color w:val="000000"/>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E0BC5" w:rsidRPr="00AE0BC5" w14:paraId="00C5427F" w14:textId="77777777" w:rsidTr="00AE0BC5">
        <w:trPr>
          <w:trHeight w:val="403"/>
        </w:trPr>
        <w:tc>
          <w:tcPr>
            <w:tcW w:w="567" w:type="dxa"/>
            <w:tcBorders>
              <w:left w:val="single" w:sz="4" w:space="0" w:color="auto"/>
              <w:bottom w:val="single" w:sz="4" w:space="0" w:color="auto"/>
              <w:right w:val="single" w:sz="4" w:space="0" w:color="auto"/>
            </w:tcBorders>
            <w:shd w:val="clear" w:color="auto" w:fill="F2F2F2"/>
          </w:tcPr>
          <w:p w14:paraId="4C81F90C" w14:textId="77777777" w:rsidR="00AE0BC5" w:rsidRPr="00AE0BC5" w:rsidRDefault="00AE0BC5" w:rsidP="00914D3C">
            <w:r w:rsidRPr="00AE0BC5">
              <w:t>1</w:t>
            </w:r>
          </w:p>
        </w:tc>
        <w:tc>
          <w:tcPr>
            <w:tcW w:w="7905" w:type="dxa"/>
            <w:tcBorders>
              <w:left w:val="single" w:sz="4" w:space="0" w:color="auto"/>
              <w:bottom w:val="single" w:sz="4" w:space="0" w:color="auto"/>
              <w:right w:val="single" w:sz="4" w:space="0" w:color="auto"/>
            </w:tcBorders>
            <w:shd w:val="clear" w:color="auto" w:fill="F2F2F2"/>
            <w:vAlign w:val="center"/>
          </w:tcPr>
          <w:p w14:paraId="313C1DBF" w14:textId="77777777" w:rsidR="00AE0BC5" w:rsidRPr="00AE0BC5" w:rsidRDefault="00AE0BC5" w:rsidP="00914D3C">
            <w:r w:rsidRPr="00AE0BC5">
              <w:t>Does the research activity involve personal da</w:t>
            </w:r>
            <w:r w:rsidRPr="00AE0BC5">
              <w:rPr>
                <w:shd w:val="clear" w:color="auto" w:fill="F2F2F2"/>
              </w:rPr>
              <w:t>t</w:t>
            </w:r>
            <w:r w:rsidRPr="00AE0BC5">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6A4E00CD" w14:textId="77777777" w:rsidR="00AE0BC5" w:rsidRPr="00AE0BC5" w:rsidRDefault="00AE0BC5" w:rsidP="00914D3C">
            <w:pPr>
              <w:rPr>
                <w:rFonts w:ascii="MS Gothic" w:eastAsia="MS Gothic" w:hAnsi="MS Gothic"/>
                <w:b/>
                <w:bCs/>
                <w:lang w:val="en-US"/>
              </w:rPr>
            </w:pPr>
            <w:r w:rsidRPr="00AE0BC5">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D819F33" w14:textId="77777777" w:rsidR="00AE0BC5" w:rsidRPr="00AE0BC5" w:rsidRDefault="00AE0BC5" w:rsidP="00914D3C">
            <w:pPr>
              <w:rPr>
                <w:rFonts w:ascii="MS Gothic" w:eastAsia="MS Gothic" w:hAnsi="MS Gothic"/>
                <w:b/>
                <w:bCs/>
                <w:lang w:val="en-US"/>
              </w:rPr>
            </w:pPr>
            <w:r w:rsidRPr="00AE0BC5">
              <w:rPr>
                <w:b/>
                <w:bCs/>
              </w:rPr>
              <w:t>NO</w:t>
            </w:r>
          </w:p>
        </w:tc>
      </w:tr>
      <w:tr w:rsidR="00AE0BC5" w:rsidRPr="00AE0BC5" w14:paraId="1914EAE2" w14:textId="77777777" w:rsidTr="00AE0BC5">
        <w:trPr>
          <w:trHeight w:val="403"/>
        </w:trPr>
        <w:tc>
          <w:tcPr>
            <w:tcW w:w="567" w:type="dxa"/>
            <w:tcBorders>
              <w:left w:val="single" w:sz="4" w:space="0" w:color="auto"/>
              <w:bottom w:val="single" w:sz="4" w:space="0" w:color="auto"/>
              <w:right w:val="single" w:sz="4" w:space="0" w:color="auto"/>
            </w:tcBorders>
            <w:shd w:val="clear" w:color="auto" w:fill="F2F2F2"/>
          </w:tcPr>
          <w:p w14:paraId="2A94A2E2" w14:textId="77777777" w:rsidR="00AE0BC5" w:rsidRPr="00AE0BC5" w:rsidRDefault="00AE0BC5" w:rsidP="00914D3C">
            <w:pPr>
              <w:rPr>
                <w:b/>
                <w:bCs/>
                <w:i/>
                <w:iCs/>
              </w:rPr>
            </w:pPr>
          </w:p>
        </w:tc>
        <w:tc>
          <w:tcPr>
            <w:tcW w:w="7905" w:type="dxa"/>
            <w:tcBorders>
              <w:left w:val="single" w:sz="4" w:space="0" w:color="auto"/>
              <w:bottom w:val="single" w:sz="4" w:space="0" w:color="auto"/>
              <w:right w:val="single" w:sz="4" w:space="0" w:color="auto"/>
            </w:tcBorders>
            <w:shd w:val="clear" w:color="auto" w:fill="F2F2F2"/>
            <w:vAlign w:val="center"/>
          </w:tcPr>
          <w:p w14:paraId="23397A0B" w14:textId="77777777" w:rsidR="00AE0BC5" w:rsidRPr="00AE0BC5" w:rsidRDefault="00AE0BC5" w:rsidP="00914D3C">
            <w:r w:rsidRPr="00AE0BC5">
              <w:rPr>
                <w:b/>
                <w:bCs/>
                <w:i/>
                <w:iCs/>
              </w:rPr>
              <w:t>“Personal data”</w:t>
            </w:r>
            <w:r w:rsidRPr="00AE0BC5">
              <w:rPr>
                <w:i/>
                <w:iCs/>
              </w:rPr>
              <w:t xml:space="preserve"> </w:t>
            </w:r>
            <w:r w:rsidRPr="00AE0BC5">
              <w:rPr>
                <w:i/>
                <w:iCs/>
                <w:color w:val="333333"/>
                <w:szCs w:val="24"/>
                <w:shd w:val="clear" w:color="auto" w:fill="F2F2F2"/>
              </w:rPr>
              <w:t xml:space="preserve">means any information relating to an identified or identifiable natural person (‘data subject’). An identifiable natural person is one who can be identified, directly or indirectly, </w:t>
            </w:r>
            <w:proofErr w:type="gramStart"/>
            <w:r w:rsidRPr="00AE0BC5">
              <w:rPr>
                <w:i/>
                <w:iCs/>
                <w:color w:val="333333"/>
                <w:szCs w:val="24"/>
                <w:shd w:val="clear" w:color="auto" w:fill="F2F2F2"/>
              </w:rPr>
              <w:t>in particular by</w:t>
            </w:r>
            <w:proofErr w:type="gramEnd"/>
            <w:r w:rsidRPr="00AE0BC5">
              <w:rPr>
                <w:i/>
                <w:iCs/>
                <w:color w:val="333333"/>
                <w:szCs w:val="24"/>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6F0BB0FA" w14:textId="77777777" w:rsidR="00AE0BC5" w:rsidRPr="00AE0BC5" w:rsidRDefault="00AE0BC5" w:rsidP="00914D3C">
            <w:pPr>
              <w:rPr>
                <w:rFonts w:ascii="MS Gothic" w:eastAsia="MS Gothic" w:hAnsi="MS Gothic"/>
                <w:b/>
                <w:bCs/>
                <w:lang w:val="en-US"/>
              </w:rPr>
            </w:pPr>
            <w:r w:rsidRPr="00AE0BC5">
              <w:rPr>
                <w:rFonts w:ascii="MS Gothic" w:eastAsia="MS Gothic" w:hAnsi="MS Gothic" w:hint="eastAsia"/>
                <w:b/>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2E915920" w14:textId="77777777" w:rsidR="00AE0BC5" w:rsidRPr="00AE0BC5" w:rsidRDefault="00AE0BC5" w:rsidP="00914D3C">
            <w:pPr>
              <w:rPr>
                <w:rFonts w:ascii="MS Gothic" w:eastAsia="MS Gothic" w:hAnsi="MS Gothic"/>
                <w:b/>
                <w:bCs/>
                <w:sz w:val="24"/>
                <w:szCs w:val="24"/>
                <w:lang w:val="en-US"/>
              </w:rPr>
            </w:pPr>
            <w:r w:rsidRPr="00AE0BC5">
              <w:rPr>
                <w:rFonts w:ascii="MS Gothic" w:eastAsia="MS Gothic" w:hAnsi="MS Gothic" w:hint="eastAsia"/>
                <w:b/>
                <w:bCs/>
                <w:sz w:val="24"/>
                <w:szCs w:val="24"/>
                <w:lang w:val="en-US"/>
              </w:rPr>
              <w:t>x</w:t>
            </w:r>
          </w:p>
        </w:tc>
      </w:tr>
      <w:tr w:rsidR="00AE0BC5" w:rsidRPr="00AE0BC5" w14:paraId="0D56EDC1" w14:textId="77777777" w:rsidTr="00AE0BC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528393CD" w14:textId="77777777" w:rsidR="00AE0BC5" w:rsidRPr="00AE0BC5" w:rsidRDefault="00AE0BC5" w:rsidP="00914D3C">
            <w:r w:rsidRPr="00AE0BC5">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CCA060D" w14:textId="77777777" w:rsidR="00AE0BC5" w:rsidRPr="00AE0BC5" w:rsidRDefault="00AE0BC5" w:rsidP="00914D3C">
            <w:pPr>
              <w:rPr>
                <w:rFonts w:ascii="Times New Roman" w:hAnsi="Times New Roman"/>
                <w:sz w:val="24"/>
                <w:szCs w:val="24"/>
              </w:rPr>
            </w:pPr>
            <w:r w:rsidRPr="00AE0BC5">
              <w:t>If YES, provide a</w:t>
            </w:r>
            <w:r w:rsidRPr="00AE0BC5">
              <w:rPr>
                <w:b/>
                <w:bCs/>
              </w:rPr>
              <w:t xml:space="preserve"> </w:t>
            </w:r>
            <w:r w:rsidRPr="00AE0BC5">
              <w:t>description of the data and explain why this data needs to be collected:</w:t>
            </w:r>
          </w:p>
        </w:tc>
      </w:tr>
      <w:tr w:rsidR="00AE0BC5" w:rsidRPr="00AE0BC5" w14:paraId="5ADA25E5" w14:textId="77777777" w:rsidTr="00223E6D">
        <w:trPr>
          <w:trHeight w:val="403"/>
        </w:trPr>
        <w:tc>
          <w:tcPr>
            <w:tcW w:w="567" w:type="dxa"/>
            <w:tcBorders>
              <w:top w:val="single" w:sz="4" w:space="0" w:color="auto"/>
              <w:left w:val="single" w:sz="4" w:space="0" w:color="auto"/>
              <w:bottom w:val="single" w:sz="4" w:space="0" w:color="auto"/>
              <w:right w:val="single" w:sz="4" w:space="0" w:color="auto"/>
            </w:tcBorders>
          </w:tcPr>
          <w:p w14:paraId="5AEBAE19" w14:textId="77777777" w:rsidR="00AE0BC5" w:rsidRPr="00AE0BC5" w:rsidRDefault="00AE0BC5" w:rsidP="00914D3C"/>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82DCA3" w14:textId="77777777" w:rsidR="00AE0BC5" w:rsidRPr="00AE0BC5" w:rsidRDefault="00AE0BC5" w:rsidP="00914D3C"/>
          <w:p w14:paraId="1D570DBE" w14:textId="77777777" w:rsidR="00AE0BC5" w:rsidRPr="00AE0BC5" w:rsidRDefault="00AE0BC5" w:rsidP="00914D3C"/>
          <w:p w14:paraId="2FB6F22A" w14:textId="77777777" w:rsidR="00AE0BC5" w:rsidRPr="00AE0BC5" w:rsidRDefault="00AE0BC5" w:rsidP="00914D3C"/>
          <w:p w14:paraId="1874FB52" w14:textId="77777777" w:rsidR="00AE0BC5" w:rsidRPr="00AE0BC5" w:rsidRDefault="00AE0BC5" w:rsidP="00914D3C">
            <w:pPr>
              <w:rPr>
                <w:rFonts w:ascii="Times New Roman" w:hAnsi="Times New Roman"/>
                <w:i/>
                <w:sz w:val="20"/>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AE0BC5" w:rsidRPr="00AE0BC5" w14:paraId="021F88C9" w14:textId="77777777" w:rsidTr="00AE0BC5">
        <w:trPr>
          <w:trHeight w:val="403"/>
        </w:trPr>
        <w:tc>
          <w:tcPr>
            <w:tcW w:w="567" w:type="dxa"/>
            <w:tcBorders>
              <w:left w:val="single" w:sz="4" w:space="0" w:color="auto"/>
              <w:bottom w:val="single" w:sz="4" w:space="0" w:color="auto"/>
              <w:right w:val="single" w:sz="4" w:space="0" w:color="auto"/>
            </w:tcBorders>
            <w:shd w:val="clear" w:color="auto" w:fill="F2F2F2"/>
          </w:tcPr>
          <w:p w14:paraId="7DECA95D" w14:textId="77777777" w:rsidR="00AE0BC5" w:rsidRPr="00AE0BC5" w:rsidRDefault="00AE0BC5" w:rsidP="00914D3C">
            <w:r w:rsidRPr="00AE0BC5">
              <w:t>3</w:t>
            </w:r>
          </w:p>
        </w:tc>
        <w:tc>
          <w:tcPr>
            <w:tcW w:w="7905" w:type="dxa"/>
            <w:tcBorders>
              <w:left w:val="single" w:sz="4" w:space="0" w:color="auto"/>
              <w:bottom w:val="single" w:sz="4" w:space="0" w:color="auto"/>
              <w:right w:val="single" w:sz="4" w:space="0" w:color="auto"/>
            </w:tcBorders>
            <w:shd w:val="clear" w:color="auto" w:fill="F2F2F2"/>
            <w:vAlign w:val="center"/>
          </w:tcPr>
          <w:p w14:paraId="7B2A598E" w14:textId="77777777" w:rsidR="00AE0BC5" w:rsidRPr="00AE0BC5" w:rsidRDefault="00AE0BC5" w:rsidP="00914D3C">
            <w:pPr>
              <w:rPr>
                <w:rFonts w:ascii="Times New Roman" w:hAnsi="Times New Roman"/>
                <w:sz w:val="24"/>
                <w:szCs w:val="24"/>
              </w:rPr>
            </w:pPr>
            <w:r w:rsidRPr="00AE0BC5">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2BA97B2" w14:textId="77777777" w:rsidR="00AE0BC5" w:rsidRPr="00AE0BC5" w:rsidRDefault="00AE0BC5" w:rsidP="00914D3C">
            <w:pPr>
              <w:rPr>
                <w:rFonts w:ascii="MS Gothic" w:eastAsia="MS Gothic" w:hAnsi="MS Gothic"/>
                <w:b/>
                <w:bCs/>
                <w:lang w:val="en-US"/>
              </w:rPr>
            </w:pPr>
            <w:r w:rsidRPr="00AE0BC5">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6B5A4BEC" w14:textId="77777777" w:rsidR="00AE0BC5" w:rsidRPr="00AE0BC5" w:rsidRDefault="00AE0BC5" w:rsidP="00914D3C">
            <w:pPr>
              <w:rPr>
                <w:rFonts w:ascii="MS Gothic" w:eastAsia="MS Gothic" w:hAnsi="MS Gothic"/>
                <w:b/>
                <w:bCs/>
                <w:lang w:val="en-US"/>
              </w:rPr>
            </w:pPr>
            <w:r w:rsidRPr="00AE0BC5">
              <w:rPr>
                <w:b/>
                <w:bCs/>
              </w:rPr>
              <w:t>NO</w:t>
            </w:r>
          </w:p>
        </w:tc>
      </w:tr>
      <w:tr w:rsidR="00AE0BC5" w:rsidRPr="00AE0BC5" w14:paraId="16B28F27" w14:textId="77777777" w:rsidTr="00AE0BC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0ECF37CD" w14:textId="77777777" w:rsidR="00AE0BC5" w:rsidRPr="00AE0BC5" w:rsidRDefault="00AE0BC5" w:rsidP="00914D3C">
            <w:pPr>
              <w:rPr>
                <w:b/>
                <w:bCs/>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9C7078" w14:textId="77777777" w:rsidR="00AE0BC5" w:rsidRPr="00AE0BC5" w:rsidRDefault="00AE0BC5" w:rsidP="00914D3C">
            <w:pPr>
              <w:rPr>
                <w:rFonts w:ascii="Times New Roman" w:hAnsi="Times New Roman"/>
                <w:sz w:val="24"/>
                <w:szCs w:val="24"/>
              </w:rPr>
            </w:pPr>
            <w:r w:rsidRPr="00AE0BC5">
              <w:rPr>
                <w:b/>
                <w:bCs/>
                <w:i/>
                <w:iCs/>
                <w:color w:val="000000"/>
                <w:sz w:val="20"/>
                <w:szCs w:val="23"/>
              </w:rPr>
              <w:t>“Special category data”</w:t>
            </w:r>
            <w:r w:rsidRPr="00AE0BC5">
              <w:rPr>
                <w:i/>
                <w:iCs/>
                <w:color w:val="000000"/>
                <w:sz w:val="20"/>
                <w:szCs w:val="23"/>
              </w:rPr>
              <w:t> means sensitive personal data consisting of information as to the data subjects’ –</w:t>
            </w:r>
          </w:p>
          <w:p w14:paraId="12937088" w14:textId="77777777" w:rsidR="00AE0BC5" w:rsidRPr="00AE0BC5" w:rsidRDefault="00AE0BC5" w:rsidP="00914D3C">
            <w:pPr>
              <w:rPr>
                <w:rFonts w:ascii="Times New Roman" w:hAnsi="Times New Roman"/>
                <w:sz w:val="24"/>
                <w:szCs w:val="24"/>
              </w:rPr>
            </w:pPr>
            <w:r w:rsidRPr="00AE0BC5">
              <w:rPr>
                <w:i/>
                <w:iCs/>
                <w:color w:val="000000"/>
                <w:sz w:val="20"/>
                <w:szCs w:val="23"/>
              </w:rPr>
              <w:t>(a) racial or ethnic origin,</w:t>
            </w:r>
          </w:p>
          <w:p w14:paraId="3D50C914" w14:textId="77777777" w:rsidR="00AE0BC5" w:rsidRPr="00AE0BC5" w:rsidRDefault="00AE0BC5" w:rsidP="00914D3C">
            <w:pPr>
              <w:rPr>
                <w:rFonts w:ascii="Times New Roman" w:hAnsi="Times New Roman"/>
                <w:sz w:val="24"/>
                <w:szCs w:val="24"/>
              </w:rPr>
            </w:pPr>
            <w:r w:rsidRPr="00AE0BC5">
              <w:rPr>
                <w:i/>
                <w:iCs/>
                <w:color w:val="000000"/>
                <w:sz w:val="20"/>
                <w:szCs w:val="23"/>
              </w:rPr>
              <w:t>(b) political opinions,</w:t>
            </w:r>
          </w:p>
          <w:p w14:paraId="5F3EDC88" w14:textId="77777777" w:rsidR="00AE0BC5" w:rsidRPr="00AE0BC5" w:rsidRDefault="00AE0BC5" w:rsidP="00914D3C">
            <w:pPr>
              <w:rPr>
                <w:rFonts w:ascii="Times New Roman" w:hAnsi="Times New Roman"/>
                <w:sz w:val="24"/>
                <w:szCs w:val="24"/>
              </w:rPr>
            </w:pPr>
            <w:r w:rsidRPr="00AE0BC5">
              <w:rPr>
                <w:i/>
                <w:iCs/>
                <w:color w:val="000000"/>
                <w:sz w:val="20"/>
                <w:szCs w:val="23"/>
              </w:rPr>
              <w:t>(</w:t>
            </w:r>
            <w:proofErr w:type="gramStart"/>
            <w:r w:rsidRPr="00AE0BC5">
              <w:rPr>
                <w:i/>
                <w:iCs/>
                <w:color w:val="000000"/>
                <w:sz w:val="20"/>
                <w:szCs w:val="23"/>
              </w:rPr>
              <w:t>c )</w:t>
            </w:r>
            <w:proofErr w:type="gramEnd"/>
            <w:r w:rsidRPr="00AE0BC5">
              <w:rPr>
                <w:i/>
                <w:iCs/>
                <w:color w:val="000000"/>
                <w:sz w:val="20"/>
                <w:szCs w:val="23"/>
              </w:rPr>
              <w:t xml:space="preserve"> religious beliefs or other beliefs of a similar nature,</w:t>
            </w:r>
          </w:p>
          <w:p w14:paraId="099F2633" w14:textId="77777777" w:rsidR="00AE0BC5" w:rsidRPr="00AE0BC5" w:rsidRDefault="00AE0BC5" w:rsidP="00914D3C">
            <w:pPr>
              <w:rPr>
                <w:rFonts w:ascii="Times New Roman" w:hAnsi="Times New Roman"/>
                <w:sz w:val="24"/>
                <w:szCs w:val="24"/>
              </w:rPr>
            </w:pPr>
            <w:r w:rsidRPr="00AE0BC5">
              <w:rPr>
                <w:i/>
                <w:iCs/>
                <w:color w:val="000000"/>
                <w:sz w:val="20"/>
                <w:szCs w:val="23"/>
              </w:rPr>
              <w:t>(d) membership of a trade union (within the meaning of the Trade Union and Labour Relations (Consolidation) Act 1992),</w:t>
            </w:r>
          </w:p>
          <w:p w14:paraId="39892F5F" w14:textId="77777777" w:rsidR="00AE0BC5" w:rsidRPr="00AE0BC5" w:rsidRDefault="00AE0BC5" w:rsidP="00914D3C">
            <w:pPr>
              <w:rPr>
                <w:rFonts w:ascii="Times New Roman" w:hAnsi="Times New Roman"/>
                <w:sz w:val="24"/>
                <w:szCs w:val="24"/>
              </w:rPr>
            </w:pPr>
            <w:r w:rsidRPr="00AE0BC5">
              <w:rPr>
                <w:i/>
                <w:iCs/>
                <w:color w:val="000000"/>
                <w:sz w:val="20"/>
                <w:szCs w:val="23"/>
              </w:rPr>
              <w:t>(e) physical or mental health or condition,</w:t>
            </w:r>
          </w:p>
          <w:p w14:paraId="5EEB15DE" w14:textId="77777777" w:rsidR="00AE0BC5" w:rsidRPr="00AE0BC5" w:rsidRDefault="00AE0BC5" w:rsidP="00914D3C">
            <w:pPr>
              <w:rPr>
                <w:rFonts w:ascii="Times New Roman" w:hAnsi="Times New Roman"/>
                <w:sz w:val="24"/>
                <w:szCs w:val="24"/>
              </w:rPr>
            </w:pPr>
            <w:r w:rsidRPr="00AE0BC5">
              <w:rPr>
                <w:i/>
                <w:iCs/>
                <w:color w:val="000000"/>
                <w:sz w:val="20"/>
                <w:szCs w:val="23"/>
              </w:rPr>
              <w:t>(f) sexual life,</w:t>
            </w:r>
          </w:p>
          <w:p w14:paraId="7BB2D4FD" w14:textId="77777777" w:rsidR="00AE0BC5" w:rsidRPr="00AE0BC5" w:rsidRDefault="00AE0BC5" w:rsidP="00914D3C">
            <w:pPr>
              <w:rPr>
                <w:rFonts w:ascii="Times New Roman" w:hAnsi="Times New Roman"/>
                <w:sz w:val="24"/>
                <w:szCs w:val="24"/>
              </w:rPr>
            </w:pPr>
            <w:r w:rsidRPr="00AE0BC5">
              <w:rPr>
                <w:i/>
                <w:iCs/>
                <w:color w:val="000000"/>
                <w:sz w:val="20"/>
                <w:szCs w:val="23"/>
              </w:rPr>
              <w:t>(g) genetics,</w:t>
            </w:r>
          </w:p>
          <w:p w14:paraId="16A1EAF8" w14:textId="77777777" w:rsidR="00AE0BC5" w:rsidRPr="00AE0BC5" w:rsidRDefault="00AE0BC5" w:rsidP="00914D3C">
            <w:pPr>
              <w:rPr>
                <w:i/>
                <w:iCs/>
                <w:color w:val="000000"/>
                <w:sz w:val="20"/>
                <w:szCs w:val="23"/>
              </w:rPr>
            </w:pPr>
            <w:r w:rsidRPr="00AE0BC5">
              <w:rPr>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BFE5B6" w14:textId="77777777" w:rsidR="00AE0BC5" w:rsidRPr="00AE0BC5" w:rsidRDefault="00AE0BC5" w:rsidP="00914D3C">
            <w:pPr>
              <w:rPr>
                <w:rFonts w:ascii="MS Gothic" w:eastAsia="MS Gothic" w:hAnsi="MS Gothic"/>
                <w:b/>
                <w:bCs/>
                <w:lang w:val="en-US"/>
              </w:rPr>
            </w:pPr>
          </w:p>
          <w:p w14:paraId="48DC6B1B" w14:textId="77777777" w:rsidR="00AE0BC5" w:rsidRPr="00AE0BC5" w:rsidRDefault="00AE0BC5" w:rsidP="00914D3C">
            <w:pPr>
              <w:rPr>
                <w:rFonts w:ascii="Times New Roman" w:hAnsi="Times New Roman"/>
                <w:sz w:val="24"/>
                <w:szCs w:val="24"/>
              </w:rPr>
            </w:pPr>
            <w:r w:rsidRPr="00AE0BC5">
              <w:rPr>
                <w:rFonts w:ascii="MS Gothic" w:eastAsia="MS Gothic" w:hAnsi="MS Gothic" w:hint="eastAsia"/>
                <w:b/>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05CB8A" w14:textId="77777777" w:rsidR="00AE0BC5" w:rsidRPr="00AE0BC5" w:rsidRDefault="00AE0BC5" w:rsidP="00914D3C">
            <w:pPr>
              <w:rPr>
                <w:rFonts w:ascii="MS Gothic" w:eastAsia="MS Gothic" w:hAnsi="MS Gothic"/>
                <w:b/>
                <w:bCs/>
                <w:sz w:val="24"/>
                <w:szCs w:val="24"/>
                <w:lang w:val="en-US"/>
              </w:rPr>
            </w:pPr>
          </w:p>
          <w:p w14:paraId="385E5A14" w14:textId="77777777" w:rsidR="00AE0BC5" w:rsidRPr="00AE0BC5" w:rsidRDefault="00AE0BC5" w:rsidP="00914D3C">
            <w:pPr>
              <w:rPr>
                <w:rFonts w:ascii="Times New Roman" w:hAnsi="Times New Roman"/>
                <w:sz w:val="24"/>
                <w:szCs w:val="24"/>
              </w:rPr>
            </w:pPr>
            <w:r w:rsidRPr="00AE0BC5">
              <w:rPr>
                <w:rFonts w:ascii="MS Gothic" w:eastAsia="MS Gothic" w:hAnsi="MS Gothic" w:hint="eastAsia"/>
                <w:b/>
                <w:bCs/>
                <w:sz w:val="24"/>
                <w:szCs w:val="24"/>
                <w:lang w:val="en-US"/>
              </w:rPr>
              <w:t>x</w:t>
            </w:r>
          </w:p>
        </w:tc>
      </w:tr>
      <w:tr w:rsidR="00AE0BC5" w:rsidRPr="00AE0BC5" w14:paraId="61B0F613" w14:textId="77777777" w:rsidTr="00AE0BC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5B2A957F" w14:textId="77777777" w:rsidR="00AE0BC5" w:rsidRPr="00AE0BC5" w:rsidRDefault="00AE0BC5" w:rsidP="00914D3C">
            <w:r w:rsidRPr="00AE0BC5">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BB60A2C" w14:textId="77777777" w:rsidR="00AE0BC5" w:rsidRPr="00AE0BC5" w:rsidRDefault="00AE0BC5" w:rsidP="00914D3C">
            <w:pPr>
              <w:rPr>
                <w:rFonts w:ascii="Times New Roman" w:hAnsi="Times New Roman"/>
                <w:sz w:val="24"/>
                <w:szCs w:val="24"/>
              </w:rPr>
            </w:pPr>
            <w:r w:rsidRPr="00AE0BC5">
              <w:t>If YES, provide a</w:t>
            </w:r>
            <w:r w:rsidRPr="00AE0BC5">
              <w:rPr>
                <w:b/>
                <w:bCs/>
              </w:rPr>
              <w:t xml:space="preserve"> </w:t>
            </w:r>
            <w:r w:rsidRPr="00AE0BC5">
              <w:t>description of the special category data and explain why this data needs to be collected:</w:t>
            </w:r>
          </w:p>
        </w:tc>
      </w:tr>
      <w:tr w:rsidR="00AE0BC5" w:rsidRPr="00AE0BC5" w14:paraId="27AA6A89" w14:textId="77777777" w:rsidTr="00223E6D">
        <w:trPr>
          <w:trHeight w:val="403"/>
        </w:trPr>
        <w:tc>
          <w:tcPr>
            <w:tcW w:w="567" w:type="dxa"/>
            <w:tcBorders>
              <w:top w:val="single" w:sz="4" w:space="0" w:color="auto"/>
              <w:left w:val="single" w:sz="4" w:space="0" w:color="auto"/>
              <w:bottom w:val="single" w:sz="4" w:space="0" w:color="auto"/>
              <w:right w:val="single" w:sz="4" w:space="0" w:color="auto"/>
            </w:tcBorders>
          </w:tcPr>
          <w:p w14:paraId="5CDD2AAA" w14:textId="77777777" w:rsidR="00AE0BC5" w:rsidRPr="00AE0BC5" w:rsidRDefault="00AE0BC5" w:rsidP="00914D3C"/>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BBAADF3" w14:textId="77777777" w:rsidR="00AE0BC5" w:rsidRPr="00AE0BC5" w:rsidRDefault="00AE0BC5" w:rsidP="00914D3C"/>
          <w:p w14:paraId="33B01639" w14:textId="77777777" w:rsidR="00AE0BC5" w:rsidRPr="00AE0BC5" w:rsidRDefault="00AE0BC5" w:rsidP="00914D3C"/>
          <w:p w14:paraId="05516579" w14:textId="77777777" w:rsidR="00AE0BC5" w:rsidRPr="00AE0BC5" w:rsidRDefault="00AE0BC5" w:rsidP="00914D3C"/>
          <w:p w14:paraId="1EAE817D" w14:textId="77777777" w:rsidR="00AE0BC5" w:rsidRPr="00AE0BC5" w:rsidRDefault="00AE0BC5" w:rsidP="00914D3C">
            <w:pPr>
              <w:rPr>
                <w:rFonts w:ascii="Times New Roman" w:hAnsi="Times New Roman"/>
                <w:sz w:val="20"/>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bl>
    <w:p w14:paraId="4FC5C03E" w14:textId="77777777" w:rsidR="00AE0BC5" w:rsidRPr="00AE0BC5" w:rsidRDefault="00AE0BC5" w:rsidP="00914D3C">
      <w:pPr>
        <w:rPr>
          <w:rFonts w:ascii="Times New Roman" w:hAnsi="Times New Roman"/>
          <w:sz w:val="20"/>
        </w:rPr>
      </w:pPr>
    </w:p>
    <w:tbl>
      <w:tblPr>
        <w:tblStyle w:val="TableGrid"/>
        <w:tblW w:w="10485" w:type="dxa"/>
        <w:tblLook w:val="04A0" w:firstRow="1" w:lastRow="0" w:firstColumn="1" w:lastColumn="0" w:noHBand="0" w:noVBand="1"/>
      </w:tblPr>
      <w:tblGrid>
        <w:gridCol w:w="562"/>
        <w:gridCol w:w="7905"/>
        <w:gridCol w:w="992"/>
        <w:gridCol w:w="1026"/>
      </w:tblGrid>
      <w:tr w:rsidR="00AE0BC5" w:rsidRPr="00AE0BC5" w14:paraId="4C794A7A" w14:textId="77777777" w:rsidTr="00AE0BC5">
        <w:trPr>
          <w:trHeight w:val="439"/>
        </w:trPr>
        <w:tc>
          <w:tcPr>
            <w:tcW w:w="562" w:type="dxa"/>
            <w:shd w:val="clear" w:color="auto" w:fill="F2F2F2"/>
          </w:tcPr>
          <w:p w14:paraId="706CE662" w14:textId="77777777" w:rsidR="00AE0BC5" w:rsidRPr="00AE0BC5" w:rsidRDefault="00AE0BC5" w:rsidP="00914D3C">
            <w:r w:rsidRPr="00AE0BC5">
              <w:t>5</w:t>
            </w:r>
          </w:p>
        </w:tc>
        <w:tc>
          <w:tcPr>
            <w:tcW w:w="7905" w:type="dxa"/>
            <w:shd w:val="clear" w:color="auto" w:fill="F2F2F2"/>
          </w:tcPr>
          <w:p w14:paraId="1CCF31F8" w14:textId="77777777" w:rsidR="00AE0BC5" w:rsidRPr="00AE0BC5" w:rsidRDefault="00AE0BC5" w:rsidP="00914D3C">
            <w:pPr>
              <w:rPr>
                <w:b/>
                <w:bCs/>
              </w:rPr>
            </w:pPr>
            <w:r w:rsidRPr="00AE0BC5">
              <w:rPr>
                <w:rFonts w:ascii="Times New Roman" w:hAnsi="Times New Roman"/>
                <w:sz w:val="20"/>
              </w:rPr>
              <w:br w:type="page"/>
            </w:r>
            <w:r w:rsidRPr="00AE0BC5">
              <w:t xml:space="preserve">Will the research activity </w:t>
            </w:r>
            <w:r w:rsidRPr="00AE0BC5">
              <w:rPr>
                <w:bCs/>
              </w:rPr>
              <w:t xml:space="preserve">involve storing personal data and/or special category data on one of the </w:t>
            </w:r>
            <w:proofErr w:type="gramStart"/>
            <w:r w:rsidRPr="00AE0BC5">
              <w:rPr>
                <w:bCs/>
              </w:rPr>
              <w:t>following:</w:t>
            </w:r>
            <w:proofErr w:type="gramEnd"/>
          </w:p>
        </w:tc>
        <w:tc>
          <w:tcPr>
            <w:tcW w:w="992" w:type="dxa"/>
            <w:shd w:val="clear" w:color="auto" w:fill="F2F2F2"/>
          </w:tcPr>
          <w:p w14:paraId="53BCAE04" w14:textId="77777777" w:rsidR="00AE0BC5" w:rsidRPr="00AE0BC5" w:rsidRDefault="00AE0BC5" w:rsidP="00914D3C">
            <w:pPr>
              <w:rPr>
                <w:b/>
                <w:bCs/>
              </w:rPr>
            </w:pPr>
            <w:r w:rsidRPr="00AE0BC5">
              <w:rPr>
                <w:b/>
                <w:bCs/>
              </w:rPr>
              <w:t>YES</w:t>
            </w:r>
          </w:p>
        </w:tc>
        <w:tc>
          <w:tcPr>
            <w:tcW w:w="1026" w:type="dxa"/>
            <w:shd w:val="clear" w:color="auto" w:fill="F2F2F2"/>
          </w:tcPr>
          <w:p w14:paraId="086CAEC4" w14:textId="77777777" w:rsidR="00AE0BC5" w:rsidRPr="00AE0BC5" w:rsidRDefault="00AE0BC5" w:rsidP="00914D3C">
            <w:pPr>
              <w:rPr>
                <w:b/>
                <w:bCs/>
              </w:rPr>
            </w:pPr>
            <w:r w:rsidRPr="00AE0BC5">
              <w:rPr>
                <w:b/>
                <w:bCs/>
              </w:rPr>
              <w:t>NO</w:t>
            </w:r>
          </w:p>
        </w:tc>
      </w:tr>
      <w:tr w:rsidR="00AE0BC5" w:rsidRPr="00AE0BC5" w14:paraId="18DE4BEC" w14:textId="77777777" w:rsidTr="00AE0BC5">
        <w:trPr>
          <w:trHeight w:val="439"/>
        </w:trPr>
        <w:tc>
          <w:tcPr>
            <w:tcW w:w="562" w:type="dxa"/>
            <w:shd w:val="clear" w:color="auto" w:fill="F2F2F2"/>
          </w:tcPr>
          <w:p w14:paraId="642B09C7" w14:textId="77777777" w:rsidR="00AE0BC5" w:rsidRPr="00AE0BC5" w:rsidRDefault="00AE0BC5" w:rsidP="00914D3C">
            <w:r w:rsidRPr="00AE0BC5">
              <w:t>6</w:t>
            </w:r>
          </w:p>
        </w:tc>
        <w:tc>
          <w:tcPr>
            <w:tcW w:w="7905" w:type="dxa"/>
            <w:shd w:val="clear" w:color="auto" w:fill="F2F2F2"/>
          </w:tcPr>
          <w:p w14:paraId="622300DD" w14:textId="77777777" w:rsidR="00AE0BC5" w:rsidRPr="00AE0BC5" w:rsidRDefault="00AE0BC5" w:rsidP="00914D3C">
            <w:r w:rsidRPr="00AE0BC5">
              <w:t>Manual files (</w:t>
            </w:r>
            <w:proofErr w:type="gramStart"/>
            <w:r w:rsidRPr="00AE0BC5">
              <w:t>i.e.</w:t>
            </w:r>
            <w:proofErr w:type="gramEnd"/>
            <w:r w:rsidRPr="00AE0BC5">
              <w:t xml:space="preserve"> in paper form)?</w:t>
            </w:r>
          </w:p>
        </w:tc>
        <w:tc>
          <w:tcPr>
            <w:tcW w:w="992" w:type="dxa"/>
            <w:shd w:val="clear" w:color="auto" w:fill="BFBFBF"/>
          </w:tcPr>
          <w:sdt>
            <w:sdtPr>
              <w:rPr>
                <w:b/>
                <w:bCs/>
              </w:rPr>
              <w:id w:val="-716891366"/>
              <w14:checkbox>
                <w14:checked w14:val="0"/>
                <w14:checkedState w14:val="2612" w14:font="MS Gothic"/>
                <w14:uncheckedState w14:val="2610" w14:font="MS Gothic"/>
              </w14:checkbox>
            </w:sdtPr>
            <w:sdtEndPr/>
            <w:sdtContent>
              <w:p w14:paraId="73E51BDD"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tcPr>
          <w:sdt>
            <w:sdtPr>
              <w:rPr>
                <w:b/>
                <w:bCs/>
              </w:rPr>
              <w:id w:val="124512450"/>
              <w14:checkbox>
                <w14:checked w14:val="1"/>
                <w14:checkedState w14:val="2612" w14:font="MS Gothic"/>
                <w14:uncheckedState w14:val="2610" w14:font="MS Gothic"/>
              </w14:checkbox>
            </w:sdtPr>
            <w:sdtEndPr/>
            <w:sdtContent>
              <w:p w14:paraId="376AD79C" w14:textId="77777777" w:rsidR="00AE0BC5" w:rsidRPr="00AE0BC5" w:rsidRDefault="00AE0BC5" w:rsidP="00914D3C">
                <w:r w:rsidRPr="00AE0BC5">
                  <w:rPr>
                    <w:rFonts w:ascii="Segoe UI Symbol" w:hAnsi="Segoe UI Symbol" w:cs="Segoe UI Symbol"/>
                    <w:b/>
                    <w:bCs/>
                  </w:rPr>
                  <w:t>☒</w:t>
                </w:r>
              </w:p>
            </w:sdtContent>
          </w:sdt>
        </w:tc>
      </w:tr>
      <w:tr w:rsidR="00AE0BC5" w:rsidRPr="00AE0BC5" w14:paraId="58E5DF55" w14:textId="77777777" w:rsidTr="00AE0BC5">
        <w:trPr>
          <w:trHeight w:val="403"/>
        </w:trPr>
        <w:tc>
          <w:tcPr>
            <w:tcW w:w="562" w:type="dxa"/>
            <w:shd w:val="clear" w:color="auto" w:fill="F2F2F2"/>
          </w:tcPr>
          <w:p w14:paraId="231364D1" w14:textId="77777777" w:rsidR="00AE0BC5" w:rsidRPr="00AE0BC5" w:rsidRDefault="00AE0BC5" w:rsidP="00914D3C">
            <w:r w:rsidRPr="00AE0BC5">
              <w:t>7</w:t>
            </w:r>
          </w:p>
        </w:tc>
        <w:tc>
          <w:tcPr>
            <w:tcW w:w="7905" w:type="dxa"/>
            <w:shd w:val="clear" w:color="auto" w:fill="F2F2F2"/>
          </w:tcPr>
          <w:p w14:paraId="3A0F75BA" w14:textId="77777777" w:rsidR="00AE0BC5" w:rsidRPr="00AE0BC5" w:rsidRDefault="00AE0BC5" w:rsidP="00914D3C">
            <w:r w:rsidRPr="00AE0BC5">
              <w:t>University computers?</w:t>
            </w:r>
          </w:p>
        </w:tc>
        <w:tc>
          <w:tcPr>
            <w:tcW w:w="992" w:type="dxa"/>
            <w:shd w:val="clear" w:color="auto" w:fill="BFBFBF"/>
          </w:tcPr>
          <w:sdt>
            <w:sdtPr>
              <w:rPr>
                <w:b/>
                <w:bCs/>
              </w:rPr>
              <w:id w:val="-1058942064"/>
              <w14:checkbox>
                <w14:checked w14:val="0"/>
                <w14:checkedState w14:val="2612" w14:font="MS Gothic"/>
                <w14:uncheckedState w14:val="2610" w14:font="MS Gothic"/>
              </w14:checkbox>
            </w:sdtPr>
            <w:sdtEndPr/>
            <w:sdtContent>
              <w:p w14:paraId="7E242533"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tcPr>
          <w:sdt>
            <w:sdtPr>
              <w:rPr>
                <w:b/>
                <w:bCs/>
              </w:rPr>
              <w:id w:val="-1525707884"/>
              <w14:checkbox>
                <w14:checked w14:val="1"/>
                <w14:checkedState w14:val="2612" w14:font="MS Gothic"/>
                <w14:uncheckedState w14:val="2610" w14:font="MS Gothic"/>
              </w14:checkbox>
            </w:sdtPr>
            <w:sdtEndPr/>
            <w:sdtContent>
              <w:p w14:paraId="4BB4246A" w14:textId="77777777" w:rsidR="00AE0BC5" w:rsidRPr="00AE0BC5" w:rsidRDefault="00AE0BC5" w:rsidP="00914D3C">
                <w:r w:rsidRPr="00AE0BC5">
                  <w:rPr>
                    <w:rFonts w:ascii="Segoe UI Symbol" w:hAnsi="Segoe UI Symbol" w:cs="Segoe UI Symbol"/>
                    <w:b/>
                    <w:bCs/>
                  </w:rPr>
                  <w:t>☒</w:t>
                </w:r>
              </w:p>
            </w:sdtContent>
          </w:sdt>
        </w:tc>
      </w:tr>
      <w:tr w:rsidR="00AE0BC5" w:rsidRPr="00AE0BC5" w14:paraId="348178B0" w14:textId="77777777" w:rsidTr="00AE0BC5">
        <w:trPr>
          <w:trHeight w:val="439"/>
        </w:trPr>
        <w:tc>
          <w:tcPr>
            <w:tcW w:w="562" w:type="dxa"/>
            <w:shd w:val="clear" w:color="auto" w:fill="F2F2F2"/>
          </w:tcPr>
          <w:p w14:paraId="05B59E25" w14:textId="77777777" w:rsidR="00AE0BC5" w:rsidRPr="00AE0BC5" w:rsidRDefault="00AE0BC5" w:rsidP="00914D3C">
            <w:r w:rsidRPr="00AE0BC5">
              <w:t>8</w:t>
            </w:r>
          </w:p>
        </w:tc>
        <w:tc>
          <w:tcPr>
            <w:tcW w:w="7905" w:type="dxa"/>
            <w:shd w:val="clear" w:color="auto" w:fill="F2F2F2"/>
          </w:tcPr>
          <w:p w14:paraId="238091E3" w14:textId="77777777" w:rsidR="00AE0BC5" w:rsidRPr="00AE0BC5" w:rsidRDefault="00AE0BC5" w:rsidP="00914D3C">
            <w:r w:rsidRPr="00AE0BC5">
              <w:t>Private company computers?</w:t>
            </w:r>
          </w:p>
        </w:tc>
        <w:tc>
          <w:tcPr>
            <w:tcW w:w="992" w:type="dxa"/>
            <w:shd w:val="clear" w:color="auto" w:fill="BFBFBF"/>
          </w:tcPr>
          <w:sdt>
            <w:sdtPr>
              <w:rPr>
                <w:b/>
                <w:bCs/>
              </w:rPr>
              <w:id w:val="428779520"/>
              <w14:checkbox>
                <w14:checked w14:val="0"/>
                <w14:checkedState w14:val="2612" w14:font="MS Gothic"/>
                <w14:uncheckedState w14:val="2610" w14:font="MS Gothic"/>
              </w14:checkbox>
            </w:sdtPr>
            <w:sdtEndPr/>
            <w:sdtContent>
              <w:p w14:paraId="16697DE5"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tcPr>
          <w:sdt>
            <w:sdtPr>
              <w:rPr>
                <w:b/>
                <w:bCs/>
              </w:rPr>
              <w:id w:val="1738441066"/>
              <w14:checkbox>
                <w14:checked w14:val="1"/>
                <w14:checkedState w14:val="2612" w14:font="MS Gothic"/>
                <w14:uncheckedState w14:val="2610" w14:font="MS Gothic"/>
              </w14:checkbox>
            </w:sdtPr>
            <w:sdtEndPr/>
            <w:sdtContent>
              <w:p w14:paraId="680F7828" w14:textId="77777777" w:rsidR="00AE0BC5" w:rsidRPr="00AE0BC5" w:rsidRDefault="00AE0BC5" w:rsidP="00914D3C">
                <w:r w:rsidRPr="00AE0BC5">
                  <w:rPr>
                    <w:rFonts w:ascii="Segoe UI Symbol" w:hAnsi="Segoe UI Symbol" w:cs="Segoe UI Symbol"/>
                    <w:b/>
                    <w:bCs/>
                  </w:rPr>
                  <w:t>☒</w:t>
                </w:r>
              </w:p>
            </w:sdtContent>
          </w:sdt>
        </w:tc>
      </w:tr>
      <w:tr w:rsidR="00AE0BC5" w:rsidRPr="00AE0BC5" w14:paraId="6B9FC3B7" w14:textId="77777777" w:rsidTr="00AE0BC5">
        <w:trPr>
          <w:trHeight w:val="403"/>
        </w:trPr>
        <w:tc>
          <w:tcPr>
            <w:tcW w:w="562" w:type="dxa"/>
            <w:shd w:val="clear" w:color="auto" w:fill="F2F2F2"/>
          </w:tcPr>
          <w:p w14:paraId="65FFCFD4" w14:textId="77777777" w:rsidR="00AE0BC5" w:rsidRPr="00AE0BC5" w:rsidRDefault="00AE0BC5" w:rsidP="00914D3C">
            <w:r w:rsidRPr="00AE0BC5">
              <w:t>9</w:t>
            </w:r>
          </w:p>
        </w:tc>
        <w:tc>
          <w:tcPr>
            <w:tcW w:w="7905" w:type="dxa"/>
            <w:shd w:val="clear" w:color="auto" w:fill="F2F2F2"/>
          </w:tcPr>
          <w:p w14:paraId="21D4D454" w14:textId="77777777" w:rsidR="00AE0BC5" w:rsidRPr="00AE0BC5" w:rsidRDefault="00AE0BC5" w:rsidP="00914D3C">
            <w:r w:rsidRPr="00AE0BC5">
              <w:t>Home or other personal computers?</w:t>
            </w:r>
          </w:p>
        </w:tc>
        <w:tc>
          <w:tcPr>
            <w:tcW w:w="992" w:type="dxa"/>
            <w:shd w:val="clear" w:color="auto" w:fill="BFBFBF"/>
          </w:tcPr>
          <w:sdt>
            <w:sdtPr>
              <w:rPr>
                <w:b/>
                <w:bCs/>
              </w:rPr>
              <w:id w:val="666676712"/>
              <w14:checkbox>
                <w14:checked w14:val="0"/>
                <w14:checkedState w14:val="2612" w14:font="MS Gothic"/>
                <w14:uncheckedState w14:val="2610" w14:font="MS Gothic"/>
              </w14:checkbox>
            </w:sdtPr>
            <w:sdtEndPr/>
            <w:sdtContent>
              <w:p w14:paraId="7CE26BF6"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tcPr>
          <w:sdt>
            <w:sdtPr>
              <w:rPr>
                <w:b/>
                <w:bCs/>
              </w:rPr>
              <w:id w:val="243309197"/>
              <w14:checkbox>
                <w14:checked w14:val="1"/>
                <w14:checkedState w14:val="2612" w14:font="MS Gothic"/>
                <w14:uncheckedState w14:val="2610" w14:font="MS Gothic"/>
              </w14:checkbox>
            </w:sdtPr>
            <w:sdtEndPr/>
            <w:sdtContent>
              <w:p w14:paraId="1554A738" w14:textId="77777777" w:rsidR="00AE0BC5" w:rsidRPr="00AE0BC5" w:rsidRDefault="00AE0BC5" w:rsidP="00914D3C">
                <w:r w:rsidRPr="00AE0BC5">
                  <w:rPr>
                    <w:rFonts w:ascii="Segoe UI Symbol" w:hAnsi="Segoe UI Symbol" w:cs="Segoe UI Symbol"/>
                    <w:b/>
                    <w:bCs/>
                  </w:rPr>
                  <w:t>☒</w:t>
                </w:r>
              </w:p>
            </w:sdtContent>
          </w:sdt>
        </w:tc>
      </w:tr>
      <w:tr w:rsidR="00AE0BC5" w:rsidRPr="00AE0BC5" w14:paraId="69BBB697" w14:textId="77777777" w:rsidTr="00AE0BC5">
        <w:trPr>
          <w:trHeight w:val="403"/>
        </w:trPr>
        <w:tc>
          <w:tcPr>
            <w:tcW w:w="562" w:type="dxa"/>
            <w:shd w:val="clear" w:color="auto" w:fill="F2F2F2"/>
          </w:tcPr>
          <w:p w14:paraId="6B244268" w14:textId="77777777" w:rsidR="00AE0BC5" w:rsidRPr="00AE0BC5" w:rsidRDefault="00AE0BC5" w:rsidP="00914D3C">
            <w:r w:rsidRPr="00AE0BC5">
              <w:t>10</w:t>
            </w:r>
          </w:p>
        </w:tc>
        <w:tc>
          <w:tcPr>
            <w:tcW w:w="7905" w:type="dxa"/>
            <w:shd w:val="clear" w:color="auto" w:fill="F2F2F2"/>
          </w:tcPr>
          <w:p w14:paraId="69148498" w14:textId="77777777" w:rsidR="00AE0BC5" w:rsidRPr="00AE0BC5" w:rsidRDefault="00AE0BC5" w:rsidP="00914D3C">
            <w:r w:rsidRPr="00AE0BC5">
              <w:t>Laptop computers/ CDs/ Portable disk-drives/ memory sticks?</w:t>
            </w:r>
          </w:p>
        </w:tc>
        <w:tc>
          <w:tcPr>
            <w:tcW w:w="992" w:type="dxa"/>
            <w:shd w:val="clear" w:color="auto" w:fill="BFBFBF"/>
          </w:tcPr>
          <w:sdt>
            <w:sdtPr>
              <w:rPr>
                <w:b/>
                <w:bCs/>
              </w:rPr>
              <w:id w:val="1761182650"/>
              <w14:checkbox>
                <w14:checked w14:val="0"/>
                <w14:checkedState w14:val="2612" w14:font="MS Gothic"/>
                <w14:uncheckedState w14:val="2610" w14:font="MS Gothic"/>
              </w14:checkbox>
            </w:sdtPr>
            <w:sdtEndPr/>
            <w:sdtContent>
              <w:p w14:paraId="532F9BF3"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tcPr>
          <w:sdt>
            <w:sdtPr>
              <w:rPr>
                <w:b/>
                <w:bCs/>
              </w:rPr>
              <w:id w:val="-1031489010"/>
              <w14:checkbox>
                <w14:checked w14:val="1"/>
                <w14:checkedState w14:val="2612" w14:font="MS Gothic"/>
                <w14:uncheckedState w14:val="2610" w14:font="MS Gothic"/>
              </w14:checkbox>
            </w:sdtPr>
            <w:sdtEndPr/>
            <w:sdtContent>
              <w:p w14:paraId="647EA639" w14:textId="77777777" w:rsidR="00AE0BC5" w:rsidRPr="00AE0BC5" w:rsidRDefault="00AE0BC5" w:rsidP="00914D3C">
                <w:r w:rsidRPr="00AE0BC5">
                  <w:rPr>
                    <w:rFonts w:ascii="Segoe UI Symbol" w:hAnsi="Segoe UI Symbol" w:cs="Segoe UI Symbol"/>
                    <w:b/>
                    <w:bCs/>
                  </w:rPr>
                  <w:t>☒</w:t>
                </w:r>
              </w:p>
            </w:sdtContent>
          </w:sdt>
        </w:tc>
      </w:tr>
      <w:tr w:rsidR="00AE0BC5" w:rsidRPr="00AE0BC5" w14:paraId="43F92DA3" w14:textId="77777777" w:rsidTr="00AE0BC5">
        <w:trPr>
          <w:trHeight w:val="403"/>
        </w:trPr>
        <w:tc>
          <w:tcPr>
            <w:tcW w:w="562" w:type="dxa"/>
            <w:shd w:val="clear" w:color="auto" w:fill="F2F2F2"/>
          </w:tcPr>
          <w:p w14:paraId="6158AF8C" w14:textId="77777777" w:rsidR="00AE0BC5" w:rsidRPr="00AE0BC5" w:rsidRDefault="00AE0BC5" w:rsidP="00914D3C">
            <w:r w:rsidRPr="00AE0BC5">
              <w:t>11</w:t>
            </w:r>
          </w:p>
        </w:tc>
        <w:tc>
          <w:tcPr>
            <w:tcW w:w="7905" w:type="dxa"/>
            <w:shd w:val="clear" w:color="auto" w:fill="F2F2F2"/>
          </w:tcPr>
          <w:p w14:paraId="22536EE5" w14:textId="77777777" w:rsidR="00AE0BC5" w:rsidRPr="00AE0BC5" w:rsidRDefault="00AE0BC5" w:rsidP="00914D3C">
            <w:r w:rsidRPr="00AE0BC5">
              <w:t>“Cloud” storage or websites?</w:t>
            </w:r>
          </w:p>
        </w:tc>
        <w:tc>
          <w:tcPr>
            <w:tcW w:w="992" w:type="dxa"/>
            <w:shd w:val="clear" w:color="auto" w:fill="BFBFBF"/>
          </w:tcPr>
          <w:sdt>
            <w:sdtPr>
              <w:rPr>
                <w:b/>
                <w:bCs/>
              </w:rPr>
              <w:id w:val="-40376448"/>
              <w14:checkbox>
                <w14:checked w14:val="0"/>
                <w14:checkedState w14:val="2612" w14:font="MS Gothic"/>
                <w14:uncheckedState w14:val="2610" w14:font="MS Gothic"/>
              </w14:checkbox>
            </w:sdtPr>
            <w:sdtEndPr/>
            <w:sdtContent>
              <w:p w14:paraId="75D20348"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tcPr>
          <w:sdt>
            <w:sdtPr>
              <w:rPr>
                <w:b/>
                <w:bCs/>
              </w:rPr>
              <w:id w:val="-2004037841"/>
              <w14:checkbox>
                <w14:checked w14:val="1"/>
                <w14:checkedState w14:val="2612" w14:font="MS Gothic"/>
                <w14:uncheckedState w14:val="2610" w14:font="MS Gothic"/>
              </w14:checkbox>
            </w:sdtPr>
            <w:sdtEndPr/>
            <w:sdtContent>
              <w:p w14:paraId="14D4D4EC" w14:textId="77777777" w:rsidR="00AE0BC5" w:rsidRPr="00AE0BC5" w:rsidRDefault="00AE0BC5" w:rsidP="00914D3C">
                <w:r w:rsidRPr="00AE0BC5">
                  <w:rPr>
                    <w:rFonts w:ascii="Segoe UI Symbol" w:hAnsi="Segoe UI Symbol" w:cs="Segoe UI Symbol"/>
                    <w:b/>
                    <w:bCs/>
                  </w:rPr>
                  <w:t>☒</w:t>
                </w:r>
              </w:p>
            </w:sdtContent>
          </w:sdt>
        </w:tc>
      </w:tr>
      <w:tr w:rsidR="00AE0BC5" w:rsidRPr="00AE0BC5" w14:paraId="79DF8CBD" w14:textId="77777777" w:rsidTr="00AE0BC5">
        <w:trPr>
          <w:trHeight w:val="403"/>
        </w:trPr>
        <w:tc>
          <w:tcPr>
            <w:tcW w:w="562" w:type="dxa"/>
            <w:shd w:val="clear" w:color="auto" w:fill="F2F2F2"/>
          </w:tcPr>
          <w:p w14:paraId="4958A021" w14:textId="77777777" w:rsidR="00AE0BC5" w:rsidRPr="00AE0BC5" w:rsidRDefault="00AE0BC5" w:rsidP="00914D3C">
            <w:r w:rsidRPr="00AE0BC5">
              <w:t>12</w:t>
            </w:r>
          </w:p>
        </w:tc>
        <w:tc>
          <w:tcPr>
            <w:tcW w:w="7905" w:type="dxa"/>
            <w:shd w:val="clear" w:color="auto" w:fill="F2F2F2"/>
          </w:tcPr>
          <w:p w14:paraId="6803EAA0" w14:textId="77777777" w:rsidR="00AE0BC5" w:rsidRPr="00AE0BC5" w:rsidRDefault="00AE0BC5" w:rsidP="00914D3C">
            <w:r w:rsidRPr="00AE0BC5">
              <w:t>Other – specify:</w:t>
            </w:r>
          </w:p>
          <w:p w14:paraId="794CF7C1" w14:textId="77777777" w:rsidR="00AE0BC5" w:rsidRPr="00AE0BC5" w:rsidRDefault="00AE0BC5" w:rsidP="00914D3C"/>
        </w:tc>
        <w:tc>
          <w:tcPr>
            <w:tcW w:w="992" w:type="dxa"/>
            <w:shd w:val="clear" w:color="auto" w:fill="BFBFBF"/>
          </w:tcPr>
          <w:sdt>
            <w:sdtPr>
              <w:rPr>
                <w:b/>
                <w:bCs/>
              </w:rPr>
              <w:id w:val="-1556230815"/>
              <w14:checkbox>
                <w14:checked w14:val="0"/>
                <w14:checkedState w14:val="2612" w14:font="MS Gothic"/>
                <w14:uncheckedState w14:val="2610" w14:font="MS Gothic"/>
              </w14:checkbox>
            </w:sdtPr>
            <w:sdtEndPr/>
            <w:sdtContent>
              <w:p w14:paraId="18C99C14"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tcPr>
          <w:sdt>
            <w:sdtPr>
              <w:rPr>
                <w:b/>
                <w:bCs/>
              </w:rPr>
              <w:id w:val="1575544959"/>
              <w14:checkbox>
                <w14:checked w14:val="1"/>
                <w14:checkedState w14:val="2612" w14:font="MS Gothic"/>
                <w14:uncheckedState w14:val="2610" w14:font="MS Gothic"/>
              </w14:checkbox>
            </w:sdtPr>
            <w:sdtEndPr/>
            <w:sdtContent>
              <w:p w14:paraId="09757393" w14:textId="77777777" w:rsidR="00AE0BC5" w:rsidRPr="00AE0BC5" w:rsidRDefault="00AE0BC5" w:rsidP="00914D3C">
                <w:r w:rsidRPr="00AE0BC5">
                  <w:rPr>
                    <w:rFonts w:ascii="Segoe UI Symbol" w:hAnsi="Segoe UI Symbol" w:cs="Segoe UI Symbol"/>
                    <w:b/>
                    <w:bCs/>
                  </w:rPr>
                  <w:t>☒</w:t>
                </w:r>
              </w:p>
            </w:sdtContent>
          </w:sdt>
        </w:tc>
      </w:tr>
      <w:tr w:rsidR="00AE0BC5" w:rsidRPr="00AE0BC5" w14:paraId="4BB1DA44" w14:textId="77777777" w:rsidTr="00AE0BC5">
        <w:trPr>
          <w:trHeight w:val="403"/>
        </w:trPr>
        <w:tc>
          <w:tcPr>
            <w:tcW w:w="562" w:type="dxa"/>
            <w:shd w:val="clear" w:color="auto" w:fill="F2F2F2"/>
          </w:tcPr>
          <w:p w14:paraId="102733A9" w14:textId="77777777" w:rsidR="00AE0BC5" w:rsidRPr="00AE0BC5" w:rsidRDefault="00AE0BC5" w:rsidP="00914D3C">
            <w:pPr>
              <w:rPr>
                <w:bCs/>
              </w:rPr>
            </w:pPr>
            <w:r w:rsidRPr="00AE0BC5">
              <w:rPr>
                <w:bCs/>
              </w:rPr>
              <w:t>13</w:t>
            </w:r>
          </w:p>
        </w:tc>
        <w:tc>
          <w:tcPr>
            <w:tcW w:w="9923" w:type="dxa"/>
            <w:gridSpan w:val="3"/>
            <w:shd w:val="clear" w:color="auto" w:fill="F2F2F2"/>
          </w:tcPr>
          <w:p w14:paraId="4AF59DC1" w14:textId="77777777" w:rsidR="00AE0BC5" w:rsidRPr="00AE0BC5" w:rsidRDefault="00AE0BC5" w:rsidP="00914D3C">
            <w:pPr>
              <w:rPr>
                <w:b/>
                <w:bCs/>
              </w:rPr>
            </w:pPr>
            <w:r w:rsidRPr="00AE0BC5">
              <w:rPr>
                <w:bCs/>
              </w:rPr>
              <w:t xml:space="preserve">For all stored data, explain the measures in place to ensure the security of the data collected, data confidentiality, including details of </w:t>
            </w:r>
            <w:r w:rsidRPr="00AE0BC5">
              <w:rPr>
                <w:bCs/>
                <w:shd w:val="clear" w:color="auto" w:fill="F2F2F2"/>
              </w:rPr>
              <w:t>password</w:t>
            </w:r>
            <w:r w:rsidRPr="00AE0BC5">
              <w:rPr>
                <w:bCs/>
              </w:rPr>
              <w:t xml:space="preserve"> protection, encryption, anonymisation and pseudonymisation</w:t>
            </w:r>
            <w:r w:rsidRPr="00AE0BC5">
              <w:t>:</w:t>
            </w:r>
          </w:p>
        </w:tc>
      </w:tr>
      <w:tr w:rsidR="00AE0BC5" w:rsidRPr="00AE0BC5" w14:paraId="58D4FFFB" w14:textId="77777777" w:rsidTr="00223E6D">
        <w:trPr>
          <w:trHeight w:val="403"/>
        </w:trPr>
        <w:tc>
          <w:tcPr>
            <w:tcW w:w="562" w:type="dxa"/>
          </w:tcPr>
          <w:p w14:paraId="010F44CA" w14:textId="77777777" w:rsidR="00AE0BC5" w:rsidRPr="00AE0BC5" w:rsidRDefault="00AE0BC5" w:rsidP="00914D3C"/>
        </w:tc>
        <w:tc>
          <w:tcPr>
            <w:tcW w:w="9923" w:type="dxa"/>
            <w:gridSpan w:val="3"/>
          </w:tcPr>
          <w:p w14:paraId="41CEA3F1" w14:textId="77777777" w:rsidR="00AE0BC5" w:rsidRPr="00AE0BC5" w:rsidRDefault="00AE0BC5" w:rsidP="00914D3C"/>
          <w:p w14:paraId="2F7434FC" w14:textId="77777777" w:rsidR="00AE0BC5" w:rsidRPr="00AE0BC5" w:rsidRDefault="00AE0BC5" w:rsidP="00914D3C"/>
          <w:p w14:paraId="18218416" w14:textId="77777777" w:rsidR="00AE0BC5" w:rsidRPr="00AE0BC5" w:rsidRDefault="00AE0BC5" w:rsidP="00914D3C">
            <w:pPr>
              <w:rPr>
                <w:b/>
                <w:bCs/>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AE0BC5" w:rsidRPr="00AE0BC5" w14:paraId="633C0ECE" w14:textId="77777777" w:rsidTr="00AE0BC5">
        <w:trPr>
          <w:trHeight w:val="439"/>
        </w:trPr>
        <w:tc>
          <w:tcPr>
            <w:tcW w:w="562" w:type="dxa"/>
            <w:shd w:val="clear" w:color="auto" w:fill="F2F2F2"/>
          </w:tcPr>
          <w:p w14:paraId="7E6D1EAA" w14:textId="77777777" w:rsidR="00AE0BC5" w:rsidRPr="00AE0BC5" w:rsidRDefault="00AE0BC5" w:rsidP="00914D3C">
            <w:r w:rsidRPr="00AE0BC5">
              <w:t>14</w:t>
            </w:r>
          </w:p>
        </w:tc>
        <w:tc>
          <w:tcPr>
            <w:tcW w:w="9923" w:type="dxa"/>
            <w:gridSpan w:val="3"/>
            <w:shd w:val="clear" w:color="auto" w:fill="F2F2F2"/>
            <w:vAlign w:val="center"/>
          </w:tcPr>
          <w:p w14:paraId="3B3E61D5" w14:textId="77777777" w:rsidR="00AE0BC5" w:rsidRPr="00AE0BC5" w:rsidRDefault="00AE0BC5" w:rsidP="00914D3C">
            <w:pPr>
              <w:rPr>
                <w:b/>
                <w:bCs/>
              </w:rPr>
            </w:pPr>
            <w:r w:rsidRPr="00AE0BC5">
              <w:rPr>
                <w:b/>
                <w:bCs/>
              </w:rPr>
              <w:t>All Data Storage</w:t>
            </w:r>
          </w:p>
        </w:tc>
      </w:tr>
      <w:tr w:rsidR="00AE0BC5" w:rsidRPr="00AE0BC5" w14:paraId="0AB70B22" w14:textId="77777777" w:rsidTr="00AE0BC5">
        <w:trPr>
          <w:trHeight w:val="439"/>
        </w:trPr>
        <w:tc>
          <w:tcPr>
            <w:tcW w:w="562" w:type="dxa"/>
            <w:shd w:val="clear" w:color="auto" w:fill="F2F2F2"/>
          </w:tcPr>
          <w:p w14:paraId="1210DA4B" w14:textId="77777777" w:rsidR="00AE0BC5" w:rsidRPr="00AE0BC5" w:rsidRDefault="00AE0BC5" w:rsidP="00914D3C">
            <w:r w:rsidRPr="00AE0BC5">
              <w:t>15</w:t>
            </w:r>
          </w:p>
        </w:tc>
        <w:tc>
          <w:tcPr>
            <w:tcW w:w="7905" w:type="dxa"/>
            <w:shd w:val="clear" w:color="auto" w:fill="F2F2F2"/>
            <w:vAlign w:val="center"/>
          </w:tcPr>
          <w:p w14:paraId="2B93207A" w14:textId="77777777" w:rsidR="00AE0BC5" w:rsidRPr="00AE0BC5" w:rsidRDefault="00AE0BC5" w:rsidP="00914D3C">
            <w:pPr>
              <w:rPr>
                <w:b/>
                <w:bCs/>
              </w:rPr>
            </w:pPr>
            <w:r w:rsidRPr="00AE0BC5">
              <w:t xml:space="preserve">Will the research activity </w:t>
            </w:r>
            <w:r w:rsidRPr="00AE0BC5">
              <w:rPr>
                <w:bCs/>
              </w:rPr>
              <w:t xml:space="preserve">involve any of the following </w:t>
            </w:r>
            <w:proofErr w:type="gramStart"/>
            <w:r w:rsidRPr="00AE0BC5">
              <w:rPr>
                <w:bCs/>
              </w:rPr>
              <w:t>activities:</w:t>
            </w:r>
            <w:proofErr w:type="gramEnd"/>
          </w:p>
        </w:tc>
        <w:tc>
          <w:tcPr>
            <w:tcW w:w="992" w:type="dxa"/>
            <w:shd w:val="clear" w:color="auto" w:fill="F2F2F2"/>
            <w:vAlign w:val="center"/>
          </w:tcPr>
          <w:p w14:paraId="4651A8C2" w14:textId="77777777" w:rsidR="00AE0BC5" w:rsidRPr="00AE0BC5" w:rsidRDefault="00AE0BC5" w:rsidP="00914D3C">
            <w:pPr>
              <w:rPr>
                <w:b/>
                <w:bCs/>
              </w:rPr>
            </w:pPr>
            <w:r w:rsidRPr="00AE0BC5">
              <w:rPr>
                <w:b/>
                <w:bCs/>
              </w:rPr>
              <w:t>YES</w:t>
            </w:r>
          </w:p>
        </w:tc>
        <w:tc>
          <w:tcPr>
            <w:tcW w:w="1026" w:type="dxa"/>
            <w:shd w:val="clear" w:color="auto" w:fill="F2F2F2"/>
            <w:vAlign w:val="center"/>
          </w:tcPr>
          <w:p w14:paraId="45C3FC68" w14:textId="77777777" w:rsidR="00AE0BC5" w:rsidRPr="00AE0BC5" w:rsidRDefault="00AE0BC5" w:rsidP="00914D3C">
            <w:pPr>
              <w:rPr>
                <w:b/>
                <w:bCs/>
              </w:rPr>
            </w:pPr>
            <w:r w:rsidRPr="00AE0BC5">
              <w:rPr>
                <w:b/>
                <w:bCs/>
              </w:rPr>
              <w:t>NO</w:t>
            </w:r>
          </w:p>
        </w:tc>
      </w:tr>
      <w:tr w:rsidR="00AE0BC5" w:rsidRPr="00AE0BC5" w14:paraId="194DC4D8" w14:textId="77777777" w:rsidTr="00AE0BC5">
        <w:trPr>
          <w:trHeight w:val="439"/>
        </w:trPr>
        <w:tc>
          <w:tcPr>
            <w:tcW w:w="562" w:type="dxa"/>
            <w:shd w:val="clear" w:color="auto" w:fill="F2F2F2"/>
          </w:tcPr>
          <w:p w14:paraId="2B32D9AA" w14:textId="77777777" w:rsidR="00AE0BC5" w:rsidRPr="00AE0BC5" w:rsidRDefault="00AE0BC5" w:rsidP="00914D3C">
            <w:r w:rsidRPr="00AE0BC5">
              <w:t>16</w:t>
            </w:r>
          </w:p>
        </w:tc>
        <w:tc>
          <w:tcPr>
            <w:tcW w:w="7905" w:type="dxa"/>
            <w:shd w:val="clear" w:color="auto" w:fill="F2F2F2"/>
            <w:vAlign w:val="center"/>
          </w:tcPr>
          <w:p w14:paraId="58D51F14" w14:textId="77777777" w:rsidR="00AE0BC5" w:rsidRPr="00AE0BC5" w:rsidRDefault="00AE0BC5" w:rsidP="00914D3C">
            <w:r w:rsidRPr="00AE0BC5">
              <w:t>Electronic transfer of data in any form?</w:t>
            </w:r>
          </w:p>
        </w:tc>
        <w:tc>
          <w:tcPr>
            <w:tcW w:w="992" w:type="dxa"/>
            <w:shd w:val="clear" w:color="auto" w:fill="BFBFBF"/>
            <w:vAlign w:val="center"/>
          </w:tcPr>
          <w:sdt>
            <w:sdtPr>
              <w:rPr>
                <w:b/>
                <w:bCs/>
              </w:rPr>
              <w:id w:val="-243347341"/>
              <w14:checkbox>
                <w14:checked w14:val="0"/>
                <w14:checkedState w14:val="2612" w14:font="MS Gothic"/>
                <w14:uncheckedState w14:val="2610" w14:font="MS Gothic"/>
              </w14:checkbox>
            </w:sdtPr>
            <w:sdtEndPr/>
            <w:sdtContent>
              <w:p w14:paraId="031637AF"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vAlign w:val="center"/>
          </w:tcPr>
          <w:sdt>
            <w:sdtPr>
              <w:rPr>
                <w:b/>
                <w:bCs/>
              </w:rPr>
              <w:id w:val="809138048"/>
              <w14:checkbox>
                <w14:checked w14:val="1"/>
                <w14:checkedState w14:val="2612" w14:font="MS Gothic"/>
                <w14:uncheckedState w14:val="2610" w14:font="MS Gothic"/>
              </w14:checkbox>
            </w:sdtPr>
            <w:sdtEndPr/>
            <w:sdtContent>
              <w:p w14:paraId="0662D9E4" w14:textId="77777777" w:rsidR="00AE0BC5" w:rsidRPr="00AE0BC5" w:rsidRDefault="00AE0BC5" w:rsidP="00914D3C">
                <w:r w:rsidRPr="00AE0BC5">
                  <w:rPr>
                    <w:rFonts w:ascii="Segoe UI Symbol" w:hAnsi="Segoe UI Symbol" w:cs="Segoe UI Symbol"/>
                    <w:b/>
                    <w:bCs/>
                  </w:rPr>
                  <w:t>☒</w:t>
                </w:r>
              </w:p>
            </w:sdtContent>
          </w:sdt>
        </w:tc>
      </w:tr>
      <w:tr w:rsidR="00AE0BC5" w:rsidRPr="00AE0BC5" w14:paraId="4E104EA7" w14:textId="77777777" w:rsidTr="00AE0BC5">
        <w:trPr>
          <w:trHeight w:val="403"/>
        </w:trPr>
        <w:tc>
          <w:tcPr>
            <w:tcW w:w="562" w:type="dxa"/>
            <w:shd w:val="clear" w:color="auto" w:fill="F2F2F2"/>
          </w:tcPr>
          <w:p w14:paraId="578541BD" w14:textId="77777777" w:rsidR="00AE0BC5" w:rsidRPr="00AE0BC5" w:rsidRDefault="00AE0BC5" w:rsidP="00914D3C">
            <w:r w:rsidRPr="00AE0BC5">
              <w:t>17</w:t>
            </w:r>
          </w:p>
        </w:tc>
        <w:tc>
          <w:tcPr>
            <w:tcW w:w="7905" w:type="dxa"/>
            <w:shd w:val="clear" w:color="auto" w:fill="F2F2F2"/>
            <w:vAlign w:val="center"/>
          </w:tcPr>
          <w:p w14:paraId="2E37D1DB" w14:textId="77777777" w:rsidR="00AE0BC5" w:rsidRPr="00AE0BC5" w:rsidRDefault="00AE0BC5" w:rsidP="00914D3C">
            <w:pPr>
              <w:rPr>
                <w:color w:val="FF0000"/>
              </w:rPr>
            </w:pPr>
            <w:r w:rsidRPr="00AE0BC5">
              <w:t xml:space="preserve">Sharing of data with others at the University?  </w:t>
            </w:r>
          </w:p>
        </w:tc>
        <w:tc>
          <w:tcPr>
            <w:tcW w:w="992" w:type="dxa"/>
            <w:shd w:val="clear" w:color="auto" w:fill="BFBFBF"/>
            <w:vAlign w:val="center"/>
          </w:tcPr>
          <w:sdt>
            <w:sdtPr>
              <w:rPr>
                <w:b/>
                <w:bCs/>
              </w:rPr>
              <w:id w:val="206609976"/>
              <w14:checkbox>
                <w14:checked w14:val="0"/>
                <w14:checkedState w14:val="2612" w14:font="MS Gothic"/>
                <w14:uncheckedState w14:val="2610" w14:font="MS Gothic"/>
              </w14:checkbox>
            </w:sdtPr>
            <w:sdtEndPr/>
            <w:sdtContent>
              <w:p w14:paraId="2E7A86CA"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vAlign w:val="center"/>
          </w:tcPr>
          <w:sdt>
            <w:sdtPr>
              <w:rPr>
                <w:b/>
                <w:bCs/>
              </w:rPr>
              <w:id w:val="1162969108"/>
              <w14:checkbox>
                <w14:checked w14:val="1"/>
                <w14:checkedState w14:val="2612" w14:font="MS Gothic"/>
                <w14:uncheckedState w14:val="2610" w14:font="MS Gothic"/>
              </w14:checkbox>
            </w:sdtPr>
            <w:sdtEndPr/>
            <w:sdtContent>
              <w:p w14:paraId="2D91D11F" w14:textId="77777777" w:rsidR="00AE0BC5" w:rsidRPr="00AE0BC5" w:rsidRDefault="00AE0BC5" w:rsidP="00914D3C">
                <w:r w:rsidRPr="00AE0BC5">
                  <w:rPr>
                    <w:rFonts w:ascii="Segoe UI Symbol" w:hAnsi="Segoe UI Symbol" w:cs="Segoe UI Symbol"/>
                    <w:b/>
                    <w:bCs/>
                  </w:rPr>
                  <w:t>☒</w:t>
                </w:r>
              </w:p>
            </w:sdtContent>
          </w:sdt>
        </w:tc>
      </w:tr>
      <w:tr w:rsidR="00AE0BC5" w:rsidRPr="00AE0BC5" w14:paraId="20A26AFF" w14:textId="77777777" w:rsidTr="00AE0BC5">
        <w:trPr>
          <w:trHeight w:val="439"/>
        </w:trPr>
        <w:tc>
          <w:tcPr>
            <w:tcW w:w="562" w:type="dxa"/>
            <w:shd w:val="clear" w:color="auto" w:fill="F2F2F2"/>
          </w:tcPr>
          <w:p w14:paraId="62A645F1" w14:textId="77777777" w:rsidR="00AE0BC5" w:rsidRPr="00AE0BC5" w:rsidRDefault="00AE0BC5" w:rsidP="00914D3C">
            <w:r w:rsidRPr="00AE0BC5">
              <w:t>18</w:t>
            </w:r>
          </w:p>
        </w:tc>
        <w:tc>
          <w:tcPr>
            <w:tcW w:w="7905" w:type="dxa"/>
            <w:shd w:val="clear" w:color="auto" w:fill="F2F2F2"/>
            <w:vAlign w:val="center"/>
          </w:tcPr>
          <w:p w14:paraId="1FD61042" w14:textId="77777777" w:rsidR="00AE0BC5" w:rsidRPr="00AE0BC5" w:rsidRDefault="00AE0BC5" w:rsidP="00914D3C">
            <w:r w:rsidRPr="00AE0BC5">
              <w:t>Sharing of data with other organisations?</w:t>
            </w:r>
          </w:p>
        </w:tc>
        <w:tc>
          <w:tcPr>
            <w:tcW w:w="992" w:type="dxa"/>
            <w:shd w:val="clear" w:color="auto" w:fill="BFBFBF"/>
            <w:vAlign w:val="center"/>
          </w:tcPr>
          <w:sdt>
            <w:sdtPr>
              <w:rPr>
                <w:b/>
                <w:bCs/>
              </w:rPr>
              <w:id w:val="-853718064"/>
              <w14:checkbox>
                <w14:checked w14:val="0"/>
                <w14:checkedState w14:val="2612" w14:font="MS Gothic"/>
                <w14:uncheckedState w14:val="2610" w14:font="MS Gothic"/>
              </w14:checkbox>
            </w:sdtPr>
            <w:sdtEndPr/>
            <w:sdtContent>
              <w:p w14:paraId="723A886B"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vAlign w:val="center"/>
          </w:tcPr>
          <w:sdt>
            <w:sdtPr>
              <w:rPr>
                <w:b/>
                <w:bCs/>
              </w:rPr>
              <w:id w:val="-692922631"/>
              <w14:checkbox>
                <w14:checked w14:val="1"/>
                <w14:checkedState w14:val="2612" w14:font="MS Gothic"/>
                <w14:uncheckedState w14:val="2610" w14:font="MS Gothic"/>
              </w14:checkbox>
            </w:sdtPr>
            <w:sdtEndPr/>
            <w:sdtContent>
              <w:p w14:paraId="4A9065E9" w14:textId="77777777" w:rsidR="00AE0BC5" w:rsidRPr="00AE0BC5" w:rsidRDefault="00AE0BC5" w:rsidP="00914D3C">
                <w:r w:rsidRPr="00AE0BC5">
                  <w:rPr>
                    <w:rFonts w:ascii="Segoe UI Symbol" w:hAnsi="Segoe UI Symbol" w:cs="Segoe UI Symbol"/>
                    <w:b/>
                    <w:bCs/>
                  </w:rPr>
                  <w:t>☒</w:t>
                </w:r>
              </w:p>
            </w:sdtContent>
          </w:sdt>
        </w:tc>
      </w:tr>
      <w:tr w:rsidR="00AE0BC5" w:rsidRPr="00AE0BC5" w14:paraId="206531E7" w14:textId="77777777" w:rsidTr="00AE0BC5">
        <w:trPr>
          <w:trHeight w:val="403"/>
        </w:trPr>
        <w:tc>
          <w:tcPr>
            <w:tcW w:w="562" w:type="dxa"/>
            <w:shd w:val="clear" w:color="auto" w:fill="F2F2F2"/>
          </w:tcPr>
          <w:p w14:paraId="11EF79D4" w14:textId="77777777" w:rsidR="00AE0BC5" w:rsidRPr="00AE0BC5" w:rsidRDefault="00AE0BC5" w:rsidP="00914D3C">
            <w:r w:rsidRPr="00AE0BC5">
              <w:t>19</w:t>
            </w:r>
          </w:p>
        </w:tc>
        <w:tc>
          <w:tcPr>
            <w:tcW w:w="7905" w:type="dxa"/>
            <w:shd w:val="clear" w:color="auto" w:fill="F2F2F2"/>
            <w:vAlign w:val="center"/>
          </w:tcPr>
          <w:p w14:paraId="2B216E8B" w14:textId="77777777" w:rsidR="00AE0BC5" w:rsidRPr="00AE0BC5" w:rsidRDefault="00AE0BC5" w:rsidP="00914D3C">
            <w:r w:rsidRPr="00AE0BC5">
              <w:t>Export of data outside the European Union or importing of data from outside the UK?</w:t>
            </w:r>
          </w:p>
        </w:tc>
        <w:tc>
          <w:tcPr>
            <w:tcW w:w="992" w:type="dxa"/>
            <w:shd w:val="clear" w:color="auto" w:fill="BFBFBF"/>
            <w:vAlign w:val="center"/>
          </w:tcPr>
          <w:sdt>
            <w:sdtPr>
              <w:rPr>
                <w:b/>
                <w:bCs/>
              </w:rPr>
              <w:id w:val="-1311477419"/>
              <w14:checkbox>
                <w14:checked w14:val="0"/>
                <w14:checkedState w14:val="2612" w14:font="MS Gothic"/>
                <w14:uncheckedState w14:val="2610" w14:font="MS Gothic"/>
              </w14:checkbox>
            </w:sdtPr>
            <w:sdtEndPr/>
            <w:sdtContent>
              <w:p w14:paraId="3C9A8AA3"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vAlign w:val="center"/>
          </w:tcPr>
          <w:sdt>
            <w:sdtPr>
              <w:rPr>
                <w:b/>
                <w:bCs/>
              </w:rPr>
              <w:id w:val="-982232726"/>
              <w14:checkbox>
                <w14:checked w14:val="1"/>
                <w14:checkedState w14:val="2612" w14:font="MS Gothic"/>
                <w14:uncheckedState w14:val="2610" w14:font="MS Gothic"/>
              </w14:checkbox>
            </w:sdtPr>
            <w:sdtEndPr/>
            <w:sdtContent>
              <w:p w14:paraId="0FC55547" w14:textId="77777777" w:rsidR="00AE0BC5" w:rsidRPr="00AE0BC5" w:rsidRDefault="00AE0BC5" w:rsidP="00914D3C">
                <w:r w:rsidRPr="00AE0BC5">
                  <w:rPr>
                    <w:rFonts w:ascii="Segoe UI Symbol" w:hAnsi="Segoe UI Symbol" w:cs="Segoe UI Symbol"/>
                    <w:b/>
                    <w:bCs/>
                  </w:rPr>
                  <w:t>☒</w:t>
                </w:r>
              </w:p>
            </w:sdtContent>
          </w:sdt>
        </w:tc>
      </w:tr>
      <w:tr w:rsidR="00AE0BC5" w:rsidRPr="00AE0BC5" w14:paraId="6A5581D5" w14:textId="77777777" w:rsidTr="00AE0BC5">
        <w:trPr>
          <w:trHeight w:val="403"/>
        </w:trPr>
        <w:tc>
          <w:tcPr>
            <w:tcW w:w="562" w:type="dxa"/>
            <w:shd w:val="clear" w:color="auto" w:fill="F2F2F2"/>
          </w:tcPr>
          <w:p w14:paraId="65382BBB" w14:textId="77777777" w:rsidR="00AE0BC5" w:rsidRPr="00AE0BC5" w:rsidRDefault="00AE0BC5" w:rsidP="00914D3C">
            <w:r w:rsidRPr="00AE0BC5">
              <w:t>20</w:t>
            </w:r>
          </w:p>
        </w:tc>
        <w:tc>
          <w:tcPr>
            <w:tcW w:w="7905" w:type="dxa"/>
            <w:shd w:val="clear" w:color="auto" w:fill="F2F2F2"/>
            <w:vAlign w:val="center"/>
          </w:tcPr>
          <w:p w14:paraId="36F28358" w14:textId="77777777" w:rsidR="00AE0BC5" w:rsidRPr="00AE0BC5" w:rsidRDefault="00AE0BC5" w:rsidP="00914D3C">
            <w:r w:rsidRPr="00AE0BC5">
              <w:t>Use of personal addresses, postcodes, faxes, emails or telephone numbers?</w:t>
            </w:r>
          </w:p>
        </w:tc>
        <w:tc>
          <w:tcPr>
            <w:tcW w:w="992" w:type="dxa"/>
            <w:shd w:val="clear" w:color="auto" w:fill="BFBFBF"/>
            <w:vAlign w:val="center"/>
          </w:tcPr>
          <w:sdt>
            <w:sdtPr>
              <w:rPr>
                <w:b/>
                <w:bCs/>
              </w:rPr>
              <w:id w:val="580263657"/>
              <w14:checkbox>
                <w14:checked w14:val="0"/>
                <w14:checkedState w14:val="2612" w14:font="MS Gothic"/>
                <w14:uncheckedState w14:val="2610" w14:font="MS Gothic"/>
              </w14:checkbox>
            </w:sdtPr>
            <w:sdtEndPr/>
            <w:sdtContent>
              <w:p w14:paraId="10A59BB7"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vAlign w:val="center"/>
          </w:tcPr>
          <w:sdt>
            <w:sdtPr>
              <w:rPr>
                <w:b/>
                <w:bCs/>
              </w:rPr>
              <w:id w:val="705679297"/>
              <w14:checkbox>
                <w14:checked w14:val="1"/>
                <w14:checkedState w14:val="2612" w14:font="MS Gothic"/>
                <w14:uncheckedState w14:val="2610" w14:font="MS Gothic"/>
              </w14:checkbox>
            </w:sdtPr>
            <w:sdtEndPr/>
            <w:sdtContent>
              <w:p w14:paraId="3C537FAA" w14:textId="77777777" w:rsidR="00AE0BC5" w:rsidRPr="00AE0BC5" w:rsidRDefault="00AE0BC5" w:rsidP="00914D3C">
                <w:r w:rsidRPr="00AE0BC5">
                  <w:rPr>
                    <w:rFonts w:ascii="Segoe UI Symbol" w:hAnsi="Segoe UI Symbol" w:cs="Segoe UI Symbol"/>
                    <w:b/>
                    <w:bCs/>
                  </w:rPr>
                  <w:t>☒</w:t>
                </w:r>
              </w:p>
            </w:sdtContent>
          </w:sdt>
        </w:tc>
      </w:tr>
      <w:tr w:rsidR="00AE0BC5" w:rsidRPr="00AE0BC5" w14:paraId="60C2D17F" w14:textId="77777777" w:rsidTr="00AE0BC5">
        <w:trPr>
          <w:trHeight w:val="403"/>
        </w:trPr>
        <w:tc>
          <w:tcPr>
            <w:tcW w:w="562" w:type="dxa"/>
            <w:shd w:val="clear" w:color="auto" w:fill="F2F2F2"/>
          </w:tcPr>
          <w:p w14:paraId="6D62C9DA" w14:textId="77777777" w:rsidR="00AE0BC5" w:rsidRPr="00AE0BC5" w:rsidRDefault="00AE0BC5" w:rsidP="00914D3C">
            <w:r w:rsidRPr="00AE0BC5">
              <w:t>21</w:t>
            </w:r>
          </w:p>
        </w:tc>
        <w:tc>
          <w:tcPr>
            <w:tcW w:w="7905" w:type="dxa"/>
            <w:shd w:val="clear" w:color="auto" w:fill="F2F2F2"/>
            <w:vAlign w:val="center"/>
          </w:tcPr>
          <w:p w14:paraId="01E6AB9B" w14:textId="77777777" w:rsidR="00AE0BC5" w:rsidRPr="00AE0BC5" w:rsidRDefault="00AE0BC5" w:rsidP="00914D3C">
            <w:r w:rsidRPr="00AE0BC5">
              <w:t>Publication of data that might allow identification of individuals?</w:t>
            </w:r>
          </w:p>
        </w:tc>
        <w:tc>
          <w:tcPr>
            <w:tcW w:w="992" w:type="dxa"/>
            <w:shd w:val="clear" w:color="auto" w:fill="BFBFBF"/>
            <w:vAlign w:val="center"/>
          </w:tcPr>
          <w:sdt>
            <w:sdtPr>
              <w:rPr>
                <w:b/>
                <w:bCs/>
              </w:rPr>
              <w:id w:val="1833259881"/>
              <w14:checkbox>
                <w14:checked w14:val="0"/>
                <w14:checkedState w14:val="2612" w14:font="MS Gothic"/>
                <w14:uncheckedState w14:val="2610" w14:font="MS Gothic"/>
              </w14:checkbox>
            </w:sdtPr>
            <w:sdtEndPr/>
            <w:sdtContent>
              <w:p w14:paraId="09521315"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vAlign w:val="center"/>
          </w:tcPr>
          <w:sdt>
            <w:sdtPr>
              <w:rPr>
                <w:b/>
                <w:bCs/>
              </w:rPr>
              <w:id w:val="48495840"/>
              <w14:checkbox>
                <w14:checked w14:val="1"/>
                <w14:checkedState w14:val="2612" w14:font="MS Gothic"/>
                <w14:uncheckedState w14:val="2610" w14:font="MS Gothic"/>
              </w14:checkbox>
            </w:sdtPr>
            <w:sdtEndPr/>
            <w:sdtContent>
              <w:p w14:paraId="2CB2C1D5" w14:textId="77777777" w:rsidR="00AE0BC5" w:rsidRPr="00AE0BC5" w:rsidRDefault="00AE0BC5" w:rsidP="00914D3C">
                <w:r w:rsidRPr="00AE0BC5">
                  <w:rPr>
                    <w:rFonts w:ascii="Segoe UI Symbol" w:hAnsi="Segoe UI Symbol" w:cs="Segoe UI Symbol"/>
                    <w:b/>
                    <w:bCs/>
                  </w:rPr>
                  <w:t>☒</w:t>
                </w:r>
              </w:p>
            </w:sdtContent>
          </w:sdt>
        </w:tc>
      </w:tr>
      <w:tr w:rsidR="00AE0BC5" w:rsidRPr="00AE0BC5" w14:paraId="6F08451D" w14:textId="77777777" w:rsidTr="00AE0BC5">
        <w:trPr>
          <w:trHeight w:val="403"/>
        </w:trPr>
        <w:tc>
          <w:tcPr>
            <w:tcW w:w="562" w:type="dxa"/>
            <w:shd w:val="clear" w:color="auto" w:fill="F2F2F2"/>
          </w:tcPr>
          <w:p w14:paraId="2CEBF0E2" w14:textId="77777777" w:rsidR="00AE0BC5" w:rsidRPr="00AE0BC5" w:rsidRDefault="00AE0BC5" w:rsidP="00914D3C">
            <w:r w:rsidRPr="00AE0BC5">
              <w:t>22</w:t>
            </w:r>
          </w:p>
        </w:tc>
        <w:tc>
          <w:tcPr>
            <w:tcW w:w="7905" w:type="dxa"/>
            <w:shd w:val="clear" w:color="auto" w:fill="F2F2F2"/>
            <w:vAlign w:val="center"/>
          </w:tcPr>
          <w:p w14:paraId="7284D3EF" w14:textId="77777777" w:rsidR="00AE0BC5" w:rsidRPr="00AE0BC5" w:rsidRDefault="00AE0BC5" w:rsidP="00914D3C">
            <w:r w:rsidRPr="00AE0BC5">
              <w:t>Use of data management system?</w:t>
            </w:r>
          </w:p>
        </w:tc>
        <w:tc>
          <w:tcPr>
            <w:tcW w:w="992" w:type="dxa"/>
            <w:shd w:val="clear" w:color="auto" w:fill="BFBFBF"/>
            <w:vAlign w:val="center"/>
          </w:tcPr>
          <w:sdt>
            <w:sdtPr>
              <w:rPr>
                <w:b/>
                <w:bCs/>
              </w:rPr>
              <w:id w:val="-1317182428"/>
              <w14:checkbox>
                <w14:checked w14:val="0"/>
                <w14:checkedState w14:val="2612" w14:font="MS Gothic"/>
                <w14:uncheckedState w14:val="2610" w14:font="MS Gothic"/>
              </w14:checkbox>
            </w:sdtPr>
            <w:sdtEndPr/>
            <w:sdtContent>
              <w:p w14:paraId="6CC35CC0"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vAlign w:val="center"/>
          </w:tcPr>
          <w:sdt>
            <w:sdtPr>
              <w:rPr>
                <w:b/>
                <w:bCs/>
              </w:rPr>
              <w:id w:val="1535304944"/>
              <w14:checkbox>
                <w14:checked w14:val="1"/>
                <w14:checkedState w14:val="2612" w14:font="MS Gothic"/>
                <w14:uncheckedState w14:val="2610" w14:font="MS Gothic"/>
              </w14:checkbox>
            </w:sdtPr>
            <w:sdtEndPr/>
            <w:sdtContent>
              <w:p w14:paraId="1DCA255E" w14:textId="77777777" w:rsidR="00AE0BC5" w:rsidRPr="00AE0BC5" w:rsidRDefault="00AE0BC5" w:rsidP="00914D3C">
                <w:r w:rsidRPr="00AE0BC5">
                  <w:rPr>
                    <w:rFonts w:ascii="Segoe UI Symbol" w:hAnsi="Segoe UI Symbol" w:cs="Segoe UI Symbol"/>
                    <w:b/>
                    <w:bCs/>
                  </w:rPr>
                  <w:t>☒</w:t>
                </w:r>
              </w:p>
            </w:sdtContent>
          </w:sdt>
        </w:tc>
      </w:tr>
      <w:tr w:rsidR="00AE0BC5" w:rsidRPr="00AE0BC5" w14:paraId="4A4CF270" w14:textId="77777777" w:rsidTr="00AE0BC5">
        <w:trPr>
          <w:trHeight w:val="403"/>
        </w:trPr>
        <w:tc>
          <w:tcPr>
            <w:tcW w:w="562" w:type="dxa"/>
            <w:shd w:val="clear" w:color="auto" w:fill="F2F2F2"/>
          </w:tcPr>
          <w:p w14:paraId="2B504BB1" w14:textId="77777777" w:rsidR="00AE0BC5" w:rsidRPr="00AE0BC5" w:rsidRDefault="00AE0BC5" w:rsidP="00914D3C">
            <w:r w:rsidRPr="00AE0BC5">
              <w:t>23</w:t>
            </w:r>
          </w:p>
        </w:tc>
        <w:tc>
          <w:tcPr>
            <w:tcW w:w="7905" w:type="dxa"/>
            <w:shd w:val="clear" w:color="auto" w:fill="F2F2F2"/>
            <w:vAlign w:val="center"/>
          </w:tcPr>
          <w:p w14:paraId="42749D57" w14:textId="77777777" w:rsidR="00AE0BC5" w:rsidRPr="00AE0BC5" w:rsidRDefault="00AE0BC5" w:rsidP="00914D3C">
            <w:pPr>
              <w:rPr>
                <w:b/>
                <w:bCs/>
              </w:rPr>
            </w:pPr>
            <w:r w:rsidRPr="00AE0BC5">
              <w:t>Data archiving?</w:t>
            </w:r>
          </w:p>
        </w:tc>
        <w:tc>
          <w:tcPr>
            <w:tcW w:w="992" w:type="dxa"/>
            <w:shd w:val="clear" w:color="auto" w:fill="BFBFBF"/>
            <w:vAlign w:val="center"/>
          </w:tcPr>
          <w:sdt>
            <w:sdtPr>
              <w:rPr>
                <w:b/>
                <w:bCs/>
              </w:rPr>
              <w:id w:val="337199998"/>
              <w14:checkbox>
                <w14:checked w14:val="0"/>
                <w14:checkedState w14:val="2612" w14:font="MS Gothic"/>
                <w14:uncheckedState w14:val="2610" w14:font="MS Gothic"/>
              </w14:checkbox>
            </w:sdtPr>
            <w:sdtEndPr/>
            <w:sdtContent>
              <w:p w14:paraId="0EC4FCDB" w14:textId="77777777" w:rsidR="00AE0BC5" w:rsidRPr="00AE0BC5" w:rsidRDefault="00AE0BC5" w:rsidP="00914D3C">
                <w:pPr>
                  <w:rPr>
                    <w:bCs/>
                  </w:rPr>
                </w:pPr>
                <w:r w:rsidRPr="00AE0BC5">
                  <w:rPr>
                    <w:rFonts w:ascii="Segoe UI Symbol" w:hAnsi="Segoe UI Symbol" w:cs="Segoe UI Symbol"/>
                    <w:b/>
                    <w:bCs/>
                  </w:rPr>
                  <w:t>☐</w:t>
                </w:r>
              </w:p>
            </w:sdtContent>
          </w:sdt>
        </w:tc>
        <w:tc>
          <w:tcPr>
            <w:tcW w:w="1026" w:type="dxa"/>
            <w:shd w:val="clear" w:color="auto" w:fill="BFBFBF"/>
            <w:vAlign w:val="center"/>
          </w:tcPr>
          <w:sdt>
            <w:sdtPr>
              <w:rPr>
                <w:b/>
                <w:bCs/>
              </w:rPr>
              <w:id w:val="-433046498"/>
              <w14:checkbox>
                <w14:checked w14:val="1"/>
                <w14:checkedState w14:val="2612" w14:font="MS Gothic"/>
                <w14:uncheckedState w14:val="2610" w14:font="MS Gothic"/>
              </w14:checkbox>
            </w:sdtPr>
            <w:sdtEndPr/>
            <w:sdtContent>
              <w:p w14:paraId="362526C4" w14:textId="77777777" w:rsidR="00AE0BC5" w:rsidRPr="00AE0BC5" w:rsidRDefault="00AE0BC5" w:rsidP="00914D3C">
                <w:pPr>
                  <w:rPr>
                    <w:bCs/>
                  </w:rPr>
                </w:pPr>
                <w:r w:rsidRPr="00AE0BC5">
                  <w:rPr>
                    <w:rFonts w:ascii="Segoe UI Symbol" w:hAnsi="Segoe UI Symbol" w:cs="Segoe UI Symbol"/>
                    <w:b/>
                    <w:bCs/>
                  </w:rPr>
                  <w:t>☒</w:t>
                </w:r>
              </w:p>
            </w:sdtContent>
          </w:sdt>
        </w:tc>
      </w:tr>
      <w:tr w:rsidR="00AE0BC5" w:rsidRPr="00AE0BC5" w14:paraId="3E45CF0E" w14:textId="77777777" w:rsidTr="00AE0BC5">
        <w:trPr>
          <w:trHeight w:val="403"/>
        </w:trPr>
        <w:tc>
          <w:tcPr>
            <w:tcW w:w="562" w:type="dxa"/>
            <w:shd w:val="clear" w:color="auto" w:fill="F2F2F2"/>
          </w:tcPr>
          <w:p w14:paraId="04FD863D" w14:textId="77777777" w:rsidR="00AE0BC5" w:rsidRPr="00AE0BC5" w:rsidRDefault="00AE0BC5" w:rsidP="00914D3C">
            <w:r w:rsidRPr="00AE0BC5">
              <w:t>24</w:t>
            </w:r>
          </w:p>
        </w:tc>
        <w:tc>
          <w:tcPr>
            <w:tcW w:w="9923" w:type="dxa"/>
            <w:gridSpan w:val="3"/>
            <w:shd w:val="clear" w:color="auto" w:fill="F2F2F2"/>
            <w:vAlign w:val="center"/>
          </w:tcPr>
          <w:p w14:paraId="0D137395" w14:textId="77777777" w:rsidR="00AE0BC5" w:rsidRPr="00AE0BC5" w:rsidRDefault="00AE0BC5" w:rsidP="00914D3C">
            <w:pPr>
              <w:rPr>
                <w:bCs/>
              </w:rPr>
            </w:pPr>
            <w:r w:rsidRPr="00AE0BC5">
              <w:t>If YES</w:t>
            </w:r>
            <w:r w:rsidRPr="00AE0BC5">
              <w:rPr>
                <w:b/>
                <w:bCs/>
              </w:rPr>
              <w:t xml:space="preserve"> </w:t>
            </w:r>
            <w:r w:rsidRPr="00AE0BC5">
              <w:t xml:space="preserve">to any question, please provide full details, </w:t>
            </w:r>
            <w:r w:rsidRPr="00AE0BC5">
              <w:rPr>
                <w:bCs/>
              </w:rPr>
              <w:t>explaining how this will be conducted in accordance with the GDPR and DPA (and/or any international equivalent):</w:t>
            </w:r>
          </w:p>
        </w:tc>
      </w:tr>
      <w:tr w:rsidR="00AE0BC5" w:rsidRPr="00AE0BC5" w14:paraId="5E176474" w14:textId="77777777" w:rsidTr="00223E6D">
        <w:trPr>
          <w:trHeight w:val="403"/>
        </w:trPr>
        <w:tc>
          <w:tcPr>
            <w:tcW w:w="562" w:type="dxa"/>
          </w:tcPr>
          <w:p w14:paraId="17252135" w14:textId="77777777" w:rsidR="00AE0BC5" w:rsidRPr="00AE0BC5" w:rsidRDefault="00AE0BC5" w:rsidP="00914D3C"/>
        </w:tc>
        <w:tc>
          <w:tcPr>
            <w:tcW w:w="9923" w:type="dxa"/>
            <w:gridSpan w:val="3"/>
            <w:vAlign w:val="center"/>
          </w:tcPr>
          <w:p w14:paraId="0677AEEC" w14:textId="77777777" w:rsidR="00AE0BC5" w:rsidRPr="00AE0BC5" w:rsidRDefault="00AE0BC5" w:rsidP="00914D3C"/>
          <w:p w14:paraId="387E3DD8" w14:textId="77777777" w:rsidR="00AE0BC5" w:rsidRPr="00AE0BC5" w:rsidRDefault="00AE0BC5" w:rsidP="00914D3C">
            <w:pPr>
              <w:rPr>
                <w:rFonts w:ascii="Times New Roman" w:hAnsi="Times New Roman"/>
                <w:sz w:val="20"/>
              </w:rPr>
            </w:pPr>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AE0BC5" w:rsidRPr="00AE0BC5" w14:paraId="634A02A8" w14:textId="77777777" w:rsidTr="00AE0BC5">
        <w:trPr>
          <w:trHeight w:val="403"/>
        </w:trPr>
        <w:tc>
          <w:tcPr>
            <w:tcW w:w="562" w:type="dxa"/>
            <w:shd w:val="clear" w:color="auto" w:fill="F2F2F2"/>
          </w:tcPr>
          <w:p w14:paraId="42759FF1" w14:textId="77777777" w:rsidR="00AE0BC5" w:rsidRPr="00AE0BC5" w:rsidRDefault="00AE0BC5" w:rsidP="00914D3C">
            <w:pPr>
              <w:rPr>
                <w:bCs/>
              </w:rPr>
            </w:pPr>
            <w:r w:rsidRPr="00AE0BC5">
              <w:rPr>
                <w:bCs/>
              </w:rPr>
              <w:t>25</w:t>
            </w:r>
          </w:p>
        </w:tc>
        <w:tc>
          <w:tcPr>
            <w:tcW w:w="9923" w:type="dxa"/>
            <w:gridSpan w:val="3"/>
            <w:shd w:val="clear" w:color="auto" w:fill="F2F2F2"/>
            <w:vAlign w:val="center"/>
          </w:tcPr>
          <w:p w14:paraId="3585A64F" w14:textId="77777777" w:rsidR="00AE0BC5" w:rsidRPr="00AE0BC5" w:rsidRDefault="00AE0BC5" w:rsidP="00914D3C">
            <w:r w:rsidRPr="00AE0BC5">
              <w:rPr>
                <w:bCs/>
              </w:rPr>
              <w:t>List all who will have access to the data generated by the research activity</w:t>
            </w:r>
            <w:r w:rsidRPr="00AE0BC5">
              <w:t>:</w:t>
            </w:r>
          </w:p>
        </w:tc>
      </w:tr>
      <w:tr w:rsidR="00AE0BC5" w:rsidRPr="00AE0BC5" w14:paraId="67F4E8A8" w14:textId="77777777" w:rsidTr="00223E6D">
        <w:trPr>
          <w:trHeight w:val="403"/>
        </w:trPr>
        <w:tc>
          <w:tcPr>
            <w:tcW w:w="562" w:type="dxa"/>
          </w:tcPr>
          <w:p w14:paraId="2954DEB2" w14:textId="77777777" w:rsidR="00AE0BC5" w:rsidRPr="00AE0BC5" w:rsidRDefault="00AE0BC5" w:rsidP="00914D3C"/>
        </w:tc>
        <w:tc>
          <w:tcPr>
            <w:tcW w:w="9923" w:type="dxa"/>
            <w:gridSpan w:val="3"/>
            <w:vAlign w:val="center"/>
          </w:tcPr>
          <w:p w14:paraId="37F00936" w14:textId="77777777" w:rsidR="00AE0BC5" w:rsidRPr="00AE0BC5" w:rsidRDefault="00AE0BC5" w:rsidP="00914D3C">
            <w:r w:rsidRPr="00AE0BC5">
              <w:t>Not applicable</w:t>
            </w:r>
          </w:p>
          <w:p w14:paraId="0E9E3F73" w14:textId="77777777" w:rsidR="00AE0BC5" w:rsidRPr="00AE0BC5" w:rsidRDefault="00AE0BC5" w:rsidP="00914D3C">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AE0BC5" w:rsidRPr="00AE0BC5" w14:paraId="53ECCB7F" w14:textId="77777777" w:rsidTr="00AE0BC5">
        <w:trPr>
          <w:trHeight w:val="403"/>
        </w:trPr>
        <w:tc>
          <w:tcPr>
            <w:tcW w:w="562" w:type="dxa"/>
            <w:shd w:val="clear" w:color="auto" w:fill="F2F2F2"/>
          </w:tcPr>
          <w:p w14:paraId="398E529E" w14:textId="77777777" w:rsidR="00AE0BC5" w:rsidRPr="00AE0BC5" w:rsidRDefault="00AE0BC5" w:rsidP="00914D3C">
            <w:pPr>
              <w:rPr>
                <w:bCs/>
              </w:rPr>
            </w:pPr>
            <w:r w:rsidRPr="00AE0BC5">
              <w:rPr>
                <w:bCs/>
              </w:rPr>
              <w:t>26</w:t>
            </w:r>
          </w:p>
        </w:tc>
        <w:tc>
          <w:tcPr>
            <w:tcW w:w="9923" w:type="dxa"/>
            <w:gridSpan w:val="3"/>
            <w:shd w:val="clear" w:color="auto" w:fill="F2F2F2"/>
          </w:tcPr>
          <w:p w14:paraId="24044C38" w14:textId="77777777" w:rsidR="00AE0BC5" w:rsidRPr="00AE0BC5" w:rsidRDefault="00AE0BC5" w:rsidP="00914D3C">
            <w:r w:rsidRPr="00AE0BC5">
              <w:rPr>
                <w:bCs/>
              </w:rPr>
              <w:t>List who will have control of, and act as custodian(s) for, data generated by the research activity</w:t>
            </w:r>
            <w:r w:rsidRPr="00AE0BC5">
              <w:t>:</w:t>
            </w:r>
          </w:p>
        </w:tc>
      </w:tr>
      <w:tr w:rsidR="00AE0BC5" w:rsidRPr="00AE0BC5" w14:paraId="22B673BF" w14:textId="77777777" w:rsidTr="00223E6D">
        <w:trPr>
          <w:trHeight w:val="403"/>
        </w:trPr>
        <w:tc>
          <w:tcPr>
            <w:tcW w:w="562" w:type="dxa"/>
          </w:tcPr>
          <w:p w14:paraId="3E47A818" w14:textId="77777777" w:rsidR="00AE0BC5" w:rsidRPr="00AE0BC5" w:rsidRDefault="00AE0BC5" w:rsidP="00914D3C"/>
        </w:tc>
        <w:tc>
          <w:tcPr>
            <w:tcW w:w="9923" w:type="dxa"/>
            <w:gridSpan w:val="3"/>
          </w:tcPr>
          <w:p w14:paraId="5E087C34" w14:textId="77777777" w:rsidR="00AE0BC5" w:rsidRPr="00AE0BC5" w:rsidRDefault="00AE0BC5" w:rsidP="00914D3C">
            <w:r w:rsidRPr="00AE0BC5">
              <w:t>Not applicable</w:t>
            </w:r>
          </w:p>
          <w:p w14:paraId="0691CEC8" w14:textId="77777777" w:rsidR="00AE0BC5" w:rsidRPr="00AE0BC5" w:rsidRDefault="00AE0BC5" w:rsidP="00914D3C">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AE0BC5" w:rsidRPr="00AE0BC5" w14:paraId="7A322F54" w14:textId="77777777" w:rsidTr="00AE0BC5">
        <w:trPr>
          <w:trHeight w:val="403"/>
        </w:trPr>
        <w:tc>
          <w:tcPr>
            <w:tcW w:w="562" w:type="dxa"/>
            <w:shd w:val="clear" w:color="auto" w:fill="F2F2F2"/>
          </w:tcPr>
          <w:p w14:paraId="4C833CDB" w14:textId="77777777" w:rsidR="00AE0BC5" w:rsidRPr="00AE0BC5" w:rsidRDefault="00AE0BC5" w:rsidP="00914D3C">
            <w:pPr>
              <w:rPr>
                <w:bCs/>
              </w:rPr>
            </w:pPr>
            <w:r w:rsidRPr="00AE0BC5">
              <w:rPr>
                <w:bCs/>
              </w:rPr>
              <w:t>27</w:t>
            </w:r>
          </w:p>
        </w:tc>
        <w:tc>
          <w:tcPr>
            <w:tcW w:w="9923" w:type="dxa"/>
            <w:gridSpan w:val="3"/>
            <w:shd w:val="clear" w:color="auto" w:fill="F2F2F2"/>
          </w:tcPr>
          <w:p w14:paraId="61C2688F" w14:textId="77777777" w:rsidR="00AE0BC5" w:rsidRPr="00AE0BC5" w:rsidRDefault="00AE0BC5" w:rsidP="00914D3C">
            <w:r w:rsidRPr="00AE0BC5">
              <w:rPr>
                <w:bCs/>
              </w:rPr>
              <w:t xml:space="preserve">Give details of data storage arrangements, including security measures in place to protect the data, where data will be stored, how long for, and in what form. Will data be archived – if so how and if not </w:t>
            </w:r>
            <w:proofErr w:type="gramStart"/>
            <w:r w:rsidRPr="00AE0BC5">
              <w:rPr>
                <w:bCs/>
              </w:rPr>
              <w:t>why not</w:t>
            </w:r>
            <w:proofErr w:type="gramEnd"/>
            <w:r w:rsidRPr="00AE0BC5">
              <w:rPr>
                <w:bCs/>
              </w:rPr>
              <w:t xml:space="preserve">.  </w:t>
            </w:r>
          </w:p>
        </w:tc>
      </w:tr>
      <w:tr w:rsidR="00AE0BC5" w:rsidRPr="00AE0BC5" w14:paraId="4857ACB8" w14:textId="77777777" w:rsidTr="00223E6D">
        <w:trPr>
          <w:trHeight w:val="403"/>
        </w:trPr>
        <w:tc>
          <w:tcPr>
            <w:tcW w:w="562" w:type="dxa"/>
          </w:tcPr>
          <w:p w14:paraId="724EB39B" w14:textId="77777777" w:rsidR="00AE0BC5" w:rsidRPr="00AE0BC5" w:rsidRDefault="00AE0BC5" w:rsidP="00914D3C"/>
        </w:tc>
        <w:tc>
          <w:tcPr>
            <w:tcW w:w="9923" w:type="dxa"/>
            <w:gridSpan w:val="3"/>
          </w:tcPr>
          <w:p w14:paraId="504D3885" w14:textId="77777777" w:rsidR="00AE0BC5" w:rsidRPr="00AE0BC5" w:rsidRDefault="00AE0BC5" w:rsidP="00914D3C"/>
          <w:p w14:paraId="3D7E1FDB" w14:textId="77777777" w:rsidR="00AE0BC5" w:rsidRPr="00AE0BC5" w:rsidRDefault="00AE0BC5" w:rsidP="00914D3C">
            <w:r w:rsidRPr="00AE0BC5">
              <w:lastRenderedPageBreak/>
              <w:t>Not applicable</w:t>
            </w:r>
          </w:p>
          <w:p w14:paraId="2A98F0B9" w14:textId="77777777" w:rsidR="00AE0BC5" w:rsidRPr="00AE0BC5" w:rsidRDefault="00AE0BC5" w:rsidP="00914D3C">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AE0BC5" w:rsidRPr="00AE0BC5" w14:paraId="4C540E69" w14:textId="77777777" w:rsidTr="00223E6D">
        <w:trPr>
          <w:trHeight w:val="403"/>
        </w:trPr>
        <w:tc>
          <w:tcPr>
            <w:tcW w:w="562" w:type="dxa"/>
          </w:tcPr>
          <w:p w14:paraId="6689DB91" w14:textId="77777777" w:rsidR="00AE0BC5" w:rsidRPr="00AE0BC5" w:rsidRDefault="00AE0BC5" w:rsidP="00914D3C">
            <w:r w:rsidRPr="00AE0BC5">
              <w:lastRenderedPageBreak/>
              <w:t>28</w:t>
            </w:r>
          </w:p>
        </w:tc>
        <w:tc>
          <w:tcPr>
            <w:tcW w:w="9923" w:type="dxa"/>
            <w:gridSpan w:val="3"/>
          </w:tcPr>
          <w:p w14:paraId="51B949E1" w14:textId="77777777" w:rsidR="00AE0BC5" w:rsidRPr="00AE0BC5" w:rsidRDefault="00AE0BC5" w:rsidP="00914D3C">
            <w:r w:rsidRPr="00AE0BC5">
              <w:t xml:space="preserve">Please indicate if your data will be stored in the UWTSD Research Data Repository (see </w:t>
            </w:r>
            <w:hyperlink r:id="rId171" w:history="1">
              <w:r w:rsidRPr="00AE0BC5">
                <w:rPr>
                  <w:color w:val="000000"/>
                  <w:u w:val="single"/>
                </w:rPr>
                <w:t>https://researchdata.uwtsd.ac.uk/</w:t>
              </w:r>
            </w:hyperlink>
            <w:r w:rsidRPr="00AE0BC5">
              <w:rPr>
                <w:color w:val="000000"/>
              </w:rPr>
              <w:t xml:space="preserve"> ).   If </w:t>
            </w:r>
            <w:proofErr w:type="gramStart"/>
            <w:r w:rsidRPr="00AE0BC5">
              <w:rPr>
                <w:color w:val="000000"/>
              </w:rPr>
              <w:t>so</w:t>
            </w:r>
            <w:proofErr w:type="gramEnd"/>
            <w:r w:rsidRPr="00AE0BC5">
              <w:rPr>
                <w:color w:val="000000"/>
              </w:rPr>
              <w:t xml:space="preserve"> please explain. (</w:t>
            </w:r>
            <w:r w:rsidRPr="00AE0BC5">
              <w:rPr>
                <w:i/>
                <w:color w:val="000000"/>
              </w:rPr>
              <w:t>Most relevant to academic staff)</w:t>
            </w:r>
            <w:r w:rsidRPr="00AE0BC5">
              <w:rPr>
                <w:rFonts w:ascii="Times New Roman" w:hAnsi="Times New Roman"/>
                <w:color w:val="000000"/>
                <w:sz w:val="20"/>
              </w:rPr>
              <w:t xml:space="preserve"> </w:t>
            </w:r>
          </w:p>
        </w:tc>
      </w:tr>
      <w:tr w:rsidR="00AE0BC5" w:rsidRPr="00AE0BC5" w14:paraId="356FABF0" w14:textId="77777777" w:rsidTr="00223E6D">
        <w:trPr>
          <w:trHeight w:val="403"/>
        </w:trPr>
        <w:tc>
          <w:tcPr>
            <w:tcW w:w="562" w:type="dxa"/>
          </w:tcPr>
          <w:p w14:paraId="4FB9AB89" w14:textId="77777777" w:rsidR="00AE0BC5" w:rsidRPr="00AE0BC5" w:rsidRDefault="00AE0BC5" w:rsidP="00914D3C"/>
        </w:tc>
        <w:tc>
          <w:tcPr>
            <w:tcW w:w="9923" w:type="dxa"/>
            <w:gridSpan w:val="3"/>
          </w:tcPr>
          <w:p w14:paraId="20F674FF" w14:textId="77777777" w:rsidR="00AE0BC5" w:rsidRPr="00AE0BC5" w:rsidRDefault="00AE0BC5" w:rsidP="00914D3C"/>
          <w:p w14:paraId="29F32664" w14:textId="77777777" w:rsidR="00AE0BC5" w:rsidRPr="00AE0BC5" w:rsidRDefault="00AE0BC5" w:rsidP="00914D3C">
            <w:r w:rsidRPr="00AE0BC5">
              <w:t>No.</w:t>
            </w:r>
          </w:p>
          <w:p w14:paraId="7014964E" w14:textId="77777777" w:rsidR="00AE0BC5" w:rsidRPr="00AE0BC5" w:rsidRDefault="00AE0BC5" w:rsidP="00914D3C"/>
          <w:p w14:paraId="60D70F37" w14:textId="77777777" w:rsidR="00AE0BC5" w:rsidRPr="00AE0BC5" w:rsidRDefault="00AE0BC5" w:rsidP="00914D3C">
            <w:r w:rsidRPr="00AE0BC5">
              <w:rPr>
                <w:i/>
                <w:color w:val="808080"/>
                <w:sz w:val="18"/>
                <w:szCs w:val="18"/>
              </w:rPr>
              <w:t>(</w:t>
            </w:r>
            <w:proofErr w:type="gramStart"/>
            <w:r w:rsidRPr="00AE0BC5">
              <w:rPr>
                <w:i/>
                <w:color w:val="808080"/>
                <w:sz w:val="18"/>
                <w:szCs w:val="18"/>
              </w:rPr>
              <w:t>this</w:t>
            </w:r>
            <w:proofErr w:type="gramEnd"/>
            <w:r w:rsidRPr="00AE0BC5">
              <w:rPr>
                <w:i/>
                <w:color w:val="808080"/>
                <w:sz w:val="18"/>
                <w:szCs w:val="18"/>
              </w:rPr>
              <w:t xml:space="preserve"> box should expand as you type)</w:t>
            </w:r>
          </w:p>
        </w:tc>
      </w:tr>
      <w:tr w:rsidR="00AE0BC5" w:rsidRPr="00AE0BC5" w14:paraId="7D72DAE4" w14:textId="77777777" w:rsidTr="00AE0BC5">
        <w:trPr>
          <w:trHeight w:val="252"/>
        </w:trPr>
        <w:tc>
          <w:tcPr>
            <w:tcW w:w="562" w:type="dxa"/>
            <w:vMerge w:val="restart"/>
            <w:shd w:val="clear" w:color="auto" w:fill="F2F2F2"/>
          </w:tcPr>
          <w:p w14:paraId="1823F2CD" w14:textId="77777777" w:rsidR="00AE0BC5" w:rsidRPr="00AE0BC5" w:rsidRDefault="00AE0BC5" w:rsidP="00914D3C">
            <w:pPr>
              <w:rPr>
                <w:bCs/>
              </w:rPr>
            </w:pPr>
            <w:r w:rsidRPr="00AE0BC5">
              <w:rPr>
                <w:bCs/>
              </w:rPr>
              <w:t>29</w:t>
            </w:r>
          </w:p>
        </w:tc>
        <w:tc>
          <w:tcPr>
            <w:tcW w:w="7905" w:type="dxa"/>
            <w:vMerge w:val="restart"/>
            <w:shd w:val="clear" w:color="auto" w:fill="F2F2F2"/>
          </w:tcPr>
          <w:p w14:paraId="3626696E" w14:textId="77777777" w:rsidR="00AE0BC5" w:rsidRPr="00AE0BC5" w:rsidRDefault="00AE0BC5" w:rsidP="00914D3C">
            <w:pPr>
              <w:rPr>
                <w:color w:val="000000"/>
              </w:rPr>
            </w:pPr>
            <w:r w:rsidRPr="00AE0BC5">
              <w:rPr>
                <w:bCs/>
              </w:rPr>
              <w:t xml:space="preserve">Confirm that you have read the UWTSD guidance on data management (see </w:t>
            </w:r>
            <w:hyperlink r:id="rId172" w:history="1">
              <w:r w:rsidRPr="00AE0BC5">
                <w:rPr>
                  <w:color w:val="000000"/>
                  <w:u w:val="single"/>
                </w:rPr>
                <w:t>https://www.uwtsd.ac.uk/library/research-data-management/</w:t>
              </w:r>
            </w:hyperlink>
            <w:r w:rsidRPr="00AE0BC5">
              <w:rPr>
                <w:color w:val="000000"/>
              </w:rPr>
              <w:t>)</w:t>
            </w:r>
          </w:p>
          <w:p w14:paraId="7AA77B52" w14:textId="77777777" w:rsidR="00AE0BC5" w:rsidRPr="00AE0BC5" w:rsidRDefault="00AE0BC5" w:rsidP="00914D3C"/>
        </w:tc>
        <w:tc>
          <w:tcPr>
            <w:tcW w:w="992" w:type="dxa"/>
            <w:shd w:val="clear" w:color="auto" w:fill="F2F2F2"/>
          </w:tcPr>
          <w:p w14:paraId="0632FB3E" w14:textId="77777777" w:rsidR="00AE0BC5" w:rsidRPr="00AE0BC5" w:rsidRDefault="00AE0BC5" w:rsidP="00914D3C">
            <w:pPr>
              <w:rPr>
                <w:b/>
              </w:rPr>
            </w:pPr>
            <w:r w:rsidRPr="00AE0BC5">
              <w:rPr>
                <w:b/>
              </w:rPr>
              <w:t>YES</w:t>
            </w:r>
          </w:p>
        </w:tc>
        <w:tc>
          <w:tcPr>
            <w:tcW w:w="1026" w:type="dxa"/>
            <w:shd w:val="clear" w:color="auto" w:fill="BFBFBF"/>
          </w:tcPr>
          <w:p w14:paraId="6CDD3623" w14:textId="77777777" w:rsidR="00AE0BC5" w:rsidRPr="00AE0BC5" w:rsidRDefault="005B76E4" w:rsidP="00914D3C">
            <w:sdt>
              <w:sdtPr>
                <w:rPr>
                  <w:b/>
                  <w:bCs/>
                  <w:sz w:val="20"/>
                </w:rPr>
                <w:id w:val="1912113242"/>
                <w14:checkbox>
                  <w14:checked w14:val="1"/>
                  <w14:checkedState w14:val="2612" w14:font="MS Gothic"/>
                  <w14:uncheckedState w14:val="2610" w14:font="MS Gothic"/>
                </w14:checkbox>
              </w:sdtPr>
              <w:sdtEndPr/>
              <w:sdtContent>
                <w:r w:rsidR="00AE0BC5" w:rsidRPr="00AE0BC5">
                  <w:rPr>
                    <w:rFonts w:ascii="Segoe UI Symbol" w:hAnsi="Segoe UI Symbol" w:cs="Segoe UI Symbol"/>
                    <w:b/>
                    <w:bCs/>
                    <w:sz w:val="20"/>
                  </w:rPr>
                  <w:t>☒</w:t>
                </w:r>
              </w:sdtContent>
            </w:sdt>
          </w:p>
        </w:tc>
      </w:tr>
      <w:tr w:rsidR="00AE0BC5" w:rsidRPr="00AE0BC5" w14:paraId="0E321009" w14:textId="77777777" w:rsidTr="00AE0BC5">
        <w:trPr>
          <w:trHeight w:val="252"/>
        </w:trPr>
        <w:tc>
          <w:tcPr>
            <w:tcW w:w="562" w:type="dxa"/>
            <w:vMerge/>
            <w:shd w:val="clear" w:color="auto" w:fill="F2F2F2"/>
          </w:tcPr>
          <w:p w14:paraId="3A445889" w14:textId="77777777" w:rsidR="00AE0BC5" w:rsidRPr="00AE0BC5" w:rsidRDefault="00AE0BC5" w:rsidP="00914D3C">
            <w:pPr>
              <w:rPr>
                <w:bCs/>
              </w:rPr>
            </w:pPr>
          </w:p>
        </w:tc>
        <w:tc>
          <w:tcPr>
            <w:tcW w:w="7905" w:type="dxa"/>
            <w:vMerge/>
            <w:shd w:val="clear" w:color="auto" w:fill="F2F2F2"/>
          </w:tcPr>
          <w:p w14:paraId="6B055569" w14:textId="77777777" w:rsidR="00AE0BC5" w:rsidRPr="00AE0BC5" w:rsidRDefault="00AE0BC5" w:rsidP="00914D3C">
            <w:pPr>
              <w:rPr>
                <w:bCs/>
              </w:rPr>
            </w:pPr>
          </w:p>
        </w:tc>
        <w:tc>
          <w:tcPr>
            <w:tcW w:w="992" w:type="dxa"/>
            <w:shd w:val="clear" w:color="auto" w:fill="F2F2F2"/>
          </w:tcPr>
          <w:p w14:paraId="46AA8E96" w14:textId="77777777" w:rsidR="00AE0BC5" w:rsidRPr="00AE0BC5" w:rsidRDefault="00AE0BC5" w:rsidP="00914D3C">
            <w:pPr>
              <w:rPr>
                <w:b/>
              </w:rPr>
            </w:pPr>
            <w:r w:rsidRPr="00AE0BC5">
              <w:rPr>
                <w:b/>
              </w:rPr>
              <w:t>NO</w:t>
            </w:r>
          </w:p>
        </w:tc>
        <w:tc>
          <w:tcPr>
            <w:tcW w:w="1026" w:type="dxa"/>
            <w:shd w:val="clear" w:color="auto" w:fill="BFBFBF"/>
          </w:tcPr>
          <w:p w14:paraId="182CEAA2" w14:textId="77777777" w:rsidR="00AE0BC5" w:rsidRPr="00AE0BC5" w:rsidRDefault="005B76E4" w:rsidP="00914D3C">
            <w:sdt>
              <w:sdtPr>
                <w:rPr>
                  <w:b/>
                  <w:bCs/>
                  <w:sz w:val="20"/>
                </w:rPr>
                <w:id w:val="1821611795"/>
                <w14:checkbox>
                  <w14:checked w14:val="0"/>
                  <w14:checkedState w14:val="2612" w14:font="MS Gothic"/>
                  <w14:uncheckedState w14:val="2610" w14:font="MS Gothic"/>
                </w14:checkbox>
              </w:sdtPr>
              <w:sdtEndPr/>
              <w:sdtContent>
                <w:r w:rsidR="00AE0BC5" w:rsidRPr="00AE0BC5">
                  <w:rPr>
                    <w:rFonts w:ascii="Segoe UI Symbol" w:hAnsi="Segoe UI Symbol" w:cs="Segoe UI Symbol"/>
                    <w:b/>
                    <w:bCs/>
                    <w:sz w:val="20"/>
                  </w:rPr>
                  <w:t>☐</w:t>
                </w:r>
              </w:sdtContent>
            </w:sdt>
          </w:p>
        </w:tc>
      </w:tr>
      <w:tr w:rsidR="00AE0BC5" w:rsidRPr="00AE0BC5" w14:paraId="6D16FB50" w14:textId="77777777" w:rsidTr="00AE0BC5">
        <w:trPr>
          <w:trHeight w:val="311"/>
        </w:trPr>
        <w:tc>
          <w:tcPr>
            <w:tcW w:w="562" w:type="dxa"/>
            <w:vMerge w:val="restart"/>
            <w:shd w:val="clear" w:color="auto" w:fill="F2F2F2"/>
          </w:tcPr>
          <w:p w14:paraId="319DF22D" w14:textId="77777777" w:rsidR="00AE0BC5" w:rsidRPr="00AE0BC5" w:rsidRDefault="00AE0BC5" w:rsidP="00914D3C">
            <w:pPr>
              <w:rPr>
                <w:bCs/>
              </w:rPr>
            </w:pPr>
            <w:r w:rsidRPr="00AE0BC5">
              <w:rPr>
                <w:bCs/>
              </w:rPr>
              <w:t>30</w:t>
            </w:r>
          </w:p>
        </w:tc>
        <w:tc>
          <w:tcPr>
            <w:tcW w:w="7905" w:type="dxa"/>
            <w:vMerge w:val="restart"/>
            <w:shd w:val="clear" w:color="auto" w:fill="F2F2F2"/>
          </w:tcPr>
          <w:p w14:paraId="13607813" w14:textId="77777777" w:rsidR="00AE0BC5" w:rsidRPr="00AE0BC5" w:rsidRDefault="00AE0BC5" w:rsidP="00914D3C">
            <w:r w:rsidRPr="00AE0BC5">
              <w:rPr>
                <w:bCs/>
              </w:rPr>
              <w:t>Confirm that you are aware that you need to keep all data until after your research has completed or the end of your funding</w:t>
            </w:r>
          </w:p>
        </w:tc>
        <w:tc>
          <w:tcPr>
            <w:tcW w:w="992" w:type="dxa"/>
            <w:shd w:val="clear" w:color="auto" w:fill="F2F2F2"/>
          </w:tcPr>
          <w:p w14:paraId="76EB2E91" w14:textId="77777777" w:rsidR="00AE0BC5" w:rsidRPr="00AE0BC5" w:rsidRDefault="00AE0BC5" w:rsidP="00914D3C">
            <w:pPr>
              <w:rPr>
                <w:b/>
              </w:rPr>
            </w:pPr>
            <w:r w:rsidRPr="00AE0BC5">
              <w:rPr>
                <w:b/>
              </w:rPr>
              <w:t>YES</w:t>
            </w:r>
          </w:p>
        </w:tc>
        <w:tc>
          <w:tcPr>
            <w:tcW w:w="1026" w:type="dxa"/>
            <w:shd w:val="clear" w:color="auto" w:fill="BFBFBF"/>
          </w:tcPr>
          <w:p w14:paraId="37665D53" w14:textId="77777777" w:rsidR="00AE0BC5" w:rsidRPr="00AE0BC5" w:rsidRDefault="005B76E4" w:rsidP="00914D3C">
            <w:sdt>
              <w:sdtPr>
                <w:rPr>
                  <w:b/>
                  <w:bCs/>
                  <w:sz w:val="20"/>
                </w:rPr>
                <w:id w:val="1277371831"/>
                <w14:checkbox>
                  <w14:checked w14:val="1"/>
                  <w14:checkedState w14:val="2612" w14:font="MS Gothic"/>
                  <w14:uncheckedState w14:val="2610" w14:font="MS Gothic"/>
                </w14:checkbox>
              </w:sdtPr>
              <w:sdtEndPr/>
              <w:sdtContent>
                <w:r w:rsidR="00AE0BC5" w:rsidRPr="00AE0BC5">
                  <w:rPr>
                    <w:rFonts w:ascii="Segoe UI Symbol" w:hAnsi="Segoe UI Symbol" w:cs="Segoe UI Symbol"/>
                    <w:b/>
                    <w:bCs/>
                    <w:sz w:val="20"/>
                  </w:rPr>
                  <w:t>☒</w:t>
                </w:r>
              </w:sdtContent>
            </w:sdt>
          </w:p>
        </w:tc>
      </w:tr>
      <w:tr w:rsidR="00AE0BC5" w:rsidRPr="00AE0BC5" w14:paraId="5CAD1C32" w14:textId="77777777" w:rsidTr="00AE0BC5">
        <w:trPr>
          <w:trHeight w:val="311"/>
        </w:trPr>
        <w:tc>
          <w:tcPr>
            <w:tcW w:w="562" w:type="dxa"/>
            <w:vMerge/>
            <w:shd w:val="clear" w:color="auto" w:fill="F2F2F2"/>
          </w:tcPr>
          <w:p w14:paraId="25B414D0" w14:textId="77777777" w:rsidR="00AE0BC5" w:rsidRPr="00AE0BC5" w:rsidRDefault="00AE0BC5" w:rsidP="00914D3C"/>
        </w:tc>
        <w:tc>
          <w:tcPr>
            <w:tcW w:w="7905" w:type="dxa"/>
            <w:vMerge/>
            <w:shd w:val="clear" w:color="auto" w:fill="F2F2F2"/>
          </w:tcPr>
          <w:p w14:paraId="088F4702" w14:textId="77777777" w:rsidR="00AE0BC5" w:rsidRPr="00AE0BC5" w:rsidRDefault="00AE0BC5" w:rsidP="00914D3C"/>
        </w:tc>
        <w:tc>
          <w:tcPr>
            <w:tcW w:w="992" w:type="dxa"/>
            <w:shd w:val="clear" w:color="auto" w:fill="F2F2F2"/>
          </w:tcPr>
          <w:p w14:paraId="7BA3CA3A" w14:textId="77777777" w:rsidR="00AE0BC5" w:rsidRPr="00AE0BC5" w:rsidRDefault="00AE0BC5" w:rsidP="00914D3C">
            <w:pPr>
              <w:rPr>
                <w:b/>
              </w:rPr>
            </w:pPr>
            <w:r w:rsidRPr="00AE0BC5">
              <w:rPr>
                <w:b/>
              </w:rPr>
              <w:t>NO</w:t>
            </w:r>
          </w:p>
        </w:tc>
        <w:tc>
          <w:tcPr>
            <w:tcW w:w="1026" w:type="dxa"/>
            <w:shd w:val="clear" w:color="auto" w:fill="BFBFBF"/>
          </w:tcPr>
          <w:p w14:paraId="5591FD3E" w14:textId="77777777" w:rsidR="00AE0BC5" w:rsidRPr="00AE0BC5" w:rsidRDefault="005B76E4" w:rsidP="00914D3C">
            <w:sdt>
              <w:sdtPr>
                <w:rPr>
                  <w:b/>
                  <w:bCs/>
                  <w:sz w:val="20"/>
                </w:rPr>
                <w:id w:val="767737168"/>
                <w14:checkbox>
                  <w14:checked w14:val="0"/>
                  <w14:checkedState w14:val="2612" w14:font="MS Gothic"/>
                  <w14:uncheckedState w14:val="2610" w14:font="MS Gothic"/>
                </w14:checkbox>
              </w:sdtPr>
              <w:sdtEndPr/>
              <w:sdtContent>
                <w:r w:rsidR="00AE0BC5" w:rsidRPr="00AE0BC5">
                  <w:rPr>
                    <w:rFonts w:ascii="Segoe UI Symbol" w:hAnsi="Segoe UI Symbol" w:cs="Segoe UI Symbol"/>
                    <w:b/>
                    <w:bCs/>
                    <w:sz w:val="20"/>
                  </w:rPr>
                  <w:t>☐</w:t>
                </w:r>
              </w:sdtContent>
            </w:sdt>
          </w:p>
        </w:tc>
      </w:tr>
    </w:tbl>
    <w:p w14:paraId="706A9A3E" w14:textId="388B1777" w:rsidR="00AE0BC5" w:rsidRPr="00AE0BC5" w:rsidRDefault="00AE0BC5" w:rsidP="00914D3C">
      <w:pPr>
        <w:rPr>
          <w:b/>
          <w:bCs/>
        </w:rPr>
      </w:pPr>
    </w:p>
    <w:p w14:paraId="44AC2EA4" w14:textId="77777777" w:rsidR="00AE0BC5" w:rsidRPr="00AE0BC5" w:rsidRDefault="00AE0BC5" w:rsidP="00914D3C">
      <w:pPr>
        <w:rPr>
          <w:b/>
        </w:rPr>
      </w:pPr>
      <w:r w:rsidRPr="00AE0BC5">
        <w:rPr>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14D3C" w:rsidRPr="00AE0BC5" w14:paraId="495C7A28" w14:textId="77777777" w:rsidTr="00AE0BC5">
        <w:trPr>
          <w:trHeight w:val="1807"/>
        </w:trPr>
        <w:tc>
          <w:tcPr>
            <w:tcW w:w="554" w:type="dxa"/>
            <w:shd w:val="clear" w:color="auto" w:fill="F2F2F2"/>
          </w:tcPr>
          <w:p w14:paraId="1C8615A2" w14:textId="77777777" w:rsidR="00AE0BC5" w:rsidRPr="00AE0BC5" w:rsidRDefault="00AE0BC5" w:rsidP="00914D3C">
            <w:r w:rsidRPr="00AE0BC5">
              <w:t>31</w:t>
            </w:r>
          </w:p>
        </w:tc>
        <w:tc>
          <w:tcPr>
            <w:tcW w:w="9923" w:type="dxa"/>
            <w:gridSpan w:val="3"/>
            <w:shd w:val="clear" w:color="auto" w:fill="F2F2F2"/>
            <w:vAlign w:val="center"/>
          </w:tcPr>
          <w:p w14:paraId="5EF8A956" w14:textId="77777777" w:rsidR="00AE0BC5" w:rsidRPr="00AE0BC5" w:rsidRDefault="00AE0BC5" w:rsidP="00914D3C">
            <w:pPr>
              <w:rPr>
                <w:b/>
                <w:bCs/>
                <w:color w:val="000000"/>
              </w:rPr>
            </w:pPr>
            <w:r w:rsidRPr="00AE0BC5">
              <w:t>The information which I have provided is correct and complete to the best of my knowledge. I have attempted to identify any risks and issues related to the research activity and acknowledge my obligations and the rights of the participants</w:t>
            </w:r>
            <w:r w:rsidRPr="00AE0BC5">
              <w:rPr>
                <w:b/>
                <w:bCs/>
                <w:color w:val="000000"/>
              </w:rPr>
              <w:t>.</w:t>
            </w:r>
          </w:p>
          <w:p w14:paraId="04853F02" w14:textId="77777777" w:rsidR="00AE0BC5" w:rsidRPr="00AE0BC5" w:rsidRDefault="00AE0BC5" w:rsidP="00914D3C">
            <w:pPr>
              <w:rPr>
                <w:b/>
                <w:bCs/>
                <w:color w:val="000000"/>
              </w:rPr>
            </w:pPr>
          </w:p>
          <w:p w14:paraId="06CEDF63" w14:textId="77777777" w:rsidR="00AE0BC5" w:rsidRPr="00AE0BC5" w:rsidRDefault="00AE0BC5" w:rsidP="00914D3C">
            <w:pPr>
              <w:rPr>
                <w:color w:val="000080"/>
              </w:rPr>
            </w:pPr>
            <w:r w:rsidRPr="00AE0BC5">
              <w:t xml:space="preserve">In submitting this application I hereby confirm that I undertake to ensure that the above named research activity will meet the University’s Research Ethics and Integrity Code of Practice which is published on the website: </w:t>
            </w:r>
            <w:hyperlink r:id="rId173" w:history="1">
              <w:r w:rsidRPr="00AE0BC5">
                <w:rPr>
                  <w:color w:val="0000FF"/>
                  <w:u w:val="single"/>
                </w:rPr>
                <w:t>https://www.uwtsd.ac.uk/research/research-ethics/</w:t>
              </w:r>
            </w:hyperlink>
            <w:r w:rsidRPr="00AE0BC5">
              <w:t xml:space="preserve"> </w:t>
            </w:r>
          </w:p>
        </w:tc>
      </w:tr>
      <w:tr w:rsidR="00AE0BC5" w:rsidRPr="00AE0BC5" w14:paraId="51C99A56" w14:textId="77777777" w:rsidTr="00AE0BC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cPr>
          <w:p w14:paraId="7BC73C46" w14:textId="77777777" w:rsidR="00AE0BC5" w:rsidRPr="00AE0BC5" w:rsidRDefault="00AE0BC5" w:rsidP="00914D3C">
            <w:pPr>
              <w:rPr>
                <w:b/>
                <w:bCs/>
              </w:rPr>
            </w:pP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25605147" w14:textId="77777777" w:rsidR="00AE0BC5" w:rsidRPr="00AE0BC5" w:rsidRDefault="00AE0BC5" w:rsidP="00914D3C">
            <w:r w:rsidRPr="00AE0BC5">
              <w:rPr>
                <w:b/>
                <w:bCs/>
              </w:rPr>
              <w:t>Signature of applicant:</w:t>
            </w:r>
          </w:p>
        </w:tc>
        <w:tc>
          <w:tcPr>
            <w:tcW w:w="4820" w:type="dxa"/>
            <w:tcBorders>
              <w:left w:val="single" w:sz="4" w:space="0" w:color="auto"/>
            </w:tcBorders>
            <w:vAlign w:val="center"/>
          </w:tcPr>
          <w:p w14:paraId="7B1AD067" w14:textId="77777777" w:rsidR="00AE0BC5" w:rsidRPr="00AE0BC5" w:rsidRDefault="00AE0BC5" w:rsidP="00914D3C">
            <w:pPr>
              <w:rPr>
                <w:rFonts w:ascii="Bradley Hand ITC" w:hAnsi="Bradley Hand ITC"/>
              </w:rPr>
            </w:pPr>
            <w:r w:rsidRPr="00AE0BC5">
              <w:rPr>
                <w:rFonts w:ascii="Bradley Hand ITC" w:hAnsi="Bradley Hand ITC"/>
              </w:rPr>
              <w:t>Sue Lines</w:t>
            </w:r>
          </w:p>
        </w:tc>
        <w:tc>
          <w:tcPr>
            <w:tcW w:w="2139" w:type="dxa"/>
            <w:vAlign w:val="center"/>
          </w:tcPr>
          <w:p w14:paraId="4EBA07C9" w14:textId="77777777" w:rsidR="00AE0BC5" w:rsidRPr="00AE0BC5" w:rsidRDefault="00AE0BC5" w:rsidP="00914D3C">
            <w:r w:rsidRPr="00AE0BC5">
              <w:rPr>
                <w:b/>
                <w:bCs/>
              </w:rPr>
              <w:t>Date: 14</w:t>
            </w:r>
            <w:r w:rsidRPr="00AE0BC5">
              <w:rPr>
                <w:b/>
                <w:bCs/>
                <w:vertAlign w:val="superscript"/>
              </w:rPr>
              <w:t>th</w:t>
            </w:r>
            <w:r w:rsidRPr="00AE0BC5">
              <w:rPr>
                <w:b/>
                <w:bCs/>
              </w:rPr>
              <w:t xml:space="preserve"> January 2021</w:t>
            </w:r>
          </w:p>
        </w:tc>
      </w:tr>
    </w:tbl>
    <w:p w14:paraId="3E32B9CC" w14:textId="77777777" w:rsidR="00AE0BC5" w:rsidRPr="00AE0BC5" w:rsidRDefault="00AE0BC5" w:rsidP="00914D3C"/>
    <w:p w14:paraId="3B0E97CF" w14:textId="77777777" w:rsidR="00AE0BC5" w:rsidRPr="00AE0BC5" w:rsidRDefault="00AE0BC5" w:rsidP="00914D3C">
      <w:pPr>
        <w:rPr>
          <w:b/>
          <w:i/>
        </w:rPr>
      </w:pPr>
      <w:r w:rsidRPr="00AE0BC5">
        <w:rPr>
          <w:b/>
          <w:i/>
        </w:rPr>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AE0BC5" w:rsidRPr="00AE0BC5" w14:paraId="5F878762" w14:textId="77777777" w:rsidTr="00AE0BC5">
        <w:trPr>
          <w:trHeight w:val="346"/>
        </w:trPr>
        <w:tc>
          <w:tcPr>
            <w:tcW w:w="336" w:type="pct"/>
            <w:shd w:val="clear" w:color="auto" w:fill="F2F2F2"/>
          </w:tcPr>
          <w:p w14:paraId="39E2ABBA" w14:textId="77777777" w:rsidR="00AE0BC5" w:rsidRPr="00AE0BC5" w:rsidRDefault="00AE0BC5" w:rsidP="00914D3C">
            <w:r w:rsidRPr="00AE0BC5">
              <w:t>32</w:t>
            </w:r>
          </w:p>
        </w:tc>
        <w:tc>
          <w:tcPr>
            <w:tcW w:w="1328" w:type="pct"/>
            <w:shd w:val="clear" w:color="auto" w:fill="F2F2F2"/>
            <w:vAlign w:val="center"/>
          </w:tcPr>
          <w:p w14:paraId="47E2DC01" w14:textId="77777777" w:rsidR="00AE0BC5" w:rsidRPr="00AE0BC5" w:rsidRDefault="00AE0BC5" w:rsidP="00914D3C">
            <w:r w:rsidRPr="00AE0BC5">
              <w:t>Director of Studies/Supervisor:</w:t>
            </w:r>
          </w:p>
        </w:tc>
        <w:tc>
          <w:tcPr>
            <w:tcW w:w="2323" w:type="pct"/>
            <w:shd w:val="clear" w:color="auto" w:fill="auto"/>
            <w:vAlign w:val="center"/>
          </w:tcPr>
          <w:p w14:paraId="651EFF9B" w14:textId="77777777" w:rsidR="00AE0BC5" w:rsidRPr="00AE0BC5" w:rsidRDefault="00AE0BC5" w:rsidP="00914D3C"/>
        </w:tc>
        <w:tc>
          <w:tcPr>
            <w:tcW w:w="1014" w:type="pct"/>
            <w:vMerge w:val="restart"/>
          </w:tcPr>
          <w:p w14:paraId="7140D710" w14:textId="77777777" w:rsidR="00AE0BC5" w:rsidRPr="00AE0BC5" w:rsidRDefault="00AE0BC5" w:rsidP="00914D3C">
            <w:r w:rsidRPr="00AE0BC5">
              <w:rPr>
                <w:b/>
                <w:bCs/>
              </w:rPr>
              <w:t>Date:</w:t>
            </w:r>
          </w:p>
        </w:tc>
      </w:tr>
      <w:tr w:rsidR="00AE0BC5" w:rsidRPr="00AE0BC5" w14:paraId="34724F2C" w14:textId="77777777" w:rsidTr="00AE0BC5">
        <w:trPr>
          <w:trHeight w:val="347"/>
        </w:trPr>
        <w:tc>
          <w:tcPr>
            <w:tcW w:w="336" w:type="pct"/>
            <w:shd w:val="clear" w:color="auto" w:fill="F2F2F2"/>
          </w:tcPr>
          <w:p w14:paraId="6D619D21" w14:textId="77777777" w:rsidR="00AE0BC5" w:rsidRPr="00AE0BC5" w:rsidRDefault="00AE0BC5" w:rsidP="00914D3C">
            <w:r w:rsidRPr="00AE0BC5">
              <w:t>33</w:t>
            </w:r>
          </w:p>
        </w:tc>
        <w:tc>
          <w:tcPr>
            <w:tcW w:w="1328" w:type="pct"/>
            <w:shd w:val="clear" w:color="auto" w:fill="F2F2F2"/>
            <w:vAlign w:val="center"/>
          </w:tcPr>
          <w:p w14:paraId="54D5F5B8" w14:textId="77777777" w:rsidR="00AE0BC5" w:rsidRPr="00AE0BC5" w:rsidRDefault="00AE0BC5" w:rsidP="00914D3C">
            <w:r w:rsidRPr="00AE0BC5">
              <w:t>Signature:</w:t>
            </w:r>
          </w:p>
        </w:tc>
        <w:tc>
          <w:tcPr>
            <w:tcW w:w="2323" w:type="pct"/>
            <w:shd w:val="clear" w:color="auto" w:fill="auto"/>
            <w:vAlign w:val="center"/>
          </w:tcPr>
          <w:p w14:paraId="2F408211" w14:textId="77777777" w:rsidR="00AE0BC5" w:rsidRPr="00AE0BC5" w:rsidRDefault="00AE0BC5" w:rsidP="00914D3C"/>
          <w:p w14:paraId="58CA8111" w14:textId="77777777" w:rsidR="00AE0BC5" w:rsidRPr="00AE0BC5" w:rsidRDefault="00AE0BC5" w:rsidP="00914D3C"/>
        </w:tc>
        <w:tc>
          <w:tcPr>
            <w:tcW w:w="1014" w:type="pct"/>
            <w:vMerge/>
            <w:vAlign w:val="center"/>
          </w:tcPr>
          <w:p w14:paraId="6BC66089" w14:textId="77777777" w:rsidR="00AE0BC5" w:rsidRPr="00AE0BC5" w:rsidRDefault="00AE0BC5" w:rsidP="00914D3C"/>
        </w:tc>
      </w:tr>
    </w:tbl>
    <w:p w14:paraId="205417F0" w14:textId="77777777" w:rsidR="00AE0BC5" w:rsidRPr="00AE0BC5" w:rsidRDefault="00AE0BC5" w:rsidP="00914D3C"/>
    <w:p w14:paraId="55271A91" w14:textId="77777777" w:rsidR="00AE0BC5" w:rsidRPr="00AE0BC5" w:rsidRDefault="00AE0BC5" w:rsidP="00914D3C">
      <w:pPr>
        <w:rPr>
          <w:b/>
          <w:i/>
        </w:rPr>
      </w:pPr>
      <w:r w:rsidRPr="00AE0BC5">
        <w:rPr>
          <w:b/>
          <w:i/>
        </w:rPr>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AE0BC5" w:rsidRPr="00AE0BC5" w14:paraId="45A3F649" w14:textId="77777777" w:rsidTr="00AE0BC5">
        <w:trPr>
          <w:trHeight w:val="346"/>
        </w:trPr>
        <w:tc>
          <w:tcPr>
            <w:tcW w:w="336" w:type="pct"/>
            <w:shd w:val="clear" w:color="auto" w:fill="F2F2F2"/>
          </w:tcPr>
          <w:p w14:paraId="58331859" w14:textId="77777777" w:rsidR="00AE0BC5" w:rsidRPr="00AE0BC5" w:rsidRDefault="00AE0BC5" w:rsidP="00914D3C">
            <w:r w:rsidRPr="00AE0BC5">
              <w:t>34</w:t>
            </w:r>
          </w:p>
        </w:tc>
        <w:tc>
          <w:tcPr>
            <w:tcW w:w="1328" w:type="pct"/>
            <w:shd w:val="clear" w:color="auto" w:fill="F2F2F2"/>
            <w:vAlign w:val="center"/>
          </w:tcPr>
          <w:p w14:paraId="3B39E8D9" w14:textId="77777777" w:rsidR="00AE0BC5" w:rsidRPr="00AE0BC5" w:rsidRDefault="00AE0BC5" w:rsidP="00914D3C">
            <w:r w:rsidRPr="00AE0BC5">
              <w:t>Academic Director/ Assistant Dean:</w:t>
            </w:r>
          </w:p>
        </w:tc>
        <w:tc>
          <w:tcPr>
            <w:tcW w:w="2323" w:type="pct"/>
            <w:shd w:val="clear" w:color="auto" w:fill="auto"/>
            <w:vAlign w:val="center"/>
          </w:tcPr>
          <w:p w14:paraId="37A6907E" w14:textId="77777777" w:rsidR="00AE0BC5" w:rsidRPr="00AE0BC5" w:rsidRDefault="00AE0BC5" w:rsidP="00914D3C"/>
        </w:tc>
        <w:tc>
          <w:tcPr>
            <w:tcW w:w="1014" w:type="pct"/>
            <w:vMerge w:val="restart"/>
          </w:tcPr>
          <w:p w14:paraId="0C020C71" w14:textId="77777777" w:rsidR="00AE0BC5" w:rsidRPr="00AE0BC5" w:rsidRDefault="00AE0BC5" w:rsidP="00914D3C">
            <w:r w:rsidRPr="00AE0BC5">
              <w:rPr>
                <w:b/>
                <w:bCs/>
              </w:rPr>
              <w:t>Date:</w:t>
            </w:r>
          </w:p>
        </w:tc>
      </w:tr>
      <w:tr w:rsidR="00AE0BC5" w:rsidRPr="00AE0BC5" w14:paraId="24DD0271" w14:textId="77777777" w:rsidTr="00AE0BC5">
        <w:trPr>
          <w:trHeight w:val="347"/>
        </w:trPr>
        <w:tc>
          <w:tcPr>
            <w:tcW w:w="336" w:type="pct"/>
            <w:shd w:val="clear" w:color="auto" w:fill="F2F2F2"/>
          </w:tcPr>
          <w:p w14:paraId="3E2C20F1" w14:textId="77777777" w:rsidR="00AE0BC5" w:rsidRPr="00AE0BC5" w:rsidRDefault="00AE0BC5" w:rsidP="00914D3C">
            <w:r w:rsidRPr="00AE0BC5">
              <w:t>35</w:t>
            </w:r>
          </w:p>
        </w:tc>
        <w:tc>
          <w:tcPr>
            <w:tcW w:w="1328" w:type="pct"/>
            <w:shd w:val="clear" w:color="auto" w:fill="F2F2F2"/>
            <w:vAlign w:val="center"/>
          </w:tcPr>
          <w:p w14:paraId="3DF88FE6" w14:textId="77777777" w:rsidR="00AE0BC5" w:rsidRPr="00AE0BC5" w:rsidRDefault="00AE0BC5" w:rsidP="00914D3C">
            <w:r w:rsidRPr="00AE0BC5">
              <w:t>Signature:</w:t>
            </w:r>
          </w:p>
        </w:tc>
        <w:tc>
          <w:tcPr>
            <w:tcW w:w="2323" w:type="pct"/>
            <w:shd w:val="clear" w:color="auto" w:fill="auto"/>
            <w:vAlign w:val="center"/>
          </w:tcPr>
          <w:p w14:paraId="03B535F0" w14:textId="77777777" w:rsidR="00AE0BC5" w:rsidRPr="00AE0BC5" w:rsidRDefault="00AE0BC5" w:rsidP="00914D3C"/>
          <w:p w14:paraId="59E2E152" w14:textId="77777777" w:rsidR="00AE0BC5" w:rsidRPr="00AE0BC5" w:rsidRDefault="00AE0BC5" w:rsidP="00914D3C"/>
        </w:tc>
        <w:tc>
          <w:tcPr>
            <w:tcW w:w="1014" w:type="pct"/>
            <w:vMerge/>
            <w:vAlign w:val="center"/>
          </w:tcPr>
          <w:p w14:paraId="6FEAFC46" w14:textId="77777777" w:rsidR="00AE0BC5" w:rsidRPr="00AE0BC5" w:rsidRDefault="00AE0BC5" w:rsidP="00914D3C"/>
        </w:tc>
      </w:tr>
    </w:tbl>
    <w:p w14:paraId="4DB36A03" w14:textId="77777777" w:rsidR="00AE0BC5" w:rsidRPr="00AE0BC5" w:rsidRDefault="00AE0BC5" w:rsidP="00914D3C">
      <w:pPr>
        <w:rPr>
          <w:b/>
        </w:rPr>
      </w:pPr>
    </w:p>
    <w:p w14:paraId="76F6E16F" w14:textId="77777777" w:rsidR="00AE0BC5" w:rsidRPr="00AE0BC5" w:rsidRDefault="00AE0BC5" w:rsidP="00914D3C">
      <w:pPr>
        <w:rPr>
          <w:bCs/>
        </w:rPr>
      </w:pPr>
      <w:r w:rsidRPr="00AE0BC5">
        <w:rPr>
          <w:b/>
        </w:rPr>
        <w:lastRenderedPageBreak/>
        <w:t xml:space="preserve">Checklist: </w:t>
      </w:r>
      <w:r w:rsidRPr="00AE0BC5">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E0BC5" w:rsidRPr="00AE0BC5" w14:paraId="5F777847" w14:textId="77777777" w:rsidTr="00AE0BC5">
        <w:trPr>
          <w:trHeight w:val="491"/>
        </w:trPr>
        <w:tc>
          <w:tcPr>
            <w:tcW w:w="675" w:type="dxa"/>
            <w:shd w:val="clear" w:color="auto" w:fill="BFBFBF"/>
            <w:vAlign w:val="center"/>
          </w:tcPr>
          <w:sdt>
            <w:sdtPr>
              <w:rPr>
                <w:b/>
                <w:bCs/>
                <w:sz w:val="20"/>
              </w:rPr>
              <w:id w:val="1454446193"/>
              <w14:checkbox>
                <w14:checked w14:val="1"/>
                <w14:checkedState w14:val="2612" w14:font="MS Gothic"/>
                <w14:uncheckedState w14:val="2610" w14:font="MS Gothic"/>
              </w14:checkbox>
            </w:sdtPr>
            <w:sdtEndPr/>
            <w:sdtContent>
              <w:p w14:paraId="78335230" w14:textId="77777777" w:rsidR="00AE0BC5" w:rsidRPr="00AE0BC5" w:rsidRDefault="00AE0BC5" w:rsidP="00914D3C">
                <w:pPr>
                  <w:rPr>
                    <w:rFonts w:eastAsia="MS Gothic"/>
                    <w:bCs/>
                  </w:rPr>
                </w:pPr>
                <w:r w:rsidRPr="00AE0BC5">
                  <w:rPr>
                    <w:rFonts w:ascii="Segoe UI Symbol" w:hAnsi="Segoe UI Symbol" w:cs="Segoe UI Symbol"/>
                    <w:b/>
                    <w:bCs/>
                    <w:sz w:val="20"/>
                  </w:rPr>
                  <w:t>☒</w:t>
                </w:r>
              </w:p>
            </w:sdtContent>
          </w:sdt>
        </w:tc>
        <w:tc>
          <w:tcPr>
            <w:tcW w:w="9810" w:type="dxa"/>
            <w:vAlign w:val="center"/>
          </w:tcPr>
          <w:p w14:paraId="63E4E6CF" w14:textId="77777777" w:rsidR="00AE0BC5" w:rsidRPr="00AE0BC5" w:rsidRDefault="00AE0BC5" w:rsidP="00914D3C">
            <w:pPr>
              <w:rPr>
                <w:rFonts w:eastAsia="MS Gothic"/>
                <w:bCs/>
              </w:rPr>
            </w:pPr>
            <w:r w:rsidRPr="00AE0BC5">
              <w:rPr>
                <w:rFonts w:eastAsia="MS Gothic"/>
                <w:bCs/>
              </w:rPr>
              <w:t>I have read the guidance notes supplied before completing the form.</w:t>
            </w:r>
          </w:p>
        </w:tc>
      </w:tr>
      <w:tr w:rsidR="00AE0BC5" w:rsidRPr="00AE0BC5" w14:paraId="46A72B36" w14:textId="77777777" w:rsidTr="00AE0BC5">
        <w:trPr>
          <w:trHeight w:val="413"/>
        </w:trPr>
        <w:tc>
          <w:tcPr>
            <w:tcW w:w="675" w:type="dxa"/>
            <w:shd w:val="clear" w:color="auto" w:fill="BFBFBF"/>
            <w:vAlign w:val="center"/>
          </w:tcPr>
          <w:sdt>
            <w:sdtPr>
              <w:rPr>
                <w:b/>
                <w:bCs/>
                <w:sz w:val="20"/>
              </w:rPr>
              <w:id w:val="-17703630"/>
              <w14:checkbox>
                <w14:checked w14:val="1"/>
                <w14:checkedState w14:val="2612" w14:font="MS Gothic"/>
                <w14:uncheckedState w14:val="2610" w14:font="MS Gothic"/>
              </w14:checkbox>
            </w:sdtPr>
            <w:sdtEndPr/>
            <w:sdtContent>
              <w:p w14:paraId="054E16E9" w14:textId="77777777" w:rsidR="00AE0BC5" w:rsidRPr="00AE0BC5" w:rsidRDefault="00AE0BC5" w:rsidP="00914D3C">
                <w:pPr>
                  <w:rPr>
                    <w:rFonts w:eastAsia="MS Gothic"/>
                    <w:bCs/>
                  </w:rPr>
                </w:pPr>
                <w:r w:rsidRPr="00AE0BC5">
                  <w:rPr>
                    <w:rFonts w:ascii="Segoe UI Symbol" w:hAnsi="Segoe UI Symbol" w:cs="Segoe UI Symbol"/>
                    <w:b/>
                    <w:bCs/>
                    <w:sz w:val="20"/>
                  </w:rPr>
                  <w:t>☒</w:t>
                </w:r>
              </w:p>
            </w:sdtContent>
          </w:sdt>
        </w:tc>
        <w:tc>
          <w:tcPr>
            <w:tcW w:w="9810" w:type="dxa"/>
            <w:vAlign w:val="center"/>
          </w:tcPr>
          <w:p w14:paraId="1FD19754" w14:textId="77777777" w:rsidR="00AE0BC5" w:rsidRPr="00AE0BC5" w:rsidRDefault="00AE0BC5" w:rsidP="00914D3C">
            <w:r w:rsidRPr="00AE0BC5">
              <w:t xml:space="preserve">I have completed </w:t>
            </w:r>
            <w:r w:rsidRPr="00AE0BC5">
              <w:rPr>
                <w:b/>
              </w:rPr>
              <w:t>ALL RELEVANT</w:t>
            </w:r>
            <w:r w:rsidRPr="00AE0BC5">
              <w:t xml:space="preserve"> sections of the form in full.</w:t>
            </w:r>
          </w:p>
        </w:tc>
      </w:tr>
      <w:tr w:rsidR="00AE0BC5" w:rsidRPr="00AE0BC5" w14:paraId="436F6564" w14:textId="77777777" w:rsidTr="00AE0BC5">
        <w:trPr>
          <w:trHeight w:val="419"/>
        </w:trPr>
        <w:tc>
          <w:tcPr>
            <w:tcW w:w="675" w:type="dxa"/>
            <w:shd w:val="clear" w:color="auto" w:fill="BFBFBF"/>
            <w:vAlign w:val="center"/>
          </w:tcPr>
          <w:sdt>
            <w:sdtPr>
              <w:rPr>
                <w:b/>
                <w:bCs/>
                <w:sz w:val="20"/>
              </w:rPr>
              <w:id w:val="1393921880"/>
              <w14:checkbox>
                <w14:checked w14:val="1"/>
                <w14:checkedState w14:val="2612" w14:font="MS Gothic"/>
                <w14:uncheckedState w14:val="2610" w14:font="MS Gothic"/>
              </w14:checkbox>
            </w:sdtPr>
            <w:sdtEndPr/>
            <w:sdtContent>
              <w:p w14:paraId="16318B37" w14:textId="77777777" w:rsidR="00AE0BC5" w:rsidRPr="00AE0BC5" w:rsidRDefault="00AE0BC5" w:rsidP="00914D3C">
                <w:r w:rsidRPr="00AE0BC5">
                  <w:rPr>
                    <w:rFonts w:ascii="Segoe UI Symbol" w:hAnsi="Segoe UI Symbol" w:cs="Segoe UI Symbol"/>
                    <w:b/>
                    <w:bCs/>
                    <w:sz w:val="20"/>
                  </w:rPr>
                  <w:t>☒</w:t>
                </w:r>
              </w:p>
            </w:sdtContent>
          </w:sdt>
        </w:tc>
        <w:tc>
          <w:tcPr>
            <w:tcW w:w="9810" w:type="dxa"/>
            <w:vAlign w:val="center"/>
          </w:tcPr>
          <w:p w14:paraId="05B6733C" w14:textId="77777777" w:rsidR="00AE0BC5" w:rsidRPr="00AE0BC5" w:rsidRDefault="00AE0BC5" w:rsidP="00914D3C">
            <w:r w:rsidRPr="00AE0BC5">
              <w:t>I confirm that the research activity has received approval in principle</w:t>
            </w:r>
          </w:p>
        </w:tc>
      </w:tr>
      <w:tr w:rsidR="00AE0BC5" w:rsidRPr="00AE0BC5" w14:paraId="67E451DE" w14:textId="77777777" w:rsidTr="00AE0BC5">
        <w:trPr>
          <w:trHeight w:val="492"/>
        </w:trPr>
        <w:tc>
          <w:tcPr>
            <w:tcW w:w="675" w:type="dxa"/>
            <w:shd w:val="clear" w:color="auto" w:fill="BFBFBF"/>
            <w:vAlign w:val="center"/>
          </w:tcPr>
          <w:sdt>
            <w:sdtPr>
              <w:rPr>
                <w:b/>
                <w:bCs/>
                <w:sz w:val="20"/>
              </w:rPr>
              <w:id w:val="-1978295672"/>
              <w14:checkbox>
                <w14:checked w14:val="0"/>
                <w14:checkedState w14:val="2612" w14:font="MS Gothic"/>
                <w14:uncheckedState w14:val="2610" w14:font="MS Gothic"/>
              </w14:checkbox>
            </w:sdtPr>
            <w:sdtEndPr/>
            <w:sdtContent>
              <w:p w14:paraId="239187B2" w14:textId="77777777" w:rsidR="00AE0BC5" w:rsidRPr="00AE0BC5" w:rsidRDefault="00AE0BC5" w:rsidP="00914D3C">
                <w:r w:rsidRPr="00AE0BC5">
                  <w:rPr>
                    <w:rFonts w:ascii="Segoe UI Symbol" w:hAnsi="Segoe UI Symbol" w:cs="Segoe UI Symbol"/>
                    <w:b/>
                    <w:bCs/>
                    <w:sz w:val="20"/>
                  </w:rPr>
                  <w:t>☐</w:t>
                </w:r>
              </w:p>
            </w:sdtContent>
          </w:sdt>
        </w:tc>
        <w:tc>
          <w:tcPr>
            <w:tcW w:w="9810" w:type="dxa"/>
            <w:vAlign w:val="center"/>
          </w:tcPr>
          <w:p w14:paraId="210F6D64" w14:textId="77777777" w:rsidR="00AE0BC5" w:rsidRPr="00AE0BC5" w:rsidRDefault="00AE0BC5" w:rsidP="00914D3C">
            <w:r w:rsidRPr="00AE0BC5">
              <w:t>I have attached a copy of final/interim approval from external organisation (</w:t>
            </w:r>
            <w:r w:rsidRPr="00AE0BC5">
              <w:rPr>
                <w:b/>
              </w:rPr>
              <w:t>where appropriate</w:t>
            </w:r>
            <w:r w:rsidRPr="00AE0BC5">
              <w:t>)</w:t>
            </w:r>
          </w:p>
        </w:tc>
      </w:tr>
      <w:tr w:rsidR="00AE0BC5" w:rsidRPr="00AE0BC5" w14:paraId="6F5F8028" w14:textId="77777777" w:rsidTr="00AE0BC5">
        <w:trPr>
          <w:trHeight w:val="720"/>
        </w:trPr>
        <w:tc>
          <w:tcPr>
            <w:tcW w:w="675" w:type="dxa"/>
            <w:shd w:val="clear" w:color="auto" w:fill="BFBFBF"/>
            <w:vAlign w:val="center"/>
          </w:tcPr>
          <w:sdt>
            <w:sdtPr>
              <w:rPr>
                <w:b/>
                <w:bCs/>
                <w:sz w:val="20"/>
              </w:rPr>
              <w:id w:val="1893926499"/>
              <w14:checkbox>
                <w14:checked w14:val="0"/>
                <w14:checkedState w14:val="2612" w14:font="MS Gothic"/>
                <w14:uncheckedState w14:val="2610" w14:font="MS Gothic"/>
              </w14:checkbox>
            </w:sdtPr>
            <w:sdtEndPr/>
            <w:sdtContent>
              <w:p w14:paraId="3D25A8DC" w14:textId="77777777" w:rsidR="00AE0BC5" w:rsidRPr="00AE0BC5" w:rsidRDefault="00AE0BC5" w:rsidP="00914D3C">
                <w:pPr>
                  <w:rPr>
                    <w:b/>
                    <w:bCs/>
                    <w:sz w:val="20"/>
                  </w:rPr>
                </w:pPr>
                <w:r w:rsidRPr="00AE0BC5">
                  <w:rPr>
                    <w:rFonts w:ascii="Segoe UI Symbol" w:hAnsi="Segoe UI Symbol" w:cs="Segoe UI Symbol"/>
                    <w:b/>
                    <w:bCs/>
                    <w:sz w:val="20"/>
                  </w:rPr>
                  <w:t>☐</w:t>
                </w:r>
              </w:p>
            </w:sdtContent>
          </w:sdt>
        </w:tc>
        <w:tc>
          <w:tcPr>
            <w:tcW w:w="9810" w:type="dxa"/>
            <w:vAlign w:val="center"/>
          </w:tcPr>
          <w:p w14:paraId="68CBD962" w14:textId="77777777" w:rsidR="00AE0BC5" w:rsidRPr="00AE0BC5" w:rsidRDefault="00AE0BC5" w:rsidP="00914D3C">
            <w:r w:rsidRPr="00AE0BC5">
              <w:t xml:space="preserve">I have attached a full risk assessment (and have NOT completed Section H of this form) (where </w:t>
            </w:r>
            <w:proofErr w:type="gramStart"/>
            <w:r w:rsidRPr="00AE0BC5">
              <w:t xml:space="preserve">appropriate)  </w:t>
            </w:r>
            <w:r w:rsidRPr="00AE0BC5">
              <w:rPr>
                <w:i/>
              </w:rPr>
              <w:t>ONLY</w:t>
            </w:r>
            <w:proofErr w:type="gramEnd"/>
            <w:r w:rsidRPr="00AE0BC5">
              <w:rPr>
                <w:i/>
              </w:rPr>
              <w:t xml:space="preserve"> TICK IF YOU HAVE</w:t>
            </w:r>
            <w:r w:rsidRPr="00AE0BC5">
              <w:rPr>
                <w:b/>
                <w:i/>
              </w:rPr>
              <w:t xml:space="preserve"> ATTACHED A FULL RISK ASSESSMENT</w:t>
            </w:r>
          </w:p>
        </w:tc>
      </w:tr>
      <w:tr w:rsidR="00AE0BC5" w:rsidRPr="00AE0BC5" w14:paraId="741A570D" w14:textId="77777777" w:rsidTr="00AE0BC5">
        <w:trPr>
          <w:trHeight w:val="858"/>
        </w:trPr>
        <w:tc>
          <w:tcPr>
            <w:tcW w:w="675" w:type="dxa"/>
            <w:shd w:val="clear" w:color="auto" w:fill="BFBFBF"/>
            <w:vAlign w:val="center"/>
          </w:tcPr>
          <w:sdt>
            <w:sdtPr>
              <w:rPr>
                <w:b/>
                <w:bCs/>
                <w:sz w:val="20"/>
              </w:rPr>
              <w:id w:val="1189257540"/>
              <w14:checkbox>
                <w14:checked w14:val="1"/>
                <w14:checkedState w14:val="2612" w14:font="MS Gothic"/>
                <w14:uncheckedState w14:val="2610" w14:font="MS Gothic"/>
              </w14:checkbox>
            </w:sdtPr>
            <w:sdtEndPr/>
            <w:sdtContent>
              <w:p w14:paraId="3DC46C87" w14:textId="77777777" w:rsidR="00AE0BC5" w:rsidRPr="00AE0BC5" w:rsidRDefault="00AE0BC5" w:rsidP="00914D3C">
                <w:r w:rsidRPr="00AE0BC5">
                  <w:rPr>
                    <w:rFonts w:ascii="Segoe UI Symbol" w:hAnsi="Segoe UI Symbol" w:cs="Segoe UI Symbol"/>
                    <w:b/>
                    <w:bCs/>
                    <w:sz w:val="20"/>
                  </w:rPr>
                  <w:t>☒</w:t>
                </w:r>
              </w:p>
            </w:sdtContent>
          </w:sdt>
        </w:tc>
        <w:tc>
          <w:tcPr>
            <w:tcW w:w="9810" w:type="dxa"/>
            <w:vAlign w:val="center"/>
          </w:tcPr>
          <w:p w14:paraId="33844365" w14:textId="77777777" w:rsidR="00AE0BC5" w:rsidRPr="00AE0BC5" w:rsidRDefault="00AE0BC5" w:rsidP="00914D3C">
            <w:r w:rsidRPr="00AE0BC5">
              <w:t xml:space="preserve">I understand that it is my responsibility to ensure that the </w:t>
            </w:r>
            <w:proofErr w:type="gramStart"/>
            <w:r w:rsidRPr="00AE0BC5">
              <w:t>above named</w:t>
            </w:r>
            <w:proofErr w:type="gramEnd"/>
            <w:r w:rsidRPr="00AE0BC5">
              <w:t xml:space="preserve"> research activity will meet the University’s Research Ethics and Integrity Code of Practice.</w:t>
            </w:r>
          </w:p>
        </w:tc>
      </w:tr>
      <w:tr w:rsidR="00AE0BC5" w:rsidRPr="00AE0BC5" w14:paraId="0010B6A9" w14:textId="77777777" w:rsidTr="00AE0BC5">
        <w:trPr>
          <w:trHeight w:val="969"/>
        </w:trPr>
        <w:tc>
          <w:tcPr>
            <w:tcW w:w="675" w:type="dxa"/>
            <w:shd w:val="clear" w:color="auto" w:fill="BFBFBF"/>
            <w:vAlign w:val="center"/>
          </w:tcPr>
          <w:sdt>
            <w:sdtPr>
              <w:rPr>
                <w:b/>
                <w:bCs/>
                <w:sz w:val="20"/>
              </w:rPr>
              <w:id w:val="1030683582"/>
              <w14:checkbox>
                <w14:checked w14:val="0"/>
                <w14:checkedState w14:val="2612" w14:font="MS Gothic"/>
                <w14:uncheckedState w14:val="2610" w14:font="MS Gothic"/>
              </w14:checkbox>
            </w:sdtPr>
            <w:sdtEndPr/>
            <w:sdtContent>
              <w:p w14:paraId="318A7400" w14:textId="77777777" w:rsidR="00AE0BC5" w:rsidRPr="00AE0BC5" w:rsidRDefault="00AE0BC5" w:rsidP="00914D3C">
                <w:r w:rsidRPr="00AE0BC5">
                  <w:rPr>
                    <w:rFonts w:ascii="Segoe UI Symbol" w:hAnsi="Segoe UI Symbol" w:cs="Segoe UI Symbol"/>
                    <w:b/>
                    <w:bCs/>
                    <w:sz w:val="20"/>
                  </w:rPr>
                  <w:t>☐</w:t>
                </w:r>
              </w:p>
            </w:sdtContent>
          </w:sdt>
        </w:tc>
        <w:tc>
          <w:tcPr>
            <w:tcW w:w="9810" w:type="dxa"/>
            <w:vAlign w:val="center"/>
          </w:tcPr>
          <w:p w14:paraId="2790FB98" w14:textId="77777777" w:rsidR="00AE0BC5" w:rsidRPr="00AE0BC5" w:rsidRDefault="00AE0BC5" w:rsidP="00914D3C">
            <w:r w:rsidRPr="00AE0BC5">
              <w:t>I understand that before commencing data collection all documents aimed at respondents (including information sheets, consent forms, questionnaires, interview schedules etc.) must be confirmed by the DoS/Supervisor, module tutor or Academic Director.</w:t>
            </w:r>
          </w:p>
        </w:tc>
      </w:tr>
      <w:tr w:rsidR="00AE0BC5" w:rsidRPr="00AE0BC5" w14:paraId="1E322A52" w14:textId="77777777" w:rsidTr="00AE0BC5">
        <w:trPr>
          <w:trHeight w:val="590"/>
        </w:trPr>
        <w:tc>
          <w:tcPr>
            <w:tcW w:w="675" w:type="dxa"/>
            <w:shd w:val="clear" w:color="auto" w:fill="BFBFBF"/>
            <w:vAlign w:val="center"/>
          </w:tcPr>
          <w:sdt>
            <w:sdtPr>
              <w:rPr>
                <w:b/>
                <w:bCs/>
                <w:sz w:val="20"/>
              </w:rPr>
              <w:id w:val="-174501529"/>
              <w14:checkbox>
                <w14:checked w14:val="1"/>
                <w14:checkedState w14:val="2612" w14:font="MS Gothic"/>
                <w14:uncheckedState w14:val="2610" w14:font="MS Gothic"/>
              </w14:checkbox>
            </w:sdtPr>
            <w:sdtEndPr/>
            <w:sdtContent>
              <w:p w14:paraId="1C3C2CF7" w14:textId="77777777" w:rsidR="00AE0BC5" w:rsidRPr="00AE0BC5" w:rsidRDefault="00AE0BC5" w:rsidP="00914D3C">
                <w:pPr>
                  <w:rPr>
                    <w:b/>
                    <w:bCs/>
                    <w:sz w:val="20"/>
                  </w:rPr>
                </w:pPr>
                <w:r w:rsidRPr="00AE0BC5">
                  <w:rPr>
                    <w:rFonts w:ascii="Segoe UI Symbol" w:hAnsi="Segoe UI Symbol" w:cs="Segoe UI Symbol"/>
                    <w:b/>
                    <w:bCs/>
                    <w:sz w:val="20"/>
                  </w:rPr>
                  <w:t>☒</w:t>
                </w:r>
              </w:p>
            </w:sdtContent>
          </w:sdt>
          <w:p w14:paraId="4B95C2B8" w14:textId="77777777" w:rsidR="00AE0BC5" w:rsidRPr="00AE0BC5" w:rsidRDefault="00AE0BC5" w:rsidP="00914D3C">
            <w:pPr>
              <w:rPr>
                <w:rFonts w:ascii="MS Gothic" w:eastAsia="MS Gothic" w:hAnsi="MS Gothic"/>
                <w:b/>
                <w:bCs/>
                <w:sz w:val="20"/>
              </w:rPr>
            </w:pPr>
          </w:p>
        </w:tc>
        <w:tc>
          <w:tcPr>
            <w:tcW w:w="9810" w:type="dxa"/>
            <w:vAlign w:val="center"/>
          </w:tcPr>
          <w:p w14:paraId="4B5BDCCB" w14:textId="77777777" w:rsidR="00AE0BC5" w:rsidRPr="00AE0BC5" w:rsidRDefault="00AE0BC5" w:rsidP="00914D3C">
            <w:r w:rsidRPr="00AE0BC5">
              <w:t>I have deleted the guidance notes before submitting the PG2 for consideration</w:t>
            </w:r>
          </w:p>
        </w:tc>
      </w:tr>
    </w:tbl>
    <w:p w14:paraId="058E45B6" w14:textId="77777777" w:rsidR="00AE0BC5" w:rsidRPr="00AE0BC5" w:rsidRDefault="00AE0BC5" w:rsidP="00914D3C">
      <w:pPr>
        <w:rPr>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E0BC5" w:rsidRPr="00AE0BC5" w14:paraId="0972AAF3" w14:textId="77777777" w:rsidTr="00AE0BC5">
        <w:tc>
          <w:tcPr>
            <w:tcW w:w="10485" w:type="dxa"/>
            <w:shd w:val="clear" w:color="auto" w:fill="D9D9D9"/>
          </w:tcPr>
          <w:p w14:paraId="3E151A41" w14:textId="77777777" w:rsidR="00AE0BC5" w:rsidRPr="00AE0BC5" w:rsidRDefault="00AE0BC5" w:rsidP="00914D3C">
            <w:pPr>
              <w:rPr>
                <w:b/>
              </w:rPr>
            </w:pPr>
            <w:r w:rsidRPr="00AE0BC5">
              <w:rPr>
                <w:b/>
              </w:rPr>
              <w:t>RESEARCH STUDENTS AND STAFF ONLY</w:t>
            </w:r>
          </w:p>
          <w:p w14:paraId="4A9CFFDC" w14:textId="77777777" w:rsidR="00AE0BC5" w:rsidRPr="00AE0BC5" w:rsidRDefault="00AE0BC5" w:rsidP="00914D3C">
            <w:r w:rsidRPr="00AE0BC5">
              <w:t xml:space="preserve">All communications relating to this application during its processing must be in writing and emailed to </w:t>
            </w:r>
            <w:hyperlink r:id="rId174" w:history="1">
              <w:r w:rsidRPr="00AE0BC5">
                <w:rPr>
                  <w:color w:val="0000FF"/>
                  <w:u w:val="single"/>
                </w:rPr>
                <w:t>pgresearch@uwtsd.ac.uk</w:t>
              </w:r>
            </w:hyperlink>
            <w:r w:rsidRPr="00AE0BC5">
              <w:t xml:space="preserve"> , with the title ‘Ethical Approval’ followed by your name.</w:t>
            </w:r>
          </w:p>
          <w:p w14:paraId="0410895F" w14:textId="77777777" w:rsidR="00AE0BC5" w:rsidRPr="00AE0BC5" w:rsidRDefault="00AE0BC5" w:rsidP="00914D3C">
            <w:r w:rsidRPr="00AE0BC5">
              <w:rPr>
                <w:color w:val="000000"/>
              </w:rPr>
              <w:t xml:space="preserve">You will be informed of the outcome of your claim by email; </w:t>
            </w:r>
            <w:proofErr w:type="gramStart"/>
            <w:r w:rsidRPr="00AE0BC5">
              <w:rPr>
                <w:color w:val="000000"/>
              </w:rPr>
              <w:t>therefore</w:t>
            </w:r>
            <w:proofErr w:type="gramEnd"/>
            <w:r w:rsidRPr="00AE0BC5">
              <w:rPr>
                <w:b/>
                <w:color w:val="000000"/>
              </w:rPr>
              <w:t xml:space="preserve"> </w:t>
            </w:r>
            <w:r w:rsidRPr="00AE0BC5">
              <w:rPr>
                <w:color w:val="000000"/>
              </w:rPr>
              <w:t>it is important that you check your University and personal email accounts regularly</w:t>
            </w:r>
            <w:r w:rsidRPr="00AE0BC5">
              <w:rPr>
                <w:b/>
                <w:bCs/>
              </w:rPr>
              <w:t>.</w:t>
            </w:r>
          </w:p>
        </w:tc>
      </w:tr>
      <w:tr w:rsidR="00AE0BC5" w:rsidRPr="00AE0BC5" w14:paraId="316B032C" w14:textId="77777777" w:rsidTr="00AE0BC5">
        <w:tc>
          <w:tcPr>
            <w:tcW w:w="10485" w:type="dxa"/>
            <w:shd w:val="clear" w:color="auto" w:fill="D9D9D9"/>
          </w:tcPr>
          <w:p w14:paraId="0F14F0EA" w14:textId="77777777" w:rsidR="00AE0BC5" w:rsidRPr="00AE0BC5" w:rsidRDefault="00AE0BC5" w:rsidP="00914D3C">
            <w:pPr>
              <w:rPr>
                <w:b/>
              </w:rPr>
            </w:pPr>
            <w:r w:rsidRPr="00AE0BC5">
              <w:rPr>
                <w:b/>
                <w:bCs/>
              </w:rPr>
              <w:t xml:space="preserve">STUDENTS ON UNDERGRADUATE OR TAUGHT MASTERS PROGRAMMES </w:t>
            </w:r>
            <w:r w:rsidRPr="00AE0BC5">
              <w:rPr>
                <w:bCs/>
              </w:rPr>
              <w:t xml:space="preserve">should </w:t>
            </w:r>
            <w:proofErr w:type="gramStart"/>
            <w:r w:rsidRPr="00AE0BC5">
              <w:rPr>
                <w:bCs/>
              </w:rPr>
              <w:t>submit  this</w:t>
            </w:r>
            <w:proofErr w:type="gramEnd"/>
            <w:r w:rsidRPr="00AE0BC5">
              <w:rPr>
                <w:bCs/>
              </w:rPr>
              <w:t xml:space="preserve"> form (and receive the outcome) via systems explained to you by the supervisor/module leader.</w:t>
            </w:r>
          </w:p>
        </w:tc>
      </w:tr>
    </w:tbl>
    <w:p w14:paraId="7165715E" w14:textId="77777777" w:rsidR="00AE0BC5" w:rsidRPr="00AE0BC5" w:rsidRDefault="00AE0BC5" w:rsidP="00914D3C">
      <w:pPr>
        <w:rPr>
          <w:bCs/>
        </w:rPr>
      </w:pPr>
    </w:p>
    <w:p w14:paraId="35C07ACB" w14:textId="5D3D56EA" w:rsidR="00AE0BC5" w:rsidRDefault="00AE0BC5" w:rsidP="00914D3C"/>
    <w:p w14:paraId="153C324A" w14:textId="41620E36" w:rsidR="00846F69" w:rsidRDefault="00846F69" w:rsidP="00914D3C"/>
    <w:p w14:paraId="69C7F279" w14:textId="77777777" w:rsidR="00846F69" w:rsidRPr="00AE0BC5" w:rsidRDefault="00846F69" w:rsidP="00914D3C"/>
    <w:p w14:paraId="7EC7EB29" w14:textId="77777777" w:rsidR="00846F69" w:rsidRDefault="00846F69">
      <w:pPr>
        <w:rPr>
          <w:rFonts w:asciiTheme="majorHAnsi" w:eastAsia="Times New Roman" w:hAnsiTheme="majorHAnsi" w:cstheme="majorBidi"/>
          <w:color w:val="2F5496" w:themeColor="accent1" w:themeShade="BF"/>
          <w:sz w:val="26"/>
          <w:szCs w:val="26"/>
          <w:lang w:eastAsia="en-GB"/>
        </w:rPr>
      </w:pPr>
      <w:r>
        <w:rPr>
          <w:rFonts w:asciiTheme="majorHAnsi" w:eastAsia="Times New Roman" w:hAnsiTheme="majorHAnsi" w:cstheme="majorBidi"/>
          <w:color w:val="2F5496" w:themeColor="accent1" w:themeShade="BF"/>
          <w:sz w:val="26"/>
          <w:szCs w:val="26"/>
          <w:lang w:eastAsia="en-GB"/>
        </w:rPr>
        <w:br w:type="page"/>
      </w:r>
    </w:p>
    <w:p w14:paraId="4B0BD255" w14:textId="26A40E5E" w:rsidR="00846F69" w:rsidRPr="00846F69" w:rsidRDefault="00846F69" w:rsidP="00846F69">
      <w:pPr>
        <w:keepNext/>
        <w:keepLines/>
        <w:spacing w:before="40" w:after="0" w:afterAutospacing="0" w:line="259" w:lineRule="auto"/>
        <w:outlineLvl w:val="1"/>
        <w:rPr>
          <w:rFonts w:asciiTheme="majorHAnsi" w:eastAsia="Times New Roman" w:hAnsiTheme="majorHAnsi" w:cstheme="majorBidi"/>
          <w:color w:val="2F5496" w:themeColor="accent1" w:themeShade="BF"/>
          <w:sz w:val="26"/>
          <w:szCs w:val="26"/>
          <w:lang w:eastAsia="en-GB"/>
        </w:rPr>
      </w:pPr>
      <w:bookmarkStart w:id="35" w:name="_Toc76631151"/>
      <w:r w:rsidRPr="00846F69">
        <w:rPr>
          <w:rFonts w:asciiTheme="majorHAnsi" w:eastAsia="Times New Roman" w:hAnsiTheme="majorHAnsi" w:cstheme="majorBidi"/>
          <w:color w:val="2F5496" w:themeColor="accent1" w:themeShade="BF"/>
          <w:sz w:val="26"/>
          <w:szCs w:val="26"/>
          <w:lang w:eastAsia="en-GB"/>
        </w:rPr>
        <w:lastRenderedPageBreak/>
        <w:t xml:space="preserve">Appendix 2 – Risky </w:t>
      </w:r>
      <w:proofErr w:type="spellStart"/>
      <w:r w:rsidRPr="00846F69">
        <w:rPr>
          <w:rFonts w:asciiTheme="majorHAnsi" w:eastAsia="Times New Roman" w:hAnsiTheme="majorHAnsi" w:cstheme="majorBidi"/>
          <w:color w:val="2F5496" w:themeColor="accent1" w:themeShade="BF"/>
          <w:sz w:val="26"/>
          <w:szCs w:val="26"/>
          <w:lang w:eastAsia="en-GB"/>
        </w:rPr>
        <w:t>Behavior</w:t>
      </w:r>
      <w:proofErr w:type="spellEnd"/>
      <w:r w:rsidRPr="00846F69">
        <w:rPr>
          <w:rFonts w:asciiTheme="majorHAnsi" w:eastAsia="Times New Roman" w:hAnsiTheme="majorHAnsi" w:cstheme="majorBidi"/>
          <w:color w:val="2F5496" w:themeColor="accent1" w:themeShade="BF"/>
          <w:sz w:val="26"/>
          <w:szCs w:val="26"/>
          <w:lang w:eastAsia="en-GB"/>
        </w:rPr>
        <w:t xml:space="preserve"> Questionnaire for Adolescents (RBQ-A)</w:t>
      </w:r>
      <w:bookmarkEnd w:id="35"/>
    </w:p>
    <w:p w14:paraId="1F90E823" w14:textId="77777777" w:rsidR="00846F69" w:rsidRPr="00846F69" w:rsidRDefault="00846F69" w:rsidP="00846F69">
      <w:pPr>
        <w:spacing w:after="0" w:afterAutospacing="0" w:line="240" w:lineRule="auto"/>
        <w:rPr>
          <w:rFonts w:ascii="Georgia" w:eastAsia="Times New Roman" w:hAnsi="Georgia" w:cs="Times New Roman"/>
          <w:color w:val="2E2E2E"/>
          <w:sz w:val="24"/>
          <w:szCs w:val="24"/>
          <w:lang w:eastAsia="en-GB"/>
        </w:rPr>
      </w:pPr>
    </w:p>
    <w:p w14:paraId="152657B7" w14:textId="77777777" w:rsidR="00846F69" w:rsidRPr="00846F69" w:rsidRDefault="00846F69" w:rsidP="00846F69">
      <w:pPr>
        <w:spacing w:after="0" w:afterAutospacing="0" w:line="240" w:lineRule="auto"/>
        <w:rPr>
          <w:rFonts w:ascii="Times New Roman" w:eastAsia="Times New Roman" w:hAnsi="Times New Roman" w:cs="Times New Roman"/>
          <w:color w:val="2E2E2E"/>
          <w:sz w:val="24"/>
          <w:szCs w:val="24"/>
          <w:lang w:eastAsia="en-GB"/>
        </w:rPr>
      </w:pPr>
      <w:r w:rsidRPr="00846F69">
        <w:rPr>
          <w:rFonts w:ascii="Georgia" w:eastAsia="Times New Roman" w:hAnsi="Georgia" w:cs="Times New Roman"/>
          <w:color w:val="2E2E2E"/>
          <w:sz w:val="24"/>
          <w:szCs w:val="24"/>
          <w:lang w:eastAsia="en-GB"/>
        </w:rPr>
        <w:t>In this questionnaire we are interested in whether certain events have happened to you in the </w:t>
      </w:r>
      <w:r w:rsidRPr="00846F69">
        <w:rPr>
          <w:rFonts w:ascii="Georgia" w:eastAsia="Times New Roman" w:hAnsi="Georgia" w:cs="Times New Roman"/>
          <w:b/>
          <w:bCs/>
          <w:color w:val="2E2E2E"/>
          <w:sz w:val="24"/>
          <w:szCs w:val="24"/>
          <w:lang w:eastAsia="en-GB"/>
        </w:rPr>
        <w:t>past month</w:t>
      </w:r>
      <w:r w:rsidRPr="00846F69">
        <w:rPr>
          <w:rFonts w:ascii="Georgia" w:eastAsia="Times New Roman" w:hAnsi="Georgia" w:cs="Times New Roman"/>
          <w:color w:val="2E2E2E"/>
          <w:sz w:val="24"/>
          <w:szCs w:val="24"/>
          <w:lang w:eastAsia="en-GB"/>
        </w:rPr>
        <w:t>. Please indicate how often the following events have happened to you in the </w:t>
      </w:r>
      <w:r w:rsidRPr="00846F69">
        <w:rPr>
          <w:rFonts w:ascii="Georgia" w:eastAsia="Times New Roman" w:hAnsi="Georgia" w:cs="Times New Roman"/>
          <w:b/>
          <w:bCs/>
          <w:color w:val="2E2E2E"/>
          <w:sz w:val="24"/>
          <w:szCs w:val="24"/>
          <w:lang w:eastAsia="en-GB"/>
        </w:rPr>
        <w:t>past month</w:t>
      </w:r>
      <w:r w:rsidRPr="00846F69">
        <w:rPr>
          <w:rFonts w:ascii="Georgia" w:eastAsia="Times New Roman" w:hAnsi="Georgia" w:cs="Times New Roman"/>
          <w:color w:val="2E2E2E"/>
          <w:sz w:val="24"/>
          <w:szCs w:val="24"/>
          <w:lang w:eastAsia="en-GB"/>
        </w:rPr>
        <w:t>. Please use the following scale: 0 = Never; 1 = Almost never (1 time per month); 2 = Sometimes (2–4 times per month); 3 = Almost always (2–3 times per week); 4 = Always (4 or more times per week).</w:t>
      </w:r>
    </w:p>
    <w:tbl>
      <w:tblPr>
        <w:tblW w:w="9840" w:type="dxa"/>
        <w:tblCellMar>
          <w:left w:w="0" w:type="dxa"/>
          <w:right w:w="0" w:type="dxa"/>
        </w:tblCellMar>
        <w:tblLook w:val="04A0" w:firstRow="1" w:lastRow="0" w:firstColumn="1" w:lastColumn="0" w:noHBand="0" w:noVBand="1"/>
      </w:tblPr>
      <w:tblGrid>
        <w:gridCol w:w="413"/>
        <w:gridCol w:w="4755"/>
        <w:gridCol w:w="687"/>
        <w:gridCol w:w="1010"/>
        <w:gridCol w:w="1119"/>
        <w:gridCol w:w="1052"/>
        <w:gridCol w:w="804"/>
      </w:tblGrid>
      <w:tr w:rsidR="00846F69" w:rsidRPr="00846F69" w14:paraId="6276AEC9" w14:textId="77777777" w:rsidTr="00223E6D">
        <w:trPr>
          <w:tblHeader/>
        </w:trPr>
        <w:tc>
          <w:tcPr>
            <w:tcW w:w="0" w:type="auto"/>
            <w:tcBorders>
              <w:bottom w:val="single" w:sz="6" w:space="0" w:color="EBEBEB"/>
              <w:right w:val="nil"/>
            </w:tcBorders>
            <w:tcMar>
              <w:top w:w="75" w:type="dxa"/>
              <w:left w:w="75" w:type="dxa"/>
              <w:bottom w:w="75" w:type="dxa"/>
              <w:right w:w="75" w:type="dxa"/>
            </w:tcMar>
            <w:hideMark/>
          </w:tcPr>
          <w:p w14:paraId="7AFFC884" w14:textId="77777777" w:rsidR="00846F69" w:rsidRPr="00846F69" w:rsidRDefault="00846F69" w:rsidP="00846F69">
            <w:pPr>
              <w:spacing w:after="0" w:afterAutospacing="0" w:line="240" w:lineRule="auto"/>
              <w:rPr>
                <w:rFonts w:ascii="Georgia" w:eastAsia="Times New Roman" w:hAnsi="Georgia" w:cs="Times New Roman"/>
                <w:color w:val="2E2E2E"/>
                <w:sz w:val="27"/>
                <w:szCs w:val="27"/>
                <w:lang w:eastAsia="en-GB"/>
              </w:rPr>
            </w:pPr>
          </w:p>
        </w:tc>
        <w:tc>
          <w:tcPr>
            <w:tcW w:w="0" w:type="auto"/>
            <w:tcBorders>
              <w:bottom w:val="single" w:sz="6" w:space="0" w:color="EBEBEB"/>
              <w:right w:val="nil"/>
            </w:tcBorders>
            <w:tcMar>
              <w:top w:w="75" w:type="dxa"/>
              <w:left w:w="75" w:type="dxa"/>
              <w:bottom w:w="75" w:type="dxa"/>
              <w:right w:w="75" w:type="dxa"/>
            </w:tcMar>
            <w:hideMark/>
          </w:tcPr>
          <w:p w14:paraId="41BC6345" w14:textId="77777777" w:rsidR="00846F69" w:rsidRPr="00846F69" w:rsidRDefault="00846F69" w:rsidP="00846F69">
            <w:pPr>
              <w:spacing w:after="0" w:afterAutospacing="0" w:line="240" w:lineRule="auto"/>
              <w:jc w:val="center"/>
              <w:rPr>
                <w:rFonts w:ascii="Times New Roman" w:eastAsia="Times New Roman" w:hAnsi="Times New Roman" w:cs="Times New Roman"/>
                <w:b/>
                <w:bCs/>
                <w:color w:val="auto"/>
                <w:sz w:val="21"/>
                <w:szCs w:val="21"/>
                <w:lang w:eastAsia="en-GB"/>
              </w:rPr>
            </w:pPr>
            <w:r w:rsidRPr="00846F69">
              <w:rPr>
                <w:rFonts w:ascii="Times New Roman" w:eastAsia="Times New Roman" w:hAnsi="Times New Roman" w:cs="Times New Roman"/>
                <w:b/>
                <w:bCs/>
                <w:color w:val="auto"/>
                <w:sz w:val="21"/>
                <w:szCs w:val="21"/>
                <w:lang w:eastAsia="en-GB"/>
              </w:rPr>
              <w:t>Questions</w:t>
            </w:r>
          </w:p>
        </w:tc>
        <w:tc>
          <w:tcPr>
            <w:tcW w:w="0" w:type="auto"/>
            <w:tcBorders>
              <w:bottom w:val="single" w:sz="6" w:space="0" w:color="EBEBEB"/>
              <w:right w:val="nil"/>
            </w:tcBorders>
            <w:tcMar>
              <w:top w:w="75" w:type="dxa"/>
              <w:left w:w="75" w:type="dxa"/>
              <w:bottom w:w="75" w:type="dxa"/>
              <w:right w:w="75" w:type="dxa"/>
            </w:tcMar>
            <w:hideMark/>
          </w:tcPr>
          <w:p w14:paraId="73391685" w14:textId="77777777" w:rsidR="00846F69" w:rsidRPr="00846F69" w:rsidRDefault="00846F69" w:rsidP="00846F69">
            <w:pPr>
              <w:spacing w:after="0" w:afterAutospacing="0" w:line="240" w:lineRule="auto"/>
              <w:jc w:val="center"/>
              <w:rPr>
                <w:rFonts w:ascii="Times New Roman" w:eastAsia="Times New Roman" w:hAnsi="Times New Roman" w:cs="Times New Roman"/>
                <w:b/>
                <w:bCs/>
                <w:color w:val="auto"/>
                <w:sz w:val="21"/>
                <w:szCs w:val="21"/>
                <w:lang w:eastAsia="en-GB"/>
              </w:rPr>
            </w:pPr>
            <w:r w:rsidRPr="00846F69">
              <w:rPr>
                <w:rFonts w:ascii="Times New Roman" w:eastAsia="Times New Roman" w:hAnsi="Times New Roman" w:cs="Times New Roman"/>
                <w:b/>
                <w:bCs/>
                <w:color w:val="auto"/>
                <w:sz w:val="21"/>
                <w:szCs w:val="21"/>
                <w:lang w:eastAsia="en-GB"/>
              </w:rPr>
              <w:t>Never</w:t>
            </w:r>
          </w:p>
        </w:tc>
        <w:tc>
          <w:tcPr>
            <w:tcW w:w="0" w:type="auto"/>
            <w:tcBorders>
              <w:bottom w:val="single" w:sz="6" w:space="0" w:color="EBEBEB"/>
              <w:right w:val="nil"/>
            </w:tcBorders>
            <w:tcMar>
              <w:top w:w="75" w:type="dxa"/>
              <w:left w:w="75" w:type="dxa"/>
              <w:bottom w:w="75" w:type="dxa"/>
              <w:right w:w="75" w:type="dxa"/>
            </w:tcMar>
            <w:hideMark/>
          </w:tcPr>
          <w:p w14:paraId="7021DEF4" w14:textId="77777777" w:rsidR="00846F69" w:rsidRPr="00846F69" w:rsidRDefault="00846F69" w:rsidP="00846F69">
            <w:pPr>
              <w:spacing w:after="0" w:afterAutospacing="0" w:line="240" w:lineRule="auto"/>
              <w:jc w:val="center"/>
              <w:rPr>
                <w:rFonts w:ascii="Times New Roman" w:eastAsia="Times New Roman" w:hAnsi="Times New Roman" w:cs="Times New Roman"/>
                <w:b/>
                <w:bCs/>
                <w:color w:val="auto"/>
                <w:sz w:val="21"/>
                <w:szCs w:val="21"/>
                <w:lang w:eastAsia="en-GB"/>
              </w:rPr>
            </w:pPr>
            <w:r w:rsidRPr="00846F69">
              <w:rPr>
                <w:rFonts w:ascii="Times New Roman" w:eastAsia="Times New Roman" w:hAnsi="Times New Roman" w:cs="Times New Roman"/>
                <w:b/>
                <w:bCs/>
                <w:color w:val="auto"/>
                <w:sz w:val="21"/>
                <w:szCs w:val="21"/>
                <w:lang w:eastAsia="en-GB"/>
              </w:rPr>
              <w:t>Almost never</w:t>
            </w:r>
          </w:p>
        </w:tc>
        <w:tc>
          <w:tcPr>
            <w:tcW w:w="0" w:type="auto"/>
            <w:tcBorders>
              <w:bottom w:val="single" w:sz="6" w:space="0" w:color="EBEBEB"/>
              <w:right w:val="nil"/>
            </w:tcBorders>
            <w:tcMar>
              <w:top w:w="75" w:type="dxa"/>
              <w:left w:w="75" w:type="dxa"/>
              <w:bottom w:w="75" w:type="dxa"/>
              <w:right w:w="75" w:type="dxa"/>
            </w:tcMar>
            <w:hideMark/>
          </w:tcPr>
          <w:p w14:paraId="5E73338B" w14:textId="77777777" w:rsidR="00846F69" w:rsidRPr="00846F69" w:rsidRDefault="00846F69" w:rsidP="00846F69">
            <w:pPr>
              <w:spacing w:after="0" w:afterAutospacing="0" w:line="240" w:lineRule="auto"/>
              <w:jc w:val="center"/>
              <w:rPr>
                <w:rFonts w:ascii="Times New Roman" w:eastAsia="Times New Roman" w:hAnsi="Times New Roman" w:cs="Times New Roman"/>
                <w:b/>
                <w:bCs/>
                <w:color w:val="auto"/>
                <w:sz w:val="21"/>
                <w:szCs w:val="21"/>
                <w:lang w:eastAsia="en-GB"/>
              </w:rPr>
            </w:pPr>
            <w:r w:rsidRPr="00846F69">
              <w:rPr>
                <w:rFonts w:ascii="Times New Roman" w:eastAsia="Times New Roman" w:hAnsi="Times New Roman" w:cs="Times New Roman"/>
                <w:b/>
                <w:bCs/>
                <w:color w:val="auto"/>
                <w:sz w:val="21"/>
                <w:szCs w:val="21"/>
                <w:lang w:eastAsia="en-GB"/>
              </w:rPr>
              <w:t>Sometimes</w:t>
            </w:r>
          </w:p>
        </w:tc>
        <w:tc>
          <w:tcPr>
            <w:tcW w:w="0" w:type="auto"/>
            <w:tcBorders>
              <w:bottom w:val="single" w:sz="6" w:space="0" w:color="EBEBEB"/>
              <w:right w:val="nil"/>
            </w:tcBorders>
            <w:tcMar>
              <w:top w:w="75" w:type="dxa"/>
              <w:left w:w="75" w:type="dxa"/>
              <w:bottom w:w="75" w:type="dxa"/>
              <w:right w:w="75" w:type="dxa"/>
            </w:tcMar>
            <w:hideMark/>
          </w:tcPr>
          <w:p w14:paraId="048D53E9" w14:textId="77777777" w:rsidR="00846F69" w:rsidRPr="00846F69" w:rsidRDefault="00846F69" w:rsidP="00846F69">
            <w:pPr>
              <w:spacing w:after="0" w:afterAutospacing="0" w:line="240" w:lineRule="auto"/>
              <w:jc w:val="center"/>
              <w:rPr>
                <w:rFonts w:ascii="Times New Roman" w:eastAsia="Times New Roman" w:hAnsi="Times New Roman" w:cs="Times New Roman"/>
                <w:b/>
                <w:bCs/>
                <w:color w:val="auto"/>
                <w:sz w:val="21"/>
                <w:szCs w:val="21"/>
                <w:lang w:eastAsia="en-GB"/>
              </w:rPr>
            </w:pPr>
            <w:r w:rsidRPr="00846F69">
              <w:rPr>
                <w:rFonts w:ascii="Times New Roman" w:eastAsia="Times New Roman" w:hAnsi="Times New Roman" w:cs="Times New Roman"/>
                <w:b/>
                <w:bCs/>
                <w:color w:val="auto"/>
                <w:sz w:val="21"/>
                <w:szCs w:val="21"/>
                <w:lang w:eastAsia="en-GB"/>
              </w:rPr>
              <w:t>Almost always</w:t>
            </w:r>
          </w:p>
        </w:tc>
        <w:tc>
          <w:tcPr>
            <w:tcW w:w="0" w:type="auto"/>
            <w:tcBorders>
              <w:bottom w:val="single" w:sz="6" w:space="0" w:color="EBEBEB"/>
              <w:right w:val="nil"/>
            </w:tcBorders>
            <w:tcMar>
              <w:top w:w="75" w:type="dxa"/>
              <w:left w:w="75" w:type="dxa"/>
              <w:bottom w:w="75" w:type="dxa"/>
              <w:right w:w="75" w:type="dxa"/>
            </w:tcMar>
            <w:hideMark/>
          </w:tcPr>
          <w:p w14:paraId="3CD8C126" w14:textId="77777777" w:rsidR="00846F69" w:rsidRPr="00846F69" w:rsidRDefault="00846F69" w:rsidP="00846F69">
            <w:pPr>
              <w:spacing w:after="0" w:afterAutospacing="0" w:line="240" w:lineRule="auto"/>
              <w:jc w:val="center"/>
              <w:rPr>
                <w:rFonts w:ascii="Times New Roman" w:eastAsia="Times New Roman" w:hAnsi="Times New Roman" w:cs="Times New Roman"/>
                <w:b/>
                <w:bCs/>
                <w:color w:val="auto"/>
                <w:sz w:val="21"/>
                <w:szCs w:val="21"/>
                <w:lang w:eastAsia="en-GB"/>
              </w:rPr>
            </w:pPr>
            <w:r w:rsidRPr="00846F69">
              <w:rPr>
                <w:rFonts w:ascii="Times New Roman" w:eastAsia="Times New Roman" w:hAnsi="Times New Roman" w:cs="Times New Roman"/>
                <w:b/>
                <w:bCs/>
                <w:color w:val="auto"/>
                <w:sz w:val="21"/>
                <w:szCs w:val="21"/>
                <w:lang w:eastAsia="en-GB"/>
              </w:rPr>
              <w:t>Always</w:t>
            </w:r>
          </w:p>
        </w:tc>
      </w:tr>
      <w:tr w:rsidR="00846F69" w:rsidRPr="00846F69" w14:paraId="2B7AEA86" w14:textId="77777777" w:rsidTr="00223E6D">
        <w:tc>
          <w:tcPr>
            <w:tcW w:w="0" w:type="auto"/>
            <w:tcBorders>
              <w:bottom w:val="nil"/>
              <w:right w:val="nil"/>
            </w:tcBorders>
            <w:tcMar>
              <w:top w:w="75" w:type="dxa"/>
              <w:left w:w="75" w:type="dxa"/>
              <w:bottom w:w="75" w:type="dxa"/>
              <w:right w:w="75" w:type="dxa"/>
            </w:tcMar>
            <w:hideMark/>
          </w:tcPr>
          <w:p w14:paraId="7E1C490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1.</w:t>
            </w:r>
          </w:p>
        </w:tc>
        <w:tc>
          <w:tcPr>
            <w:tcW w:w="0" w:type="auto"/>
            <w:tcBorders>
              <w:bottom w:val="nil"/>
              <w:right w:val="nil"/>
            </w:tcBorders>
            <w:tcMar>
              <w:top w:w="75" w:type="dxa"/>
              <w:left w:w="75" w:type="dxa"/>
              <w:bottom w:w="75" w:type="dxa"/>
              <w:right w:w="75" w:type="dxa"/>
            </w:tcMar>
            <w:hideMark/>
          </w:tcPr>
          <w:p w14:paraId="1E29B27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destroyed property (other than your own)?</w:t>
            </w:r>
          </w:p>
        </w:tc>
        <w:tc>
          <w:tcPr>
            <w:tcW w:w="0" w:type="auto"/>
            <w:tcBorders>
              <w:bottom w:val="nil"/>
              <w:right w:val="nil"/>
            </w:tcBorders>
            <w:tcMar>
              <w:top w:w="75" w:type="dxa"/>
              <w:left w:w="75" w:type="dxa"/>
              <w:bottom w:w="75" w:type="dxa"/>
              <w:right w:w="75" w:type="dxa"/>
            </w:tcMar>
            <w:hideMark/>
          </w:tcPr>
          <w:p w14:paraId="40B01F8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531CBE9F" wp14:editId="10C9C0A4">
                  <wp:extent cx="76200" cy="76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3FB63C89"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4D3D19FA"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3C1A6D3A"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5CDD290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3B2EE5FF" w14:textId="77777777" w:rsidTr="00223E6D">
        <w:tc>
          <w:tcPr>
            <w:tcW w:w="0" w:type="auto"/>
            <w:tcBorders>
              <w:bottom w:val="nil"/>
              <w:right w:val="nil"/>
            </w:tcBorders>
            <w:tcMar>
              <w:top w:w="75" w:type="dxa"/>
              <w:left w:w="75" w:type="dxa"/>
              <w:bottom w:w="75" w:type="dxa"/>
              <w:right w:w="75" w:type="dxa"/>
            </w:tcMar>
            <w:hideMark/>
          </w:tcPr>
          <w:p w14:paraId="2583E46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2.</w:t>
            </w:r>
          </w:p>
        </w:tc>
        <w:tc>
          <w:tcPr>
            <w:tcW w:w="0" w:type="auto"/>
            <w:tcBorders>
              <w:bottom w:val="nil"/>
              <w:right w:val="nil"/>
            </w:tcBorders>
            <w:tcMar>
              <w:top w:w="75" w:type="dxa"/>
              <w:left w:w="75" w:type="dxa"/>
              <w:bottom w:w="75" w:type="dxa"/>
              <w:right w:w="75" w:type="dxa"/>
            </w:tcMar>
            <w:hideMark/>
          </w:tcPr>
          <w:p w14:paraId="4FDD44F0"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been unfaithful to your boyfriend or girlfriend?</w:t>
            </w:r>
          </w:p>
        </w:tc>
        <w:tc>
          <w:tcPr>
            <w:tcW w:w="0" w:type="auto"/>
            <w:tcBorders>
              <w:bottom w:val="nil"/>
              <w:right w:val="nil"/>
            </w:tcBorders>
            <w:tcMar>
              <w:top w:w="75" w:type="dxa"/>
              <w:left w:w="75" w:type="dxa"/>
              <w:bottom w:w="75" w:type="dxa"/>
              <w:right w:w="75" w:type="dxa"/>
            </w:tcMar>
            <w:hideMark/>
          </w:tcPr>
          <w:p w14:paraId="76AA940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26F0161E" wp14:editId="638D3BC3">
                  <wp:extent cx="76200" cy="76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08FD155A"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7028E4A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6BD8B507"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73A5D02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61F9E310" w14:textId="77777777" w:rsidTr="00223E6D">
        <w:tc>
          <w:tcPr>
            <w:tcW w:w="0" w:type="auto"/>
            <w:tcBorders>
              <w:bottom w:val="nil"/>
              <w:right w:val="nil"/>
            </w:tcBorders>
            <w:tcMar>
              <w:top w:w="75" w:type="dxa"/>
              <w:left w:w="75" w:type="dxa"/>
              <w:bottom w:w="75" w:type="dxa"/>
              <w:right w:w="75" w:type="dxa"/>
            </w:tcMar>
            <w:hideMark/>
          </w:tcPr>
          <w:p w14:paraId="113A374A"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3.</w:t>
            </w:r>
          </w:p>
        </w:tc>
        <w:tc>
          <w:tcPr>
            <w:tcW w:w="0" w:type="auto"/>
            <w:tcBorders>
              <w:bottom w:val="nil"/>
              <w:right w:val="nil"/>
            </w:tcBorders>
            <w:tcMar>
              <w:top w:w="75" w:type="dxa"/>
              <w:left w:w="75" w:type="dxa"/>
              <w:bottom w:w="75" w:type="dxa"/>
              <w:right w:w="75" w:type="dxa"/>
            </w:tcMar>
            <w:hideMark/>
          </w:tcPr>
          <w:p w14:paraId="0167C89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been in a physical fight?</w:t>
            </w:r>
          </w:p>
        </w:tc>
        <w:tc>
          <w:tcPr>
            <w:tcW w:w="0" w:type="auto"/>
            <w:tcBorders>
              <w:bottom w:val="nil"/>
              <w:right w:val="nil"/>
            </w:tcBorders>
            <w:tcMar>
              <w:top w:w="75" w:type="dxa"/>
              <w:left w:w="75" w:type="dxa"/>
              <w:bottom w:w="75" w:type="dxa"/>
              <w:right w:w="75" w:type="dxa"/>
            </w:tcMar>
            <w:hideMark/>
          </w:tcPr>
          <w:p w14:paraId="0586C689"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3C3A90E4" wp14:editId="2DD547A2">
                  <wp:extent cx="76200" cy="76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1E7B3769"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78097A9C"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1EB1ADD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216605D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77D50E67" w14:textId="77777777" w:rsidTr="00223E6D">
        <w:tc>
          <w:tcPr>
            <w:tcW w:w="0" w:type="auto"/>
            <w:tcBorders>
              <w:bottom w:val="nil"/>
              <w:right w:val="nil"/>
            </w:tcBorders>
            <w:tcMar>
              <w:top w:w="75" w:type="dxa"/>
              <w:left w:w="75" w:type="dxa"/>
              <w:bottom w:w="75" w:type="dxa"/>
              <w:right w:w="75" w:type="dxa"/>
            </w:tcMar>
            <w:hideMark/>
          </w:tcPr>
          <w:p w14:paraId="4A88C93C"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4.</w:t>
            </w:r>
          </w:p>
        </w:tc>
        <w:tc>
          <w:tcPr>
            <w:tcW w:w="0" w:type="auto"/>
            <w:tcBorders>
              <w:bottom w:val="nil"/>
              <w:right w:val="nil"/>
            </w:tcBorders>
            <w:tcMar>
              <w:top w:w="75" w:type="dxa"/>
              <w:left w:w="75" w:type="dxa"/>
              <w:bottom w:w="75" w:type="dxa"/>
              <w:right w:w="75" w:type="dxa"/>
            </w:tcMar>
            <w:hideMark/>
          </w:tcPr>
          <w:p w14:paraId="7C9CD643"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bullied, threatened, or intimidated a peer(s)?</w:t>
            </w:r>
          </w:p>
        </w:tc>
        <w:tc>
          <w:tcPr>
            <w:tcW w:w="0" w:type="auto"/>
            <w:tcBorders>
              <w:bottom w:val="nil"/>
              <w:right w:val="nil"/>
            </w:tcBorders>
            <w:tcMar>
              <w:top w:w="75" w:type="dxa"/>
              <w:left w:w="75" w:type="dxa"/>
              <w:bottom w:w="75" w:type="dxa"/>
              <w:right w:w="75" w:type="dxa"/>
            </w:tcMar>
            <w:hideMark/>
          </w:tcPr>
          <w:p w14:paraId="27D4D5E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6A29CC4B" wp14:editId="608F4D29">
                  <wp:extent cx="76200" cy="76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2B1DF739"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37A2216C"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61E8EC4C"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3FBE0510"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2311D10B" w14:textId="77777777" w:rsidTr="00223E6D">
        <w:tc>
          <w:tcPr>
            <w:tcW w:w="0" w:type="auto"/>
            <w:tcBorders>
              <w:bottom w:val="nil"/>
              <w:right w:val="nil"/>
            </w:tcBorders>
            <w:tcMar>
              <w:top w:w="75" w:type="dxa"/>
              <w:left w:w="75" w:type="dxa"/>
              <w:bottom w:w="75" w:type="dxa"/>
              <w:right w:w="75" w:type="dxa"/>
            </w:tcMar>
            <w:hideMark/>
          </w:tcPr>
          <w:p w14:paraId="43966C3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5.</w:t>
            </w:r>
          </w:p>
        </w:tc>
        <w:tc>
          <w:tcPr>
            <w:tcW w:w="0" w:type="auto"/>
            <w:tcBorders>
              <w:bottom w:val="nil"/>
              <w:right w:val="nil"/>
            </w:tcBorders>
            <w:tcMar>
              <w:top w:w="75" w:type="dxa"/>
              <w:left w:w="75" w:type="dxa"/>
              <w:bottom w:w="75" w:type="dxa"/>
              <w:right w:w="75" w:type="dxa"/>
            </w:tcMar>
            <w:hideMark/>
          </w:tcPr>
          <w:p w14:paraId="7CC2824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been binge drinking and/or drinking to get drunk?</w:t>
            </w:r>
          </w:p>
        </w:tc>
        <w:tc>
          <w:tcPr>
            <w:tcW w:w="0" w:type="auto"/>
            <w:tcBorders>
              <w:bottom w:val="nil"/>
              <w:right w:val="nil"/>
            </w:tcBorders>
            <w:tcMar>
              <w:top w:w="75" w:type="dxa"/>
              <w:left w:w="75" w:type="dxa"/>
              <w:bottom w:w="75" w:type="dxa"/>
              <w:right w:w="75" w:type="dxa"/>
            </w:tcMar>
            <w:hideMark/>
          </w:tcPr>
          <w:p w14:paraId="4D0CA0C7"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748FF7A8" wp14:editId="521CD919">
                  <wp:extent cx="76200" cy="76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7880DB1D"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0262EC2A"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280AA7DA"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3BD63090"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6D92D238" w14:textId="77777777" w:rsidTr="00223E6D">
        <w:tc>
          <w:tcPr>
            <w:tcW w:w="0" w:type="auto"/>
            <w:tcBorders>
              <w:bottom w:val="nil"/>
              <w:right w:val="nil"/>
            </w:tcBorders>
            <w:tcMar>
              <w:top w:w="75" w:type="dxa"/>
              <w:left w:w="75" w:type="dxa"/>
              <w:bottom w:w="75" w:type="dxa"/>
              <w:right w:w="75" w:type="dxa"/>
            </w:tcMar>
            <w:hideMark/>
          </w:tcPr>
          <w:p w14:paraId="7D8D467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6.</w:t>
            </w:r>
          </w:p>
        </w:tc>
        <w:tc>
          <w:tcPr>
            <w:tcW w:w="0" w:type="auto"/>
            <w:tcBorders>
              <w:bottom w:val="nil"/>
              <w:right w:val="nil"/>
            </w:tcBorders>
            <w:tcMar>
              <w:top w:w="75" w:type="dxa"/>
              <w:left w:w="75" w:type="dxa"/>
              <w:bottom w:w="75" w:type="dxa"/>
              <w:right w:w="75" w:type="dxa"/>
            </w:tcMar>
            <w:hideMark/>
          </w:tcPr>
          <w:p w14:paraId="2FD561A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used illegal drugs?</w:t>
            </w:r>
          </w:p>
        </w:tc>
        <w:tc>
          <w:tcPr>
            <w:tcW w:w="0" w:type="auto"/>
            <w:tcBorders>
              <w:bottom w:val="nil"/>
              <w:right w:val="nil"/>
            </w:tcBorders>
            <w:tcMar>
              <w:top w:w="75" w:type="dxa"/>
              <w:left w:w="75" w:type="dxa"/>
              <w:bottom w:w="75" w:type="dxa"/>
              <w:right w:w="75" w:type="dxa"/>
            </w:tcMar>
            <w:hideMark/>
          </w:tcPr>
          <w:p w14:paraId="280F370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37C171AB" wp14:editId="133281F1">
                  <wp:extent cx="76200" cy="76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6ABEE3B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38325A4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7EBDAF6D"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4DFFE8CD"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39318A0A" w14:textId="77777777" w:rsidTr="00223E6D">
        <w:tc>
          <w:tcPr>
            <w:tcW w:w="0" w:type="auto"/>
            <w:tcBorders>
              <w:bottom w:val="nil"/>
              <w:right w:val="nil"/>
            </w:tcBorders>
            <w:tcMar>
              <w:top w:w="75" w:type="dxa"/>
              <w:left w:w="75" w:type="dxa"/>
              <w:bottom w:w="75" w:type="dxa"/>
              <w:right w:w="75" w:type="dxa"/>
            </w:tcMar>
            <w:hideMark/>
          </w:tcPr>
          <w:p w14:paraId="34978EB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7.</w:t>
            </w:r>
          </w:p>
        </w:tc>
        <w:tc>
          <w:tcPr>
            <w:tcW w:w="0" w:type="auto"/>
            <w:tcBorders>
              <w:bottom w:val="nil"/>
              <w:right w:val="nil"/>
            </w:tcBorders>
            <w:tcMar>
              <w:top w:w="75" w:type="dxa"/>
              <w:left w:w="75" w:type="dxa"/>
              <w:bottom w:w="75" w:type="dxa"/>
              <w:right w:w="75" w:type="dxa"/>
            </w:tcMar>
            <w:hideMark/>
          </w:tcPr>
          <w:p w14:paraId="354A59A5"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sold illegal drugs?</w:t>
            </w:r>
          </w:p>
        </w:tc>
        <w:tc>
          <w:tcPr>
            <w:tcW w:w="0" w:type="auto"/>
            <w:tcBorders>
              <w:bottom w:val="nil"/>
              <w:right w:val="nil"/>
            </w:tcBorders>
            <w:tcMar>
              <w:top w:w="75" w:type="dxa"/>
              <w:left w:w="75" w:type="dxa"/>
              <w:bottom w:w="75" w:type="dxa"/>
              <w:right w:w="75" w:type="dxa"/>
            </w:tcMar>
            <w:hideMark/>
          </w:tcPr>
          <w:p w14:paraId="005DE90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13AFC5B5" wp14:editId="59406B59">
                  <wp:extent cx="76200" cy="76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2DC0B1F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5477379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7C9C067F"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08B23F4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0F495D54" w14:textId="77777777" w:rsidTr="00223E6D">
        <w:tc>
          <w:tcPr>
            <w:tcW w:w="0" w:type="auto"/>
            <w:tcBorders>
              <w:bottom w:val="nil"/>
              <w:right w:val="nil"/>
            </w:tcBorders>
            <w:tcMar>
              <w:top w:w="75" w:type="dxa"/>
              <w:left w:w="75" w:type="dxa"/>
              <w:bottom w:w="75" w:type="dxa"/>
              <w:right w:w="75" w:type="dxa"/>
            </w:tcMar>
            <w:hideMark/>
          </w:tcPr>
          <w:p w14:paraId="3C896AEA"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8.</w:t>
            </w:r>
          </w:p>
        </w:tc>
        <w:tc>
          <w:tcPr>
            <w:tcW w:w="0" w:type="auto"/>
            <w:tcBorders>
              <w:bottom w:val="nil"/>
              <w:right w:val="nil"/>
            </w:tcBorders>
            <w:tcMar>
              <w:top w:w="75" w:type="dxa"/>
              <w:left w:w="75" w:type="dxa"/>
              <w:bottom w:w="75" w:type="dxa"/>
              <w:right w:w="75" w:type="dxa"/>
            </w:tcMar>
            <w:hideMark/>
          </w:tcPr>
          <w:p w14:paraId="7ED75F35"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skipped class (or entire days of school)?</w:t>
            </w:r>
          </w:p>
        </w:tc>
        <w:tc>
          <w:tcPr>
            <w:tcW w:w="0" w:type="auto"/>
            <w:tcBorders>
              <w:bottom w:val="nil"/>
              <w:right w:val="nil"/>
            </w:tcBorders>
            <w:tcMar>
              <w:top w:w="75" w:type="dxa"/>
              <w:left w:w="75" w:type="dxa"/>
              <w:bottom w:w="75" w:type="dxa"/>
              <w:right w:w="75" w:type="dxa"/>
            </w:tcMar>
            <w:hideMark/>
          </w:tcPr>
          <w:p w14:paraId="276C6A0B"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176310D3" wp14:editId="4E8919CF">
                  <wp:extent cx="76200" cy="76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052CF02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2805DEF0"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04465DB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1A8584EE"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6BE51D80" w14:textId="77777777" w:rsidTr="00223E6D">
        <w:tc>
          <w:tcPr>
            <w:tcW w:w="0" w:type="auto"/>
            <w:tcBorders>
              <w:bottom w:val="nil"/>
              <w:right w:val="nil"/>
            </w:tcBorders>
            <w:tcMar>
              <w:top w:w="75" w:type="dxa"/>
              <w:left w:w="75" w:type="dxa"/>
              <w:bottom w:w="75" w:type="dxa"/>
              <w:right w:w="75" w:type="dxa"/>
            </w:tcMar>
            <w:hideMark/>
          </w:tcPr>
          <w:p w14:paraId="0C8E2235"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9.</w:t>
            </w:r>
          </w:p>
        </w:tc>
        <w:tc>
          <w:tcPr>
            <w:tcW w:w="0" w:type="auto"/>
            <w:tcBorders>
              <w:bottom w:val="nil"/>
              <w:right w:val="nil"/>
            </w:tcBorders>
            <w:tcMar>
              <w:top w:w="75" w:type="dxa"/>
              <w:left w:w="75" w:type="dxa"/>
              <w:bottom w:w="75" w:type="dxa"/>
              <w:right w:w="75" w:type="dxa"/>
            </w:tcMar>
            <w:hideMark/>
          </w:tcPr>
          <w:p w14:paraId="43C2F1B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cheated or plagiarized?</w:t>
            </w:r>
          </w:p>
        </w:tc>
        <w:tc>
          <w:tcPr>
            <w:tcW w:w="0" w:type="auto"/>
            <w:tcBorders>
              <w:bottom w:val="nil"/>
              <w:right w:val="nil"/>
            </w:tcBorders>
            <w:tcMar>
              <w:top w:w="75" w:type="dxa"/>
              <w:left w:w="75" w:type="dxa"/>
              <w:bottom w:w="75" w:type="dxa"/>
              <w:right w:w="75" w:type="dxa"/>
            </w:tcMar>
            <w:hideMark/>
          </w:tcPr>
          <w:p w14:paraId="28BEF41C"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7CB00C03" wp14:editId="08C9CBED">
                  <wp:extent cx="76200" cy="76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40A7A3B9"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7A40C9F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2291202A"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348BA27B"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73A12665" w14:textId="77777777" w:rsidTr="00223E6D">
        <w:tc>
          <w:tcPr>
            <w:tcW w:w="0" w:type="auto"/>
            <w:tcBorders>
              <w:bottom w:val="nil"/>
              <w:right w:val="nil"/>
            </w:tcBorders>
            <w:tcMar>
              <w:top w:w="75" w:type="dxa"/>
              <w:left w:w="75" w:type="dxa"/>
              <w:bottom w:w="75" w:type="dxa"/>
              <w:right w:w="75" w:type="dxa"/>
            </w:tcMar>
            <w:hideMark/>
          </w:tcPr>
          <w:p w14:paraId="4FA9A90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10.</w:t>
            </w:r>
          </w:p>
        </w:tc>
        <w:tc>
          <w:tcPr>
            <w:tcW w:w="0" w:type="auto"/>
            <w:tcBorders>
              <w:bottom w:val="nil"/>
              <w:right w:val="nil"/>
            </w:tcBorders>
            <w:tcMar>
              <w:top w:w="75" w:type="dxa"/>
              <w:left w:w="75" w:type="dxa"/>
              <w:bottom w:w="75" w:type="dxa"/>
              <w:right w:w="75" w:type="dxa"/>
            </w:tcMar>
            <w:hideMark/>
          </w:tcPr>
          <w:p w14:paraId="3AC5DF7C"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shoplifted?</w:t>
            </w:r>
          </w:p>
        </w:tc>
        <w:tc>
          <w:tcPr>
            <w:tcW w:w="0" w:type="auto"/>
            <w:tcBorders>
              <w:bottom w:val="nil"/>
              <w:right w:val="nil"/>
            </w:tcBorders>
            <w:tcMar>
              <w:top w:w="75" w:type="dxa"/>
              <w:left w:w="75" w:type="dxa"/>
              <w:bottom w:w="75" w:type="dxa"/>
              <w:right w:w="75" w:type="dxa"/>
            </w:tcMar>
            <w:hideMark/>
          </w:tcPr>
          <w:p w14:paraId="541B7A80"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40A0E7E3" wp14:editId="77ECD06B">
                  <wp:extent cx="76200" cy="76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3D37744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13742089"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6910D45A"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45AF5D75"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4A7247BD" w14:textId="77777777" w:rsidTr="00223E6D">
        <w:tc>
          <w:tcPr>
            <w:tcW w:w="0" w:type="auto"/>
            <w:tcBorders>
              <w:bottom w:val="nil"/>
              <w:right w:val="nil"/>
            </w:tcBorders>
            <w:tcMar>
              <w:top w:w="75" w:type="dxa"/>
              <w:left w:w="75" w:type="dxa"/>
              <w:bottom w:w="75" w:type="dxa"/>
              <w:right w:w="75" w:type="dxa"/>
            </w:tcMar>
            <w:hideMark/>
          </w:tcPr>
          <w:p w14:paraId="084AE92E"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11.</w:t>
            </w:r>
          </w:p>
        </w:tc>
        <w:tc>
          <w:tcPr>
            <w:tcW w:w="0" w:type="auto"/>
            <w:tcBorders>
              <w:bottom w:val="nil"/>
              <w:right w:val="nil"/>
            </w:tcBorders>
            <w:tcMar>
              <w:top w:w="75" w:type="dxa"/>
              <w:left w:w="75" w:type="dxa"/>
              <w:bottom w:w="75" w:type="dxa"/>
              <w:right w:w="75" w:type="dxa"/>
            </w:tcMar>
            <w:hideMark/>
          </w:tcPr>
          <w:p w14:paraId="3CE0402F"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stolen money?</w:t>
            </w:r>
          </w:p>
        </w:tc>
        <w:tc>
          <w:tcPr>
            <w:tcW w:w="0" w:type="auto"/>
            <w:tcBorders>
              <w:bottom w:val="nil"/>
              <w:right w:val="nil"/>
            </w:tcBorders>
            <w:tcMar>
              <w:top w:w="75" w:type="dxa"/>
              <w:left w:w="75" w:type="dxa"/>
              <w:bottom w:w="75" w:type="dxa"/>
              <w:right w:w="75" w:type="dxa"/>
            </w:tcMar>
            <w:hideMark/>
          </w:tcPr>
          <w:p w14:paraId="020B26F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53049AB9" wp14:editId="72B07CCD">
                  <wp:extent cx="76200" cy="76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00E1933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68D875A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532650A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7FF08D8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2084810F" w14:textId="77777777" w:rsidTr="00223E6D">
        <w:tc>
          <w:tcPr>
            <w:tcW w:w="0" w:type="auto"/>
            <w:tcBorders>
              <w:bottom w:val="nil"/>
              <w:right w:val="nil"/>
            </w:tcBorders>
            <w:tcMar>
              <w:top w:w="75" w:type="dxa"/>
              <w:left w:w="75" w:type="dxa"/>
              <w:bottom w:w="75" w:type="dxa"/>
              <w:right w:w="75" w:type="dxa"/>
            </w:tcMar>
            <w:hideMark/>
          </w:tcPr>
          <w:p w14:paraId="1D36F375"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12.</w:t>
            </w:r>
          </w:p>
        </w:tc>
        <w:tc>
          <w:tcPr>
            <w:tcW w:w="0" w:type="auto"/>
            <w:tcBorders>
              <w:bottom w:val="nil"/>
              <w:right w:val="nil"/>
            </w:tcBorders>
            <w:tcMar>
              <w:top w:w="75" w:type="dxa"/>
              <w:left w:w="75" w:type="dxa"/>
              <w:bottom w:w="75" w:type="dxa"/>
              <w:right w:w="75" w:type="dxa"/>
            </w:tcMar>
            <w:hideMark/>
          </w:tcPr>
          <w:p w14:paraId="60268227"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had unsafe sex?</w:t>
            </w:r>
          </w:p>
        </w:tc>
        <w:tc>
          <w:tcPr>
            <w:tcW w:w="0" w:type="auto"/>
            <w:tcBorders>
              <w:bottom w:val="nil"/>
              <w:right w:val="nil"/>
            </w:tcBorders>
            <w:tcMar>
              <w:top w:w="75" w:type="dxa"/>
              <w:left w:w="75" w:type="dxa"/>
              <w:bottom w:w="75" w:type="dxa"/>
              <w:right w:w="75" w:type="dxa"/>
            </w:tcMar>
            <w:hideMark/>
          </w:tcPr>
          <w:p w14:paraId="405C0A47"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77B0BD41" wp14:editId="52595F52">
                  <wp:extent cx="76200" cy="76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26032627"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61DB7045"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3A6EF98F"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4E68AB6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56572503" w14:textId="77777777" w:rsidTr="00223E6D">
        <w:tc>
          <w:tcPr>
            <w:tcW w:w="0" w:type="auto"/>
            <w:tcBorders>
              <w:bottom w:val="nil"/>
              <w:right w:val="nil"/>
            </w:tcBorders>
            <w:tcMar>
              <w:top w:w="75" w:type="dxa"/>
              <w:left w:w="75" w:type="dxa"/>
              <w:bottom w:w="75" w:type="dxa"/>
              <w:right w:w="75" w:type="dxa"/>
            </w:tcMar>
            <w:hideMark/>
          </w:tcPr>
          <w:p w14:paraId="1657F2D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13.</w:t>
            </w:r>
          </w:p>
        </w:tc>
        <w:tc>
          <w:tcPr>
            <w:tcW w:w="0" w:type="auto"/>
            <w:tcBorders>
              <w:bottom w:val="nil"/>
              <w:right w:val="nil"/>
            </w:tcBorders>
            <w:tcMar>
              <w:top w:w="75" w:type="dxa"/>
              <w:left w:w="75" w:type="dxa"/>
              <w:bottom w:w="75" w:type="dxa"/>
              <w:right w:w="75" w:type="dxa"/>
            </w:tcMar>
            <w:hideMark/>
          </w:tcPr>
          <w:p w14:paraId="470C0C8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verbally harassed someone?</w:t>
            </w:r>
          </w:p>
        </w:tc>
        <w:tc>
          <w:tcPr>
            <w:tcW w:w="0" w:type="auto"/>
            <w:tcBorders>
              <w:bottom w:val="nil"/>
              <w:right w:val="nil"/>
            </w:tcBorders>
            <w:tcMar>
              <w:top w:w="75" w:type="dxa"/>
              <w:left w:w="75" w:type="dxa"/>
              <w:bottom w:w="75" w:type="dxa"/>
              <w:right w:w="75" w:type="dxa"/>
            </w:tcMar>
            <w:hideMark/>
          </w:tcPr>
          <w:p w14:paraId="3448880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49AABE9B" wp14:editId="365F16C7">
                  <wp:extent cx="76200" cy="76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5D9671B7"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6F957423"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539549D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213DAE5F"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5E24752A" w14:textId="77777777" w:rsidTr="00223E6D">
        <w:tc>
          <w:tcPr>
            <w:tcW w:w="0" w:type="auto"/>
            <w:tcBorders>
              <w:bottom w:val="nil"/>
              <w:right w:val="nil"/>
            </w:tcBorders>
            <w:tcMar>
              <w:top w:w="75" w:type="dxa"/>
              <w:left w:w="75" w:type="dxa"/>
              <w:bottom w:w="75" w:type="dxa"/>
              <w:right w:w="75" w:type="dxa"/>
            </w:tcMar>
            <w:hideMark/>
          </w:tcPr>
          <w:p w14:paraId="6833CE43"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14.</w:t>
            </w:r>
          </w:p>
        </w:tc>
        <w:tc>
          <w:tcPr>
            <w:tcW w:w="0" w:type="auto"/>
            <w:tcBorders>
              <w:bottom w:val="nil"/>
              <w:right w:val="nil"/>
            </w:tcBorders>
            <w:tcMar>
              <w:top w:w="75" w:type="dxa"/>
              <w:left w:w="75" w:type="dxa"/>
              <w:bottom w:w="75" w:type="dxa"/>
              <w:right w:w="75" w:type="dxa"/>
            </w:tcMar>
            <w:hideMark/>
          </w:tcPr>
          <w:p w14:paraId="267CC8F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made attempts to cut or burn yourself?</w:t>
            </w:r>
          </w:p>
        </w:tc>
        <w:tc>
          <w:tcPr>
            <w:tcW w:w="0" w:type="auto"/>
            <w:tcBorders>
              <w:bottom w:val="nil"/>
              <w:right w:val="nil"/>
            </w:tcBorders>
            <w:tcMar>
              <w:top w:w="75" w:type="dxa"/>
              <w:left w:w="75" w:type="dxa"/>
              <w:bottom w:w="75" w:type="dxa"/>
              <w:right w:w="75" w:type="dxa"/>
            </w:tcMar>
            <w:hideMark/>
          </w:tcPr>
          <w:p w14:paraId="1C358EE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78F99B4B" wp14:editId="1AC785A2">
                  <wp:extent cx="76200" cy="76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4DB82D73"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2DB4867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01968BF3"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0783962A"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7705742A" w14:textId="77777777" w:rsidTr="00223E6D">
        <w:tc>
          <w:tcPr>
            <w:tcW w:w="0" w:type="auto"/>
            <w:tcBorders>
              <w:bottom w:val="nil"/>
              <w:right w:val="nil"/>
            </w:tcBorders>
            <w:tcMar>
              <w:top w:w="75" w:type="dxa"/>
              <w:left w:w="75" w:type="dxa"/>
              <w:bottom w:w="75" w:type="dxa"/>
              <w:right w:w="75" w:type="dxa"/>
            </w:tcMar>
            <w:hideMark/>
          </w:tcPr>
          <w:p w14:paraId="37AFC28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15.</w:t>
            </w:r>
          </w:p>
        </w:tc>
        <w:tc>
          <w:tcPr>
            <w:tcW w:w="0" w:type="auto"/>
            <w:tcBorders>
              <w:bottom w:val="nil"/>
              <w:right w:val="nil"/>
            </w:tcBorders>
            <w:tcMar>
              <w:top w:w="75" w:type="dxa"/>
              <w:left w:w="75" w:type="dxa"/>
              <w:bottom w:w="75" w:type="dxa"/>
              <w:right w:w="75" w:type="dxa"/>
            </w:tcMar>
            <w:hideMark/>
          </w:tcPr>
          <w:p w14:paraId="6CC6BDB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purged or binged?</w:t>
            </w:r>
          </w:p>
        </w:tc>
        <w:tc>
          <w:tcPr>
            <w:tcW w:w="0" w:type="auto"/>
            <w:tcBorders>
              <w:bottom w:val="nil"/>
              <w:right w:val="nil"/>
            </w:tcBorders>
            <w:tcMar>
              <w:top w:w="75" w:type="dxa"/>
              <w:left w:w="75" w:type="dxa"/>
              <w:bottom w:w="75" w:type="dxa"/>
              <w:right w:w="75" w:type="dxa"/>
            </w:tcMar>
            <w:hideMark/>
          </w:tcPr>
          <w:p w14:paraId="1F68D4F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735E5537" wp14:editId="04F8161F">
                  <wp:extent cx="76200" cy="76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13BE1C10"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7F47449C"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6C201AB7"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26ADDD09"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5C7A4B76" w14:textId="77777777" w:rsidTr="00223E6D">
        <w:tc>
          <w:tcPr>
            <w:tcW w:w="0" w:type="auto"/>
            <w:tcBorders>
              <w:bottom w:val="nil"/>
              <w:right w:val="nil"/>
            </w:tcBorders>
            <w:tcMar>
              <w:top w:w="75" w:type="dxa"/>
              <w:left w:w="75" w:type="dxa"/>
              <w:bottom w:w="75" w:type="dxa"/>
              <w:right w:w="75" w:type="dxa"/>
            </w:tcMar>
            <w:hideMark/>
          </w:tcPr>
          <w:p w14:paraId="27465D8E"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16.</w:t>
            </w:r>
          </w:p>
        </w:tc>
        <w:tc>
          <w:tcPr>
            <w:tcW w:w="0" w:type="auto"/>
            <w:tcBorders>
              <w:bottom w:val="nil"/>
              <w:right w:val="nil"/>
            </w:tcBorders>
            <w:tcMar>
              <w:top w:w="75" w:type="dxa"/>
              <w:left w:w="75" w:type="dxa"/>
              <w:bottom w:w="75" w:type="dxa"/>
              <w:right w:w="75" w:type="dxa"/>
            </w:tcMar>
            <w:hideMark/>
          </w:tcPr>
          <w:p w14:paraId="517FD27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gambled?</w:t>
            </w:r>
          </w:p>
        </w:tc>
        <w:tc>
          <w:tcPr>
            <w:tcW w:w="0" w:type="auto"/>
            <w:tcBorders>
              <w:bottom w:val="nil"/>
              <w:right w:val="nil"/>
            </w:tcBorders>
            <w:tcMar>
              <w:top w:w="75" w:type="dxa"/>
              <w:left w:w="75" w:type="dxa"/>
              <w:bottom w:w="75" w:type="dxa"/>
              <w:right w:w="75" w:type="dxa"/>
            </w:tcMar>
            <w:hideMark/>
          </w:tcPr>
          <w:p w14:paraId="2FB952A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3C754F8B" wp14:editId="7B796EBE">
                  <wp:extent cx="76200" cy="76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73A4B871"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1144B6D9"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1427569C"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443265DB"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4C681243" w14:textId="77777777" w:rsidTr="00223E6D">
        <w:tc>
          <w:tcPr>
            <w:tcW w:w="0" w:type="auto"/>
            <w:tcBorders>
              <w:bottom w:val="nil"/>
              <w:right w:val="nil"/>
            </w:tcBorders>
            <w:tcMar>
              <w:top w:w="75" w:type="dxa"/>
              <w:left w:w="75" w:type="dxa"/>
              <w:bottom w:w="75" w:type="dxa"/>
              <w:right w:w="75" w:type="dxa"/>
            </w:tcMar>
            <w:hideMark/>
          </w:tcPr>
          <w:p w14:paraId="5AADE3F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17.</w:t>
            </w:r>
          </w:p>
        </w:tc>
        <w:tc>
          <w:tcPr>
            <w:tcW w:w="0" w:type="auto"/>
            <w:tcBorders>
              <w:bottom w:val="nil"/>
              <w:right w:val="nil"/>
            </w:tcBorders>
            <w:tcMar>
              <w:top w:w="75" w:type="dxa"/>
              <w:left w:w="75" w:type="dxa"/>
              <w:bottom w:w="75" w:type="dxa"/>
              <w:right w:w="75" w:type="dxa"/>
            </w:tcMar>
            <w:hideMark/>
          </w:tcPr>
          <w:p w14:paraId="5C0EEBAB"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lied to your family members (e.g., grandparents, parents, siblings)?</w:t>
            </w:r>
          </w:p>
        </w:tc>
        <w:tc>
          <w:tcPr>
            <w:tcW w:w="0" w:type="auto"/>
            <w:tcBorders>
              <w:bottom w:val="nil"/>
              <w:right w:val="nil"/>
            </w:tcBorders>
            <w:tcMar>
              <w:top w:w="75" w:type="dxa"/>
              <w:left w:w="75" w:type="dxa"/>
              <w:bottom w:w="75" w:type="dxa"/>
              <w:right w:w="75" w:type="dxa"/>
            </w:tcMar>
            <w:hideMark/>
          </w:tcPr>
          <w:p w14:paraId="4373EBC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7C9A7AC3" wp14:editId="4D6481E7">
                  <wp:extent cx="76200" cy="76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5128A694"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1F8B5695"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3F854B4D"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77A6932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7AB511CC" w14:textId="77777777" w:rsidTr="00223E6D">
        <w:tc>
          <w:tcPr>
            <w:tcW w:w="0" w:type="auto"/>
            <w:tcBorders>
              <w:bottom w:val="nil"/>
              <w:right w:val="nil"/>
            </w:tcBorders>
            <w:tcMar>
              <w:top w:w="75" w:type="dxa"/>
              <w:left w:w="75" w:type="dxa"/>
              <w:bottom w:w="75" w:type="dxa"/>
              <w:right w:w="75" w:type="dxa"/>
            </w:tcMar>
            <w:hideMark/>
          </w:tcPr>
          <w:p w14:paraId="4F917F1D"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18.</w:t>
            </w:r>
          </w:p>
        </w:tc>
        <w:tc>
          <w:tcPr>
            <w:tcW w:w="0" w:type="auto"/>
            <w:tcBorders>
              <w:bottom w:val="nil"/>
              <w:right w:val="nil"/>
            </w:tcBorders>
            <w:tcMar>
              <w:top w:w="75" w:type="dxa"/>
              <w:left w:w="75" w:type="dxa"/>
              <w:bottom w:w="75" w:type="dxa"/>
              <w:right w:w="75" w:type="dxa"/>
            </w:tcMar>
            <w:hideMark/>
          </w:tcPr>
          <w:p w14:paraId="1BC64F2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driven (a bicycle, a moped, and/or a car) recklessly (e.g., at fast speeds, under the influence of a substance)?</w:t>
            </w:r>
          </w:p>
        </w:tc>
        <w:tc>
          <w:tcPr>
            <w:tcW w:w="0" w:type="auto"/>
            <w:tcBorders>
              <w:bottom w:val="nil"/>
              <w:right w:val="nil"/>
            </w:tcBorders>
            <w:tcMar>
              <w:top w:w="75" w:type="dxa"/>
              <w:left w:w="75" w:type="dxa"/>
              <w:bottom w:w="75" w:type="dxa"/>
              <w:right w:w="75" w:type="dxa"/>
            </w:tcMar>
            <w:hideMark/>
          </w:tcPr>
          <w:p w14:paraId="21D7804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23D84686" wp14:editId="3B1640B9">
                  <wp:extent cx="76200" cy="76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6361205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2021E5A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4F73CE72"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28C3CDA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64E9C305" w14:textId="77777777" w:rsidTr="00223E6D">
        <w:tc>
          <w:tcPr>
            <w:tcW w:w="0" w:type="auto"/>
            <w:tcBorders>
              <w:bottom w:val="nil"/>
              <w:right w:val="nil"/>
            </w:tcBorders>
            <w:tcMar>
              <w:top w:w="75" w:type="dxa"/>
              <w:left w:w="75" w:type="dxa"/>
              <w:bottom w:w="75" w:type="dxa"/>
              <w:right w:w="75" w:type="dxa"/>
            </w:tcMar>
            <w:hideMark/>
          </w:tcPr>
          <w:p w14:paraId="0F78BDAB"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19.</w:t>
            </w:r>
          </w:p>
        </w:tc>
        <w:tc>
          <w:tcPr>
            <w:tcW w:w="0" w:type="auto"/>
            <w:tcBorders>
              <w:bottom w:val="nil"/>
              <w:right w:val="nil"/>
            </w:tcBorders>
            <w:tcMar>
              <w:top w:w="75" w:type="dxa"/>
              <w:left w:w="75" w:type="dxa"/>
              <w:bottom w:w="75" w:type="dxa"/>
              <w:right w:w="75" w:type="dxa"/>
            </w:tcMar>
            <w:hideMark/>
          </w:tcPr>
          <w:p w14:paraId="2610F4A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used cigarettes?</w:t>
            </w:r>
          </w:p>
        </w:tc>
        <w:tc>
          <w:tcPr>
            <w:tcW w:w="0" w:type="auto"/>
            <w:tcBorders>
              <w:bottom w:val="nil"/>
              <w:right w:val="nil"/>
            </w:tcBorders>
            <w:tcMar>
              <w:top w:w="75" w:type="dxa"/>
              <w:left w:w="75" w:type="dxa"/>
              <w:bottom w:w="75" w:type="dxa"/>
              <w:right w:w="75" w:type="dxa"/>
            </w:tcMar>
            <w:hideMark/>
          </w:tcPr>
          <w:p w14:paraId="738698F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5FBDBBF7" wp14:editId="0CE0ECDE">
                  <wp:extent cx="76200" cy="76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0DA6FD99"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5A5B7D2B"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02DDC95F"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1182E076"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④</w:t>
            </w:r>
          </w:p>
        </w:tc>
      </w:tr>
      <w:tr w:rsidR="00846F69" w:rsidRPr="00846F69" w14:paraId="6BF14E36" w14:textId="77777777" w:rsidTr="00223E6D">
        <w:tc>
          <w:tcPr>
            <w:tcW w:w="0" w:type="auto"/>
            <w:tcBorders>
              <w:bottom w:val="nil"/>
              <w:right w:val="nil"/>
            </w:tcBorders>
            <w:tcMar>
              <w:top w:w="75" w:type="dxa"/>
              <w:left w:w="75" w:type="dxa"/>
              <w:bottom w:w="75" w:type="dxa"/>
              <w:right w:w="75" w:type="dxa"/>
            </w:tcMar>
            <w:hideMark/>
          </w:tcPr>
          <w:p w14:paraId="76EB717A"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20.</w:t>
            </w:r>
          </w:p>
        </w:tc>
        <w:tc>
          <w:tcPr>
            <w:tcW w:w="0" w:type="auto"/>
            <w:tcBorders>
              <w:bottom w:val="nil"/>
              <w:right w:val="nil"/>
            </w:tcBorders>
            <w:tcMar>
              <w:top w:w="75" w:type="dxa"/>
              <w:left w:w="75" w:type="dxa"/>
              <w:bottom w:w="75" w:type="dxa"/>
              <w:right w:w="75" w:type="dxa"/>
            </w:tcMar>
            <w:hideMark/>
          </w:tcPr>
          <w:p w14:paraId="416D4D4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color w:val="auto"/>
                <w:sz w:val="21"/>
                <w:szCs w:val="21"/>
                <w:lang w:eastAsia="en-GB"/>
              </w:rPr>
              <w:t>Have you engaged in acts of revenge?</w:t>
            </w:r>
          </w:p>
        </w:tc>
        <w:tc>
          <w:tcPr>
            <w:tcW w:w="0" w:type="auto"/>
            <w:tcBorders>
              <w:bottom w:val="nil"/>
              <w:right w:val="nil"/>
            </w:tcBorders>
            <w:tcMar>
              <w:top w:w="75" w:type="dxa"/>
              <w:left w:w="75" w:type="dxa"/>
              <w:bottom w:w="75" w:type="dxa"/>
              <w:right w:w="75" w:type="dxa"/>
            </w:tcMar>
            <w:hideMark/>
          </w:tcPr>
          <w:p w14:paraId="193A95A8"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Times New Roman" w:eastAsia="Times New Roman" w:hAnsi="Times New Roman" w:cs="Times New Roman"/>
                <w:noProof/>
                <w:color w:val="auto"/>
                <w:sz w:val="21"/>
                <w:szCs w:val="21"/>
                <w:lang w:eastAsia="en-GB"/>
              </w:rPr>
              <w:drawing>
                <wp:inline distT="0" distB="0" distL="0" distR="0" wp14:anchorId="2BEBB6F9" wp14:editId="0CD73C63">
                  <wp:extent cx="76200" cy="762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p>
        </w:tc>
        <w:tc>
          <w:tcPr>
            <w:tcW w:w="0" w:type="auto"/>
            <w:tcBorders>
              <w:bottom w:val="nil"/>
              <w:right w:val="nil"/>
            </w:tcBorders>
            <w:tcMar>
              <w:top w:w="75" w:type="dxa"/>
              <w:left w:w="75" w:type="dxa"/>
              <w:bottom w:w="75" w:type="dxa"/>
              <w:right w:w="75" w:type="dxa"/>
            </w:tcMar>
            <w:hideMark/>
          </w:tcPr>
          <w:p w14:paraId="778C00FB"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①</w:t>
            </w:r>
          </w:p>
        </w:tc>
        <w:tc>
          <w:tcPr>
            <w:tcW w:w="0" w:type="auto"/>
            <w:tcBorders>
              <w:bottom w:val="nil"/>
              <w:right w:val="nil"/>
            </w:tcBorders>
            <w:tcMar>
              <w:top w:w="75" w:type="dxa"/>
              <w:left w:w="75" w:type="dxa"/>
              <w:bottom w:w="75" w:type="dxa"/>
              <w:right w:w="75" w:type="dxa"/>
            </w:tcMar>
            <w:hideMark/>
          </w:tcPr>
          <w:p w14:paraId="510E8ACE"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②</w:t>
            </w:r>
          </w:p>
        </w:tc>
        <w:tc>
          <w:tcPr>
            <w:tcW w:w="0" w:type="auto"/>
            <w:tcBorders>
              <w:bottom w:val="nil"/>
              <w:right w:val="nil"/>
            </w:tcBorders>
            <w:tcMar>
              <w:top w:w="75" w:type="dxa"/>
              <w:left w:w="75" w:type="dxa"/>
              <w:bottom w:w="75" w:type="dxa"/>
              <w:right w:w="75" w:type="dxa"/>
            </w:tcMar>
            <w:hideMark/>
          </w:tcPr>
          <w:p w14:paraId="35EFD0C9"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r w:rsidRPr="00846F69">
              <w:rPr>
                <w:rFonts w:ascii="Cambria Math" w:eastAsia="Times New Roman" w:hAnsi="Cambria Math" w:cs="Cambria Math"/>
                <w:color w:val="auto"/>
                <w:sz w:val="21"/>
                <w:szCs w:val="21"/>
                <w:lang w:eastAsia="en-GB"/>
              </w:rPr>
              <w:t>③</w:t>
            </w:r>
          </w:p>
        </w:tc>
        <w:tc>
          <w:tcPr>
            <w:tcW w:w="0" w:type="auto"/>
            <w:tcBorders>
              <w:bottom w:val="nil"/>
              <w:right w:val="nil"/>
            </w:tcBorders>
            <w:tcMar>
              <w:top w:w="75" w:type="dxa"/>
              <w:left w:w="75" w:type="dxa"/>
              <w:bottom w:w="75" w:type="dxa"/>
              <w:right w:w="75" w:type="dxa"/>
            </w:tcMar>
            <w:hideMark/>
          </w:tcPr>
          <w:p w14:paraId="4C298197" w14:textId="77777777" w:rsidR="00846F69" w:rsidRPr="00846F69" w:rsidRDefault="00846F69" w:rsidP="00846F69">
            <w:pPr>
              <w:spacing w:after="0" w:afterAutospacing="0" w:line="240" w:lineRule="auto"/>
              <w:rPr>
                <w:rFonts w:ascii="Cambria Math" w:eastAsia="Times New Roman" w:hAnsi="Cambria Math" w:cs="Cambria Math"/>
                <w:color w:val="auto"/>
                <w:sz w:val="21"/>
                <w:szCs w:val="21"/>
                <w:lang w:eastAsia="en-GB"/>
              </w:rPr>
            </w:pPr>
            <w:r w:rsidRPr="00846F69">
              <w:rPr>
                <w:rFonts w:ascii="Cambria Math" w:eastAsia="Times New Roman" w:hAnsi="Cambria Math" w:cs="Cambria Math"/>
                <w:color w:val="auto"/>
                <w:sz w:val="21"/>
                <w:szCs w:val="21"/>
                <w:lang w:eastAsia="en-GB"/>
              </w:rPr>
              <w:t>④</w:t>
            </w:r>
          </w:p>
          <w:p w14:paraId="6F5D5E23" w14:textId="77777777" w:rsidR="00846F69" w:rsidRPr="00846F69" w:rsidRDefault="00846F69" w:rsidP="00846F69">
            <w:pPr>
              <w:spacing w:after="0" w:afterAutospacing="0" w:line="240" w:lineRule="auto"/>
              <w:rPr>
                <w:rFonts w:ascii="Times New Roman" w:eastAsia="Times New Roman" w:hAnsi="Times New Roman" w:cs="Times New Roman"/>
                <w:color w:val="auto"/>
                <w:sz w:val="21"/>
                <w:szCs w:val="21"/>
                <w:lang w:eastAsia="en-GB"/>
              </w:rPr>
            </w:pPr>
          </w:p>
        </w:tc>
      </w:tr>
    </w:tbl>
    <w:p w14:paraId="2352643B" w14:textId="77777777" w:rsidR="00846F69" w:rsidRPr="00846F69" w:rsidRDefault="00846F69" w:rsidP="00846F69">
      <w:pPr>
        <w:spacing w:after="160" w:afterAutospacing="0" w:line="259" w:lineRule="auto"/>
        <w:jc w:val="both"/>
        <w:rPr>
          <w:rFonts w:asciiTheme="minorHAnsi" w:eastAsiaTheme="minorHAnsi" w:hAnsiTheme="minorHAnsi"/>
          <w:color w:val="auto"/>
          <w:sz w:val="24"/>
          <w:szCs w:val="24"/>
        </w:rPr>
      </w:pPr>
    </w:p>
    <w:p w14:paraId="2ADBF397" w14:textId="572D9048" w:rsidR="00846F69" w:rsidRDefault="00846F69" w:rsidP="00846F69">
      <w:pPr>
        <w:spacing w:after="160" w:afterAutospacing="0" w:line="259" w:lineRule="auto"/>
        <w:jc w:val="both"/>
        <w:rPr>
          <w:rFonts w:asciiTheme="minorHAnsi" w:hAnsiTheme="minorHAnsi" w:cstheme="minorHAnsi"/>
          <w:i/>
          <w:iCs/>
          <w:sz w:val="24"/>
          <w:szCs w:val="24"/>
        </w:rPr>
      </w:pPr>
      <w:r w:rsidRPr="00846F69">
        <w:rPr>
          <w:rFonts w:asciiTheme="minorHAnsi" w:eastAsiaTheme="minorHAnsi" w:hAnsiTheme="minorHAnsi"/>
          <w:color w:val="auto"/>
          <w:sz w:val="24"/>
          <w:szCs w:val="24"/>
        </w:rPr>
        <w:t xml:space="preserve">Source: </w:t>
      </w:r>
      <w:r w:rsidRPr="00846F69">
        <w:rPr>
          <w:rFonts w:asciiTheme="minorHAnsi" w:hAnsiTheme="minorHAnsi" w:cstheme="minorHAnsi"/>
          <w:sz w:val="24"/>
          <w:szCs w:val="24"/>
        </w:rPr>
        <w:t xml:space="preserve">Auerbach and Gardiner (2012) ‘Moving beyond the trait conceptualization of self-esteem: The prospective effect of impulsiveness, coping, and risky </w:t>
      </w:r>
      <w:proofErr w:type="spellStart"/>
      <w:r w:rsidRPr="00846F69">
        <w:rPr>
          <w:rFonts w:asciiTheme="minorHAnsi" w:hAnsiTheme="minorHAnsi" w:cstheme="minorHAnsi"/>
          <w:sz w:val="24"/>
          <w:szCs w:val="24"/>
        </w:rPr>
        <w:t>behavior</w:t>
      </w:r>
      <w:proofErr w:type="spellEnd"/>
      <w:r w:rsidRPr="00846F69">
        <w:rPr>
          <w:rFonts w:asciiTheme="minorHAnsi" w:hAnsiTheme="minorHAnsi" w:cstheme="minorHAnsi"/>
          <w:sz w:val="24"/>
          <w:szCs w:val="24"/>
        </w:rPr>
        <w:t xml:space="preserve"> engagement’, </w:t>
      </w:r>
      <w:r w:rsidRPr="00846F69">
        <w:rPr>
          <w:rFonts w:asciiTheme="minorHAnsi" w:hAnsiTheme="minorHAnsi" w:cstheme="minorHAnsi"/>
          <w:i/>
          <w:iCs/>
          <w:sz w:val="24"/>
          <w:szCs w:val="24"/>
        </w:rPr>
        <w:t>Behaviour Research and Therapy, Vol. 50, p602.</w:t>
      </w:r>
    </w:p>
    <w:p w14:paraId="302AB51E" w14:textId="77777777" w:rsidR="006175E9" w:rsidRPr="006175E9" w:rsidRDefault="006175E9" w:rsidP="006175E9">
      <w:pPr>
        <w:keepNext/>
        <w:keepLines/>
        <w:spacing w:before="40" w:after="0" w:afterAutospacing="0" w:line="259" w:lineRule="auto"/>
        <w:outlineLvl w:val="1"/>
        <w:rPr>
          <w:rFonts w:asciiTheme="majorHAnsi" w:eastAsiaTheme="majorEastAsia" w:hAnsiTheme="majorHAnsi" w:cstheme="majorBidi"/>
          <w:color w:val="2F5496" w:themeColor="accent1" w:themeShade="BF"/>
          <w:sz w:val="26"/>
          <w:szCs w:val="26"/>
          <w:lang w:val="en-US"/>
        </w:rPr>
      </w:pPr>
      <w:bookmarkStart w:id="36" w:name="_Toc76631152"/>
      <w:r w:rsidRPr="006175E9">
        <w:rPr>
          <w:rFonts w:asciiTheme="majorHAnsi" w:eastAsiaTheme="majorEastAsia" w:hAnsiTheme="majorHAnsi" w:cstheme="majorBidi"/>
          <w:color w:val="2F5496" w:themeColor="accent1" w:themeShade="BF"/>
          <w:sz w:val="26"/>
          <w:szCs w:val="26"/>
          <w:lang w:val="en-US"/>
        </w:rPr>
        <w:lastRenderedPageBreak/>
        <w:t>Appendix 3 – Developmental Assets</w:t>
      </w:r>
      <w:bookmarkEnd w:id="36"/>
    </w:p>
    <w:p w14:paraId="71731204" w14:textId="6383E360" w:rsidR="006175E9" w:rsidRPr="006175E9" w:rsidRDefault="006175E9" w:rsidP="00345F04">
      <w:pPr>
        <w:spacing w:after="160" w:afterAutospacing="0" w:line="360" w:lineRule="auto"/>
        <w:jc w:val="both"/>
        <w:rPr>
          <w:rFonts w:asciiTheme="minorHAnsi" w:eastAsiaTheme="minorHAnsi" w:hAnsiTheme="minorHAnsi"/>
          <w:color w:val="auto"/>
          <w:sz w:val="24"/>
          <w:szCs w:val="24"/>
          <w:lang w:val="en-US"/>
        </w:rPr>
      </w:pPr>
      <w:r w:rsidRPr="006175E9">
        <w:rPr>
          <w:rFonts w:asciiTheme="minorHAnsi" w:eastAsiaTheme="minorHAnsi" w:hAnsiTheme="minorHAnsi"/>
          <w:color w:val="auto"/>
          <w:sz w:val="24"/>
          <w:szCs w:val="24"/>
          <w:lang w:val="en-US"/>
        </w:rPr>
        <w:t xml:space="preserve">The next two pages provide </w:t>
      </w:r>
      <w:proofErr w:type="spellStart"/>
      <w:r w:rsidRPr="006175E9">
        <w:rPr>
          <w:rFonts w:asciiTheme="minorHAnsi" w:eastAsiaTheme="minorHAnsi" w:hAnsiTheme="minorHAnsi"/>
          <w:color w:val="auto"/>
          <w:sz w:val="24"/>
          <w:szCs w:val="24"/>
          <w:lang w:val="en-US"/>
        </w:rPr>
        <w:t>authorised</w:t>
      </w:r>
      <w:proofErr w:type="spellEnd"/>
      <w:r w:rsidRPr="006175E9">
        <w:rPr>
          <w:rFonts w:asciiTheme="minorHAnsi" w:eastAsiaTheme="minorHAnsi" w:hAnsiTheme="minorHAnsi"/>
          <w:color w:val="auto"/>
          <w:sz w:val="24"/>
          <w:szCs w:val="24"/>
          <w:lang w:val="en-US"/>
        </w:rPr>
        <w:t xml:space="preserve"> copies of the developmental assets defined by</w:t>
      </w:r>
      <w:r w:rsidR="00A0110F">
        <w:rPr>
          <w:rFonts w:asciiTheme="minorHAnsi" w:eastAsiaTheme="minorHAnsi" w:hAnsiTheme="minorHAnsi"/>
          <w:color w:val="auto"/>
          <w:sz w:val="24"/>
          <w:szCs w:val="24"/>
          <w:lang w:val="en-US"/>
        </w:rPr>
        <w:t xml:space="preserve"> the </w:t>
      </w:r>
      <w:r w:rsidRPr="006175E9">
        <w:rPr>
          <w:rFonts w:asciiTheme="minorHAnsi" w:eastAsiaTheme="minorHAnsi" w:hAnsiTheme="minorHAnsi"/>
          <w:color w:val="auto"/>
          <w:sz w:val="24"/>
          <w:szCs w:val="24"/>
          <w:lang w:val="en-US"/>
        </w:rPr>
        <w:t>Search Institute for the healthy development of children and young people, downloaded 1</w:t>
      </w:r>
      <w:r w:rsidRPr="006175E9">
        <w:rPr>
          <w:rFonts w:asciiTheme="minorHAnsi" w:eastAsiaTheme="minorHAnsi" w:hAnsiTheme="minorHAnsi"/>
          <w:color w:val="auto"/>
          <w:sz w:val="24"/>
          <w:szCs w:val="24"/>
          <w:vertAlign w:val="superscript"/>
          <w:lang w:val="en-US"/>
        </w:rPr>
        <w:t>st</w:t>
      </w:r>
      <w:r w:rsidRPr="006175E9">
        <w:rPr>
          <w:rFonts w:asciiTheme="minorHAnsi" w:eastAsiaTheme="minorHAnsi" w:hAnsiTheme="minorHAnsi"/>
          <w:color w:val="auto"/>
          <w:sz w:val="24"/>
          <w:szCs w:val="24"/>
          <w:lang w:val="en-US"/>
        </w:rPr>
        <w:t xml:space="preserve"> July 2021.  </w:t>
      </w:r>
    </w:p>
    <w:p w14:paraId="668726A7" w14:textId="77777777" w:rsidR="006175E9" w:rsidRPr="006175E9" w:rsidRDefault="006175E9" w:rsidP="006175E9">
      <w:pPr>
        <w:spacing w:after="160" w:afterAutospacing="0" w:line="480" w:lineRule="auto"/>
        <w:rPr>
          <w:rFonts w:asciiTheme="minorHAnsi" w:eastAsiaTheme="minorHAnsi" w:hAnsiTheme="minorHAnsi"/>
          <w:color w:val="auto"/>
          <w:sz w:val="24"/>
          <w:szCs w:val="24"/>
          <w:lang w:val="en-US"/>
        </w:rPr>
      </w:pPr>
      <w:r w:rsidRPr="006175E9">
        <w:rPr>
          <w:rFonts w:asciiTheme="minorHAnsi" w:eastAsiaTheme="minorHAnsi" w:hAnsiTheme="minorHAnsi"/>
          <w:noProof/>
          <w:color w:val="auto"/>
          <w:sz w:val="24"/>
          <w:szCs w:val="24"/>
          <w:lang w:val="en-US"/>
        </w:rPr>
        <w:drawing>
          <wp:inline distT="0" distB="0" distL="0" distR="0" wp14:anchorId="389DFF47" wp14:editId="20571FE3">
            <wp:extent cx="5757018" cy="7452360"/>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5763661" cy="7460959"/>
                    </a:xfrm>
                    <a:prstGeom prst="rect">
                      <a:avLst/>
                    </a:prstGeom>
                  </pic:spPr>
                </pic:pic>
              </a:graphicData>
            </a:graphic>
          </wp:inline>
        </w:drawing>
      </w:r>
    </w:p>
    <w:p w14:paraId="01CF466D" w14:textId="5C335685" w:rsidR="00BB4040" w:rsidRPr="00EB2853" w:rsidRDefault="006175E9" w:rsidP="006175E9">
      <w:pPr>
        <w:spacing w:after="160" w:afterAutospacing="0" w:line="480" w:lineRule="auto"/>
        <w:rPr>
          <w:color w:val="002060"/>
        </w:rPr>
      </w:pPr>
      <w:r w:rsidRPr="006175E9">
        <w:rPr>
          <w:rFonts w:asciiTheme="minorHAnsi" w:eastAsiaTheme="minorHAnsi" w:hAnsiTheme="minorHAnsi"/>
          <w:noProof/>
          <w:color w:val="auto"/>
          <w:sz w:val="24"/>
          <w:szCs w:val="24"/>
          <w:lang w:val="en-US"/>
        </w:rPr>
        <w:lastRenderedPageBreak/>
        <w:drawing>
          <wp:inline distT="0" distB="0" distL="0" distR="0" wp14:anchorId="496EF9D1" wp14:editId="4172A32A">
            <wp:extent cx="6522720" cy="8443548"/>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6530658" cy="8453824"/>
                    </a:xfrm>
                    <a:prstGeom prst="rect">
                      <a:avLst/>
                    </a:prstGeom>
                  </pic:spPr>
                </pic:pic>
              </a:graphicData>
            </a:graphic>
          </wp:inline>
        </w:drawing>
      </w:r>
    </w:p>
    <w:sectPr w:rsidR="00BB4040" w:rsidRPr="00EB2853">
      <w:headerReference w:type="default" r:id="rId178"/>
      <w:footerReference w:type="default" r:id="rId179"/>
      <w:pgSz w:w="11906" w:h="16838"/>
      <w:pgMar w:top="1728" w:right="1440" w:bottom="1440" w:left="1440" w:header="288"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A2CD4E" w14:textId="77777777" w:rsidR="00B632AD" w:rsidRDefault="00B632AD">
      <w:pPr>
        <w:spacing w:after="0" w:line="240" w:lineRule="auto"/>
      </w:pPr>
      <w:r>
        <w:separator/>
      </w:r>
    </w:p>
  </w:endnote>
  <w:endnote w:type="continuationSeparator" w:id="0">
    <w:p w14:paraId="455CF0B4" w14:textId="77777777" w:rsidR="00B632AD" w:rsidRDefault="00B63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ff2">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6868188"/>
      <w:docPartObj>
        <w:docPartGallery w:val="Page Numbers (Bottom of Page)"/>
        <w:docPartUnique/>
      </w:docPartObj>
    </w:sdtPr>
    <w:sdtEndPr/>
    <w:sdtContent>
      <w:p w14:paraId="045EB660" w14:textId="77777777" w:rsidR="00B632AD" w:rsidRDefault="00B632AD">
        <w:pPr>
          <w:pStyle w:val="TextBody"/>
          <w:jc w:val="center"/>
        </w:pPr>
        <w:r>
          <w:fldChar w:fldCharType="begin"/>
        </w:r>
        <w:r>
          <w:instrText>PAGE</w:instrText>
        </w:r>
        <w:r>
          <w:fldChar w:fldCharType="separate"/>
        </w:r>
        <w:r>
          <w:t>5</w:t>
        </w:r>
        <w:r>
          <w:fldChar w:fldCharType="end"/>
        </w:r>
      </w:p>
    </w:sdtContent>
  </w:sdt>
  <w:p w14:paraId="40872883" w14:textId="77777777" w:rsidR="00B632AD" w:rsidRDefault="00B632AD">
    <w:pPr>
      <w:pStyle w:val="TextBody"/>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192672" w14:textId="77777777" w:rsidR="00B632AD" w:rsidRDefault="00B632AD">
      <w:pPr>
        <w:spacing w:after="0" w:line="240" w:lineRule="auto"/>
      </w:pPr>
      <w:r>
        <w:separator/>
      </w:r>
    </w:p>
  </w:footnote>
  <w:footnote w:type="continuationSeparator" w:id="0">
    <w:p w14:paraId="28A89890" w14:textId="77777777" w:rsidR="00B632AD" w:rsidRDefault="00B632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A08A5" w14:textId="5FFB065D" w:rsidR="00B632AD" w:rsidRPr="00D522C8" w:rsidRDefault="00B632AD" w:rsidP="00D522C8">
    <w:pPr>
      <w:pStyle w:val="Heading"/>
      <w:jc w:val="center"/>
      <w:rPr>
        <w:rFonts w:hint="eastAsia"/>
        <w:color w:val="AEAAAA" w:themeColor="background2" w:themeShade="BF"/>
        <w:sz w:val="22"/>
        <w:szCs w:val="22"/>
      </w:rPr>
    </w:pPr>
    <w:r w:rsidRPr="00D522C8">
      <w:rPr>
        <w:color w:val="AEAAAA" w:themeColor="background2" w:themeShade="BF"/>
        <w:sz w:val="22"/>
        <w:szCs w:val="22"/>
      </w:rPr>
      <w:t>1706862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D38F3"/>
    <w:multiLevelType w:val="hybridMultilevel"/>
    <w:tmpl w:val="077EB7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1302CDD"/>
    <w:multiLevelType w:val="hybridMultilevel"/>
    <w:tmpl w:val="AE7C3C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79A"/>
    <w:rsid w:val="000003C6"/>
    <w:rsid w:val="0000384D"/>
    <w:rsid w:val="0000477D"/>
    <w:rsid w:val="00026A71"/>
    <w:rsid w:val="00042E09"/>
    <w:rsid w:val="000550C9"/>
    <w:rsid w:val="0005792E"/>
    <w:rsid w:val="00057B72"/>
    <w:rsid w:val="00062E28"/>
    <w:rsid w:val="00063704"/>
    <w:rsid w:val="00085682"/>
    <w:rsid w:val="000856D3"/>
    <w:rsid w:val="00085F8C"/>
    <w:rsid w:val="00086547"/>
    <w:rsid w:val="000914FE"/>
    <w:rsid w:val="00092B98"/>
    <w:rsid w:val="00094C23"/>
    <w:rsid w:val="000958BF"/>
    <w:rsid w:val="000A4796"/>
    <w:rsid w:val="000B1F1B"/>
    <w:rsid w:val="000B22D8"/>
    <w:rsid w:val="000B6DE6"/>
    <w:rsid w:val="000B7E9E"/>
    <w:rsid w:val="000C0151"/>
    <w:rsid w:val="000D3F37"/>
    <w:rsid w:val="000D7508"/>
    <w:rsid w:val="000F6BC9"/>
    <w:rsid w:val="0011057C"/>
    <w:rsid w:val="00110585"/>
    <w:rsid w:val="00113EBB"/>
    <w:rsid w:val="00130722"/>
    <w:rsid w:val="00130CD2"/>
    <w:rsid w:val="00135CF1"/>
    <w:rsid w:val="00142222"/>
    <w:rsid w:val="001458C0"/>
    <w:rsid w:val="001534A0"/>
    <w:rsid w:val="0015383B"/>
    <w:rsid w:val="00173763"/>
    <w:rsid w:val="00173E68"/>
    <w:rsid w:val="00174CE6"/>
    <w:rsid w:val="00175CC7"/>
    <w:rsid w:val="00175F8E"/>
    <w:rsid w:val="00180B01"/>
    <w:rsid w:val="001A0289"/>
    <w:rsid w:val="001A76A6"/>
    <w:rsid w:val="001B02ED"/>
    <w:rsid w:val="001B16E6"/>
    <w:rsid w:val="001C48FE"/>
    <w:rsid w:val="001D01D5"/>
    <w:rsid w:val="001D152D"/>
    <w:rsid w:val="001D5CAE"/>
    <w:rsid w:val="001E6614"/>
    <w:rsid w:val="001F1C09"/>
    <w:rsid w:val="001F4037"/>
    <w:rsid w:val="00221FA4"/>
    <w:rsid w:val="002276EF"/>
    <w:rsid w:val="00230A8A"/>
    <w:rsid w:val="002439DD"/>
    <w:rsid w:val="002440AF"/>
    <w:rsid w:val="00244AEB"/>
    <w:rsid w:val="00246636"/>
    <w:rsid w:val="00247162"/>
    <w:rsid w:val="00262A9F"/>
    <w:rsid w:val="00266932"/>
    <w:rsid w:val="0027137F"/>
    <w:rsid w:val="002726D3"/>
    <w:rsid w:val="002979C4"/>
    <w:rsid w:val="002A1B1B"/>
    <w:rsid w:val="002A5A3F"/>
    <w:rsid w:val="002A6ED3"/>
    <w:rsid w:val="002C5E71"/>
    <w:rsid w:val="002D35EC"/>
    <w:rsid w:val="002E52DE"/>
    <w:rsid w:val="002F1889"/>
    <w:rsid w:val="00306E81"/>
    <w:rsid w:val="00311AFA"/>
    <w:rsid w:val="00315E91"/>
    <w:rsid w:val="00320BD8"/>
    <w:rsid w:val="003216CE"/>
    <w:rsid w:val="00331F58"/>
    <w:rsid w:val="0033355E"/>
    <w:rsid w:val="0033462A"/>
    <w:rsid w:val="0033691E"/>
    <w:rsid w:val="00340309"/>
    <w:rsid w:val="00343116"/>
    <w:rsid w:val="00345F04"/>
    <w:rsid w:val="00350B04"/>
    <w:rsid w:val="00356E1A"/>
    <w:rsid w:val="00364F9A"/>
    <w:rsid w:val="0036679A"/>
    <w:rsid w:val="00377401"/>
    <w:rsid w:val="00391750"/>
    <w:rsid w:val="00394564"/>
    <w:rsid w:val="00397218"/>
    <w:rsid w:val="00397EC8"/>
    <w:rsid w:val="003A365A"/>
    <w:rsid w:val="003B0F77"/>
    <w:rsid w:val="003F180E"/>
    <w:rsid w:val="003F1967"/>
    <w:rsid w:val="003F5948"/>
    <w:rsid w:val="003F5E1E"/>
    <w:rsid w:val="00400C8B"/>
    <w:rsid w:val="004071BD"/>
    <w:rsid w:val="00407545"/>
    <w:rsid w:val="00417530"/>
    <w:rsid w:val="00423736"/>
    <w:rsid w:val="00424F30"/>
    <w:rsid w:val="00427181"/>
    <w:rsid w:val="00427A22"/>
    <w:rsid w:val="004358B9"/>
    <w:rsid w:val="0043686B"/>
    <w:rsid w:val="00442278"/>
    <w:rsid w:val="00454FF7"/>
    <w:rsid w:val="00462F66"/>
    <w:rsid w:val="00472F45"/>
    <w:rsid w:val="00473D02"/>
    <w:rsid w:val="004758B7"/>
    <w:rsid w:val="0048030D"/>
    <w:rsid w:val="00487BA2"/>
    <w:rsid w:val="00492C7F"/>
    <w:rsid w:val="004A5C6D"/>
    <w:rsid w:val="004B3D7C"/>
    <w:rsid w:val="004B4740"/>
    <w:rsid w:val="004C1ACA"/>
    <w:rsid w:val="004C4000"/>
    <w:rsid w:val="004C5D78"/>
    <w:rsid w:val="004E4C12"/>
    <w:rsid w:val="004F71A4"/>
    <w:rsid w:val="00502866"/>
    <w:rsid w:val="00505692"/>
    <w:rsid w:val="00520326"/>
    <w:rsid w:val="005455B0"/>
    <w:rsid w:val="00547652"/>
    <w:rsid w:val="00557966"/>
    <w:rsid w:val="00572596"/>
    <w:rsid w:val="0057663E"/>
    <w:rsid w:val="00577137"/>
    <w:rsid w:val="005804AE"/>
    <w:rsid w:val="00592E65"/>
    <w:rsid w:val="005930C5"/>
    <w:rsid w:val="00594780"/>
    <w:rsid w:val="005B0B39"/>
    <w:rsid w:val="005B0FA1"/>
    <w:rsid w:val="005B2F33"/>
    <w:rsid w:val="005B5891"/>
    <w:rsid w:val="005B76E4"/>
    <w:rsid w:val="005C10DE"/>
    <w:rsid w:val="005C5C0A"/>
    <w:rsid w:val="005C7307"/>
    <w:rsid w:val="005D029D"/>
    <w:rsid w:val="005D1E9B"/>
    <w:rsid w:val="005E0330"/>
    <w:rsid w:val="005F1EC7"/>
    <w:rsid w:val="006175E9"/>
    <w:rsid w:val="006178CF"/>
    <w:rsid w:val="00625BCE"/>
    <w:rsid w:val="006279A9"/>
    <w:rsid w:val="006415D8"/>
    <w:rsid w:val="00643718"/>
    <w:rsid w:val="00647074"/>
    <w:rsid w:val="0064744A"/>
    <w:rsid w:val="006478BF"/>
    <w:rsid w:val="00655273"/>
    <w:rsid w:val="00661542"/>
    <w:rsid w:val="00661E73"/>
    <w:rsid w:val="00665615"/>
    <w:rsid w:val="0067535C"/>
    <w:rsid w:val="006763F3"/>
    <w:rsid w:val="00687E2A"/>
    <w:rsid w:val="00690D07"/>
    <w:rsid w:val="00696D1F"/>
    <w:rsid w:val="006B337E"/>
    <w:rsid w:val="006D4FA4"/>
    <w:rsid w:val="006E03FF"/>
    <w:rsid w:val="006E2444"/>
    <w:rsid w:val="006E27DB"/>
    <w:rsid w:val="006E2DE8"/>
    <w:rsid w:val="006E6CDF"/>
    <w:rsid w:val="006E792A"/>
    <w:rsid w:val="00713DDB"/>
    <w:rsid w:val="00715E2C"/>
    <w:rsid w:val="0072655B"/>
    <w:rsid w:val="007279C4"/>
    <w:rsid w:val="00734101"/>
    <w:rsid w:val="007371B5"/>
    <w:rsid w:val="007415C4"/>
    <w:rsid w:val="00752B75"/>
    <w:rsid w:val="0076021E"/>
    <w:rsid w:val="007660CF"/>
    <w:rsid w:val="00775204"/>
    <w:rsid w:val="007816F9"/>
    <w:rsid w:val="00782604"/>
    <w:rsid w:val="00793B1F"/>
    <w:rsid w:val="00794AD7"/>
    <w:rsid w:val="007C702A"/>
    <w:rsid w:val="007E646F"/>
    <w:rsid w:val="007F23A0"/>
    <w:rsid w:val="007F31BE"/>
    <w:rsid w:val="007F418F"/>
    <w:rsid w:val="007F57E9"/>
    <w:rsid w:val="00801BCD"/>
    <w:rsid w:val="008112D0"/>
    <w:rsid w:val="00816C51"/>
    <w:rsid w:val="00817082"/>
    <w:rsid w:val="00817A87"/>
    <w:rsid w:val="0082232C"/>
    <w:rsid w:val="0082641F"/>
    <w:rsid w:val="0083262D"/>
    <w:rsid w:val="00832B34"/>
    <w:rsid w:val="008348FC"/>
    <w:rsid w:val="00834E85"/>
    <w:rsid w:val="00834F0F"/>
    <w:rsid w:val="008364BE"/>
    <w:rsid w:val="00846F69"/>
    <w:rsid w:val="0085284F"/>
    <w:rsid w:val="00861730"/>
    <w:rsid w:val="00862DAD"/>
    <w:rsid w:val="00872A63"/>
    <w:rsid w:val="00872E27"/>
    <w:rsid w:val="00874D70"/>
    <w:rsid w:val="00881754"/>
    <w:rsid w:val="008845FC"/>
    <w:rsid w:val="00891B5D"/>
    <w:rsid w:val="008948FB"/>
    <w:rsid w:val="008A34F5"/>
    <w:rsid w:val="008A3FE6"/>
    <w:rsid w:val="008A4C70"/>
    <w:rsid w:val="008A4E62"/>
    <w:rsid w:val="008A7DD1"/>
    <w:rsid w:val="008B6F2E"/>
    <w:rsid w:val="008C1483"/>
    <w:rsid w:val="008C3DDA"/>
    <w:rsid w:val="008C6EC4"/>
    <w:rsid w:val="008D64A1"/>
    <w:rsid w:val="008F56B2"/>
    <w:rsid w:val="008F57B0"/>
    <w:rsid w:val="008F76D7"/>
    <w:rsid w:val="00900B87"/>
    <w:rsid w:val="0091078A"/>
    <w:rsid w:val="00914D3C"/>
    <w:rsid w:val="009175FF"/>
    <w:rsid w:val="0092302E"/>
    <w:rsid w:val="00931AF1"/>
    <w:rsid w:val="009713DD"/>
    <w:rsid w:val="00976637"/>
    <w:rsid w:val="009771A7"/>
    <w:rsid w:val="009879D4"/>
    <w:rsid w:val="009A1F2E"/>
    <w:rsid w:val="009D4D92"/>
    <w:rsid w:val="009E327D"/>
    <w:rsid w:val="009E5DFC"/>
    <w:rsid w:val="009E6687"/>
    <w:rsid w:val="009F1955"/>
    <w:rsid w:val="009F49D6"/>
    <w:rsid w:val="00A0110F"/>
    <w:rsid w:val="00A055DA"/>
    <w:rsid w:val="00A05871"/>
    <w:rsid w:val="00A2089C"/>
    <w:rsid w:val="00A218A3"/>
    <w:rsid w:val="00A431F4"/>
    <w:rsid w:val="00A565BF"/>
    <w:rsid w:val="00A565C5"/>
    <w:rsid w:val="00A61F13"/>
    <w:rsid w:val="00A62FC9"/>
    <w:rsid w:val="00A9157E"/>
    <w:rsid w:val="00A96894"/>
    <w:rsid w:val="00AA46DD"/>
    <w:rsid w:val="00AA7F72"/>
    <w:rsid w:val="00AB118C"/>
    <w:rsid w:val="00AB2D2E"/>
    <w:rsid w:val="00AC01C1"/>
    <w:rsid w:val="00AC1EBE"/>
    <w:rsid w:val="00AD340B"/>
    <w:rsid w:val="00AD72E8"/>
    <w:rsid w:val="00AE0BC5"/>
    <w:rsid w:val="00AE25C7"/>
    <w:rsid w:val="00AE7D47"/>
    <w:rsid w:val="00AE7E6B"/>
    <w:rsid w:val="00AF2CA2"/>
    <w:rsid w:val="00B07399"/>
    <w:rsid w:val="00B22B16"/>
    <w:rsid w:val="00B33523"/>
    <w:rsid w:val="00B44A1A"/>
    <w:rsid w:val="00B506B9"/>
    <w:rsid w:val="00B56D2C"/>
    <w:rsid w:val="00B57CEF"/>
    <w:rsid w:val="00B60032"/>
    <w:rsid w:val="00B61DA4"/>
    <w:rsid w:val="00B632AD"/>
    <w:rsid w:val="00B709EC"/>
    <w:rsid w:val="00B719D3"/>
    <w:rsid w:val="00B71D74"/>
    <w:rsid w:val="00B726D2"/>
    <w:rsid w:val="00B77A05"/>
    <w:rsid w:val="00B8295B"/>
    <w:rsid w:val="00B83C0D"/>
    <w:rsid w:val="00B83EEF"/>
    <w:rsid w:val="00BA0A66"/>
    <w:rsid w:val="00BA1CE8"/>
    <w:rsid w:val="00BB4040"/>
    <w:rsid w:val="00BB73BD"/>
    <w:rsid w:val="00BD2641"/>
    <w:rsid w:val="00BD3541"/>
    <w:rsid w:val="00BD4A2F"/>
    <w:rsid w:val="00BD6D22"/>
    <w:rsid w:val="00BE6B1C"/>
    <w:rsid w:val="00BE6B43"/>
    <w:rsid w:val="00BF01E7"/>
    <w:rsid w:val="00C0405E"/>
    <w:rsid w:val="00C04E0B"/>
    <w:rsid w:val="00C06AD2"/>
    <w:rsid w:val="00C100F4"/>
    <w:rsid w:val="00C13AE5"/>
    <w:rsid w:val="00C20B61"/>
    <w:rsid w:val="00C2461A"/>
    <w:rsid w:val="00C379AC"/>
    <w:rsid w:val="00C6691A"/>
    <w:rsid w:val="00C74C69"/>
    <w:rsid w:val="00C760B9"/>
    <w:rsid w:val="00C81529"/>
    <w:rsid w:val="00C8352D"/>
    <w:rsid w:val="00C8450B"/>
    <w:rsid w:val="00C8451E"/>
    <w:rsid w:val="00C853E0"/>
    <w:rsid w:val="00C96E39"/>
    <w:rsid w:val="00CA1C4E"/>
    <w:rsid w:val="00CC39AB"/>
    <w:rsid w:val="00CD3DEE"/>
    <w:rsid w:val="00CF2DE2"/>
    <w:rsid w:val="00CF4A50"/>
    <w:rsid w:val="00CF5E10"/>
    <w:rsid w:val="00CF787E"/>
    <w:rsid w:val="00D05C7B"/>
    <w:rsid w:val="00D2566B"/>
    <w:rsid w:val="00D2575B"/>
    <w:rsid w:val="00D34859"/>
    <w:rsid w:val="00D451CD"/>
    <w:rsid w:val="00D478B9"/>
    <w:rsid w:val="00D513FF"/>
    <w:rsid w:val="00D522C8"/>
    <w:rsid w:val="00D52D41"/>
    <w:rsid w:val="00D668FF"/>
    <w:rsid w:val="00D73E83"/>
    <w:rsid w:val="00D7748F"/>
    <w:rsid w:val="00DA0671"/>
    <w:rsid w:val="00DB10F0"/>
    <w:rsid w:val="00DB3B29"/>
    <w:rsid w:val="00DB40B5"/>
    <w:rsid w:val="00DB67E9"/>
    <w:rsid w:val="00DC0459"/>
    <w:rsid w:val="00DE1306"/>
    <w:rsid w:val="00DE1AB9"/>
    <w:rsid w:val="00DF6192"/>
    <w:rsid w:val="00E13E8A"/>
    <w:rsid w:val="00E204D5"/>
    <w:rsid w:val="00E24E42"/>
    <w:rsid w:val="00E37121"/>
    <w:rsid w:val="00E43992"/>
    <w:rsid w:val="00E46CFC"/>
    <w:rsid w:val="00E4716E"/>
    <w:rsid w:val="00E525C3"/>
    <w:rsid w:val="00E638F5"/>
    <w:rsid w:val="00E73B95"/>
    <w:rsid w:val="00E73DF2"/>
    <w:rsid w:val="00E755D6"/>
    <w:rsid w:val="00E801A1"/>
    <w:rsid w:val="00E91950"/>
    <w:rsid w:val="00EA2F08"/>
    <w:rsid w:val="00EA6230"/>
    <w:rsid w:val="00EB0942"/>
    <w:rsid w:val="00EB2853"/>
    <w:rsid w:val="00EC118A"/>
    <w:rsid w:val="00EC267E"/>
    <w:rsid w:val="00ED5F74"/>
    <w:rsid w:val="00EE0626"/>
    <w:rsid w:val="00EE1BB5"/>
    <w:rsid w:val="00EF46F8"/>
    <w:rsid w:val="00EF5810"/>
    <w:rsid w:val="00F00194"/>
    <w:rsid w:val="00F10619"/>
    <w:rsid w:val="00F202AC"/>
    <w:rsid w:val="00F21B4F"/>
    <w:rsid w:val="00F222F7"/>
    <w:rsid w:val="00F22BFF"/>
    <w:rsid w:val="00F24B61"/>
    <w:rsid w:val="00F256C7"/>
    <w:rsid w:val="00F3793A"/>
    <w:rsid w:val="00F45B18"/>
    <w:rsid w:val="00F46163"/>
    <w:rsid w:val="00F471BE"/>
    <w:rsid w:val="00F5769D"/>
    <w:rsid w:val="00F71C37"/>
    <w:rsid w:val="00F82E54"/>
    <w:rsid w:val="00F861D4"/>
    <w:rsid w:val="00F91581"/>
    <w:rsid w:val="00F96A14"/>
    <w:rsid w:val="00FA20D7"/>
    <w:rsid w:val="00FC1AA0"/>
    <w:rsid w:val="00FC3228"/>
    <w:rsid w:val="00FD1109"/>
    <w:rsid w:val="00FE3D47"/>
    <w:rsid w:val="00FE4001"/>
    <w:rsid w:val="00FF064E"/>
    <w:rsid w:val="00FF0F94"/>
    <w:rsid w:val="00FF3DB2"/>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155DF"/>
  <w15:docId w15:val="{3E1C86A6-13CE-4BC5-88AA-B18387FBA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en-GB" w:eastAsia="en-US" w:bidi="ar-SA"/>
      </w:rPr>
    </w:rPrDefault>
    <w:pPrDefault>
      <w:pPr>
        <w:spacing w:after="100" w:afterAutospacing="1" w:line="252"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BC8"/>
    <w:rPr>
      <w:rFonts w:ascii="Calibri" w:eastAsia="Calibri" w:hAnsi="Calibri"/>
      <w:color w:val="00000A"/>
      <w:sz w:val="22"/>
    </w:rPr>
  </w:style>
  <w:style w:type="paragraph" w:styleId="Heading1">
    <w:name w:val="heading 1"/>
    <w:basedOn w:val="Normal"/>
    <w:next w:val="Normal"/>
    <w:link w:val="Heading1Char"/>
    <w:uiPriority w:val="99"/>
    <w:qFormat/>
    <w:rsid w:val="00364F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46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AE0BC5"/>
    <w:pPr>
      <w:keepNext/>
      <w:spacing w:before="240" w:after="60" w:afterAutospacing="0" w:line="240" w:lineRule="auto"/>
      <w:outlineLvl w:val="3"/>
    </w:pPr>
    <w:rPr>
      <w:rFonts w:ascii="Times New Roman" w:eastAsia="Times New Roman" w:hAnsi="Times New Roman" w:cs="Times New Roman"/>
      <w:b/>
      <w:bCs/>
      <w:color w:val="auto"/>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64F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2461A"/>
    <w:rPr>
      <w:rFonts w:asciiTheme="majorHAnsi" w:eastAsiaTheme="majorEastAsia" w:hAnsiTheme="majorHAnsi" w:cstheme="majorBidi"/>
      <w:color w:val="2F5496" w:themeColor="accent1" w:themeShade="BF"/>
      <w:sz w:val="26"/>
      <w:szCs w:val="26"/>
    </w:rPr>
  </w:style>
  <w:style w:type="character" w:customStyle="1" w:styleId="HeaderChar">
    <w:name w:val="Header Char"/>
    <w:basedOn w:val="DefaultParagraphFont"/>
    <w:link w:val="Header"/>
    <w:uiPriority w:val="99"/>
    <w:rsid w:val="0097087F"/>
  </w:style>
  <w:style w:type="paragraph" w:styleId="Header">
    <w:name w:val="header"/>
    <w:basedOn w:val="Normal"/>
    <w:link w:val="HeaderChar"/>
    <w:uiPriority w:val="99"/>
    <w:unhideWhenUsed/>
    <w:rsid w:val="00970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87F"/>
  </w:style>
  <w:style w:type="paragraph" w:styleId="Footer">
    <w:name w:val="footer"/>
    <w:basedOn w:val="Normal"/>
    <w:link w:val="FooterChar"/>
    <w:uiPriority w:val="99"/>
    <w:unhideWhenUsed/>
    <w:rsid w:val="0097087F"/>
    <w:pPr>
      <w:tabs>
        <w:tab w:val="center" w:pos="4513"/>
        <w:tab w:val="right" w:pos="9026"/>
      </w:tabs>
      <w:spacing w:after="0" w:line="240" w:lineRule="auto"/>
    </w:pPr>
  </w:style>
  <w:style w:type="character" w:customStyle="1" w:styleId="BalloonTextChar">
    <w:name w:val="Balloon Text Char"/>
    <w:basedOn w:val="DefaultParagraphFont"/>
    <w:link w:val="BalloonText"/>
    <w:uiPriority w:val="99"/>
    <w:semiHidden/>
    <w:rsid w:val="00A530AA"/>
    <w:rPr>
      <w:rFonts w:ascii="Segoe UI" w:hAnsi="Segoe UI" w:cs="Segoe UI"/>
      <w:sz w:val="18"/>
      <w:szCs w:val="18"/>
    </w:rPr>
  </w:style>
  <w:style w:type="paragraph" w:styleId="BalloonText">
    <w:name w:val="Balloon Text"/>
    <w:basedOn w:val="Normal"/>
    <w:link w:val="BalloonTextChar"/>
    <w:uiPriority w:val="99"/>
    <w:semiHidden/>
    <w:unhideWhenUsed/>
    <w:rsid w:val="00A530AA"/>
    <w:pPr>
      <w:spacing w:after="0" w:line="240" w:lineRule="auto"/>
    </w:pPr>
    <w:rPr>
      <w:rFonts w:ascii="Segoe UI" w:hAnsi="Segoe UI" w:cs="Segoe UI"/>
      <w:sz w:val="18"/>
      <w:szCs w:val="18"/>
    </w:rPr>
  </w:style>
  <w:style w:type="character" w:customStyle="1" w:styleId="InternetLink">
    <w:name w:val="Internet Link"/>
    <w:basedOn w:val="DefaultParagraphFont"/>
    <w:uiPriority w:val="99"/>
    <w:unhideWhenUsed/>
    <w:rsid w:val="00120070"/>
    <w:rPr>
      <w:color w:val="0563C1" w:themeColor="hyperlink"/>
      <w:u w:val="single"/>
    </w:rPr>
  </w:style>
  <w:style w:type="character" w:styleId="Emphasis">
    <w:name w:val="Emphasis"/>
    <w:basedOn w:val="DefaultParagraphFont"/>
    <w:uiPriority w:val="20"/>
    <w:qFormat/>
    <w:rsid w:val="003A7D53"/>
    <w:rPr>
      <w:i/>
      <w:iCs/>
    </w:rPr>
  </w:style>
  <w:style w:type="character" w:styleId="FollowedHyperlink">
    <w:name w:val="FollowedHyperlink"/>
    <w:basedOn w:val="DefaultParagraphFont"/>
    <w:uiPriority w:val="99"/>
    <w:semiHidden/>
    <w:unhideWhenUsed/>
    <w:rsid w:val="009C53D4"/>
    <w:rPr>
      <w:color w:val="954F72" w:themeColor="followedHyperlink"/>
      <w:u w:val="single"/>
    </w:rPr>
  </w:style>
  <w:style w:type="character" w:customStyle="1" w:styleId="UnresolvedMention1">
    <w:name w:val="Unresolved Mention1"/>
    <w:basedOn w:val="DefaultParagraphFont"/>
    <w:uiPriority w:val="99"/>
    <w:semiHidden/>
    <w:unhideWhenUsed/>
    <w:rsid w:val="009C53D4"/>
    <w:rPr>
      <w:color w:val="808080"/>
      <w:shd w:val="clear" w:color="auto" w:fill="E6E6E6"/>
    </w:rPr>
  </w:style>
  <w:style w:type="character" w:customStyle="1" w:styleId="ListLabel1">
    <w:name w:val="ListLabel 1"/>
    <w:rsid w:val="00F60BC8"/>
    <w:rPr>
      <w:rFonts w:cs="Courier New"/>
    </w:rPr>
  </w:style>
  <w:style w:type="character" w:customStyle="1" w:styleId="ListLabel2">
    <w:name w:val="ListLabel 2"/>
    <w:rsid w:val="00F60BC8"/>
    <w:rPr>
      <w:rFonts w:cs="Symbol"/>
    </w:rPr>
  </w:style>
  <w:style w:type="character" w:customStyle="1" w:styleId="ListLabel3">
    <w:name w:val="ListLabel 3"/>
    <w:rsid w:val="00F60BC8"/>
    <w:rPr>
      <w:rFonts w:cs="Courier New"/>
    </w:rPr>
  </w:style>
  <w:style w:type="character" w:customStyle="1" w:styleId="ListLabel4">
    <w:name w:val="ListLabel 4"/>
    <w:rsid w:val="00F60BC8"/>
    <w:rPr>
      <w:rFonts w:cs="Wingdings"/>
    </w:rPr>
  </w:style>
  <w:style w:type="character" w:customStyle="1" w:styleId="ListLabel5">
    <w:name w:val="ListLabel 5"/>
    <w:rPr>
      <w:rFonts w:cs="Symbol"/>
    </w:rPr>
  </w:style>
  <w:style w:type="character" w:customStyle="1" w:styleId="ListLabel6">
    <w:name w:val="ListLabel 6"/>
    <w:rPr>
      <w:rFonts w:cs="Courier New"/>
    </w:rPr>
  </w:style>
  <w:style w:type="character" w:customStyle="1" w:styleId="ListLabel7">
    <w:name w:val="ListLabel 7"/>
    <w:rPr>
      <w:rFonts w:cs="Wingdings"/>
    </w:rPr>
  </w:style>
  <w:style w:type="character" w:styleId="UnresolvedMention">
    <w:name w:val="Unresolved Mention"/>
    <w:basedOn w:val="DefaultParagraphFont"/>
    <w:uiPriority w:val="99"/>
    <w:semiHidden/>
    <w:unhideWhenUsed/>
    <w:rsid w:val="00120070"/>
    <w:rPr>
      <w:color w:val="808080"/>
      <w:shd w:val="clear" w:color="auto" w:fill="E6E6E6"/>
    </w:rPr>
  </w:style>
  <w:style w:type="character" w:customStyle="1" w:styleId="ListLabel8">
    <w:name w:val="ListLabel 8"/>
    <w:rPr>
      <w:rFonts w:cs="Symbol"/>
    </w:rPr>
  </w:style>
  <w:style w:type="character" w:customStyle="1" w:styleId="ListLabel9">
    <w:name w:val="ListLabel 9"/>
    <w:rPr>
      <w:rFonts w:cs="Courier New"/>
    </w:rPr>
  </w:style>
  <w:style w:type="character" w:customStyle="1" w:styleId="ListLabel10">
    <w:name w:val="ListLabel 10"/>
    <w:rPr>
      <w:rFonts w:cs="Wingdings"/>
    </w:rPr>
  </w:style>
  <w:style w:type="paragraph" w:customStyle="1" w:styleId="Heading">
    <w:name w:val="Heading"/>
    <w:basedOn w:val="Normal"/>
    <w:next w:val="TextBody"/>
    <w:rsid w:val="00F60BC8"/>
    <w:pPr>
      <w:keepNext/>
      <w:spacing w:before="240" w:after="120"/>
    </w:pPr>
    <w:rPr>
      <w:rFonts w:ascii="Liberation Sans" w:eastAsia="Microsoft YaHei" w:hAnsi="Liberation Sans" w:cs="Arial"/>
      <w:sz w:val="28"/>
      <w:szCs w:val="28"/>
    </w:rPr>
  </w:style>
  <w:style w:type="paragraph" w:customStyle="1" w:styleId="TextBody">
    <w:name w:val="Text Body"/>
    <w:basedOn w:val="Normal"/>
    <w:rsid w:val="00F60BC8"/>
    <w:pPr>
      <w:spacing w:after="140" w:line="288" w:lineRule="auto"/>
    </w:pPr>
  </w:style>
  <w:style w:type="paragraph" w:styleId="List">
    <w:name w:val="List"/>
    <w:basedOn w:val="TextBody"/>
    <w:rsid w:val="00F60BC8"/>
    <w:rPr>
      <w:rFonts w:cs="Arial"/>
    </w:rPr>
  </w:style>
  <w:style w:type="paragraph" w:styleId="Caption">
    <w:name w:val="caption"/>
    <w:basedOn w:val="Normal"/>
    <w:rsid w:val="00F60BC8"/>
    <w:pPr>
      <w:suppressLineNumbers/>
      <w:spacing w:before="120" w:after="120"/>
    </w:pPr>
    <w:rPr>
      <w:rFonts w:cs="Arial"/>
      <w:i/>
      <w:iCs/>
      <w:sz w:val="24"/>
      <w:szCs w:val="24"/>
    </w:rPr>
  </w:style>
  <w:style w:type="paragraph" w:customStyle="1" w:styleId="Index">
    <w:name w:val="Index"/>
    <w:basedOn w:val="Normal"/>
    <w:rsid w:val="00F60BC8"/>
    <w:pPr>
      <w:suppressLineNumbers/>
    </w:pPr>
    <w:rPr>
      <w:rFonts w:cs="Arial"/>
    </w:rPr>
  </w:style>
  <w:style w:type="paragraph" w:styleId="ListParagraph">
    <w:name w:val="List Paragraph"/>
    <w:basedOn w:val="Normal"/>
    <w:uiPriority w:val="34"/>
    <w:qFormat/>
    <w:rsid w:val="00CC2960"/>
    <w:pPr>
      <w:ind w:left="720"/>
      <w:contextualSpacing/>
    </w:pPr>
  </w:style>
  <w:style w:type="character" w:styleId="Hyperlink">
    <w:name w:val="Hyperlink"/>
    <w:basedOn w:val="DefaultParagraphFont"/>
    <w:uiPriority w:val="99"/>
    <w:unhideWhenUsed/>
    <w:rsid w:val="00F71C37"/>
    <w:rPr>
      <w:color w:val="0563C1" w:themeColor="hyperlink"/>
      <w:u w:val="single"/>
    </w:rPr>
  </w:style>
  <w:style w:type="paragraph" w:customStyle="1" w:styleId="yiv4070911019ydp39f1b78fyiv9732069163msonormal">
    <w:name w:val="yiv4070911019ydp39f1b78fyiv9732069163msonormal"/>
    <w:basedOn w:val="Normal"/>
    <w:rsid w:val="004071BD"/>
    <w:pPr>
      <w:spacing w:before="100" w:beforeAutospacing="1" w:line="240" w:lineRule="auto"/>
    </w:pPr>
    <w:rPr>
      <w:rFonts w:ascii="Times New Roman" w:eastAsia="Times New Roman" w:hAnsi="Times New Roman" w:cs="Times New Roman"/>
      <w:color w:val="auto"/>
      <w:sz w:val="24"/>
      <w:szCs w:val="24"/>
      <w:lang w:eastAsia="en-GB"/>
    </w:rPr>
  </w:style>
  <w:style w:type="paragraph" w:customStyle="1" w:styleId="yiv7292243486msonormal">
    <w:name w:val="yiv7292243486msonormal"/>
    <w:basedOn w:val="Normal"/>
    <w:rsid w:val="001D152D"/>
    <w:pPr>
      <w:spacing w:before="100" w:beforeAutospacing="1" w:line="240" w:lineRule="auto"/>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B73BD"/>
    <w:pPr>
      <w:spacing w:before="100" w:beforeAutospacing="1" w:line="240" w:lineRule="auto"/>
    </w:pPr>
    <w:rPr>
      <w:rFonts w:ascii="Times New Roman" w:eastAsia="Times New Roman" w:hAnsi="Times New Roman" w:cs="Times New Roman"/>
      <w:color w:val="auto"/>
      <w:sz w:val="24"/>
      <w:szCs w:val="24"/>
      <w:lang w:eastAsia="en-GB"/>
    </w:rPr>
  </w:style>
  <w:style w:type="paragraph" w:customStyle="1" w:styleId="Standard">
    <w:name w:val="Standard"/>
    <w:rsid w:val="00D2575B"/>
    <w:pPr>
      <w:widowControl w:val="0"/>
      <w:suppressAutoHyphens/>
      <w:autoSpaceDN w:val="0"/>
      <w:spacing w:line="240" w:lineRule="auto"/>
      <w:textAlignment w:val="baseline"/>
    </w:pPr>
    <w:rPr>
      <w:rFonts w:ascii="Calibri" w:eastAsia="Segoe UI" w:hAnsi="Calibri" w:cs="Tahoma"/>
      <w:color w:val="000000"/>
      <w:kern w:val="3"/>
      <w:sz w:val="24"/>
      <w:szCs w:val="24"/>
      <w:lang w:val="en-US" w:bidi="en-US"/>
    </w:rPr>
  </w:style>
  <w:style w:type="paragraph" w:styleId="TOCHeading">
    <w:name w:val="TOC Heading"/>
    <w:basedOn w:val="Heading1"/>
    <w:next w:val="Normal"/>
    <w:uiPriority w:val="39"/>
    <w:unhideWhenUsed/>
    <w:qFormat/>
    <w:rsid w:val="001D5CAE"/>
    <w:pPr>
      <w:spacing w:afterAutospacing="0" w:line="259" w:lineRule="auto"/>
      <w:outlineLvl w:val="9"/>
    </w:pPr>
    <w:rPr>
      <w:lang w:val="en-US"/>
    </w:rPr>
  </w:style>
  <w:style w:type="paragraph" w:styleId="TOC1">
    <w:name w:val="toc 1"/>
    <w:basedOn w:val="Normal"/>
    <w:next w:val="Normal"/>
    <w:autoRedefine/>
    <w:uiPriority w:val="39"/>
    <w:unhideWhenUsed/>
    <w:rsid w:val="00345F04"/>
    <w:pPr>
      <w:tabs>
        <w:tab w:val="right" w:leader="dot" w:pos="9016"/>
      </w:tabs>
    </w:pPr>
    <w:rPr>
      <w:rFonts w:asciiTheme="majorHAnsi" w:eastAsiaTheme="majorEastAsia" w:hAnsiTheme="majorHAnsi" w:cstheme="majorBidi"/>
      <w:b/>
      <w:bCs/>
      <w:noProof/>
    </w:rPr>
  </w:style>
  <w:style w:type="character" w:customStyle="1" w:styleId="name">
    <w:name w:val="name"/>
    <w:basedOn w:val="DefaultParagraphFont"/>
    <w:rsid w:val="00F91581"/>
  </w:style>
  <w:style w:type="character" w:customStyle="1" w:styleId="surname">
    <w:name w:val="surname"/>
    <w:basedOn w:val="DefaultParagraphFont"/>
    <w:rsid w:val="00F91581"/>
  </w:style>
  <w:style w:type="character" w:customStyle="1" w:styleId="given-names">
    <w:name w:val="given-names"/>
    <w:basedOn w:val="DefaultParagraphFont"/>
    <w:rsid w:val="00F91581"/>
  </w:style>
  <w:style w:type="character" w:customStyle="1" w:styleId="year">
    <w:name w:val="year"/>
    <w:basedOn w:val="DefaultParagraphFont"/>
    <w:rsid w:val="00F91581"/>
  </w:style>
  <w:style w:type="paragraph" w:styleId="TOC2">
    <w:name w:val="toc 2"/>
    <w:basedOn w:val="Normal"/>
    <w:next w:val="Normal"/>
    <w:autoRedefine/>
    <w:uiPriority w:val="39"/>
    <w:unhideWhenUsed/>
    <w:rsid w:val="00F91581"/>
    <w:pPr>
      <w:ind w:left="220"/>
    </w:pPr>
  </w:style>
  <w:style w:type="character" w:customStyle="1" w:styleId="CommentTextChar">
    <w:name w:val="Comment Text Char"/>
    <w:basedOn w:val="DefaultParagraphFont"/>
    <w:link w:val="CommentText"/>
    <w:uiPriority w:val="99"/>
    <w:semiHidden/>
    <w:rsid w:val="00F222F7"/>
    <w:rPr>
      <w:rFonts w:ascii="Calibri" w:eastAsia="Calibri" w:hAnsi="Calibri"/>
      <w:color w:val="00000A"/>
      <w:szCs w:val="20"/>
    </w:rPr>
  </w:style>
  <w:style w:type="paragraph" w:styleId="CommentText">
    <w:name w:val="annotation text"/>
    <w:basedOn w:val="Normal"/>
    <w:link w:val="CommentTextChar"/>
    <w:uiPriority w:val="99"/>
    <w:semiHidden/>
    <w:unhideWhenUsed/>
    <w:rsid w:val="00F222F7"/>
    <w:pPr>
      <w:spacing w:line="240" w:lineRule="auto"/>
    </w:pPr>
    <w:rPr>
      <w:sz w:val="20"/>
      <w:szCs w:val="20"/>
    </w:rPr>
  </w:style>
  <w:style w:type="character" w:customStyle="1" w:styleId="CommentSubjectChar">
    <w:name w:val="Comment Subject Char"/>
    <w:basedOn w:val="CommentTextChar"/>
    <w:link w:val="CommentSubject"/>
    <w:uiPriority w:val="99"/>
    <w:semiHidden/>
    <w:rsid w:val="00F222F7"/>
    <w:rPr>
      <w:rFonts w:ascii="Calibri" w:eastAsia="Calibri" w:hAnsi="Calibri"/>
      <w:b/>
      <w:bCs/>
      <w:color w:val="00000A"/>
      <w:szCs w:val="20"/>
    </w:rPr>
  </w:style>
  <w:style w:type="paragraph" w:styleId="CommentSubject">
    <w:name w:val="annotation subject"/>
    <w:basedOn w:val="CommentText"/>
    <w:next w:val="CommentText"/>
    <w:link w:val="CommentSubjectChar"/>
    <w:uiPriority w:val="99"/>
    <w:semiHidden/>
    <w:unhideWhenUsed/>
    <w:rsid w:val="00F222F7"/>
    <w:rPr>
      <w:b/>
      <w:bCs/>
    </w:rPr>
  </w:style>
  <w:style w:type="character" w:customStyle="1" w:styleId="article-title">
    <w:name w:val="article-title"/>
    <w:basedOn w:val="DefaultParagraphFont"/>
    <w:rsid w:val="00F222F7"/>
  </w:style>
  <w:style w:type="character" w:customStyle="1" w:styleId="source">
    <w:name w:val="source"/>
    <w:basedOn w:val="DefaultParagraphFont"/>
    <w:rsid w:val="00F222F7"/>
  </w:style>
  <w:style w:type="character" w:customStyle="1" w:styleId="volume">
    <w:name w:val="volume"/>
    <w:basedOn w:val="DefaultParagraphFont"/>
    <w:rsid w:val="00F222F7"/>
  </w:style>
  <w:style w:type="character" w:customStyle="1" w:styleId="fpage">
    <w:name w:val="fpage"/>
    <w:basedOn w:val="DefaultParagraphFont"/>
    <w:rsid w:val="00F222F7"/>
  </w:style>
  <w:style w:type="character" w:customStyle="1" w:styleId="lpage">
    <w:name w:val="lpage"/>
    <w:basedOn w:val="DefaultParagraphFont"/>
    <w:rsid w:val="00F222F7"/>
  </w:style>
  <w:style w:type="character" w:customStyle="1" w:styleId="Heading4Char">
    <w:name w:val="Heading 4 Char"/>
    <w:basedOn w:val="DefaultParagraphFont"/>
    <w:link w:val="Heading4"/>
    <w:uiPriority w:val="99"/>
    <w:rsid w:val="00AE0BC5"/>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AE0BC5"/>
  </w:style>
  <w:style w:type="paragraph" w:styleId="BodyText2">
    <w:name w:val="Body Text 2"/>
    <w:basedOn w:val="Normal"/>
    <w:link w:val="BodyText2Char"/>
    <w:uiPriority w:val="99"/>
    <w:rsid w:val="00AE0BC5"/>
    <w:pPr>
      <w:spacing w:after="0" w:afterAutospacing="0" w:line="240" w:lineRule="auto"/>
      <w:ind w:left="720" w:hanging="720"/>
    </w:pPr>
    <w:rPr>
      <w:rFonts w:ascii="Times New Roman" w:eastAsia="Times New Roman" w:hAnsi="Times New Roman" w:cs="Times New Roman"/>
      <w:b/>
      <w:bCs/>
      <w:color w:val="auto"/>
    </w:rPr>
  </w:style>
  <w:style w:type="character" w:customStyle="1" w:styleId="BodyText2Char">
    <w:name w:val="Body Text 2 Char"/>
    <w:basedOn w:val="DefaultParagraphFont"/>
    <w:link w:val="BodyText2"/>
    <w:uiPriority w:val="99"/>
    <w:rsid w:val="00AE0BC5"/>
    <w:rPr>
      <w:rFonts w:ascii="Times New Roman" w:eastAsia="Times New Roman" w:hAnsi="Times New Roman" w:cs="Times New Roman"/>
      <w:b/>
      <w:bCs/>
      <w:sz w:val="22"/>
    </w:rPr>
  </w:style>
  <w:style w:type="paragraph" w:customStyle="1" w:styleId="deannah1">
    <w:name w:val="deannah1"/>
    <w:basedOn w:val="Normal"/>
    <w:uiPriority w:val="99"/>
    <w:rsid w:val="00AE0BC5"/>
    <w:pPr>
      <w:keepNext/>
      <w:spacing w:after="240" w:afterAutospacing="0" w:line="240" w:lineRule="auto"/>
    </w:pPr>
    <w:rPr>
      <w:rFonts w:ascii="Times New Roman" w:eastAsia="Times New Roman" w:hAnsi="Times New Roman" w:cs="Times New Roman"/>
      <w:b/>
      <w:bCs/>
      <w:color w:val="auto"/>
      <w:sz w:val="24"/>
      <w:szCs w:val="24"/>
    </w:rPr>
  </w:style>
  <w:style w:type="table" w:styleId="TableGrid">
    <w:name w:val="Table Grid"/>
    <w:basedOn w:val="TableNormal"/>
    <w:uiPriority w:val="59"/>
    <w:rsid w:val="00AE0BC5"/>
    <w:pPr>
      <w:spacing w:after="0" w:afterAutospacing="0" w:line="240" w:lineRule="auto"/>
    </w:pPr>
    <w:rPr>
      <w:rFonts w:ascii="Times New Roman" w:eastAsia="Times New Roman" w:hAnsi="Times New Roman" w:cs="Times New Roman"/>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AE0BC5"/>
    <w:rPr>
      <w:color w:val="535353"/>
      <w:u w:val="single"/>
      <w:effect w:val="none"/>
    </w:rPr>
  </w:style>
  <w:style w:type="paragraph" w:customStyle="1" w:styleId="NormalWeb1">
    <w:name w:val="Normal (Web)1"/>
    <w:basedOn w:val="Normal"/>
    <w:uiPriority w:val="99"/>
    <w:rsid w:val="00AE0BC5"/>
    <w:pPr>
      <w:spacing w:before="100" w:beforeAutospacing="1" w:after="300" w:afterAutospacing="0" w:line="240" w:lineRule="auto"/>
    </w:pPr>
    <w:rPr>
      <w:rFonts w:ascii="Times New Roman" w:eastAsia="Times New Roman" w:hAnsi="Times New Roman" w:cs="Times New Roman"/>
      <w:color w:val="auto"/>
      <w:sz w:val="24"/>
      <w:szCs w:val="24"/>
      <w:lang w:eastAsia="en-GB"/>
    </w:rPr>
  </w:style>
  <w:style w:type="character" w:styleId="PageNumber">
    <w:name w:val="page number"/>
    <w:basedOn w:val="DefaultParagraphFont"/>
    <w:uiPriority w:val="99"/>
    <w:rsid w:val="00AE0BC5"/>
  </w:style>
  <w:style w:type="character" w:styleId="CommentReference">
    <w:name w:val="annotation reference"/>
    <w:uiPriority w:val="99"/>
    <w:semiHidden/>
    <w:unhideWhenUsed/>
    <w:rsid w:val="00AE0BC5"/>
    <w:rPr>
      <w:sz w:val="16"/>
      <w:szCs w:val="16"/>
    </w:rPr>
  </w:style>
  <w:style w:type="character" w:styleId="Strong">
    <w:name w:val="Strong"/>
    <w:uiPriority w:val="22"/>
    <w:qFormat/>
    <w:rsid w:val="00AE0B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095501">
      <w:bodyDiv w:val="1"/>
      <w:marLeft w:val="0"/>
      <w:marRight w:val="0"/>
      <w:marTop w:val="0"/>
      <w:marBottom w:val="0"/>
      <w:divBdr>
        <w:top w:val="none" w:sz="0" w:space="0" w:color="auto"/>
        <w:left w:val="none" w:sz="0" w:space="0" w:color="auto"/>
        <w:bottom w:val="none" w:sz="0" w:space="0" w:color="auto"/>
        <w:right w:val="none" w:sz="0" w:space="0" w:color="auto"/>
      </w:divBdr>
    </w:div>
    <w:div w:id="131559433">
      <w:bodyDiv w:val="1"/>
      <w:marLeft w:val="0"/>
      <w:marRight w:val="0"/>
      <w:marTop w:val="0"/>
      <w:marBottom w:val="0"/>
      <w:divBdr>
        <w:top w:val="none" w:sz="0" w:space="0" w:color="auto"/>
        <w:left w:val="none" w:sz="0" w:space="0" w:color="auto"/>
        <w:bottom w:val="none" w:sz="0" w:space="0" w:color="auto"/>
        <w:right w:val="none" w:sz="0" w:space="0" w:color="auto"/>
      </w:divBdr>
    </w:div>
    <w:div w:id="456874381">
      <w:bodyDiv w:val="1"/>
      <w:marLeft w:val="0"/>
      <w:marRight w:val="0"/>
      <w:marTop w:val="0"/>
      <w:marBottom w:val="0"/>
      <w:divBdr>
        <w:top w:val="none" w:sz="0" w:space="0" w:color="auto"/>
        <w:left w:val="none" w:sz="0" w:space="0" w:color="auto"/>
        <w:bottom w:val="none" w:sz="0" w:space="0" w:color="auto"/>
        <w:right w:val="none" w:sz="0" w:space="0" w:color="auto"/>
      </w:divBdr>
    </w:div>
    <w:div w:id="894849927">
      <w:bodyDiv w:val="1"/>
      <w:marLeft w:val="0"/>
      <w:marRight w:val="0"/>
      <w:marTop w:val="0"/>
      <w:marBottom w:val="0"/>
      <w:divBdr>
        <w:top w:val="none" w:sz="0" w:space="0" w:color="auto"/>
        <w:left w:val="none" w:sz="0" w:space="0" w:color="auto"/>
        <w:bottom w:val="none" w:sz="0" w:space="0" w:color="auto"/>
        <w:right w:val="none" w:sz="0" w:space="0" w:color="auto"/>
      </w:divBdr>
    </w:div>
    <w:div w:id="921376742">
      <w:bodyDiv w:val="1"/>
      <w:marLeft w:val="0"/>
      <w:marRight w:val="0"/>
      <w:marTop w:val="0"/>
      <w:marBottom w:val="0"/>
      <w:divBdr>
        <w:top w:val="none" w:sz="0" w:space="0" w:color="auto"/>
        <w:left w:val="none" w:sz="0" w:space="0" w:color="auto"/>
        <w:bottom w:val="none" w:sz="0" w:space="0" w:color="auto"/>
        <w:right w:val="none" w:sz="0" w:space="0" w:color="auto"/>
      </w:divBdr>
      <w:divsChild>
        <w:div w:id="1029914720">
          <w:marLeft w:val="-115"/>
          <w:marRight w:val="0"/>
          <w:marTop w:val="0"/>
          <w:marBottom w:val="0"/>
          <w:divBdr>
            <w:top w:val="none" w:sz="0" w:space="0" w:color="auto"/>
            <w:left w:val="none" w:sz="0" w:space="0" w:color="auto"/>
            <w:bottom w:val="none" w:sz="0" w:space="0" w:color="auto"/>
            <w:right w:val="none" w:sz="0" w:space="0" w:color="auto"/>
          </w:divBdr>
        </w:div>
      </w:divsChild>
    </w:div>
    <w:div w:id="1104349336">
      <w:bodyDiv w:val="1"/>
      <w:marLeft w:val="0"/>
      <w:marRight w:val="0"/>
      <w:marTop w:val="0"/>
      <w:marBottom w:val="0"/>
      <w:divBdr>
        <w:top w:val="none" w:sz="0" w:space="0" w:color="auto"/>
        <w:left w:val="none" w:sz="0" w:space="0" w:color="auto"/>
        <w:bottom w:val="none" w:sz="0" w:space="0" w:color="auto"/>
        <w:right w:val="none" w:sz="0" w:space="0" w:color="auto"/>
      </w:divBdr>
    </w:div>
    <w:div w:id="1123380585">
      <w:bodyDiv w:val="1"/>
      <w:marLeft w:val="0"/>
      <w:marRight w:val="0"/>
      <w:marTop w:val="0"/>
      <w:marBottom w:val="0"/>
      <w:divBdr>
        <w:top w:val="none" w:sz="0" w:space="0" w:color="auto"/>
        <w:left w:val="none" w:sz="0" w:space="0" w:color="auto"/>
        <w:bottom w:val="none" w:sz="0" w:space="0" w:color="auto"/>
        <w:right w:val="none" w:sz="0" w:space="0" w:color="auto"/>
      </w:divBdr>
    </w:div>
    <w:div w:id="1252280381">
      <w:bodyDiv w:val="1"/>
      <w:marLeft w:val="0"/>
      <w:marRight w:val="0"/>
      <w:marTop w:val="0"/>
      <w:marBottom w:val="0"/>
      <w:divBdr>
        <w:top w:val="none" w:sz="0" w:space="0" w:color="auto"/>
        <w:left w:val="none" w:sz="0" w:space="0" w:color="auto"/>
        <w:bottom w:val="none" w:sz="0" w:space="0" w:color="auto"/>
        <w:right w:val="none" w:sz="0" w:space="0" w:color="auto"/>
      </w:divBdr>
    </w:div>
    <w:div w:id="1355838061">
      <w:bodyDiv w:val="1"/>
      <w:marLeft w:val="0"/>
      <w:marRight w:val="0"/>
      <w:marTop w:val="0"/>
      <w:marBottom w:val="0"/>
      <w:divBdr>
        <w:top w:val="none" w:sz="0" w:space="0" w:color="auto"/>
        <w:left w:val="none" w:sz="0" w:space="0" w:color="auto"/>
        <w:bottom w:val="none" w:sz="0" w:space="0" w:color="auto"/>
        <w:right w:val="none" w:sz="0" w:space="0" w:color="auto"/>
      </w:divBdr>
      <w:divsChild>
        <w:div w:id="204221667">
          <w:marLeft w:val="-108"/>
          <w:marRight w:val="0"/>
          <w:marTop w:val="0"/>
          <w:marBottom w:val="0"/>
          <w:divBdr>
            <w:top w:val="none" w:sz="0" w:space="0" w:color="auto"/>
            <w:left w:val="none" w:sz="0" w:space="0" w:color="auto"/>
            <w:bottom w:val="none" w:sz="0" w:space="0" w:color="auto"/>
            <w:right w:val="none" w:sz="0" w:space="0" w:color="auto"/>
          </w:divBdr>
        </w:div>
        <w:div w:id="722679603">
          <w:marLeft w:val="-108"/>
          <w:marRight w:val="0"/>
          <w:marTop w:val="0"/>
          <w:marBottom w:val="0"/>
          <w:divBdr>
            <w:top w:val="none" w:sz="0" w:space="0" w:color="auto"/>
            <w:left w:val="none" w:sz="0" w:space="0" w:color="auto"/>
            <w:bottom w:val="none" w:sz="0" w:space="0" w:color="auto"/>
            <w:right w:val="none" w:sz="0" w:space="0" w:color="auto"/>
          </w:divBdr>
        </w:div>
        <w:div w:id="965232375">
          <w:marLeft w:val="318"/>
          <w:marRight w:val="0"/>
          <w:marTop w:val="0"/>
          <w:marBottom w:val="0"/>
          <w:divBdr>
            <w:top w:val="none" w:sz="0" w:space="0" w:color="auto"/>
            <w:left w:val="none" w:sz="0" w:space="0" w:color="auto"/>
            <w:bottom w:val="none" w:sz="0" w:space="0" w:color="auto"/>
            <w:right w:val="none" w:sz="0" w:space="0" w:color="auto"/>
          </w:divBdr>
        </w:div>
        <w:div w:id="304509752">
          <w:marLeft w:val="318"/>
          <w:marRight w:val="0"/>
          <w:marTop w:val="0"/>
          <w:marBottom w:val="0"/>
          <w:divBdr>
            <w:top w:val="none" w:sz="0" w:space="0" w:color="auto"/>
            <w:left w:val="none" w:sz="0" w:space="0" w:color="auto"/>
            <w:bottom w:val="none" w:sz="0" w:space="0" w:color="auto"/>
            <w:right w:val="none" w:sz="0" w:space="0" w:color="auto"/>
          </w:divBdr>
        </w:div>
        <w:div w:id="1123646520">
          <w:marLeft w:val="339"/>
          <w:marRight w:val="0"/>
          <w:marTop w:val="0"/>
          <w:marBottom w:val="0"/>
          <w:divBdr>
            <w:top w:val="none" w:sz="0" w:space="0" w:color="auto"/>
            <w:left w:val="none" w:sz="0" w:space="0" w:color="auto"/>
            <w:bottom w:val="none" w:sz="0" w:space="0" w:color="auto"/>
            <w:right w:val="none" w:sz="0" w:space="0" w:color="auto"/>
          </w:divBdr>
        </w:div>
        <w:div w:id="621150904">
          <w:marLeft w:val="318"/>
          <w:marRight w:val="0"/>
          <w:marTop w:val="0"/>
          <w:marBottom w:val="0"/>
          <w:divBdr>
            <w:top w:val="none" w:sz="0" w:space="0" w:color="auto"/>
            <w:left w:val="none" w:sz="0" w:space="0" w:color="auto"/>
            <w:bottom w:val="none" w:sz="0" w:space="0" w:color="auto"/>
            <w:right w:val="none" w:sz="0" w:space="0" w:color="auto"/>
          </w:divBdr>
        </w:div>
      </w:divsChild>
    </w:div>
    <w:div w:id="1426153574">
      <w:bodyDiv w:val="1"/>
      <w:marLeft w:val="0"/>
      <w:marRight w:val="0"/>
      <w:marTop w:val="0"/>
      <w:marBottom w:val="0"/>
      <w:divBdr>
        <w:top w:val="none" w:sz="0" w:space="0" w:color="auto"/>
        <w:left w:val="none" w:sz="0" w:space="0" w:color="auto"/>
        <w:bottom w:val="none" w:sz="0" w:space="0" w:color="auto"/>
        <w:right w:val="none" w:sz="0" w:space="0" w:color="auto"/>
      </w:divBdr>
    </w:div>
    <w:div w:id="1724138382">
      <w:bodyDiv w:val="1"/>
      <w:marLeft w:val="0"/>
      <w:marRight w:val="0"/>
      <w:marTop w:val="0"/>
      <w:marBottom w:val="0"/>
      <w:divBdr>
        <w:top w:val="none" w:sz="0" w:space="0" w:color="auto"/>
        <w:left w:val="none" w:sz="0" w:space="0" w:color="auto"/>
        <w:bottom w:val="none" w:sz="0" w:space="0" w:color="auto"/>
        <w:right w:val="none" w:sz="0" w:space="0" w:color="auto"/>
      </w:divBdr>
      <w:divsChild>
        <w:div w:id="1651250196">
          <w:marLeft w:val="0"/>
          <w:marRight w:val="0"/>
          <w:marTop w:val="0"/>
          <w:marBottom w:val="0"/>
          <w:divBdr>
            <w:top w:val="none" w:sz="0" w:space="0" w:color="auto"/>
            <w:left w:val="none" w:sz="0" w:space="0" w:color="auto"/>
            <w:bottom w:val="none" w:sz="0" w:space="0" w:color="auto"/>
            <w:right w:val="none" w:sz="0" w:space="0" w:color="auto"/>
          </w:divBdr>
        </w:div>
        <w:div w:id="1132938665">
          <w:marLeft w:val="0"/>
          <w:marRight w:val="0"/>
          <w:marTop w:val="0"/>
          <w:marBottom w:val="0"/>
          <w:divBdr>
            <w:top w:val="none" w:sz="0" w:space="0" w:color="auto"/>
            <w:left w:val="none" w:sz="0" w:space="0" w:color="auto"/>
            <w:bottom w:val="none" w:sz="0" w:space="0" w:color="auto"/>
            <w:right w:val="none" w:sz="0" w:space="0" w:color="auto"/>
          </w:divBdr>
        </w:div>
        <w:div w:id="2063165899">
          <w:marLeft w:val="0"/>
          <w:marRight w:val="0"/>
          <w:marTop w:val="0"/>
          <w:marBottom w:val="0"/>
          <w:divBdr>
            <w:top w:val="none" w:sz="0" w:space="0" w:color="auto"/>
            <w:left w:val="none" w:sz="0" w:space="0" w:color="auto"/>
            <w:bottom w:val="none" w:sz="0" w:space="0" w:color="auto"/>
            <w:right w:val="none" w:sz="0" w:space="0" w:color="auto"/>
          </w:divBdr>
        </w:div>
        <w:div w:id="821697190">
          <w:marLeft w:val="0"/>
          <w:marRight w:val="0"/>
          <w:marTop w:val="0"/>
          <w:marBottom w:val="0"/>
          <w:divBdr>
            <w:top w:val="none" w:sz="0" w:space="0" w:color="auto"/>
            <w:left w:val="none" w:sz="0" w:space="0" w:color="auto"/>
            <w:bottom w:val="none" w:sz="0" w:space="0" w:color="auto"/>
            <w:right w:val="none" w:sz="0" w:space="0" w:color="auto"/>
          </w:divBdr>
        </w:div>
      </w:divsChild>
    </w:div>
    <w:div w:id="1996370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gov.wales/sites/default/files/publications/2019-06/youth-work-strategy-for-wales.pdf" TargetMode="External"/><Relationship Id="rId21" Type="http://schemas.openxmlformats.org/officeDocument/2006/relationships/hyperlink" Target="https://reader.elsevier.com/reader/sd/pii/S1878929314000504?token=65628265AEB64F58FD55822D45E450881143AAC0EACDFFCF011F149DEB3E54CE20E1E742300381D4698CAAEDDCC2245C&amp;originRegion=eu-west-1&amp;originCreation=20210424124947" TargetMode="External"/><Relationship Id="rId42" Type="http://schemas.openxmlformats.org/officeDocument/2006/relationships/hyperlink" Target="https://www.mdpi.com/1660-4601/17/10/3647/htm" TargetMode="External"/><Relationship Id="rId63" Type="http://schemas.openxmlformats.org/officeDocument/2006/relationships/hyperlink" Target="https://www.sciencedirect.com/science/article/pii/S2352154620301509" TargetMode="External"/><Relationship Id="rId84" Type="http://schemas.openxmlformats.org/officeDocument/2006/relationships/hyperlink" Target="https://www.nhs.uk/live-well/sexual-health/stages-of-puberty-what-happens-to-boys-and-girls/" TargetMode="External"/><Relationship Id="rId138" Type="http://schemas.openxmlformats.org/officeDocument/2006/relationships/hyperlink" Target="https://www.tandfonline.com/doi/full/10.1080/14681811.2016.1236016" TargetMode="External"/><Relationship Id="rId159" Type="http://schemas.openxmlformats.org/officeDocument/2006/relationships/hyperlink" Target="https://www.jahonline.org/article/S1054-139X(21)00099-9/fulltext" TargetMode="External"/><Relationship Id="rId17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07" Type="http://schemas.openxmlformats.org/officeDocument/2006/relationships/hyperlink" Target="https://onlinelibrary.wiley.com/doi/10.1111/acps.13229" TargetMode="External"/><Relationship Id="rId11" Type="http://schemas.openxmlformats.org/officeDocument/2006/relationships/hyperlink" Target="https://bmcpublichealth.biomedcentral.com/articles/10.1186/s12889-021-10198-w" TargetMode="External"/><Relationship Id="rId32" Type="http://schemas.openxmlformats.org/officeDocument/2006/relationships/hyperlink" Target="https://www.sciencedirect.com/science/article/pii/S1054139X20304985" TargetMode="External"/><Relationship Id="rId53" Type="http://schemas.openxmlformats.org/officeDocument/2006/relationships/hyperlink" Target="https://reader.elsevier.com/reader/sd/pii/S0190740920321484?token=60B365809DCA25E6AE976AF60E5A72C20D630CE4CD42362B2038C600DC4E854C8CC16B84CFFCF4EABACCD4CE4F074B60&amp;originRegion=eu-west-1&amp;originCreation=20210619125247" TargetMode="External"/><Relationship Id="rId74" Type="http://schemas.openxmlformats.org/officeDocument/2006/relationships/hyperlink" Target="https://onlinelibrary.wiley.com/doi/full/10.1002/cbm.2149?saml_referrer" TargetMode="External"/><Relationship Id="rId128" Type="http://schemas.openxmlformats.org/officeDocument/2006/relationships/hyperlink" Target="https://www.sciencedirect.com/science/article/pii/S0306460321001660" TargetMode="External"/><Relationship Id="rId149" Type="http://schemas.openxmlformats.org/officeDocument/2006/relationships/hyperlink" Target="https://www.sciencedirect.com/science/article/pii/S1054139X20303979" TargetMode="External"/><Relationship Id="rId5" Type="http://schemas.openxmlformats.org/officeDocument/2006/relationships/webSettings" Target="webSettings.xml"/><Relationship Id="rId95" Type="http://schemas.openxmlformats.org/officeDocument/2006/relationships/hyperlink" Target="https://journals.sagepub.com/doi/pdf/10.1177/0886260517723746" TargetMode="External"/><Relationship Id="rId160" Type="http://schemas.openxmlformats.org/officeDocument/2006/relationships/hyperlink" Target="https://reader.elsevier.com/reader/sd/pii/S1054139X20301907?token=858F71A18240C6594B137C7A1F7BAC34B4D2F472AE238D03C7FEBEE2BA2999768442C8611C35EBF89122CBB6D8B57133&amp;originRegion=eu-west-1&amp;originCreation=20210612133711" TargetMode="External"/><Relationship Id="rId181" Type="http://schemas.openxmlformats.org/officeDocument/2006/relationships/theme" Target="theme/theme1.xml"/><Relationship Id="rId22" Type="http://schemas.openxmlformats.org/officeDocument/2006/relationships/hyperlink" Target="https://bestpractice.bmj.com/topics/en-gb/1127" TargetMode="External"/><Relationship Id="rId43" Type="http://schemas.openxmlformats.org/officeDocument/2006/relationships/hyperlink" Target="https://onlinelibrary.wiley.com/doi/epdf/10.1111/desc.12026" TargetMode="External"/><Relationship Id="rId64" Type="http://schemas.openxmlformats.org/officeDocument/2006/relationships/hyperlink" Target="https://web-a-ebscohost-com.ezproxy.uwtsd.ac.uk/ehost/pdfviewer/pdfviewer?vid=1&amp;sid=a9ad76aa-9b34-4161-bc15-e5571425458b%40sdc-v-sessmgr03" TargetMode="External"/><Relationship Id="rId118" Type="http://schemas.openxmlformats.org/officeDocument/2006/relationships/hyperlink" Target="https://link.springer.com/article/10.1007%2Fs10964-019-00991-7" TargetMode="External"/><Relationship Id="rId139" Type="http://schemas.openxmlformats.org/officeDocument/2006/relationships/hyperlink" Target="https://pubmed.ncbi.nlm.nih.gov/30774707/" TargetMode="External"/><Relationship Id="rId85" Type="http://schemas.openxmlformats.org/officeDocument/2006/relationships/hyperlink" Target="https://www.ons.gov.uk/peoplepopulationandcommunity/healthandsocialcare/causesofdeath/bulletins/avoidablemortalityinenglandandwales/2019" TargetMode="External"/><Relationship Id="rId150" Type="http://schemas.openxmlformats.org/officeDocument/2006/relationships/hyperlink" Target="https://onlinelibrary.wiley.com/doi/epdf/10.1111/josh.12973" TargetMode="External"/><Relationship Id="rId17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hyperlink" Target="https://onlinelibrary.wiley.com/doi/epdf/10.1111/jcap.12295" TargetMode="External"/><Relationship Id="rId33" Type="http://schemas.openxmlformats.org/officeDocument/2006/relationships/hyperlink" Target="https://reader.elsevier.com/reader/sd/pii/S0165032721003402?token=740BAF17C0E2A5EB90B3C4DC63CCB646D908710EADE0F39936CC8EC6AA51404191B9F8CCFBAD2DE2B5E1611C063A86DB&amp;originRegion=eu-west-1&amp;originCreation=20210617130217" TargetMode="External"/><Relationship Id="rId108" Type="http://schemas.openxmlformats.org/officeDocument/2006/relationships/hyperlink" Target="https://reader.elsevier.com/reader/sd/pii/S1054139X21000689?token=DA79BF6AC7C6FF0521559BD95AC13D2D2B4A55EA113E90F95CA7E3A7E59C4961579B1FC07179693FDF77E80D13583A65&amp;originRegion=eu-west-1&amp;originCreation=20210611132519" TargetMode="External"/><Relationship Id="rId129" Type="http://schemas.openxmlformats.org/officeDocument/2006/relationships/hyperlink" Target="https://onlinelibrary.wiley.com/doi/epdf/10.1111/jora.12583" TargetMode="External"/><Relationship Id="rId54" Type="http://schemas.openxmlformats.org/officeDocument/2006/relationships/hyperlink" Target="https://www.thelancet.com/action/showPdf?pii=S0140-6736%2817%2931045-0" TargetMode="External"/><Relationship Id="rId75" Type="http://schemas.openxmlformats.org/officeDocument/2006/relationships/hyperlink" Target="https://www.sciencedirect.com/science/article/pii/S2666558121000099" TargetMode="External"/><Relationship Id="rId96" Type="http://schemas.openxmlformats.org/officeDocument/2006/relationships/hyperlink" Target="https://www.sciencedirect.com/science/article/pii/S0272735821000829" TargetMode="External"/><Relationship Id="rId140" Type="http://schemas.openxmlformats.org/officeDocument/2006/relationships/hyperlink" Target="https://www.sciencedirect.com/science/article/pii/S1054139X21000653" TargetMode="External"/><Relationship Id="rId161" Type="http://schemas.openxmlformats.org/officeDocument/2006/relationships/hyperlink" Target="https://reader.elsevier.com/reader/sd/pii/S016726812100216X?token=99FC7400E9E9CAE831865422AD7365BAFE98F95D741A509DF8F151FBD73FD6C41A41F025CBEFBA9685EA76A12CEF8015&amp;originRegion=eu-west-1&amp;originCreation=20210705155412" TargetMode="External"/><Relationship Id="rId6" Type="http://schemas.openxmlformats.org/officeDocument/2006/relationships/footnotes" Target="footnotes.xml"/><Relationship Id="rId23" Type="http://schemas.openxmlformats.org/officeDocument/2006/relationships/hyperlink" Target="https://onlinelibrary.wiley.com/doi/full/10.1111/add.14366?saml_referrer" TargetMode="External"/><Relationship Id="rId119" Type="http://schemas.openxmlformats.org/officeDocument/2006/relationships/hyperlink" Target="https://www.sciencedirect.com/science/article/pii/S0165178119301684" TargetMode="External"/><Relationship Id="rId44" Type="http://schemas.openxmlformats.org/officeDocument/2006/relationships/hyperlink" Target="https://cls.ucl.ac.uk/wp-content/uploads/2018/01/Determinants-of-risky-behaviour-in-adolescence-Evidence-from-the-UK.pdf" TargetMode="External"/><Relationship Id="rId60" Type="http://schemas.openxmlformats.org/officeDocument/2006/relationships/hyperlink" Target="https://www.sciencedirect.com/science/article/pii/S0885201420301325" TargetMode="External"/><Relationship Id="rId65" Type="http://schemas.openxmlformats.org/officeDocument/2006/relationships/hyperlink" Target="https://reader.elsevier.com/reader/sd/pii/S1054139X20304547?token=5EDBA79BC0F91898D445583E1994C02E41C6355ABC46BB197C00588B26BBBB0596A882F3C16D660CBF3F5FAB93D3A366&amp;originRegion=eu-west-1&amp;originCreation=20210627160641" TargetMode="External"/><Relationship Id="rId81" Type="http://schemas.openxmlformats.org/officeDocument/2006/relationships/hyperlink" Target="https://www.bbc.co.uk/news/uk-england-sussex-57411702" TargetMode="External"/><Relationship Id="rId86" Type="http://schemas.openxmlformats.org/officeDocument/2006/relationships/hyperlink" Target="https://www.ons.gov.uk/peoplepopulationandcommunity/birthsdeathsandmarriages/deaths/bulletins/suicidesintheunitedkingdom/2019registrations" TargetMode="External"/><Relationship Id="rId130" Type="http://schemas.openxmlformats.org/officeDocument/2006/relationships/hyperlink" Target="https://www.mdpi.com/1660-4601/18/5/2724/htm" TargetMode="External"/><Relationship Id="rId135" Type="http://schemas.openxmlformats.org/officeDocument/2006/relationships/hyperlink" Target="https://www.sciencedirect.com/science/article/pii/S0022437521000554" TargetMode="External"/><Relationship Id="rId151" Type="http://schemas.openxmlformats.org/officeDocument/2006/relationships/hyperlink" Target="https://www.sciencedirect.com/science/article/abs/pii/S0924933813765301?via%3Dihub" TargetMode="External"/><Relationship Id="rId156" Type="http://schemas.openxmlformats.org/officeDocument/2006/relationships/hyperlink" Target="https://www.theguardian.com/lifeandstyle/2015/oct/19/is-adolescent-risk-taking-vital-for-our-species" TargetMode="External"/><Relationship Id="rId177" Type="http://schemas.openxmlformats.org/officeDocument/2006/relationships/image" Target="media/image4.jpeg"/><Relationship Id="rId17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www.sciencedirect.com/science/article/pii/S0005796712001027" TargetMode="External"/><Relationship Id="rId18" Type="http://schemas.openxmlformats.org/officeDocument/2006/relationships/hyperlink" Target="https://reader.elsevier.com/reader/sd/pii/S187892932030089X?token=A6BC0F16BD1B3CE58C4D05BE7FD484DE89DA2F216D35B1BDA08074E1835E7FD992C96F1768B010BC4BCE194A8C81E383&amp;originRegion=eu-west-1&amp;originCreation=20210612155734" TargetMode="External"/><Relationship Id="rId39" Type="http://schemas.openxmlformats.org/officeDocument/2006/relationships/hyperlink" Target="https://reader.elsevier.com/reader/sd/pii/S0022395621003885?token=B4FB7D78921C11B0D8771A256B1E30323AD020A2AEC2A5BE1B5A3C80290A5316D67BA96E0AB3E7E88677EA92712EDA20&amp;originRegion=eu-west-1&amp;originCreation=20210620144013" TargetMode="External"/><Relationship Id="rId109" Type="http://schemas.openxmlformats.org/officeDocument/2006/relationships/hyperlink" Target="https://www.sciencedirect.com/science/article/pii/S0190740920322660" TargetMode="External"/><Relationship Id="rId34" Type="http://schemas.openxmlformats.org/officeDocument/2006/relationships/hyperlink" Target="https://www.sciencedirect.com/science/article/pii/S1054139X21000483" TargetMode="External"/><Relationship Id="rId50" Type="http://schemas.openxmlformats.org/officeDocument/2006/relationships/hyperlink" Target="https://reader.elsevier.com/reader/sd/pii/S1054139X20308466?token=DFDE91630DE7BB652F99359049A8B5D65391A697B138CB1BADA072057A32B8A835957834997A4E05731F560FF51FFBD5&amp;originRegion=eu-west-1&amp;originCreation=20210629174854" TargetMode="External"/><Relationship Id="rId55" Type="http://schemas.openxmlformats.org/officeDocument/2006/relationships/hyperlink" Target="https://www.sciencedirect.com/science/article/pii/S0160289616303324" TargetMode="External"/><Relationship Id="rId76" Type="http://schemas.openxmlformats.org/officeDocument/2006/relationships/hyperlink" Target="https://www.sciencedirect.com/science/article/pii/S0885201420300034" TargetMode="External"/><Relationship Id="rId97" Type="http://schemas.openxmlformats.org/officeDocument/2006/relationships/hyperlink" Target="https://www.cambridge.org/core/journals/psychological-medicine/article/timing-of-menarche-and-selfharm-in-adolescence-and-adulthood-a-populationbased-cohort-study/CCB057306EBF54F73691E2CE99BEDE3A" TargetMode="External"/><Relationship Id="rId104" Type="http://schemas.openxmlformats.org/officeDocument/2006/relationships/hyperlink" Target="https://reader.elsevier.com/reader/sd/pii/S1054139X20301907?token=858F71A18240C6594B137C7A1F7BAC34B4D2F472AE238D03C7FEBEE2BA2999768442C8611C35EBF89122CBB6D8B57133&amp;originRegion=eu-west-1&amp;originCreation=20210612133711" TargetMode="External"/><Relationship Id="rId120" Type="http://schemas.openxmlformats.org/officeDocument/2006/relationships/hyperlink" Target="https://www.who.int/activities/strengthening-data-on-adolescent-health" TargetMode="External"/><Relationship Id="rId125" Type="http://schemas.openxmlformats.org/officeDocument/2006/relationships/hyperlink" Target="https://www.sciencedirect.com/science/article/pii/S1054139X21001671" TargetMode="External"/><Relationship Id="rId141" Type="http://schemas.openxmlformats.org/officeDocument/2006/relationships/hyperlink" Target="https://www.cambridge.org/core/journals/bjpsych-advances/article/therapeutic-risktaking-a-justifiable-choice/134DFBB0FD51DBB504C5AD81981358B0" TargetMode="External"/><Relationship Id="rId146" Type="http://schemas.openxmlformats.org/officeDocument/2006/relationships/hyperlink" Target="https://www.youthandpolicy.org/articles/young-people-risk-taking/" TargetMode="External"/><Relationship Id="rId167" Type="http://schemas.openxmlformats.org/officeDocument/2006/relationships/hyperlink" Target="https://reader.elsevier.com/reader/sd/pii/S0018506X07001390?token=61DE5B9B3F94054FFF47E145E2A59E36608557EE25AC6199ECAA687B49DFFB2957900B934DB399FE5623B2A806E9D84C&amp;originRegion=eu-west-1&amp;originCreation=20210610160429" TargetMode="External"/><Relationship Id="rId7" Type="http://schemas.openxmlformats.org/officeDocument/2006/relationships/endnotes" Target="endnotes.xml"/><Relationship Id="rId71" Type="http://schemas.openxmlformats.org/officeDocument/2006/relationships/hyperlink" Target="https://onlinelibrary.wiley.com/doi/full/10.1002/smi.2923?saml_referrer" TargetMode="External"/><Relationship Id="rId92" Type="http://schemas.openxmlformats.org/officeDocument/2006/relationships/hyperlink" Target="https://europepmc.org/backend/ptpmcrender.fcgi?accid=PMC6258354&amp;blobtype=pdf" TargetMode="External"/><Relationship Id="rId162" Type="http://schemas.openxmlformats.org/officeDocument/2006/relationships/hyperlink" Target="https://www.sciencedirect.com/science/article/pii/S0890856721002197" TargetMode="External"/><Relationship Id="rId2" Type="http://schemas.openxmlformats.org/officeDocument/2006/relationships/numbering" Target="numbering.xml"/><Relationship Id="rId29" Type="http://schemas.openxmlformats.org/officeDocument/2006/relationships/hyperlink" Target="https://journals.sagepub.com/doi/abs/10.1177/2158244014564768" TargetMode="External"/><Relationship Id="rId24" Type="http://schemas.openxmlformats.org/officeDocument/2006/relationships/hyperlink" Target="https://bmcpsychiatry.biomedcentral.com/articles/10.1186/s12888-020-03026-9" TargetMode="External"/><Relationship Id="rId40" Type="http://schemas.openxmlformats.org/officeDocument/2006/relationships/hyperlink" Target="https://bmcpublichealth.biomedcentral.com/articles/10.1186/1471-2458-9-446" TargetMode="External"/><Relationship Id="rId45" Type="http://schemas.openxmlformats.org/officeDocument/2006/relationships/hyperlink" Target="https://bpspsychub.onlinelibrary.wiley.com/doi/full/10.1111/bjdp.12287?saml_referrer" TargetMode="External"/><Relationship Id="rId66" Type="http://schemas.openxmlformats.org/officeDocument/2006/relationships/hyperlink" Target="https://www.sciencedirect.com/science/article/pii/S0001457502001501" TargetMode="External"/><Relationship Id="rId87" Type="http://schemas.openxmlformats.org/officeDocument/2006/relationships/hyperlink" Target="https://www.sciencedirect.com/science/article/pii/S1054139X21000239" TargetMode="External"/><Relationship Id="rId110" Type="http://schemas.openxmlformats.org/officeDocument/2006/relationships/hyperlink" Target="https://reader.elsevier.com/reader/sd/pii/S016726811930263X?token=3167758E9DDDAAD7DFB0AC119C2E41D1AF482585B69E4930DCC96DF311CC240793043B9DD9AD18672F9D6C8B255E42D3&amp;originRegion=eu-west-1&amp;originCreation=20210618155015" TargetMode="External"/><Relationship Id="rId115" Type="http://schemas.openxmlformats.org/officeDocument/2006/relationships/hyperlink" Target="https://www.ncbi.nlm.nih.gov/pmc/articles/PMC4460129/" TargetMode="External"/><Relationship Id="rId131" Type="http://schemas.openxmlformats.org/officeDocument/2006/relationships/hyperlink" Target="https://www.sciencedirect.com/science/article/pii/S027795362100352X" TargetMode="External"/><Relationship Id="rId136" Type="http://schemas.openxmlformats.org/officeDocument/2006/relationships/hyperlink" Target="https://www.sciencedirect.com/science/article/pii/S0277953621003853" TargetMode="External"/><Relationship Id="rId157" Type="http://schemas.openxmlformats.org/officeDocument/2006/relationships/hyperlink" Target="https://www.tandfonline.com/doi/full/10.1080/14459795.2016.1158305" TargetMode="External"/><Relationship Id="rId178" Type="http://schemas.openxmlformats.org/officeDocument/2006/relationships/header" Target="header1.xml"/><Relationship Id="rId61" Type="http://schemas.openxmlformats.org/officeDocument/2006/relationships/hyperlink" Target="https://reader.elsevier.com/reader/sd/pii/S1054139X20304031?token=1ABFAD1CE9640AF345C72B823E6CA2E9B58001A2CA1F2726886C95F5B87E863DA4DE599B59CDD605246B0184B0767933&amp;originRegion=eu-west-1&amp;originCreation=20210612115219" TargetMode="External"/><Relationship Id="rId82" Type="http://schemas.openxmlformats.org/officeDocument/2006/relationships/hyperlink" Target="https://www.health.nsw.gov.au/kidsfamilies/youth/Publications/youth-health-resource-kit.pdf" TargetMode="External"/><Relationship Id="rId152" Type="http://schemas.openxmlformats.org/officeDocument/2006/relationships/hyperlink" Target="https://www.mdpi.com/1660-4601/13/9/852/htm" TargetMode="External"/><Relationship Id="rId173" Type="http://schemas.openxmlformats.org/officeDocument/2006/relationships/hyperlink" Target="https://www.uwtsd.ac.uk/research/research-ethics/" TargetMode="External"/><Relationship Id="rId19" Type="http://schemas.openxmlformats.org/officeDocument/2006/relationships/hyperlink" Target="https://www.sciencedirect.com/science/article/pii/S1054139X20304626" TargetMode="External"/><Relationship Id="rId14" Type="http://schemas.openxmlformats.org/officeDocument/2006/relationships/hyperlink" Target="https://cdasr.mclean.harvard.edu/wp-content/uploads/2017/09/Auerbach_2012_Predicting_adolescent_risky_behavior.pdf" TargetMode="External"/><Relationship Id="rId30" Type="http://schemas.openxmlformats.org/officeDocument/2006/relationships/hyperlink" Target="https://cldstandardscouncil.org.uk/resources/standards-and-benchmarks/national-occupational-standards/" TargetMode="External"/><Relationship Id="rId35" Type="http://schemas.openxmlformats.org/officeDocument/2006/relationships/hyperlink" Target="https://link.springer.com/article/10.1007%2Fs10964-019-01179-9" TargetMode="External"/><Relationship Id="rId56" Type="http://schemas.openxmlformats.org/officeDocument/2006/relationships/hyperlink" Target="https://www.cambridge.org/core/journals/development-and-psychopathology/article/brains-of-a-feather-flocking-together-peer-and-individual-neurobehavioral-risks-for-substance-use-across-adolescence/97A56DCB8757B5266143172BC73E568D" TargetMode="External"/><Relationship Id="rId77" Type="http://schemas.openxmlformats.org/officeDocument/2006/relationships/hyperlink" Target="https://reader.elsevier.com/reader/sd/pii/S2352853220301280?token=652DDB2CD3DC18EF61FB0F9527AFC2DC0109976B65081AA49C179AE06E537A8A4FF9978BACB1724C6188EF7BFF3D336C&amp;originRegion=eu-west-1&amp;originCreation=20210617123336" TargetMode="External"/><Relationship Id="rId100" Type="http://schemas.openxmlformats.org/officeDocument/2006/relationships/hyperlink" Target="https://www.sciencedirect.com/science/article/pii/S1054139X20305243" TargetMode="External"/><Relationship Id="rId105" Type="http://schemas.openxmlformats.org/officeDocument/2006/relationships/hyperlink" Target="https://link.springer.com/article/10.1007/s10902-019-00154-2" TargetMode="External"/><Relationship Id="rId126" Type="http://schemas.openxmlformats.org/officeDocument/2006/relationships/hyperlink" Target="https://onlinelibrary.wiley.com/doi/full/10.1111/jora.12482?saml_referrer" TargetMode="External"/><Relationship Id="rId147" Type="http://schemas.openxmlformats.org/officeDocument/2006/relationships/hyperlink" Target="https://www.sciencedirect.com/science/article/pii/S1054139X20305127" TargetMode="External"/><Relationship Id="rId168" Type="http://schemas.openxmlformats.org/officeDocument/2006/relationships/hyperlink" Target="https://www.sciencedirect.com/science/article/pii/S0165032721003918" TargetMode="External"/><Relationship Id="rId8" Type="http://schemas.openxmlformats.org/officeDocument/2006/relationships/image" Target="media/image1.png"/><Relationship Id="rId51" Type="http://schemas.openxmlformats.org/officeDocument/2006/relationships/hyperlink" Target="https://www.sciencedirect.com/science/article/pii/S0140197118302112" TargetMode="External"/><Relationship Id="rId72" Type="http://schemas.openxmlformats.org/officeDocument/2006/relationships/hyperlink" Target="https://reader.elsevier.com/reader/sd/pii/S027322971100044X?token=1560B9A2BC7B48A0268EBF9F5221CA9D5CE52A7A0C64CD96DF19B33EA25E909FEDBC875DE84E98856FD8107682B77EF4&amp;originRegion=eu-west-1&amp;originCreation=20210610130213" TargetMode="External"/><Relationship Id="rId93" Type="http://schemas.openxmlformats.org/officeDocument/2006/relationships/hyperlink" Target="https://link.springer.com/article/10.1007/s00127-020-01955-0" TargetMode="External"/><Relationship Id="rId98" Type="http://schemas.openxmlformats.org/officeDocument/2006/relationships/hyperlink" Target="https://www.sciencedirect.com/science/article/pii/S1054139X2030210X" TargetMode="External"/><Relationship Id="rId121" Type="http://schemas.openxmlformats.org/officeDocument/2006/relationships/hyperlink" Target="https://assets.publishing.service.gov.uk/government/uploads/system/uploads/attachment_data/file/956621/youth-justice-statistics-2019-2020.pdf" TargetMode="External"/><Relationship Id="rId142" Type="http://schemas.openxmlformats.org/officeDocument/2006/relationships/hyperlink" Target="https://www.sciencedirect.com/science/article/pii/S1054139X20306807" TargetMode="External"/><Relationship Id="rId163" Type="http://schemas.openxmlformats.org/officeDocument/2006/relationships/hyperlink" Target="https://www.sciencedirect.com/science/article/pii/S0278262614000098" TargetMode="External"/><Relationship Id="rId3" Type="http://schemas.openxmlformats.org/officeDocument/2006/relationships/styles" Target="styles.xml"/><Relationship Id="rId25" Type="http://schemas.openxmlformats.org/officeDocument/2006/relationships/hyperlink" Target="https://www.youvstrain.co.uk/" TargetMode="External"/><Relationship Id="rId46" Type="http://schemas.openxmlformats.org/officeDocument/2006/relationships/hyperlink" Target="https://link.springer.com/article/10.1007%2Fs10964-018-0922-6" TargetMode="External"/><Relationship Id="rId67" Type="http://schemas.openxmlformats.org/officeDocument/2006/relationships/hyperlink" Target="https://www.ncbi.nlm.nih.gov/pmc/articles/PMC7590912/" TargetMode="External"/><Relationship Id="rId116" Type="http://schemas.openxmlformats.org/officeDocument/2006/relationships/hyperlink" Target="https://www.mdpi.com/1660-4601/17/17/6098/htm" TargetMode="External"/><Relationship Id="rId137" Type="http://schemas.openxmlformats.org/officeDocument/2006/relationships/hyperlink" Target="https://www.sciencedirect.com/science/article/pii/S0885201421000319" TargetMode="External"/><Relationship Id="rId158" Type="http://schemas.openxmlformats.org/officeDocument/2006/relationships/hyperlink" Target="https://www1.racgp.org.au/ajgp/2018/december/risk-taking-behaviour-in-adolescents" TargetMode="External"/><Relationship Id="rId20" Type="http://schemas.openxmlformats.org/officeDocument/2006/relationships/hyperlink" Target="https://reader.elsevier.com/reader/sd/pii/S0022395621002557?token=26F875B9BD4CAC62C94A3FE06E39504EDAAD0553A5AACEB893DB1CE27863A9D23D1045C3FC388CE6BDEF0D8D79248825&amp;originRegion=eu-west-1&amp;originCreation=20210508154342" TargetMode="External"/><Relationship Id="rId41" Type="http://schemas.openxmlformats.org/officeDocument/2006/relationships/hyperlink" Target="https://www.sciencedirect.com/science/article/pii/S1054139X20303463" TargetMode="External"/><Relationship Id="rId62" Type="http://schemas.openxmlformats.org/officeDocument/2006/relationships/hyperlink" Target="https://www.sciencedirect.com/science/article/pii/S0306460318308219" TargetMode="External"/><Relationship Id="rId83" Type="http://schemas.openxmlformats.org/officeDocument/2006/relationships/hyperlink" Target="https://www.nhs.uk/conditions/attention-deficit-hyperactivity-disorder-adhd/causes/" TargetMode="External"/><Relationship Id="rId88" Type="http://schemas.openxmlformats.org/officeDocument/2006/relationships/hyperlink" Target="https://academic.oup.com/jpepsy/article/44/6/726/5430190" TargetMode="External"/><Relationship Id="rId111" Type="http://schemas.openxmlformats.org/officeDocument/2006/relationships/hyperlink" Target="https://www.unicef.org/child-rights-convention/convention-text" TargetMode="External"/><Relationship Id="rId132" Type="http://schemas.openxmlformats.org/officeDocument/2006/relationships/hyperlink" Target="https://link.springer.com/article/10.1007/s40688-015-0063-9" TargetMode="External"/><Relationship Id="rId153" Type="http://schemas.openxmlformats.org/officeDocument/2006/relationships/hyperlink" Target="https://onlinelibrary.wiley.com/doi/full/10.1111/jrh.12281?saml_referrer" TargetMode="External"/><Relationship Id="rId174" Type="http://schemas.openxmlformats.org/officeDocument/2006/relationships/hyperlink" Target="mailto:pgresearch@uwtsd.ac.uk" TargetMode="External"/><Relationship Id="rId179" Type="http://schemas.openxmlformats.org/officeDocument/2006/relationships/footer" Target="footer1.xml"/><Relationship Id="rId15" Type="http://schemas.openxmlformats.org/officeDocument/2006/relationships/hyperlink" Target="https://reader.elsevier.com/reader/sd/pii/S1054139X14007599?token=E84D0F3543EB1C40124ADAB6C49FDFF0A1552BB11710536054A379A2603628B26101423F0B78A115AD5297871FB14203&amp;originRegion=eu-west-1&amp;originCreation=20210611123818" TargetMode="External"/><Relationship Id="rId36" Type="http://schemas.openxmlformats.org/officeDocument/2006/relationships/hyperlink" Target="https://onlinelibrary.wiley.com/doi/epdf/10.1111/jora.12589" TargetMode="External"/><Relationship Id="rId57" Type="http://schemas.openxmlformats.org/officeDocument/2006/relationships/hyperlink" Target="https://academic.oup.com/jpubhealth/article/34/suppl_1/i1/1549150" TargetMode="External"/><Relationship Id="rId106" Type="http://schemas.openxmlformats.org/officeDocument/2006/relationships/hyperlink" Target="https://www.sciencedirect.com/science/article/pii/S1054139X20305899" TargetMode="External"/><Relationship Id="rId127" Type="http://schemas.openxmlformats.org/officeDocument/2006/relationships/hyperlink" Target="https://www.sciencedirect.com/science/article/pii/S0306452221002268?via%3Dihub" TargetMode="External"/><Relationship Id="rId10" Type="http://schemas.openxmlformats.org/officeDocument/2006/relationships/hyperlink" Target="https://reader.elsevier.com/reader/sd/pii/S0140197114001018?token=438DFB7D34B8590EFD2905E8CBF1582E91D0EA225FDEAE57BBC245B45C41DD7B52EE22DB5E805EE325570FE5C0DBCE7D&amp;originRegion=eu-west-1&amp;originCreation=20210610145213" TargetMode="External"/><Relationship Id="rId31" Type="http://schemas.openxmlformats.org/officeDocument/2006/relationships/hyperlink" Target="https://reader.elsevier.com/reader/sd/pii/S0191886914002475?token=A33B2339A8354140F43E7E2B7147DC93DFF1BCAD88DA55311826C7BCFFFA0E954DDE331C275AEF1F8573B894CD61DDAF&amp;originRegion=eu-west-1&amp;originCreation=20210610112946" TargetMode="External"/><Relationship Id="rId52" Type="http://schemas.openxmlformats.org/officeDocument/2006/relationships/hyperlink" Target="https://www.health.harvard.edu/mind-and-mood/the-adolescent-brain-beyond-raging-hormones" TargetMode="External"/><Relationship Id="rId73" Type="http://schemas.openxmlformats.org/officeDocument/2006/relationships/hyperlink" Target="https://reader.elsevier.com/reader/sd/pii/S0273229706000773?token=A64A312F20EEA0FE82BCBF61D15CE035F1C28D6818E02312CED8FEDC42B5ABC319D724C3A0F1749DAF41EB55019C4CE8&amp;originRegion=eu-west-1&amp;originCreation=20210610122647" TargetMode="External"/><Relationship Id="rId78" Type="http://schemas.openxmlformats.org/officeDocument/2006/relationships/hyperlink" Target="https://reader.elsevier.com/reader/sd/pii/S0165032721004183?token=F75EA77B06ECB9CAE33FD1297155ACEDCCE80EB1CC0C8F999FF69DBD145A81C6B67A082ED73718C7E2820A92C3A4BB30&amp;originRegion=eu-west-1&amp;originCreation=20210613113820" TargetMode="External"/><Relationship Id="rId94" Type="http://schemas.openxmlformats.org/officeDocument/2006/relationships/hyperlink" Target="https://reader.elsevier.com/reader/sd/pii/S1054139X20303712?token=442C9EAC71A53EC996C2927B55F9D4AD40D293C4DF4FADE1EA9E43DFFCCEE1E6A943D69D918535222E3C6E3D11BC45C7&amp;originRegion=eu-west-1&amp;originCreation=20210612123903" TargetMode="External"/><Relationship Id="rId99" Type="http://schemas.openxmlformats.org/officeDocument/2006/relationships/hyperlink" Target="https://www.ncbi.nlm.nih.gov/pmc/articles/PMC7984028/" TargetMode="External"/><Relationship Id="rId101" Type="http://schemas.openxmlformats.org/officeDocument/2006/relationships/hyperlink" Target="https://page.search-institute.org/40-developmental-assets" TargetMode="External"/><Relationship Id="rId122" Type="http://schemas.openxmlformats.org/officeDocument/2006/relationships/hyperlink" Target="https://harbormentalhealth.com/2020/11/14/adolescent-risk-taking-impulsivity-and-brain-development/" TargetMode="External"/><Relationship Id="rId143" Type="http://schemas.openxmlformats.org/officeDocument/2006/relationships/hyperlink" Target="https://www.sciencedirect.com/science/article/pii/S0140197116301415" TargetMode="External"/><Relationship Id="rId148" Type="http://schemas.openxmlformats.org/officeDocument/2006/relationships/hyperlink" Target="https://www.sciencedirect.com/science/article/pii/S0191886907002140" TargetMode="External"/><Relationship Id="rId164" Type="http://schemas.openxmlformats.org/officeDocument/2006/relationships/hyperlink" Target="https://www.sciencedirect.com/science/article/pii/S1054139X20304948" TargetMode="External"/><Relationship Id="rId169" Type="http://schemas.openxmlformats.org/officeDocument/2006/relationships/hyperlink" Target="file:///C:\Users\c.lohmann-hancock\AppData\Local\Microsoft\Windows\INetCache\REICoP-17-20-v3-Final.pdf" TargetMode="External"/><Relationship Id="rId4" Type="http://schemas.openxmlformats.org/officeDocument/2006/relationships/settings" Target="settings.xml"/><Relationship Id="rId9" Type="http://schemas.openxmlformats.org/officeDocument/2006/relationships/hyperlink" Target="https://adhduk.co.uk/about-adhd/" TargetMode="External"/><Relationship Id="rId180" Type="http://schemas.openxmlformats.org/officeDocument/2006/relationships/fontTable" Target="fontTable.xml"/><Relationship Id="rId26" Type="http://schemas.openxmlformats.org/officeDocument/2006/relationships/hyperlink" Target="https://onlinelibrary.wiley.com/doi/full/10.1002/9781119171492.wecad398" TargetMode="External"/><Relationship Id="rId47" Type="http://schemas.openxmlformats.org/officeDocument/2006/relationships/hyperlink" Target="https://www.sciencedirect.com/science/article/pii/S1054139X20306005" TargetMode="External"/><Relationship Id="rId68" Type="http://schemas.openxmlformats.org/officeDocument/2006/relationships/hyperlink" Target="https://www.ncbi.nlm.nih.gov/pmc/articles/PMC7195894/" TargetMode="External"/><Relationship Id="rId89" Type="http://schemas.openxmlformats.org/officeDocument/2006/relationships/hyperlink" Target="https://www.sciencedirect.com/science/article/pii/S0165032720325830" TargetMode="External"/><Relationship Id="rId112" Type="http://schemas.openxmlformats.org/officeDocument/2006/relationships/hyperlink" Target="https://cls.ucl.ac.uk/cls-studies/millennium-cohort-study/" TargetMode="External"/><Relationship Id="rId133" Type="http://schemas.openxmlformats.org/officeDocument/2006/relationships/hyperlink" Target="https://cldstandardscouncil.org.uk/resources/standards-and-benchmarks/national-occupational-standards/" TargetMode="External"/><Relationship Id="rId154" Type="http://schemas.openxmlformats.org/officeDocument/2006/relationships/hyperlink" Target="https://www.sciencedirect.com/science/article/pii/S0167268121001529" TargetMode="External"/><Relationship Id="rId175" Type="http://schemas.openxmlformats.org/officeDocument/2006/relationships/image" Target="media/image2.jpeg"/><Relationship Id="rId16" Type="http://schemas.openxmlformats.org/officeDocument/2006/relationships/hyperlink" Target="https://www.sciencedirect.com/science/article/pii/S0306460319300085?via%3Dihub" TargetMode="External"/><Relationship Id="rId37" Type="http://schemas.openxmlformats.org/officeDocument/2006/relationships/hyperlink" Target="https://reader.elsevier.com/reader/sd/pii/S0140197115002249?token=8998B9912E2E886BD44C518B87358B2536D61D88029D4B3E0AC4E9060CDE1E22FFBC5F5548BBF381973997C307A97727&amp;originRegion=eu-west-1&amp;originCreation=20210611111746" TargetMode="External"/><Relationship Id="rId58" Type="http://schemas.openxmlformats.org/officeDocument/2006/relationships/hyperlink" Target="https://reader.elsevier.com/reader/sd/pii/S0018506X13000548?token=BA6D530090B5CC5600390EA8F145080548BD438AD61FC14C0DA47B2AC680D5AB81CD403FDA379A9B1AD6ABCCA23EE371&amp;originRegion=eu-west-1&amp;originCreation=20210611101944" TargetMode="External"/><Relationship Id="rId79" Type="http://schemas.openxmlformats.org/officeDocument/2006/relationships/hyperlink" Target="https://onlinelibrary.wiley.com/doi/pdf/10.1111/jpr.12274" TargetMode="External"/><Relationship Id="rId102" Type="http://schemas.openxmlformats.org/officeDocument/2006/relationships/hyperlink" Target="https://www.sciencedirect.com/science/article/pii/S0278262614000979" TargetMode="External"/><Relationship Id="rId123" Type="http://schemas.openxmlformats.org/officeDocument/2006/relationships/hyperlink" Target="https://reader.elsevier.com/reader/sd/pii/S0018506X07001390?token=61DE5B9B3F94054FFF47E145E2A59E36608557EE25AC6199ECAA687B49DFFB2957900B934DB399FE5623B2A806E9D84C&amp;originRegion=eu-west-1&amp;originCreation=20210610160429" TargetMode="External"/><Relationship Id="rId144" Type="http://schemas.openxmlformats.org/officeDocument/2006/relationships/hyperlink" Target="https://www.sciencedirect.com/science/article/pii/S1054139X21000094" TargetMode="External"/><Relationship Id="rId90" Type="http://schemas.openxmlformats.org/officeDocument/2006/relationships/hyperlink" Target="https://reader.elsevier.com/reader/sd/pii/S1054139X21000690?token=D5299C4D9234DCBA1655049A1385A3CE0B05DFFB3957894B01434174FC12462D6CD1E8E56220B571E4755A5EB218F41C&amp;originRegion=eu-west-1&amp;originCreation=20210612131121" TargetMode="External"/><Relationship Id="rId165" Type="http://schemas.openxmlformats.org/officeDocument/2006/relationships/hyperlink" Target="https://www.who.int/activities/strengthening-data-on-adolescent-health" TargetMode="External"/><Relationship Id="rId27" Type="http://schemas.openxmlformats.org/officeDocument/2006/relationships/hyperlink" Target="https://www.cdc.gov/healthyyouth/data/yrbs/feature/index.htm" TargetMode="External"/><Relationship Id="rId48" Type="http://schemas.openxmlformats.org/officeDocument/2006/relationships/hyperlink" Target="https://assets.publishing.service.gov.uk/government/uploads/system/uploads/attachment_data/file/452169/data_pack_risk_behaviours_and_negative_outcomes.pdf" TargetMode="External"/><Relationship Id="rId69" Type="http://schemas.openxmlformats.org/officeDocument/2006/relationships/hyperlink" Target="https://link.springer.com/article/10.1007/s10802-018-0501-z" TargetMode="External"/><Relationship Id="rId113" Type="http://schemas.openxmlformats.org/officeDocument/2006/relationships/hyperlink" Target="http://www.bristol.ac.uk/alspac/" TargetMode="External"/><Relationship Id="rId134" Type="http://schemas.openxmlformats.org/officeDocument/2006/relationships/hyperlink" Target="https://www.sciencedirect.com/science/article/pii/S0140197121000828" TargetMode="External"/><Relationship Id="rId80" Type="http://schemas.openxmlformats.org/officeDocument/2006/relationships/hyperlink" Target="https://www.bbc.co.uk/news/uk-44868659" TargetMode="External"/><Relationship Id="rId155" Type="http://schemas.openxmlformats.org/officeDocument/2006/relationships/hyperlink" Target="https://journals.plos.org/plosone/article?id=10.1371/journal.pone.0153842" TargetMode="External"/><Relationship Id="rId176" Type="http://schemas.openxmlformats.org/officeDocument/2006/relationships/image" Target="media/image3.jpeg"/><Relationship Id="rId17" Type="http://schemas.openxmlformats.org/officeDocument/2006/relationships/hyperlink" Target="https://www.sciencedirect.com/science/article/pii/S2352827321000951" TargetMode="External"/><Relationship Id="rId38" Type="http://schemas.openxmlformats.org/officeDocument/2006/relationships/hyperlink" Target="https://reader.elsevier.com/reader/sd/pii/S1054139X20303463?token=3F90A126053D5DDFE3AE053D74A55B693B17BFBD5501A6D4B94F4CCD2E6297B674D7E2E7164197BB5A30E6834AD915F4&amp;originRegion=eu-west-1&amp;originCreation=20210611122103" TargetMode="External"/><Relationship Id="rId59" Type="http://schemas.openxmlformats.org/officeDocument/2006/relationships/hyperlink" Target="https://reader.elsevier.com/reader/sd/pii/S1054139X20305966?token=D493A58434BDC0EF7225FD2548245B85EFF5C59FE1BF6124C0112CB58783026EE956617538DA3DD77E1CD7A5225831DD&amp;originRegion=eu-west-1&amp;originCreation=20210610104739" TargetMode="External"/><Relationship Id="rId103" Type="http://schemas.openxmlformats.org/officeDocument/2006/relationships/hyperlink" Target="https://reader.elsevier.com/reader/sd/pii/S0018506X13000688?token=4969EFC7E3F13E1B05D8D348B85EC73D8BEEC530A16B876214666037141F79DDD71D285B367CE5D83E797D2975D65D55&amp;originRegion=eu-west-1&amp;originCreation=20210611125233" TargetMode="External"/><Relationship Id="rId124" Type="http://schemas.openxmlformats.org/officeDocument/2006/relationships/hyperlink" Target="https://www.sciencedirect.com/science/article/pii/S0165032721003918" TargetMode="External"/><Relationship Id="rId70" Type="http://schemas.openxmlformats.org/officeDocument/2006/relationships/hyperlink" Target="https://link.springer.com/content/pdf/10.1023/A:1015493316865.pdf" TargetMode="External"/><Relationship Id="rId91" Type="http://schemas.openxmlformats.org/officeDocument/2006/relationships/hyperlink" Target="https://reader.elsevier.com/reader/sd/pii/S000632232032045X?token=15A31C54967CE83A6AECCD1A57013292AE0BA804B291B0033D449870A0935F7E8C2BB9B55B09BE0C5F642A42E530816F&amp;originRegion=eu-west-1&amp;originCreation=20210612152708" TargetMode="External"/><Relationship Id="rId145" Type="http://schemas.openxmlformats.org/officeDocument/2006/relationships/hyperlink" Target="https://www.sciencedirect.com/science/article/pii/S1054139X21002184" TargetMode="External"/><Relationship Id="rId166" Type="http://schemas.openxmlformats.org/officeDocument/2006/relationships/hyperlink" Target="https://assets.publishing.service.gov.uk/government/uploads/system/uploads/attachment_data/file/956621/youth-justice-statistics-2019-2020.pdf" TargetMode="External"/><Relationship Id="rId1" Type="http://schemas.openxmlformats.org/officeDocument/2006/relationships/customXml" Target="../customXml/item1.xml"/><Relationship Id="rId28" Type="http://schemas.openxmlformats.org/officeDocument/2006/relationships/hyperlink" Target="https://www.sciencedirect.com/science/article/pii/S0740547221002130" TargetMode="External"/><Relationship Id="rId49" Type="http://schemas.openxmlformats.org/officeDocument/2006/relationships/hyperlink" Target="https://www.sciencedirect.com/science/article/pii/S0885201420300289" TargetMode="External"/><Relationship Id="rId114" Type="http://schemas.openxmlformats.org/officeDocument/2006/relationships/hyperlink" Target="https://journals.sagepub.com/doi/epub/10.1177/02724316198803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E0345-9206-49A6-84EA-845925041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84</Pages>
  <Words>27914</Words>
  <Characters>159113</Characters>
  <Application>Microsoft Office Word</Application>
  <DocSecurity>0</DocSecurity>
  <Lines>1325</Lines>
  <Paragraphs>373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E Lines</dc:creator>
  <cp:lastModifiedBy>Sue Lines</cp:lastModifiedBy>
  <cp:revision>42</cp:revision>
  <cp:lastPrinted>2020-05-22T14:13:00Z</cp:lastPrinted>
  <dcterms:created xsi:type="dcterms:W3CDTF">2021-07-05T14:06:00Z</dcterms:created>
  <dcterms:modified xsi:type="dcterms:W3CDTF">2021-07-08T13:57:00Z</dcterms:modified>
  <dc:language>en-US</dc:language>
</cp:coreProperties>
</file>