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46599" w14:textId="77777777" w:rsidR="003612B2" w:rsidRDefault="003612B2">
      <w:pPr>
        <w:rPr>
          <w:b/>
          <w:bCs/>
        </w:rPr>
      </w:pPr>
    </w:p>
    <w:p w14:paraId="34798FDF" w14:textId="77777777" w:rsidR="003612B2" w:rsidRPr="00C41CEB" w:rsidRDefault="003612B2">
      <w:pPr>
        <w:rPr>
          <w:b/>
          <w:bCs/>
          <w:sz w:val="72"/>
          <w:szCs w:val="72"/>
        </w:rPr>
      </w:pPr>
    </w:p>
    <w:p w14:paraId="7C0178E6" w14:textId="77777777" w:rsidR="003612B2" w:rsidRPr="00C41CEB" w:rsidRDefault="003612B2">
      <w:pPr>
        <w:rPr>
          <w:b/>
          <w:bCs/>
          <w:sz w:val="72"/>
          <w:szCs w:val="72"/>
        </w:rPr>
      </w:pPr>
    </w:p>
    <w:p w14:paraId="00F12151" w14:textId="6943F143" w:rsidR="003612B2" w:rsidRDefault="00C41CEB" w:rsidP="00733B55">
      <w:pPr>
        <w:rPr>
          <w:b/>
          <w:bCs/>
          <w:sz w:val="72"/>
          <w:szCs w:val="72"/>
        </w:rPr>
      </w:pPr>
      <w:r w:rsidRPr="00C41CEB">
        <w:rPr>
          <w:b/>
          <w:bCs/>
          <w:sz w:val="72"/>
          <w:szCs w:val="72"/>
        </w:rPr>
        <w:t>BMHP6030 - Health, Wellbeing and Sustainable Development</w:t>
      </w:r>
    </w:p>
    <w:p w14:paraId="4371249A" w14:textId="01E73134" w:rsidR="00F11D43" w:rsidRPr="00C41CEB" w:rsidRDefault="00F11D43" w:rsidP="00733B55">
      <w:pPr>
        <w:rPr>
          <w:b/>
          <w:bCs/>
          <w:sz w:val="72"/>
          <w:szCs w:val="72"/>
        </w:rPr>
      </w:pPr>
      <w:r>
        <w:rPr>
          <w:b/>
          <w:bCs/>
          <w:sz w:val="72"/>
          <w:szCs w:val="72"/>
        </w:rPr>
        <w:t>Ruksar israr 1817838</w:t>
      </w:r>
    </w:p>
    <w:p w14:paraId="02111478" w14:textId="2ED973E3" w:rsidR="003612B2" w:rsidRPr="00733B55" w:rsidRDefault="00733B55" w:rsidP="00733B55">
      <w:pPr>
        <w:rPr>
          <w:b/>
          <w:bCs/>
          <w:sz w:val="72"/>
          <w:szCs w:val="72"/>
        </w:rPr>
      </w:pPr>
      <w:r w:rsidRPr="00733B55">
        <w:rPr>
          <w:b/>
          <w:bCs/>
          <w:sz w:val="72"/>
          <w:szCs w:val="72"/>
        </w:rPr>
        <w:t>Samuel Assan</w:t>
      </w:r>
    </w:p>
    <w:p w14:paraId="2AF1447D" w14:textId="77777777" w:rsidR="003612B2" w:rsidRDefault="003612B2">
      <w:pPr>
        <w:rPr>
          <w:b/>
          <w:bCs/>
        </w:rPr>
      </w:pPr>
    </w:p>
    <w:p w14:paraId="3852CDCB" w14:textId="77777777" w:rsidR="003612B2" w:rsidRDefault="003612B2">
      <w:pPr>
        <w:rPr>
          <w:b/>
          <w:bCs/>
        </w:rPr>
      </w:pPr>
    </w:p>
    <w:p w14:paraId="5DC36CB3" w14:textId="77777777" w:rsidR="00DD2014" w:rsidRDefault="00DD2014">
      <w:pPr>
        <w:rPr>
          <w:b/>
          <w:bCs/>
        </w:rPr>
      </w:pPr>
    </w:p>
    <w:p w14:paraId="55345F5B" w14:textId="77777777" w:rsidR="00DD2014" w:rsidRDefault="00DD2014">
      <w:pPr>
        <w:rPr>
          <w:b/>
          <w:bCs/>
        </w:rPr>
      </w:pPr>
    </w:p>
    <w:p w14:paraId="5297B650" w14:textId="77777777" w:rsidR="00DD2014" w:rsidRDefault="00DD2014">
      <w:pPr>
        <w:rPr>
          <w:b/>
          <w:bCs/>
        </w:rPr>
      </w:pPr>
    </w:p>
    <w:p w14:paraId="49917B47" w14:textId="77777777" w:rsidR="00DD2014" w:rsidRDefault="00DD2014">
      <w:pPr>
        <w:rPr>
          <w:b/>
          <w:bCs/>
        </w:rPr>
      </w:pPr>
    </w:p>
    <w:p w14:paraId="5E13623B" w14:textId="77777777" w:rsidR="00DD2014" w:rsidRDefault="00DD2014">
      <w:pPr>
        <w:rPr>
          <w:b/>
          <w:bCs/>
        </w:rPr>
      </w:pPr>
    </w:p>
    <w:p w14:paraId="76F87545" w14:textId="77777777" w:rsidR="00DD2014" w:rsidRDefault="00DD2014">
      <w:pPr>
        <w:rPr>
          <w:b/>
          <w:bCs/>
        </w:rPr>
      </w:pPr>
    </w:p>
    <w:p w14:paraId="08478AFA" w14:textId="77777777" w:rsidR="00DD2014" w:rsidRDefault="00DD2014">
      <w:pPr>
        <w:rPr>
          <w:b/>
          <w:bCs/>
        </w:rPr>
      </w:pPr>
    </w:p>
    <w:p w14:paraId="674E7FCD" w14:textId="34B7BFD8" w:rsidR="009171B8" w:rsidRPr="00DD2014" w:rsidRDefault="009171B8">
      <w:pPr>
        <w:rPr>
          <w:rFonts w:ascii="Arial" w:hAnsi="Arial" w:cs="Arial"/>
          <w:b/>
          <w:bCs/>
          <w:sz w:val="22"/>
          <w:szCs w:val="22"/>
        </w:rPr>
      </w:pPr>
      <w:r w:rsidRPr="00DD2014">
        <w:rPr>
          <w:rFonts w:ascii="Arial" w:hAnsi="Arial" w:cs="Arial"/>
          <w:b/>
          <w:bCs/>
          <w:sz w:val="22"/>
          <w:szCs w:val="22"/>
        </w:rPr>
        <w:lastRenderedPageBreak/>
        <w:t>Introduction</w:t>
      </w:r>
    </w:p>
    <w:p w14:paraId="7D2D6A51" w14:textId="7140CDD6" w:rsidR="009171B8" w:rsidRPr="00DD2014" w:rsidRDefault="009171B8" w:rsidP="00BA0F25">
      <w:pPr>
        <w:rPr>
          <w:rFonts w:ascii="Arial" w:hAnsi="Arial" w:cs="Arial"/>
          <w:sz w:val="22"/>
          <w:szCs w:val="22"/>
        </w:rPr>
      </w:pPr>
      <w:r w:rsidRPr="00DD2014">
        <w:rPr>
          <w:rFonts w:ascii="Arial" w:hAnsi="Arial" w:cs="Arial"/>
          <w:sz w:val="22"/>
          <w:szCs w:val="22"/>
        </w:rPr>
        <w:t>Safeguarding vulnerable adults is a statutory responsibility within the United Kingdom, embedded in legislation, multi</w:t>
      </w:r>
      <w:r w:rsidRPr="00DD2014">
        <w:rPr>
          <w:rFonts w:ascii="Cambria Math" w:hAnsi="Cambria Math" w:cs="Cambria Math"/>
          <w:sz w:val="22"/>
          <w:szCs w:val="22"/>
        </w:rPr>
        <w:t>‑</w:t>
      </w:r>
      <w:r w:rsidRPr="00DD2014">
        <w:rPr>
          <w:rFonts w:ascii="Arial" w:hAnsi="Arial" w:cs="Arial"/>
          <w:sz w:val="22"/>
          <w:szCs w:val="22"/>
        </w:rPr>
        <w:t>agency practice, and national policy. Vulnerability can arise from disability, mental illness, poverty, homelessness, domestic abuse, cognitive impairment, or social isolation. Social services play a central role in identifying risk, coordinating protection, and promoting wellbeing. The Care Act 2014 places a legal duty on local authorities to prevent abuse, protect individuals at risk, and promote wellbeing (UK Government, 2014). This report critically examines how Sustainable Development Goal (SDG) 3</w:t>
      </w:r>
      <w:r w:rsidR="00BA0F25" w:rsidRPr="00DD2014">
        <w:rPr>
          <w:rFonts w:ascii="Arial" w:hAnsi="Arial" w:cs="Arial"/>
          <w:sz w:val="22"/>
          <w:szCs w:val="22"/>
        </w:rPr>
        <w:t xml:space="preserve"> </w:t>
      </w:r>
      <w:r w:rsidRPr="00DD2014">
        <w:rPr>
          <w:rFonts w:ascii="Arial" w:hAnsi="Arial" w:cs="Arial"/>
          <w:sz w:val="22"/>
          <w:szCs w:val="22"/>
        </w:rPr>
        <w:t xml:space="preserve">Good Health and Wellbeing, and SDG 1,No Poverty, influence the health and wellbeing of citizens in the UK, with a particular focus on safeguarding vulnerable adults. It evaluates national and local initiatives aimed at improving safeguarding outcomes and provides recommendations for strengthening </w:t>
      </w:r>
      <w:r w:rsidR="009F6BF3" w:rsidRPr="00DD2014">
        <w:rPr>
          <w:rFonts w:ascii="Arial" w:hAnsi="Arial" w:cs="Arial"/>
          <w:sz w:val="22"/>
          <w:szCs w:val="22"/>
        </w:rPr>
        <w:t>practice. The</w:t>
      </w:r>
      <w:r w:rsidRPr="00DD2014">
        <w:rPr>
          <w:rFonts w:ascii="Arial" w:hAnsi="Arial" w:cs="Arial"/>
          <w:sz w:val="22"/>
          <w:szCs w:val="22"/>
        </w:rPr>
        <w:t xml:space="preserve"> report is structured into three sections. Part A analyses SDG 3 and SDG 1 and their combined impact on health, wellbeing, and safeguarding. Part B evaluates national and local initiatives, including the Care Act 2014, Mental Capacity Act 2005, NHS Long Term Plan, and Birmingham safeguarding systems. Part C presents recommendations for improving safeguarding outcomes. The report concludes by emphasising the importance of integrated approaches to health, poverty reduction, and adult protection.</w:t>
      </w:r>
    </w:p>
    <w:p w14:paraId="5254A627" w14:textId="77777777" w:rsidR="009171B8" w:rsidRPr="00DD2014" w:rsidRDefault="009171B8">
      <w:pPr>
        <w:rPr>
          <w:rFonts w:ascii="Arial" w:hAnsi="Arial" w:cs="Arial"/>
          <w:sz w:val="22"/>
          <w:szCs w:val="22"/>
        </w:rPr>
      </w:pPr>
    </w:p>
    <w:p w14:paraId="14770242" w14:textId="62725843" w:rsidR="009171B8" w:rsidRPr="00DD2014" w:rsidRDefault="009171B8">
      <w:pPr>
        <w:rPr>
          <w:rFonts w:ascii="Arial" w:hAnsi="Arial" w:cs="Arial"/>
          <w:b/>
          <w:bCs/>
          <w:sz w:val="22"/>
          <w:szCs w:val="22"/>
        </w:rPr>
      </w:pPr>
      <w:r w:rsidRPr="00DD2014">
        <w:rPr>
          <w:rFonts w:ascii="Arial" w:hAnsi="Arial" w:cs="Arial"/>
          <w:b/>
          <w:bCs/>
          <w:sz w:val="22"/>
          <w:szCs w:val="22"/>
        </w:rPr>
        <w:t>Part A: Analysis of SDG 3 and SDG 1 and Their Impact on Health and Wellbeing</w:t>
      </w:r>
    </w:p>
    <w:p w14:paraId="3A03712A" w14:textId="02206F93" w:rsidR="009171B8" w:rsidRPr="00DD2014" w:rsidRDefault="009171B8">
      <w:pPr>
        <w:rPr>
          <w:rFonts w:ascii="Arial" w:hAnsi="Arial" w:cs="Arial"/>
          <w:sz w:val="22"/>
          <w:szCs w:val="22"/>
        </w:rPr>
      </w:pPr>
      <w:r w:rsidRPr="00DD2014">
        <w:rPr>
          <w:rFonts w:ascii="Arial" w:hAnsi="Arial" w:cs="Arial"/>
          <w:sz w:val="22"/>
          <w:szCs w:val="22"/>
        </w:rPr>
        <w:t>SDG 3: Good Health and Wellbeing</w:t>
      </w:r>
      <w:r w:rsidR="0089765F" w:rsidRPr="00DD2014">
        <w:rPr>
          <w:rFonts w:ascii="Arial" w:hAnsi="Arial" w:cs="Arial"/>
          <w:sz w:val="22"/>
          <w:szCs w:val="22"/>
        </w:rPr>
        <w:t>:-</w:t>
      </w:r>
    </w:p>
    <w:p w14:paraId="2E955B67" w14:textId="77777777" w:rsidR="009171B8" w:rsidRPr="00DD2014" w:rsidRDefault="009171B8">
      <w:pPr>
        <w:rPr>
          <w:rFonts w:ascii="Arial" w:hAnsi="Arial" w:cs="Arial"/>
          <w:sz w:val="22"/>
          <w:szCs w:val="22"/>
        </w:rPr>
      </w:pPr>
      <w:r w:rsidRPr="00DD2014">
        <w:rPr>
          <w:rFonts w:ascii="Arial" w:hAnsi="Arial" w:cs="Arial"/>
          <w:sz w:val="22"/>
          <w:szCs w:val="22"/>
        </w:rPr>
        <w:t>SDG 3 aims to ensure healthy lives and promote wellbeing for all ages. It emphasises universal health coverage, mental health support, reduction of disease, and strengthening of health systems (NHS England, n.d.). In the UK, SDG 3 aligns closely with the NHS Long Term Plan, public health strategies, and safeguarding legislation.</w:t>
      </w:r>
    </w:p>
    <w:p w14:paraId="60EC2D13" w14:textId="3E6CB309" w:rsidR="009171B8" w:rsidRPr="00DD2014" w:rsidRDefault="009171B8">
      <w:pPr>
        <w:rPr>
          <w:rFonts w:ascii="Arial" w:hAnsi="Arial" w:cs="Arial"/>
          <w:sz w:val="22"/>
          <w:szCs w:val="22"/>
        </w:rPr>
      </w:pPr>
      <w:r w:rsidRPr="00DD2014">
        <w:rPr>
          <w:rFonts w:ascii="Arial" w:hAnsi="Arial" w:cs="Arial"/>
          <w:sz w:val="22"/>
          <w:szCs w:val="22"/>
        </w:rPr>
        <w:t>Impact on Citizens</w:t>
      </w:r>
      <w:r w:rsidR="0089765F" w:rsidRPr="00DD2014">
        <w:rPr>
          <w:rFonts w:ascii="Arial" w:hAnsi="Arial" w:cs="Arial"/>
          <w:sz w:val="22"/>
          <w:szCs w:val="22"/>
        </w:rPr>
        <w:t>:-</w:t>
      </w:r>
    </w:p>
    <w:p w14:paraId="2BE7CB4C" w14:textId="77777777" w:rsidR="00583B07" w:rsidRPr="00DD2014" w:rsidRDefault="00583B07" w:rsidP="00583B07">
      <w:pPr>
        <w:rPr>
          <w:rFonts w:ascii="Arial" w:hAnsi="Arial" w:cs="Arial"/>
          <w:sz w:val="22"/>
          <w:szCs w:val="22"/>
        </w:rPr>
      </w:pPr>
      <w:r w:rsidRPr="00DD2014">
        <w:rPr>
          <w:rFonts w:ascii="Arial" w:hAnsi="Arial" w:cs="Arial"/>
          <w:sz w:val="22"/>
          <w:szCs w:val="22"/>
        </w:rPr>
        <w:t>SDG 3 directly influences citizens’ wellbeing through:</w:t>
      </w:r>
    </w:p>
    <w:p w14:paraId="47C6E4A4" w14:textId="77777777" w:rsidR="00A66425" w:rsidRPr="00A66425" w:rsidRDefault="00A66425" w:rsidP="00A66425">
      <w:pPr>
        <w:rPr>
          <w:rFonts w:ascii="Arial" w:hAnsi="Arial" w:cs="Arial"/>
          <w:sz w:val="22"/>
          <w:szCs w:val="22"/>
        </w:rPr>
      </w:pPr>
      <w:r w:rsidRPr="00A66425">
        <w:rPr>
          <w:rFonts w:ascii="Arial" w:hAnsi="Arial" w:cs="Arial"/>
          <w:sz w:val="22"/>
          <w:szCs w:val="22"/>
        </w:rPr>
        <w:t>SDG 3 plays a vital role in enhancing citizens’ wellbeing by ensuring universal access to healthcare, strengthening mental health provision, protecting adults from harm, and promoting healthier lifestyles through public health campaigns. The NHS provides free healthcare, helping to reduce inequalities in treatment and outcomes, while increased investment in mental health services supports early intervention and reduces the likelihood of crisis situations. Safeguarding frameworks further ensure that adults at risk receive timely protection, and health promotion initiatives help prevent disease and encourage healthier behaviours. For vulnerable adults, SDG 3 is especially significant, as many individuals who require safeguarding experience chronic illness, disabilities, or poor mental health. Social services work collaboratively with health professionals to deliver appropriate care, assessments, and protection (Cooper, Hetherington &amp; Katz, 2018). Poor health can heighten vulnerability to abuse, neglect, and exploitation, making SDG 3 central to effective safeguarding practice and essential for reducing long</w:t>
      </w:r>
      <w:r w:rsidRPr="00A66425">
        <w:rPr>
          <w:rFonts w:ascii="Arial" w:hAnsi="Arial" w:cs="Arial"/>
          <w:sz w:val="22"/>
          <w:szCs w:val="22"/>
        </w:rPr>
        <w:noBreakHyphen/>
        <w:t>term inequalities.</w:t>
      </w:r>
    </w:p>
    <w:p w14:paraId="0DB98D36" w14:textId="77777777" w:rsidR="009171B8" w:rsidRPr="00DD2014" w:rsidRDefault="009171B8">
      <w:pPr>
        <w:rPr>
          <w:rFonts w:ascii="Arial" w:hAnsi="Arial" w:cs="Arial"/>
          <w:sz w:val="22"/>
          <w:szCs w:val="22"/>
        </w:rPr>
      </w:pPr>
    </w:p>
    <w:p w14:paraId="226B1AA6" w14:textId="5165F8A3" w:rsidR="009171B8" w:rsidRPr="00DD2014" w:rsidRDefault="009171B8">
      <w:pPr>
        <w:rPr>
          <w:rFonts w:ascii="Arial" w:hAnsi="Arial" w:cs="Arial"/>
          <w:b/>
          <w:bCs/>
          <w:sz w:val="22"/>
          <w:szCs w:val="22"/>
        </w:rPr>
      </w:pPr>
      <w:r w:rsidRPr="00DD2014">
        <w:rPr>
          <w:rFonts w:ascii="Arial" w:hAnsi="Arial" w:cs="Arial"/>
          <w:b/>
          <w:bCs/>
          <w:sz w:val="22"/>
          <w:szCs w:val="22"/>
        </w:rPr>
        <w:t>SDG 1: No Poverty</w:t>
      </w:r>
    </w:p>
    <w:p w14:paraId="7615BCCB" w14:textId="77777777" w:rsidR="009F6BF3" w:rsidRPr="00DD2014" w:rsidRDefault="009171B8">
      <w:pPr>
        <w:rPr>
          <w:rFonts w:ascii="Arial" w:hAnsi="Arial" w:cs="Arial"/>
          <w:sz w:val="22"/>
          <w:szCs w:val="22"/>
        </w:rPr>
      </w:pPr>
      <w:r w:rsidRPr="00DD2014">
        <w:rPr>
          <w:rFonts w:ascii="Arial" w:hAnsi="Arial" w:cs="Arial"/>
          <w:sz w:val="22"/>
          <w:szCs w:val="22"/>
        </w:rPr>
        <w:t>SDG 1 aims to end poverty in all its forms. Poverty is a major determinant of health and wellbeing and is strongly linked to safeguarding risks. Individuals living in poverty are more likely to experience homelessness, food insecurity, poor housing, unemployment, and social exclusion (Joseph Rowntree Foundation, 2023). These factors increase vulnerability to abuse, exploitation, and neglect.</w:t>
      </w:r>
    </w:p>
    <w:p w14:paraId="28626415" w14:textId="5E99F958" w:rsidR="009F6BF3" w:rsidRPr="00DD2014" w:rsidRDefault="009171B8">
      <w:pPr>
        <w:rPr>
          <w:rFonts w:ascii="Arial" w:hAnsi="Arial" w:cs="Arial"/>
          <w:sz w:val="22"/>
          <w:szCs w:val="22"/>
        </w:rPr>
      </w:pPr>
      <w:r w:rsidRPr="00DD2014">
        <w:rPr>
          <w:rFonts w:ascii="Arial" w:hAnsi="Arial" w:cs="Arial"/>
          <w:b/>
          <w:bCs/>
          <w:sz w:val="22"/>
          <w:szCs w:val="22"/>
        </w:rPr>
        <w:t>Impact on Citizen</w:t>
      </w:r>
      <w:r w:rsidR="009F6BF3" w:rsidRPr="00DD2014">
        <w:rPr>
          <w:rFonts w:ascii="Arial" w:hAnsi="Arial" w:cs="Arial"/>
          <w:b/>
          <w:bCs/>
          <w:sz w:val="22"/>
          <w:szCs w:val="22"/>
        </w:rPr>
        <w:t xml:space="preserve">:- </w:t>
      </w:r>
      <w:r w:rsidRPr="00DD2014">
        <w:rPr>
          <w:rFonts w:ascii="Arial" w:hAnsi="Arial" w:cs="Arial"/>
          <w:sz w:val="22"/>
          <w:szCs w:val="22"/>
        </w:rPr>
        <w:t>SDG 1 influences health and wellbei</w:t>
      </w:r>
      <w:r w:rsidRPr="001262A3">
        <w:rPr>
          <w:rFonts w:ascii="Arial" w:hAnsi="Arial" w:cs="Arial"/>
          <w:sz w:val="22"/>
          <w:szCs w:val="22"/>
        </w:rPr>
        <w:t xml:space="preserve">ng </w:t>
      </w:r>
      <w:r w:rsidR="001262A3" w:rsidRPr="001262A3">
        <w:rPr>
          <w:rFonts w:ascii="Arial" w:hAnsi="Arial" w:cs="Arial"/>
          <w:sz w:val="22"/>
          <w:szCs w:val="22"/>
        </w:rPr>
        <w:t>through: Housing</w:t>
      </w:r>
      <w:r w:rsidRPr="001262A3">
        <w:rPr>
          <w:rFonts w:ascii="Arial" w:hAnsi="Arial" w:cs="Arial"/>
          <w:sz w:val="22"/>
          <w:szCs w:val="22"/>
        </w:rPr>
        <w:t xml:space="preserve"> </w:t>
      </w:r>
      <w:r w:rsidR="001262A3" w:rsidRPr="001262A3">
        <w:rPr>
          <w:rFonts w:ascii="Arial" w:hAnsi="Arial" w:cs="Arial"/>
          <w:sz w:val="22"/>
          <w:szCs w:val="22"/>
        </w:rPr>
        <w:t>stability, Access</w:t>
      </w:r>
      <w:r w:rsidRPr="001262A3">
        <w:rPr>
          <w:rFonts w:ascii="Arial" w:hAnsi="Arial" w:cs="Arial"/>
          <w:sz w:val="22"/>
          <w:szCs w:val="22"/>
        </w:rPr>
        <w:t xml:space="preserve"> to services</w:t>
      </w:r>
      <w:r w:rsidR="001262A3" w:rsidRPr="001262A3">
        <w:rPr>
          <w:rFonts w:ascii="Arial" w:hAnsi="Arial" w:cs="Arial"/>
          <w:sz w:val="22"/>
          <w:szCs w:val="22"/>
        </w:rPr>
        <w:t xml:space="preserve">, </w:t>
      </w:r>
      <w:r w:rsidRPr="001262A3">
        <w:rPr>
          <w:rFonts w:ascii="Arial" w:hAnsi="Arial" w:cs="Arial"/>
          <w:sz w:val="22"/>
          <w:szCs w:val="22"/>
        </w:rPr>
        <w:t xml:space="preserve">Mental health </w:t>
      </w:r>
      <w:r w:rsidR="001262A3" w:rsidRPr="001262A3">
        <w:rPr>
          <w:rFonts w:ascii="Arial" w:hAnsi="Arial" w:cs="Arial"/>
          <w:sz w:val="22"/>
          <w:szCs w:val="22"/>
        </w:rPr>
        <w:t>,</w:t>
      </w:r>
      <w:r w:rsidRPr="001262A3">
        <w:rPr>
          <w:rFonts w:ascii="Arial" w:hAnsi="Arial" w:cs="Arial"/>
          <w:sz w:val="22"/>
          <w:szCs w:val="22"/>
        </w:rPr>
        <w:t>Risk of exploitation</w:t>
      </w:r>
      <w:r w:rsidR="001262A3">
        <w:rPr>
          <w:rFonts w:ascii="Arial" w:hAnsi="Arial" w:cs="Arial"/>
          <w:sz w:val="22"/>
          <w:szCs w:val="22"/>
        </w:rPr>
        <w:t>.</w:t>
      </w:r>
      <w:r w:rsidR="0056242E" w:rsidRPr="0056242E">
        <w:rPr>
          <w:rFonts w:ascii="Times New Roman" w:eastAsia="Times New Roman" w:hAnsi="Times New Roman" w:cs="Times New Roman"/>
          <w:kern w:val="0"/>
          <w:lang w:eastAsia="en-GB"/>
          <w14:ligatures w14:val="none"/>
        </w:rPr>
        <w:t xml:space="preserve"> </w:t>
      </w:r>
      <w:r w:rsidR="0056242E" w:rsidRPr="0056242E">
        <w:rPr>
          <w:rFonts w:ascii="Arial" w:hAnsi="Arial" w:cs="Arial"/>
          <w:sz w:val="22"/>
          <w:szCs w:val="22"/>
        </w:rPr>
        <w:t>SDG 1 has a direct impact on citizens’ health and wellbeing because poverty shapes many of the conditions that increase safeguarding risks. Housing instability is more common among people experiencing deprivation, and unsafe or temporary accommodation is strongly associated with higher levels of harm and exploitation. Financial hardship also limits access to essential services such as healthcare, transport, and community support, creating barriers to early intervention. Poverty is closely linked to poor mental health, including anxiety, depression, and chronic stress (Marmot, 2020), which can further heighten vulnerability. Individuals living in deprivation are also at greater risk of financial abuse, modern slavery, and coercive control. For vulnerable adults, poverty often acts as a root cause of safeguarding concerns. Flynn (2020) argues that systemic and organisational failures in care homes and community settings disproportionately affect those experiencing deprivation, making effective safeguarding even more critical. Social services therefore play a key role in addressing poverty</w:t>
      </w:r>
      <w:r w:rsidR="0056242E" w:rsidRPr="0056242E">
        <w:rPr>
          <w:rFonts w:ascii="Arial" w:hAnsi="Arial" w:cs="Arial"/>
          <w:sz w:val="22"/>
          <w:szCs w:val="22"/>
        </w:rPr>
        <w:noBreakHyphen/>
        <w:t>related risks through comprehensive assessments, personalised support planning, and coordinated multi</w:t>
      </w:r>
      <w:r w:rsidR="0056242E" w:rsidRPr="0056242E">
        <w:rPr>
          <w:rFonts w:ascii="Arial" w:hAnsi="Arial" w:cs="Arial"/>
          <w:sz w:val="22"/>
          <w:szCs w:val="22"/>
        </w:rPr>
        <w:noBreakHyphen/>
        <w:t>agency intervention to ensure individuals receive timely protection and care.</w:t>
      </w:r>
    </w:p>
    <w:p w14:paraId="5D0A81E0" w14:textId="4247D203" w:rsidR="009171B8" w:rsidRPr="00DD2014" w:rsidRDefault="009171B8">
      <w:pPr>
        <w:rPr>
          <w:rFonts w:ascii="Arial" w:hAnsi="Arial" w:cs="Arial"/>
          <w:b/>
          <w:bCs/>
          <w:sz w:val="22"/>
          <w:szCs w:val="22"/>
        </w:rPr>
      </w:pPr>
      <w:r w:rsidRPr="00DD2014">
        <w:rPr>
          <w:rFonts w:ascii="Arial" w:hAnsi="Arial" w:cs="Arial"/>
          <w:b/>
          <w:bCs/>
          <w:sz w:val="22"/>
          <w:szCs w:val="22"/>
        </w:rPr>
        <w:t>Interrelationship Between SDG 3 and SDG 1</w:t>
      </w:r>
    </w:p>
    <w:p w14:paraId="44302B92" w14:textId="03350A40" w:rsidR="009171B8" w:rsidRPr="00DD2014" w:rsidRDefault="009171B8">
      <w:pPr>
        <w:rPr>
          <w:rFonts w:ascii="Arial" w:hAnsi="Arial" w:cs="Arial"/>
          <w:sz w:val="22"/>
          <w:szCs w:val="22"/>
        </w:rPr>
      </w:pPr>
      <w:r w:rsidRPr="00DD2014">
        <w:rPr>
          <w:rFonts w:ascii="Arial" w:hAnsi="Arial" w:cs="Arial"/>
          <w:sz w:val="22"/>
          <w:szCs w:val="22"/>
        </w:rPr>
        <w:t xml:space="preserve">SDG 3 and SDG 1 are deeply interconnected. Health cannot be achieved without addressing poverty, and poverty cannot be reduced without improving health. For example: Poor housing contributes to respiratory illness, mental distress, and vulnerability to </w:t>
      </w:r>
      <w:r w:rsidR="00121C10" w:rsidRPr="00DD2014">
        <w:rPr>
          <w:rFonts w:ascii="Arial" w:hAnsi="Arial" w:cs="Arial"/>
          <w:sz w:val="22"/>
          <w:szCs w:val="22"/>
        </w:rPr>
        <w:t>abuse, Poverty</w:t>
      </w:r>
      <w:r w:rsidRPr="00DD2014">
        <w:rPr>
          <w:rFonts w:ascii="Arial" w:hAnsi="Arial" w:cs="Arial"/>
          <w:sz w:val="22"/>
          <w:szCs w:val="22"/>
        </w:rPr>
        <w:t xml:space="preserve"> increases the likelihood of malnutrition, chronic illness, and mental health problems</w:t>
      </w:r>
      <w:r w:rsidR="00121C10" w:rsidRPr="00DD2014">
        <w:rPr>
          <w:rFonts w:ascii="Arial" w:hAnsi="Arial" w:cs="Arial"/>
          <w:sz w:val="22"/>
          <w:szCs w:val="22"/>
        </w:rPr>
        <w:t xml:space="preserve">, </w:t>
      </w:r>
      <w:r w:rsidRPr="00DD2014">
        <w:rPr>
          <w:rFonts w:ascii="Arial" w:hAnsi="Arial" w:cs="Arial"/>
          <w:sz w:val="22"/>
          <w:szCs w:val="22"/>
        </w:rPr>
        <w:t xml:space="preserve"> Lack of financial stability increases dependence on others, heightening the risk of exploitation</w:t>
      </w:r>
      <w:r w:rsidR="00121C10" w:rsidRPr="00DD2014">
        <w:rPr>
          <w:rFonts w:ascii="Arial" w:hAnsi="Arial" w:cs="Arial"/>
          <w:sz w:val="22"/>
          <w:szCs w:val="22"/>
        </w:rPr>
        <w:t xml:space="preserve">, </w:t>
      </w:r>
      <w:r w:rsidRPr="00DD2014">
        <w:rPr>
          <w:rFonts w:ascii="Arial" w:hAnsi="Arial" w:cs="Arial"/>
          <w:sz w:val="22"/>
          <w:szCs w:val="22"/>
        </w:rPr>
        <w:t xml:space="preserve">Weak safeguarding systems lead to preventable harm and deteriorating </w:t>
      </w:r>
      <w:r w:rsidR="00121C10" w:rsidRPr="00DD2014">
        <w:rPr>
          <w:rFonts w:ascii="Arial" w:hAnsi="Arial" w:cs="Arial"/>
          <w:sz w:val="22"/>
          <w:szCs w:val="22"/>
        </w:rPr>
        <w:t>health. Bronfenbrenner’s</w:t>
      </w:r>
      <w:r w:rsidRPr="00DD2014">
        <w:rPr>
          <w:rFonts w:ascii="Arial" w:hAnsi="Arial" w:cs="Arial"/>
          <w:sz w:val="22"/>
          <w:szCs w:val="22"/>
        </w:rPr>
        <w:t xml:space="preserve"> ecological systems theory (1979) supports this view, emphasising that individuals’ wellbeing is shaped by multiple environmental layers family, community, services, and wider society. Effective safeguarding therefore requires integrated approaches that address both health needs (SDG 3) and poverty reduction (SDG 1).</w:t>
      </w:r>
    </w:p>
    <w:p w14:paraId="4AD6B6FB" w14:textId="77777777" w:rsidR="009171B8" w:rsidRPr="00DD2014" w:rsidRDefault="009171B8">
      <w:pPr>
        <w:rPr>
          <w:rFonts w:ascii="Arial" w:hAnsi="Arial" w:cs="Arial"/>
          <w:b/>
          <w:bCs/>
          <w:sz w:val="22"/>
          <w:szCs w:val="22"/>
        </w:rPr>
      </w:pPr>
    </w:p>
    <w:p w14:paraId="2A36A44F" w14:textId="410AD38B" w:rsidR="009171B8" w:rsidRPr="00DD2014" w:rsidRDefault="009171B8">
      <w:pPr>
        <w:rPr>
          <w:rFonts w:ascii="Arial" w:hAnsi="Arial" w:cs="Arial"/>
          <w:b/>
          <w:bCs/>
          <w:sz w:val="22"/>
          <w:szCs w:val="22"/>
        </w:rPr>
      </w:pPr>
      <w:r w:rsidRPr="00DD2014">
        <w:rPr>
          <w:rFonts w:ascii="Arial" w:hAnsi="Arial" w:cs="Arial"/>
          <w:b/>
          <w:bCs/>
          <w:sz w:val="22"/>
          <w:szCs w:val="22"/>
        </w:rPr>
        <w:t>Part B: Evaluation of National and Local Initiatives</w:t>
      </w:r>
    </w:p>
    <w:p w14:paraId="723D81FE" w14:textId="77777777" w:rsidR="003612B2" w:rsidRPr="00DD2014" w:rsidRDefault="003612B2" w:rsidP="003612B2">
      <w:pPr>
        <w:rPr>
          <w:rFonts w:ascii="Arial" w:hAnsi="Arial" w:cs="Arial"/>
          <w:b/>
          <w:bCs/>
          <w:sz w:val="22"/>
          <w:szCs w:val="22"/>
        </w:rPr>
      </w:pPr>
      <w:r w:rsidRPr="00DD2014">
        <w:rPr>
          <w:rFonts w:ascii="Arial" w:hAnsi="Arial" w:cs="Arial"/>
          <w:b/>
          <w:bCs/>
          <w:sz w:val="22"/>
          <w:szCs w:val="22"/>
        </w:rPr>
        <w:t>National Initiatives</w:t>
      </w:r>
    </w:p>
    <w:p w14:paraId="3CB0EC0D" w14:textId="77777777" w:rsidR="003612B2" w:rsidRPr="00DD2014" w:rsidRDefault="003612B2" w:rsidP="003612B2">
      <w:pPr>
        <w:rPr>
          <w:rFonts w:ascii="Arial" w:hAnsi="Arial" w:cs="Arial"/>
          <w:sz w:val="22"/>
          <w:szCs w:val="22"/>
        </w:rPr>
      </w:pPr>
      <w:r w:rsidRPr="00DD2014">
        <w:rPr>
          <w:rFonts w:ascii="Arial" w:hAnsi="Arial" w:cs="Arial"/>
          <w:sz w:val="22"/>
          <w:szCs w:val="22"/>
        </w:rPr>
        <w:t>The Care Act 2014 The Care Act 2014 is the foundation of adult safeguarding in England, establishing statutory duties to protect adults at risk, multi</w:t>
      </w:r>
      <w:r w:rsidRPr="00DD2014">
        <w:rPr>
          <w:rFonts w:ascii="Arial" w:hAnsi="Arial" w:cs="Arial"/>
          <w:sz w:val="22"/>
          <w:szCs w:val="22"/>
        </w:rPr>
        <w:noBreakHyphen/>
        <w:t xml:space="preserve">agency safeguarding boards, </w:t>
      </w:r>
      <w:r w:rsidRPr="00DD2014">
        <w:rPr>
          <w:rFonts w:ascii="Arial" w:hAnsi="Arial" w:cs="Arial"/>
          <w:sz w:val="22"/>
          <w:szCs w:val="22"/>
        </w:rPr>
        <w:lastRenderedPageBreak/>
        <w:t>person</w:t>
      </w:r>
      <w:r w:rsidRPr="00DD2014">
        <w:rPr>
          <w:rFonts w:ascii="Arial" w:hAnsi="Arial" w:cs="Arial"/>
          <w:sz w:val="22"/>
          <w:szCs w:val="22"/>
        </w:rPr>
        <w:noBreakHyphen/>
        <w:t>centred practice, and a strong emphasis on prevention. It has improved accountability and strengthened multi</w:t>
      </w:r>
      <w:r w:rsidRPr="00DD2014">
        <w:rPr>
          <w:rFonts w:ascii="Arial" w:hAnsi="Arial" w:cs="Arial"/>
          <w:sz w:val="22"/>
          <w:szCs w:val="22"/>
        </w:rPr>
        <w:noBreakHyphen/>
        <w:t>agency collaboration, yet persistent issues remain. Fish (2010) notes that serious case reviews continue to highlight poor communication, inconsistent practice, and weaknesses in risk assessment. Although the Act provides a robust legal framework, its effectiveness is limited by resource pressures and variation in implementation across local authorities.</w:t>
      </w:r>
    </w:p>
    <w:p w14:paraId="6A5C9572" w14:textId="77777777" w:rsidR="003612B2" w:rsidRPr="00DD2014" w:rsidRDefault="003612B2" w:rsidP="003612B2">
      <w:pPr>
        <w:rPr>
          <w:rFonts w:ascii="Arial" w:hAnsi="Arial" w:cs="Arial"/>
          <w:sz w:val="22"/>
          <w:szCs w:val="22"/>
        </w:rPr>
      </w:pPr>
      <w:r w:rsidRPr="00DD2014">
        <w:rPr>
          <w:rFonts w:ascii="Arial" w:hAnsi="Arial" w:cs="Arial"/>
          <w:sz w:val="22"/>
          <w:szCs w:val="22"/>
        </w:rPr>
        <w:t>Mental Capacity Act 2005 The Mental Capacity Act (MCA) 2005 protects individuals who lack capacity, ensuring decisions are made in their best interests while promoting autonomy. While widely regarded as empowering, its application is inconsistent, with some professionals lacking confidence in assessing capacity. This can lead to safeguarding gaps, particularly for adults with complex needs. Additionally, the Deprivation of Liberty Safeguards (DoLS) have been criticised for being overly complex and slow, leaving some individuals without timely or adequate protection.</w:t>
      </w:r>
    </w:p>
    <w:p w14:paraId="7CDE37BD" w14:textId="77777777" w:rsidR="003612B2" w:rsidRPr="00DD2014" w:rsidRDefault="003612B2" w:rsidP="003612B2">
      <w:pPr>
        <w:rPr>
          <w:rFonts w:ascii="Arial" w:hAnsi="Arial" w:cs="Arial"/>
          <w:sz w:val="22"/>
          <w:szCs w:val="22"/>
        </w:rPr>
      </w:pPr>
      <w:r w:rsidRPr="00DD2014">
        <w:rPr>
          <w:rFonts w:ascii="Arial" w:hAnsi="Arial" w:cs="Arial"/>
          <w:sz w:val="22"/>
          <w:szCs w:val="22"/>
        </w:rPr>
        <w:t xml:space="preserve">NHS Long Term Plan </w:t>
      </w:r>
      <w:proofErr w:type="gramStart"/>
      <w:r w:rsidRPr="00DD2014">
        <w:rPr>
          <w:rFonts w:ascii="Arial" w:hAnsi="Arial" w:cs="Arial"/>
          <w:sz w:val="22"/>
          <w:szCs w:val="22"/>
        </w:rPr>
        <w:t>The</w:t>
      </w:r>
      <w:proofErr w:type="gramEnd"/>
      <w:r w:rsidRPr="00DD2014">
        <w:rPr>
          <w:rFonts w:ascii="Arial" w:hAnsi="Arial" w:cs="Arial"/>
          <w:sz w:val="22"/>
          <w:szCs w:val="22"/>
        </w:rPr>
        <w:t xml:space="preserve"> NHS Long Term Plan prioritises mental health, community</w:t>
      </w:r>
      <w:r w:rsidRPr="00DD2014">
        <w:rPr>
          <w:rFonts w:ascii="Arial" w:hAnsi="Arial" w:cs="Arial"/>
          <w:sz w:val="22"/>
          <w:szCs w:val="22"/>
        </w:rPr>
        <w:noBreakHyphen/>
        <w:t>based care, and integrated services, supporting early intervention and reducing reliance on acute care. Although the plan has strengthened preventative approaches, long waiting times and workforce shortages continue to limit its safeguarding impact. Many vulnerable adults struggle to access timely mental health support, increasing the likelihood of crisis situations and unmet needs.</w:t>
      </w:r>
    </w:p>
    <w:p w14:paraId="740D3B21" w14:textId="77777777" w:rsidR="003612B2" w:rsidRPr="00DD2014" w:rsidRDefault="003612B2" w:rsidP="003612B2">
      <w:pPr>
        <w:rPr>
          <w:rFonts w:ascii="Arial" w:hAnsi="Arial" w:cs="Arial"/>
          <w:sz w:val="22"/>
          <w:szCs w:val="22"/>
        </w:rPr>
      </w:pPr>
      <w:r w:rsidRPr="00DD2014">
        <w:rPr>
          <w:rFonts w:ascii="Arial" w:hAnsi="Arial" w:cs="Arial"/>
          <w:sz w:val="22"/>
          <w:szCs w:val="22"/>
        </w:rPr>
        <w:t>Care Quality Commission (CQC) The Care Quality Commission regulates health and social care providers to ensure safety and quality. Its inspections help identify risks and enforce improvements, yet systemic issues persist. Flynn (2020) highlights ongoing concerns in care homes, including understaffing and inadequate training. Poverty</w:t>
      </w:r>
      <w:r w:rsidRPr="00DD2014">
        <w:rPr>
          <w:rFonts w:ascii="Arial" w:hAnsi="Arial" w:cs="Arial"/>
          <w:sz w:val="22"/>
          <w:szCs w:val="22"/>
        </w:rPr>
        <w:noBreakHyphen/>
        <w:t>related factors, such as underfunded services and low</w:t>
      </w:r>
      <w:r w:rsidRPr="00DD2014">
        <w:rPr>
          <w:rFonts w:ascii="Arial" w:hAnsi="Arial" w:cs="Arial"/>
          <w:sz w:val="22"/>
          <w:szCs w:val="22"/>
        </w:rPr>
        <w:noBreakHyphen/>
        <w:t>paid care staff, contribute to inconsistent care quality and heightened safeguarding risks.</w:t>
      </w:r>
    </w:p>
    <w:p w14:paraId="3AA2495D" w14:textId="77777777" w:rsidR="003612B2" w:rsidRPr="00DD2014" w:rsidRDefault="003612B2" w:rsidP="003612B2">
      <w:pPr>
        <w:rPr>
          <w:rFonts w:ascii="Arial" w:hAnsi="Arial" w:cs="Arial"/>
          <w:b/>
          <w:bCs/>
          <w:sz w:val="22"/>
          <w:szCs w:val="22"/>
        </w:rPr>
      </w:pPr>
      <w:r w:rsidRPr="00DD2014">
        <w:rPr>
          <w:rFonts w:ascii="Arial" w:hAnsi="Arial" w:cs="Arial"/>
          <w:b/>
          <w:bCs/>
          <w:sz w:val="22"/>
          <w:szCs w:val="22"/>
        </w:rPr>
        <w:t>Local Initiatives (Birmingham)</w:t>
      </w:r>
    </w:p>
    <w:p w14:paraId="7EE54FAB" w14:textId="77777777" w:rsidR="003612B2" w:rsidRPr="00DD2014" w:rsidRDefault="003612B2" w:rsidP="003612B2">
      <w:pPr>
        <w:rPr>
          <w:rFonts w:ascii="Arial" w:hAnsi="Arial" w:cs="Arial"/>
          <w:sz w:val="22"/>
          <w:szCs w:val="22"/>
        </w:rPr>
      </w:pPr>
      <w:r w:rsidRPr="00DD2014">
        <w:rPr>
          <w:rFonts w:ascii="Arial" w:hAnsi="Arial" w:cs="Arial"/>
          <w:sz w:val="22"/>
          <w:szCs w:val="22"/>
        </w:rPr>
        <w:t>Birmingham Safeguarding Adults Board (BSAB) BSAB coordinates safeguarding activity across agencies, delivers training, and conducts safeguarding adult reviews. While it has strengthened multi</w:t>
      </w:r>
      <w:r w:rsidRPr="00DD2014">
        <w:rPr>
          <w:rFonts w:ascii="Arial" w:hAnsi="Arial" w:cs="Arial"/>
          <w:sz w:val="22"/>
          <w:szCs w:val="22"/>
        </w:rPr>
        <w:noBreakHyphen/>
        <w:t>agency collaboration, recurring issues such as delayed referrals and insufficient information sharing remain evident. High levels of deprivation in Birmingham further increase safeguarding risks, making effective coordination essential.</w:t>
      </w:r>
    </w:p>
    <w:p w14:paraId="3E2E5FFD" w14:textId="77777777" w:rsidR="003612B2" w:rsidRPr="00DD2014" w:rsidRDefault="003612B2" w:rsidP="003612B2">
      <w:pPr>
        <w:rPr>
          <w:rFonts w:ascii="Arial" w:hAnsi="Arial" w:cs="Arial"/>
          <w:sz w:val="22"/>
          <w:szCs w:val="22"/>
        </w:rPr>
      </w:pPr>
      <w:r w:rsidRPr="00DD2014">
        <w:rPr>
          <w:rFonts w:ascii="Arial" w:hAnsi="Arial" w:cs="Arial"/>
          <w:sz w:val="22"/>
          <w:szCs w:val="22"/>
        </w:rPr>
        <w:t>Birmingham Adult Social Care Services Adult Social Care Services in Birmingham provide risk assessments, care coordination, and support for vulnerable adults. Strengths include person</w:t>
      </w:r>
      <w:r w:rsidRPr="00DD2014">
        <w:rPr>
          <w:rFonts w:ascii="Arial" w:hAnsi="Arial" w:cs="Arial"/>
          <w:sz w:val="22"/>
          <w:szCs w:val="22"/>
        </w:rPr>
        <w:noBreakHyphen/>
        <w:t>centred practice and strong community outreach. However, high caseloads, limited resources, and rising demand create significant challenges. Poverty</w:t>
      </w:r>
      <w:r w:rsidRPr="00DD2014">
        <w:rPr>
          <w:rFonts w:ascii="Arial" w:hAnsi="Arial" w:cs="Arial"/>
          <w:sz w:val="22"/>
          <w:szCs w:val="22"/>
        </w:rPr>
        <w:noBreakHyphen/>
        <w:t>related issues such as homelessness and financial hardship place additional pressure on social workers and local services.</w:t>
      </w:r>
    </w:p>
    <w:p w14:paraId="142532F9" w14:textId="77777777" w:rsidR="003612B2" w:rsidRPr="00DD2014" w:rsidRDefault="003612B2" w:rsidP="003612B2">
      <w:pPr>
        <w:rPr>
          <w:rFonts w:ascii="Arial" w:hAnsi="Arial" w:cs="Arial"/>
          <w:sz w:val="22"/>
          <w:szCs w:val="22"/>
        </w:rPr>
      </w:pPr>
      <w:r w:rsidRPr="00DD2014">
        <w:rPr>
          <w:rFonts w:ascii="Arial" w:hAnsi="Arial" w:cs="Arial"/>
          <w:sz w:val="22"/>
          <w:szCs w:val="22"/>
        </w:rPr>
        <w:t>Community Wellbeing Hubs Community wellbeing hubs offer early intervention, mental health support, and social activities that help reduce isolation and improve wellbeing. Although effective, access varies across neighbourhoods, and individuals experiencing poverty may face barriers such as transport costs or limited awareness of available services.</w:t>
      </w:r>
    </w:p>
    <w:p w14:paraId="72212790" w14:textId="77777777" w:rsidR="003612B2" w:rsidRPr="00DD2014" w:rsidRDefault="003612B2" w:rsidP="003612B2">
      <w:pPr>
        <w:rPr>
          <w:rFonts w:ascii="Arial" w:hAnsi="Arial" w:cs="Arial"/>
          <w:sz w:val="22"/>
          <w:szCs w:val="22"/>
        </w:rPr>
      </w:pPr>
      <w:r w:rsidRPr="00DD2014">
        <w:rPr>
          <w:rFonts w:ascii="Arial" w:hAnsi="Arial" w:cs="Arial"/>
          <w:sz w:val="22"/>
          <w:szCs w:val="22"/>
        </w:rPr>
        <w:lastRenderedPageBreak/>
        <w:t>Housing and Homelessness Support Birmingham City Council works to reduce homelessness and improve housing safety, contributing to better safeguarding outcomes. Despite progress, housing shortages and poor living conditions continue to place adults at risk. Poverty remains a major driver of homelessness, and unsafe housing environments increase the likelihood of exploitation, neglect, and poor health.</w:t>
      </w:r>
    </w:p>
    <w:p w14:paraId="2B608588" w14:textId="71A1F578" w:rsidR="009171B8" w:rsidRPr="00DD2014" w:rsidRDefault="009171B8">
      <w:pPr>
        <w:rPr>
          <w:rFonts w:ascii="Arial" w:hAnsi="Arial" w:cs="Arial"/>
          <w:b/>
          <w:bCs/>
          <w:sz w:val="22"/>
          <w:szCs w:val="22"/>
        </w:rPr>
      </w:pPr>
      <w:r w:rsidRPr="00DD2014">
        <w:rPr>
          <w:rFonts w:ascii="Arial" w:hAnsi="Arial" w:cs="Arial"/>
          <w:b/>
          <w:bCs/>
          <w:sz w:val="22"/>
          <w:szCs w:val="22"/>
        </w:rPr>
        <w:t>Part C: Recommendations</w:t>
      </w:r>
    </w:p>
    <w:p w14:paraId="30EF6B0E" w14:textId="3810FF63" w:rsidR="009171B8" w:rsidRPr="00DD2014" w:rsidRDefault="009171B8">
      <w:pPr>
        <w:rPr>
          <w:rFonts w:ascii="Arial" w:hAnsi="Arial" w:cs="Arial"/>
          <w:b/>
          <w:bCs/>
          <w:sz w:val="22"/>
          <w:szCs w:val="22"/>
        </w:rPr>
      </w:pPr>
      <w:r w:rsidRPr="00DD2014">
        <w:rPr>
          <w:rFonts w:ascii="Arial" w:hAnsi="Arial" w:cs="Arial"/>
          <w:b/>
          <w:bCs/>
          <w:sz w:val="22"/>
          <w:szCs w:val="22"/>
        </w:rPr>
        <w:t>Recommendation 1: Strengthen Multi</w:t>
      </w:r>
      <w:r w:rsidRPr="00DD2014">
        <w:rPr>
          <w:rFonts w:ascii="Cambria Math" w:hAnsi="Cambria Math" w:cs="Cambria Math"/>
          <w:b/>
          <w:bCs/>
          <w:sz w:val="22"/>
          <w:szCs w:val="22"/>
        </w:rPr>
        <w:t>‑</w:t>
      </w:r>
      <w:r w:rsidRPr="00DD2014">
        <w:rPr>
          <w:rFonts w:ascii="Arial" w:hAnsi="Arial" w:cs="Arial"/>
          <w:b/>
          <w:bCs/>
          <w:sz w:val="22"/>
          <w:szCs w:val="22"/>
        </w:rPr>
        <w:t>Agency Communication</w:t>
      </w:r>
    </w:p>
    <w:p w14:paraId="4B225DE8" w14:textId="76F9CBB6" w:rsidR="009171B8" w:rsidRPr="001F68D2" w:rsidRDefault="00522E13" w:rsidP="001F68D2">
      <w:pPr>
        <w:rPr>
          <w:rFonts w:ascii="Arial" w:hAnsi="Arial" w:cs="Arial"/>
          <w:sz w:val="22"/>
          <w:szCs w:val="22"/>
        </w:rPr>
      </w:pPr>
      <w:r w:rsidRPr="00DD2014">
        <w:rPr>
          <w:rFonts w:ascii="Arial" w:hAnsi="Arial" w:cs="Arial"/>
          <w:sz w:val="22"/>
          <w:szCs w:val="22"/>
        </w:rPr>
        <w:t>Poor communication is a persistent issue highlighted in serious case reviews (Fish, 2010), often contributing to missed risks and fragmented support for individuals experiencing poverty. To address this, social services should implement shared digital safeguarding systems that allow real</w:t>
      </w:r>
      <w:r w:rsidRPr="00DD2014">
        <w:rPr>
          <w:rFonts w:ascii="Arial" w:hAnsi="Arial" w:cs="Arial"/>
          <w:sz w:val="22"/>
          <w:szCs w:val="22"/>
        </w:rPr>
        <w:noBreakHyphen/>
        <w:t>time information exchange across agencies, reducing delays and ensuring that crucial details are not overlooked. Mandatory multi</w:t>
      </w:r>
      <w:r w:rsidRPr="00DD2014">
        <w:rPr>
          <w:rFonts w:ascii="Arial" w:hAnsi="Arial" w:cs="Arial"/>
          <w:sz w:val="22"/>
          <w:szCs w:val="22"/>
        </w:rPr>
        <w:noBreakHyphen/>
        <w:t>agency training would strengthen professionals’ understanding of each other’s roles, improving consistency in decision</w:t>
      </w:r>
      <w:r w:rsidRPr="00DD2014">
        <w:rPr>
          <w:rFonts w:ascii="Arial" w:hAnsi="Arial" w:cs="Arial"/>
          <w:sz w:val="22"/>
          <w:szCs w:val="22"/>
        </w:rPr>
        <w:noBreakHyphen/>
        <w:t>making and risk assessment. Regular joint case meetings would further enhance coordination, enabling practitioners to collectively review concerns, plan interventions, and respond swiftly to emerging risks. Strengthening communication in these ways is vital for individuals who interact with multiple services, helping to create a more coherent, timely, and effective safeguarding response.</w:t>
      </w:r>
    </w:p>
    <w:p w14:paraId="27434519" w14:textId="3B3D1572" w:rsidR="00727435" w:rsidRPr="00DD2014" w:rsidRDefault="00727435" w:rsidP="0025614A">
      <w:pPr>
        <w:rPr>
          <w:rFonts w:ascii="Arial" w:hAnsi="Arial" w:cs="Arial"/>
          <w:b/>
          <w:bCs/>
          <w:sz w:val="22"/>
          <w:szCs w:val="22"/>
        </w:rPr>
      </w:pPr>
      <w:r w:rsidRPr="00DD2014">
        <w:rPr>
          <w:rFonts w:ascii="Arial" w:hAnsi="Arial" w:cs="Arial"/>
          <w:b/>
          <w:bCs/>
          <w:sz w:val="22"/>
          <w:szCs w:val="22"/>
        </w:rPr>
        <w:t xml:space="preserve">Recommendation 2 </w:t>
      </w:r>
      <w:r w:rsidR="002D2A5A" w:rsidRPr="00DD2014">
        <w:rPr>
          <w:rFonts w:ascii="Arial" w:hAnsi="Arial" w:cs="Arial"/>
          <w:b/>
          <w:bCs/>
          <w:sz w:val="22"/>
          <w:szCs w:val="22"/>
        </w:rPr>
        <w:t xml:space="preserve">: increase investment in community-bases prevention </w:t>
      </w:r>
    </w:p>
    <w:p w14:paraId="4B8B9A17" w14:textId="209A2FE8" w:rsidR="0025614A" w:rsidRPr="00DD2014" w:rsidRDefault="0025614A" w:rsidP="0025614A">
      <w:pPr>
        <w:rPr>
          <w:rFonts w:ascii="Arial" w:hAnsi="Arial" w:cs="Arial"/>
          <w:sz w:val="22"/>
          <w:szCs w:val="22"/>
        </w:rPr>
      </w:pPr>
      <w:r w:rsidRPr="00DD2014">
        <w:rPr>
          <w:rFonts w:ascii="Arial" w:hAnsi="Arial" w:cs="Arial"/>
          <w:sz w:val="22"/>
          <w:szCs w:val="22"/>
        </w:rPr>
        <w:t>Prevention is a core principle of the Care Act (UK Government, 2014), emphasising the need for early action to reduce or delay the development of care and support needs. For Birmingham, expanding community wellbeing hubs, outreach programmes, and early</w:t>
      </w:r>
      <w:r w:rsidRPr="00DD2014">
        <w:rPr>
          <w:rFonts w:ascii="Arial" w:hAnsi="Arial" w:cs="Arial"/>
          <w:sz w:val="22"/>
          <w:szCs w:val="22"/>
        </w:rPr>
        <w:noBreakHyphen/>
        <w:t>intervention mental health services would strengthen this preventative approach and create more resilient neighbourhoods. These initiatives promote accessible support, reduce isolation, and help individuals address emerging challenges before they escalate into crises. Such investment aligns with SDG 3 Good Health and Well</w:t>
      </w:r>
      <w:r w:rsidRPr="00DD2014">
        <w:rPr>
          <w:rFonts w:ascii="Arial" w:hAnsi="Arial" w:cs="Arial"/>
          <w:sz w:val="22"/>
          <w:szCs w:val="22"/>
        </w:rPr>
        <w:noBreakHyphen/>
        <w:t>Being</w:t>
      </w:r>
      <w:r w:rsidR="009E3344">
        <w:rPr>
          <w:rFonts w:ascii="Arial" w:hAnsi="Arial" w:cs="Arial"/>
          <w:sz w:val="22"/>
          <w:szCs w:val="22"/>
        </w:rPr>
        <w:t xml:space="preserve"> </w:t>
      </w:r>
      <w:r w:rsidRPr="00DD2014">
        <w:rPr>
          <w:rFonts w:ascii="Arial" w:hAnsi="Arial" w:cs="Arial"/>
          <w:sz w:val="22"/>
          <w:szCs w:val="22"/>
        </w:rPr>
        <w:t>and SDG 1 No Poverty by fostering healthier, safer communities and tackling the socio</w:t>
      </w:r>
      <w:r w:rsidRPr="00DD2014">
        <w:rPr>
          <w:rFonts w:ascii="Arial" w:hAnsi="Arial" w:cs="Arial"/>
          <w:sz w:val="22"/>
          <w:szCs w:val="22"/>
        </w:rPr>
        <w:noBreakHyphen/>
        <w:t>economic factors that contribute to poor outcomes. Ultimately, prioritising prevention not only improves quality of life for people experiencing poverty but also reduces long</w:t>
      </w:r>
      <w:r w:rsidRPr="00DD2014">
        <w:rPr>
          <w:rFonts w:ascii="Arial" w:hAnsi="Arial" w:cs="Arial"/>
          <w:sz w:val="22"/>
          <w:szCs w:val="22"/>
        </w:rPr>
        <w:noBreakHyphen/>
        <w:t>term financial pressures on local services.</w:t>
      </w:r>
    </w:p>
    <w:p w14:paraId="772D0037" w14:textId="247381DB" w:rsidR="009171B8" w:rsidRPr="00DD2014" w:rsidRDefault="009171B8">
      <w:pPr>
        <w:rPr>
          <w:rFonts w:ascii="Arial" w:hAnsi="Arial" w:cs="Arial"/>
          <w:b/>
          <w:bCs/>
          <w:sz w:val="22"/>
          <w:szCs w:val="22"/>
        </w:rPr>
      </w:pPr>
      <w:r w:rsidRPr="00DD2014">
        <w:rPr>
          <w:rFonts w:ascii="Arial" w:hAnsi="Arial" w:cs="Arial"/>
          <w:b/>
          <w:bCs/>
          <w:sz w:val="22"/>
          <w:szCs w:val="22"/>
        </w:rPr>
        <w:t>Recommendation 3: Improve Housing Safety and Accessibility</w:t>
      </w:r>
    </w:p>
    <w:p w14:paraId="56175E48" w14:textId="27630255" w:rsidR="00C439FB" w:rsidRPr="00DD2014" w:rsidRDefault="00C439FB" w:rsidP="00C439FB">
      <w:pPr>
        <w:rPr>
          <w:rFonts w:ascii="Arial" w:hAnsi="Arial" w:cs="Arial"/>
          <w:sz w:val="22"/>
          <w:szCs w:val="22"/>
        </w:rPr>
      </w:pPr>
      <w:r w:rsidRPr="00DD2014">
        <w:rPr>
          <w:rFonts w:ascii="Arial" w:hAnsi="Arial" w:cs="Arial"/>
          <w:sz w:val="22"/>
          <w:szCs w:val="22"/>
        </w:rPr>
        <w:t>Unsafe housing significantly heightens safeguarding risks for vulnerable adults, making it essential for Birmingham to take a more proactive and coordinated approach. Increasing inspections of supported accommodation would help identify poor</w:t>
      </w:r>
      <w:r w:rsidR="009E3344">
        <w:rPr>
          <w:rFonts w:ascii="Arial" w:hAnsi="Arial" w:cs="Arial"/>
          <w:sz w:val="22"/>
          <w:szCs w:val="22"/>
        </w:rPr>
        <w:t xml:space="preserve"> </w:t>
      </w:r>
      <w:r w:rsidRPr="00DD2014">
        <w:rPr>
          <w:rFonts w:ascii="Arial" w:hAnsi="Arial" w:cs="Arial"/>
          <w:sz w:val="22"/>
          <w:szCs w:val="22"/>
        </w:rPr>
        <w:t>quality or unsafe living environments early, preventing exploitation, neglect, and deteriorating health. Alongside this, expanding access to safe and appropriate housing options ensures that vulnerable adults are not forced into unsuitable or dangerous conditions. Strengthening partnerships with housing associations further supports a joined</w:t>
      </w:r>
      <w:r w:rsidRPr="00DD2014">
        <w:rPr>
          <w:rFonts w:ascii="Arial" w:hAnsi="Arial" w:cs="Arial"/>
          <w:sz w:val="22"/>
          <w:szCs w:val="22"/>
        </w:rPr>
        <w:noBreakHyphen/>
        <w:t>up system where risks can be shared, monitored, and addressed collaboratively. These actions align with SDG 1 No Poverty by improving living conditions and reducing socio</w:t>
      </w:r>
      <w:r w:rsidR="009E3344">
        <w:rPr>
          <w:rFonts w:ascii="Arial" w:hAnsi="Arial" w:cs="Arial"/>
          <w:sz w:val="22"/>
          <w:szCs w:val="22"/>
        </w:rPr>
        <w:t xml:space="preserve"> </w:t>
      </w:r>
      <w:r w:rsidRPr="00DD2014">
        <w:rPr>
          <w:rFonts w:ascii="Arial" w:hAnsi="Arial" w:cs="Arial"/>
          <w:sz w:val="22"/>
          <w:szCs w:val="22"/>
        </w:rPr>
        <w:t xml:space="preserve">economic disadvantage, while also helping to narrow health </w:t>
      </w:r>
      <w:r w:rsidRPr="00DD2014">
        <w:rPr>
          <w:rFonts w:ascii="Arial" w:hAnsi="Arial" w:cs="Arial"/>
          <w:sz w:val="22"/>
          <w:szCs w:val="22"/>
        </w:rPr>
        <w:lastRenderedPageBreak/>
        <w:t>inequalities across the city. Ultimately, safe and stable housing is a foundational safeguard that protects wellbeing and reduces the likelihood of harm.</w:t>
      </w:r>
    </w:p>
    <w:p w14:paraId="39B12E12" w14:textId="77777777" w:rsidR="00DB6D60" w:rsidRPr="00DD2014" w:rsidRDefault="00DB6D60">
      <w:pPr>
        <w:rPr>
          <w:rFonts w:ascii="Arial" w:hAnsi="Arial" w:cs="Arial"/>
          <w:sz w:val="22"/>
          <w:szCs w:val="22"/>
        </w:rPr>
      </w:pPr>
    </w:p>
    <w:p w14:paraId="398EB300" w14:textId="77777777" w:rsidR="00722A02" w:rsidRDefault="00722A02">
      <w:pPr>
        <w:rPr>
          <w:rFonts w:ascii="Arial" w:hAnsi="Arial" w:cs="Arial"/>
          <w:b/>
          <w:bCs/>
          <w:sz w:val="22"/>
          <w:szCs w:val="22"/>
        </w:rPr>
      </w:pPr>
    </w:p>
    <w:p w14:paraId="3474F4D3" w14:textId="3EB4CFA5" w:rsidR="009171B8" w:rsidRDefault="009171B8">
      <w:pPr>
        <w:rPr>
          <w:rFonts w:ascii="Arial" w:hAnsi="Arial" w:cs="Arial"/>
          <w:b/>
          <w:bCs/>
          <w:sz w:val="22"/>
          <w:szCs w:val="22"/>
        </w:rPr>
      </w:pPr>
      <w:r w:rsidRPr="00DD2014">
        <w:rPr>
          <w:rFonts w:ascii="Arial" w:hAnsi="Arial" w:cs="Arial"/>
          <w:b/>
          <w:bCs/>
          <w:sz w:val="22"/>
          <w:szCs w:val="22"/>
        </w:rPr>
        <w:t>Conclusion</w:t>
      </w:r>
    </w:p>
    <w:p w14:paraId="577905F1" w14:textId="13925B52" w:rsidR="00722A02" w:rsidRPr="00722A02" w:rsidRDefault="00722A02" w:rsidP="00722A02">
      <w:pPr>
        <w:rPr>
          <w:rFonts w:ascii="Arial" w:hAnsi="Arial" w:cs="Arial"/>
          <w:sz w:val="22"/>
          <w:szCs w:val="22"/>
        </w:rPr>
      </w:pPr>
      <w:r w:rsidRPr="00722A02">
        <w:rPr>
          <w:rFonts w:ascii="Arial" w:hAnsi="Arial" w:cs="Arial"/>
          <w:sz w:val="22"/>
          <w:szCs w:val="22"/>
        </w:rPr>
        <w:t>Safeguarding vulnerable adults requires integrated, holistic approaches that address both health needs and poverty</w:t>
      </w:r>
      <w:r>
        <w:rPr>
          <w:rFonts w:ascii="Arial" w:hAnsi="Arial" w:cs="Arial"/>
          <w:sz w:val="22"/>
          <w:szCs w:val="22"/>
        </w:rPr>
        <w:t xml:space="preserve"> </w:t>
      </w:r>
      <w:r w:rsidRPr="00722A02">
        <w:rPr>
          <w:rFonts w:ascii="Arial" w:hAnsi="Arial" w:cs="Arial"/>
          <w:sz w:val="22"/>
          <w:szCs w:val="22"/>
        </w:rPr>
        <w:t>related risks, recognising that these factors are deeply interconnected. SDG 3 and SDG 1 offer a global framework that aligns closely with UK legislation and local practice, emphasising wellbeing, prevention, and the reduction of inequalities. National initiatives such as the Care Act 2014, the Mental Capacity Act 2005, and the NHS Long Term Plan have strengthened safeguarding by promoting person</w:t>
      </w:r>
      <w:r w:rsidR="009E3344">
        <w:rPr>
          <w:rFonts w:ascii="Arial" w:hAnsi="Arial" w:cs="Arial"/>
          <w:sz w:val="22"/>
          <w:szCs w:val="22"/>
        </w:rPr>
        <w:t xml:space="preserve"> </w:t>
      </w:r>
      <w:r w:rsidRPr="00722A02">
        <w:rPr>
          <w:rFonts w:ascii="Arial" w:hAnsi="Arial" w:cs="Arial"/>
          <w:sz w:val="22"/>
          <w:szCs w:val="22"/>
        </w:rPr>
        <w:t>centred care, improving multi</w:t>
      </w:r>
      <w:r w:rsidRPr="00722A02">
        <w:rPr>
          <w:rFonts w:ascii="Arial" w:hAnsi="Arial" w:cs="Arial"/>
          <w:sz w:val="22"/>
          <w:szCs w:val="22"/>
        </w:rPr>
        <w:noBreakHyphen/>
        <w:t xml:space="preserve">agency working, and expanding </w:t>
      </w:r>
      <w:r w:rsidR="009E3344" w:rsidRPr="00722A02">
        <w:rPr>
          <w:rFonts w:ascii="Arial" w:hAnsi="Arial" w:cs="Arial"/>
          <w:sz w:val="22"/>
          <w:szCs w:val="22"/>
        </w:rPr>
        <w:t>early intervention</w:t>
      </w:r>
      <w:r w:rsidRPr="00722A02">
        <w:rPr>
          <w:rFonts w:ascii="Arial" w:hAnsi="Arial" w:cs="Arial"/>
          <w:sz w:val="22"/>
          <w:szCs w:val="22"/>
        </w:rPr>
        <w:t xml:space="preserve"> health services. However, challenges remain, including inconsistent communication between agencies, variable confidence in capacity assessments, long waiting times for mental health support, and barriers to accessing services for individuals experiencing deprivation. Local initiatives in Birmingham demonstrate meaningful progress through the work of the Birmingham Safeguarding Adults Board, community wellbeing hubs, and targeted housing support, yet resource limitations, workforce pressures, and persistent housing insecurity continue to undermine safeguarding efforts. Strengthening multi</w:t>
      </w:r>
      <w:r w:rsidR="009E3344">
        <w:rPr>
          <w:rFonts w:ascii="Arial" w:hAnsi="Arial" w:cs="Arial"/>
          <w:sz w:val="22"/>
          <w:szCs w:val="22"/>
        </w:rPr>
        <w:t xml:space="preserve"> </w:t>
      </w:r>
      <w:r w:rsidRPr="00722A02">
        <w:rPr>
          <w:rFonts w:ascii="Arial" w:hAnsi="Arial" w:cs="Arial"/>
          <w:sz w:val="22"/>
          <w:szCs w:val="22"/>
        </w:rPr>
        <w:t>agency collaboration, investing in preventative services, improving digital information</w:t>
      </w:r>
      <w:r w:rsidR="009E3344">
        <w:rPr>
          <w:rFonts w:ascii="Arial" w:hAnsi="Arial" w:cs="Arial"/>
          <w:sz w:val="22"/>
          <w:szCs w:val="22"/>
        </w:rPr>
        <w:t xml:space="preserve"> </w:t>
      </w:r>
      <w:r w:rsidRPr="00722A02">
        <w:rPr>
          <w:rFonts w:ascii="Arial" w:hAnsi="Arial" w:cs="Arial"/>
          <w:sz w:val="22"/>
          <w:szCs w:val="22"/>
        </w:rPr>
        <w:t>sharing systems, and enhancing housing safety are essential steps for reducing harm and promoting wellbeing. By addressing both structural inequalities and individual health needs, social services can better protect vulnerable adults, reduce long</w:t>
      </w:r>
      <w:r w:rsidRPr="00722A02">
        <w:rPr>
          <w:rFonts w:ascii="Arial" w:hAnsi="Arial" w:cs="Arial"/>
          <w:sz w:val="22"/>
          <w:szCs w:val="22"/>
        </w:rPr>
        <w:noBreakHyphen/>
        <w:t>term risks, and support healthier, safer communities across Birmingham.</w:t>
      </w:r>
    </w:p>
    <w:p w14:paraId="6E4B14C4" w14:textId="77777777" w:rsidR="00722A02" w:rsidRPr="00DD2014" w:rsidRDefault="00722A02">
      <w:pPr>
        <w:rPr>
          <w:rFonts w:ascii="Arial" w:hAnsi="Arial" w:cs="Arial"/>
          <w:b/>
          <w:bCs/>
          <w:sz w:val="22"/>
          <w:szCs w:val="22"/>
        </w:rPr>
      </w:pPr>
    </w:p>
    <w:p w14:paraId="4D9363EE" w14:textId="77777777" w:rsidR="00DB6D60" w:rsidRPr="00DD2014" w:rsidRDefault="00DB6D60">
      <w:pPr>
        <w:rPr>
          <w:rFonts w:ascii="Arial" w:hAnsi="Arial" w:cs="Arial"/>
          <w:sz w:val="22"/>
          <w:szCs w:val="22"/>
        </w:rPr>
      </w:pPr>
    </w:p>
    <w:p w14:paraId="45E661B9" w14:textId="77777777" w:rsidR="00DB6D60" w:rsidRPr="00DD2014" w:rsidRDefault="00DB6D60">
      <w:pPr>
        <w:rPr>
          <w:rFonts w:ascii="Arial" w:hAnsi="Arial" w:cs="Arial"/>
          <w:sz w:val="22"/>
          <w:szCs w:val="22"/>
        </w:rPr>
      </w:pPr>
    </w:p>
    <w:p w14:paraId="52AD6A18" w14:textId="77777777" w:rsidR="00DB6D60" w:rsidRPr="00DD2014" w:rsidRDefault="00DB6D60">
      <w:pPr>
        <w:rPr>
          <w:rFonts w:ascii="Arial" w:hAnsi="Arial" w:cs="Arial"/>
          <w:sz w:val="22"/>
          <w:szCs w:val="22"/>
        </w:rPr>
      </w:pPr>
    </w:p>
    <w:p w14:paraId="6A29AFD5" w14:textId="77777777" w:rsidR="00DB6D60" w:rsidRPr="00DD2014" w:rsidRDefault="00DB6D60">
      <w:pPr>
        <w:rPr>
          <w:rFonts w:ascii="Arial" w:hAnsi="Arial" w:cs="Arial"/>
          <w:sz w:val="22"/>
          <w:szCs w:val="22"/>
        </w:rPr>
      </w:pPr>
    </w:p>
    <w:p w14:paraId="54B1A96A" w14:textId="77777777" w:rsidR="00DB6D60" w:rsidRPr="00DD2014" w:rsidRDefault="00DB6D60">
      <w:pPr>
        <w:rPr>
          <w:rFonts w:ascii="Arial" w:hAnsi="Arial" w:cs="Arial"/>
          <w:sz w:val="22"/>
          <w:szCs w:val="22"/>
        </w:rPr>
      </w:pPr>
    </w:p>
    <w:p w14:paraId="7C165E13" w14:textId="77777777" w:rsidR="00DB6D60" w:rsidRPr="00DD2014" w:rsidRDefault="00DB6D60">
      <w:pPr>
        <w:rPr>
          <w:rFonts w:ascii="Arial" w:hAnsi="Arial" w:cs="Arial"/>
          <w:sz w:val="22"/>
          <w:szCs w:val="22"/>
        </w:rPr>
      </w:pPr>
    </w:p>
    <w:p w14:paraId="0C5CCC6E" w14:textId="3F60956C" w:rsidR="009171B8" w:rsidRPr="00DD2014" w:rsidRDefault="009171B8">
      <w:pPr>
        <w:rPr>
          <w:rFonts w:ascii="Arial" w:hAnsi="Arial" w:cs="Arial"/>
          <w:sz w:val="22"/>
          <w:szCs w:val="22"/>
        </w:rPr>
      </w:pPr>
      <w:r w:rsidRPr="00DD2014">
        <w:rPr>
          <w:rFonts w:ascii="Arial" w:hAnsi="Arial" w:cs="Arial"/>
          <w:sz w:val="22"/>
          <w:szCs w:val="22"/>
        </w:rPr>
        <w:t>Reference List</w:t>
      </w:r>
    </w:p>
    <w:p w14:paraId="5F1B5B9F" w14:textId="77777777" w:rsidR="009171B8" w:rsidRPr="00DD2014" w:rsidRDefault="009171B8">
      <w:pPr>
        <w:rPr>
          <w:rFonts w:ascii="Arial" w:hAnsi="Arial" w:cs="Arial"/>
          <w:sz w:val="22"/>
          <w:szCs w:val="22"/>
        </w:rPr>
      </w:pPr>
    </w:p>
    <w:p w14:paraId="2CEDD032" w14:textId="7847EAA0"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Bronfenbrenner, U. (1979) The Ecology of Human Development. Cambridge, MA: Harvard University Press.</w:t>
      </w:r>
    </w:p>
    <w:p w14:paraId="7EACACD6" w14:textId="0FD1F73D"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Care Quality Commission (CQC) (n.d.) Care Quality Commission. Available at: [https://www.cqc.org.uk](</w:t>
      </w:r>
      <w:hyperlink r:id="rId5" w:history="1">
        <w:r w:rsidRPr="00DD2014">
          <w:rPr>
            <w:rStyle w:val="Hyperlink"/>
            <w:rFonts w:ascii="Arial" w:hAnsi="Arial" w:cs="Arial"/>
            <w:sz w:val="22"/>
            <w:szCs w:val="22"/>
          </w:rPr>
          <w:t>https://www.cqc.org.uk</w:t>
        </w:r>
      </w:hyperlink>
      <w:r w:rsidRPr="00DD2014">
        <w:rPr>
          <w:rFonts w:ascii="Arial" w:hAnsi="Arial" w:cs="Arial"/>
          <w:sz w:val="22"/>
          <w:szCs w:val="22"/>
        </w:rPr>
        <w:t>) (Accessed: 26 July 2026).</w:t>
      </w:r>
    </w:p>
    <w:p w14:paraId="6D7A878B" w14:textId="05069689"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lastRenderedPageBreak/>
        <w:t>Cooper, A., Hetherington, R. And Katz, I. (2018) *Good Practice in Multi Agency Safeguarding. London: Jessica Kingsley Publishers.</w:t>
      </w:r>
    </w:p>
    <w:p w14:paraId="1E2D9A32" w14:textId="7D479D0A"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Fish, S. (2010) Serious Case Reviews: Learning and Improvement. London: Department of Health.</w:t>
      </w:r>
    </w:p>
    <w:p w14:paraId="3543A51A" w14:textId="1AB1010B"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Flynn, M. (2020) ‘Abuse in Care Homes: Organisational and Systemic Factors’, Journal of Adult Protection, 22(4), pp. 215–229.</w:t>
      </w:r>
    </w:p>
    <w:p w14:paraId="49132219" w14:textId="7669A1C6"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Joseph Rowntree Foundation (2023) UK Poverty 2023. Available at: [https://www.jrf.org.uk](</w:t>
      </w:r>
      <w:hyperlink r:id="rId6" w:history="1">
        <w:r w:rsidRPr="00DD2014">
          <w:rPr>
            <w:rStyle w:val="Hyperlink"/>
            <w:rFonts w:ascii="Arial" w:hAnsi="Arial" w:cs="Arial"/>
            <w:sz w:val="22"/>
            <w:szCs w:val="22"/>
          </w:rPr>
          <w:t>https://www.jrf.org.uk</w:t>
        </w:r>
      </w:hyperlink>
      <w:r w:rsidRPr="00DD2014">
        <w:rPr>
          <w:rFonts w:ascii="Arial" w:hAnsi="Arial" w:cs="Arial"/>
          <w:sz w:val="22"/>
          <w:szCs w:val="22"/>
        </w:rPr>
        <w:t>) (Accessed: 26 July 2026).</w:t>
      </w:r>
    </w:p>
    <w:p w14:paraId="46120BF5" w14:textId="644B3F0F"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Marmot, M. (2020) Health Equity in England: The Marmot Review 10 Years On. London: Institute of Health Equity.</w:t>
      </w:r>
    </w:p>
    <w:p w14:paraId="61C9EF4C" w14:textId="1B2F8B0B"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NHS (n.d.) NHS website. Available at: [https://www.nhs.uk](</w:t>
      </w:r>
      <w:hyperlink r:id="rId7" w:history="1">
        <w:r w:rsidRPr="00DD2014">
          <w:rPr>
            <w:rStyle w:val="Hyperlink"/>
            <w:rFonts w:ascii="Arial" w:hAnsi="Arial" w:cs="Arial"/>
            <w:sz w:val="22"/>
            <w:szCs w:val="22"/>
          </w:rPr>
          <w:t>https://www.nhs.uk</w:t>
        </w:r>
      </w:hyperlink>
      <w:r w:rsidRPr="00DD2014">
        <w:rPr>
          <w:rFonts w:ascii="Arial" w:hAnsi="Arial" w:cs="Arial"/>
          <w:sz w:val="22"/>
          <w:szCs w:val="22"/>
        </w:rPr>
        <w:t>) (Accessed: 26 July 2026).</w:t>
      </w:r>
    </w:p>
    <w:p w14:paraId="3A7857C2" w14:textId="37CEE802"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NHS England (n.d.) NHS England. Available at: [https://www.england.nhs.uk](</w:t>
      </w:r>
      <w:hyperlink r:id="rId8" w:history="1">
        <w:r w:rsidRPr="00DD2014">
          <w:rPr>
            <w:rStyle w:val="Hyperlink"/>
            <w:rFonts w:ascii="Arial" w:hAnsi="Arial" w:cs="Arial"/>
            <w:sz w:val="22"/>
            <w:szCs w:val="22"/>
          </w:rPr>
          <w:t>https://www.england.nhs.uk</w:t>
        </w:r>
      </w:hyperlink>
      <w:r w:rsidRPr="00DD2014">
        <w:rPr>
          <w:rFonts w:ascii="Arial" w:hAnsi="Arial" w:cs="Arial"/>
          <w:sz w:val="22"/>
          <w:szCs w:val="22"/>
        </w:rPr>
        <w:t>) (Accessed: 26 July 2026).</w:t>
      </w:r>
    </w:p>
    <w:p w14:paraId="5D942EC4" w14:textId="5C1F302D"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 xml:space="preserve">UK Government (2005) Mental Capacity Act 2005. </w:t>
      </w:r>
    </w:p>
    <w:p w14:paraId="18D305D3" w14:textId="3DD98063" w:rsidR="009171B8" w:rsidRPr="00DD2014" w:rsidRDefault="009171B8" w:rsidP="00A234FE">
      <w:pPr>
        <w:pStyle w:val="ListParagraph"/>
        <w:numPr>
          <w:ilvl w:val="0"/>
          <w:numId w:val="2"/>
        </w:numPr>
        <w:rPr>
          <w:rFonts w:ascii="Arial" w:hAnsi="Arial" w:cs="Arial"/>
          <w:sz w:val="22"/>
          <w:szCs w:val="22"/>
        </w:rPr>
      </w:pPr>
      <w:r w:rsidRPr="00DD2014">
        <w:rPr>
          <w:rFonts w:ascii="Arial" w:hAnsi="Arial" w:cs="Arial"/>
          <w:sz w:val="22"/>
          <w:szCs w:val="22"/>
        </w:rPr>
        <w:t xml:space="preserve">UK Government (2014) Care Act 2014. </w:t>
      </w:r>
    </w:p>
    <w:p w14:paraId="05E3F731" w14:textId="45089F98" w:rsidR="009171B8" w:rsidRPr="00DD2014" w:rsidRDefault="009171B8">
      <w:pPr>
        <w:rPr>
          <w:rFonts w:ascii="Arial" w:hAnsi="Arial" w:cs="Arial"/>
          <w:sz w:val="22"/>
          <w:szCs w:val="22"/>
        </w:rPr>
      </w:pPr>
    </w:p>
    <w:sectPr w:rsidR="009171B8" w:rsidRPr="00DD201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318B8"/>
    <w:multiLevelType w:val="hybridMultilevel"/>
    <w:tmpl w:val="EAF2F0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191275"/>
    <w:multiLevelType w:val="hybridMultilevel"/>
    <w:tmpl w:val="7668D1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6587465">
    <w:abstractNumId w:val="0"/>
  </w:num>
  <w:num w:numId="2" w16cid:durableId="1410930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1B8"/>
    <w:rsid w:val="00121C10"/>
    <w:rsid w:val="001262A3"/>
    <w:rsid w:val="0019439C"/>
    <w:rsid w:val="001F68D2"/>
    <w:rsid w:val="0025614A"/>
    <w:rsid w:val="002655A7"/>
    <w:rsid w:val="002D2A5A"/>
    <w:rsid w:val="003612B2"/>
    <w:rsid w:val="00376773"/>
    <w:rsid w:val="003C7DCF"/>
    <w:rsid w:val="00500A33"/>
    <w:rsid w:val="00522E13"/>
    <w:rsid w:val="0052353F"/>
    <w:rsid w:val="005543EE"/>
    <w:rsid w:val="0056242E"/>
    <w:rsid w:val="00583B07"/>
    <w:rsid w:val="00722A02"/>
    <w:rsid w:val="00727435"/>
    <w:rsid w:val="00733B55"/>
    <w:rsid w:val="00760ED5"/>
    <w:rsid w:val="007B6F81"/>
    <w:rsid w:val="0089765F"/>
    <w:rsid w:val="008D7F48"/>
    <w:rsid w:val="009171B8"/>
    <w:rsid w:val="009E2B3E"/>
    <w:rsid w:val="009E3344"/>
    <w:rsid w:val="009F6BF3"/>
    <w:rsid w:val="00A234FE"/>
    <w:rsid w:val="00A66425"/>
    <w:rsid w:val="00A704A4"/>
    <w:rsid w:val="00B1217B"/>
    <w:rsid w:val="00BA0F25"/>
    <w:rsid w:val="00C41CEB"/>
    <w:rsid w:val="00C439FB"/>
    <w:rsid w:val="00C85C91"/>
    <w:rsid w:val="00D96D04"/>
    <w:rsid w:val="00DA53F4"/>
    <w:rsid w:val="00DB6D60"/>
    <w:rsid w:val="00DD2014"/>
    <w:rsid w:val="00E318F1"/>
    <w:rsid w:val="00EA05C4"/>
    <w:rsid w:val="00F11D43"/>
    <w:rsid w:val="00F57919"/>
    <w:rsid w:val="00FB2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85142"/>
  <w15:chartTrackingRefBased/>
  <w15:docId w15:val="{772313D3-1AA9-694C-A6B9-2AFFFCDCC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1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1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1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1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1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1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1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1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1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1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1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1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1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1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1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1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1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1B8"/>
    <w:rPr>
      <w:rFonts w:eastAsiaTheme="majorEastAsia" w:cstheme="majorBidi"/>
      <w:color w:val="272727" w:themeColor="text1" w:themeTint="D8"/>
    </w:rPr>
  </w:style>
  <w:style w:type="paragraph" w:styleId="Title">
    <w:name w:val="Title"/>
    <w:basedOn w:val="Normal"/>
    <w:next w:val="Normal"/>
    <w:link w:val="TitleChar"/>
    <w:uiPriority w:val="10"/>
    <w:qFormat/>
    <w:rsid w:val="009171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1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1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1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1B8"/>
    <w:pPr>
      <w:spacing w:before="160"/>
      <w:jc w:val="center"/>
    </w:pPr>
    <w:rPr>
      <w:i/>
      <w:iCs/>
      <w:color w:val="404040" w:themeColor="text1" w:themeTint="BF"/>
    </w:rPr>
  </w:style>
  <w:style w:type="character" w:customStyle="1" w:styleId="QuoteChar">
    <w:name w:val="Quote Char"/>
    <w:basedOn w:val="DefaultParagraphFont"/>
    <w:link w:val="Quote"/>
    <w:uiPriority w:val="29"/>
    <w:rsid w:val="009171B8"/>
    <w:rPr>
      <w:i/>
      <w:iCs/>
      <w:color w:val="404040" w:themeColor="text1" w:themeTint="BF"/>
    </w:rPr>
  </w:style>
  <w:style w:type="paragraph" w:styleId="ListParagraph">
    <w:name w:val="List Paragraph"/>
    <w:basedOn w:val="Normal"/>
    <w:uiPriority w:val="34"/>
    <w:qFormat/>
    <w:rsid w:val="009171B8"/>
    <w:pPr>
      <w:ind w:left="720"/>
      <w:contextualSpacing/>
    </w:pPr>
  </w:style>
  <w:style w:type="character" w:styleId="IntenseEmphasis">
    <w:name w:val="Intense Emphasis"/>
    <w:basedOn w:val="DefaultParagraphFont"/>
    <w:uiPriority w:val="21"/>
    <w:qFormat/>
    <w:rsid w:val="009171B8"/>
    <w:rPr>
      <w:i/>
      <w:iCs/>
      <w:color w:val="0F4761" w:themeColor="accent1" w:themeShade="BF"/>
    </w:rPr>
  </w:style>
  <w:style w:type="paragraph" w:styleId="IntenseQuote">
    <w:name w:val="Intense Quote"/>
    <w:basedOn w:val="Normal"/>
    <w:next w:val="Normal"/>
    <w:link w:val="IntenseQuoteChar"/>
    <w:uiPriority w:val="30"/>
    <w:qFormat/>
    <w:rsid w:val="009171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1B8"/>
    <w:rPr>
      <w:i/>
      <w:iCs/>
      <w:color w:val="0F4761" w:themeColor="accent1" w:themeShade="BF"/>
    </w:rPr>
  </w:style>
  <w:style w:type="character" w:styleId="IntenseReference">
    <w:name w:val="Intense Reference"/>
    <w:basedOn w:val="DefaultParagraphFont"/>
    <w:uiPriority w:val="32"/>
    <w:qFormat/>
    <w:rsid w:val="009171B8"/>
    <w:rPr>
      <w:b/>
      <w:bCs/>
      <w:smallCaps/>
      <w:color w:val="0F4761" w:themeColor="accent1" w:themeShade="BF"/>
      <w:spacing w:val="5"/>
    </w:rPr>
  </w:style>
  <w:style w:type="character" w:styleId="Hyperlink">
    <w:name w:val="Hyperlink"/>
    <w:basedOn w:val="DefaultParagraphFont"/>
    <w:uiPriority w:val="99"/>
    <w:unhideWhenUsed/>
    <w:rsid w:val="009171B8"/>
    <w:rPr>
      <w:color w:val="467886" w:themeColor="hyperlink"/>
      <w:u w:val="single"/>
    </w:rPr>
  </w:style>
  <w:style w:type="character" w:styleId="UnresolvedMention">
    <w:name w:val="Unresolved Mention"/>
    <w:basedOn w:val="DefaultParagraphFont"/>
    <w:uiPriority w:val="99"/>
    <w:semiHidden/>
    <w:unhideWhenUsed/>
    <w:rsid w:val="009171B8"/>
    <w:rPr>
      <w:color w:val="605E5C"/>
      <w:shd w:val="clear" w:color="auto" w:fill="E1DFDD"/>
    </w:rPr>
  </w:style>
  <w:style w:type="paragraph" w:styleId="NormalWeb">
    <w:name w:val="Normal (Web)"/>
    <w:basedOn w:val="Normal"/>
    <w:uiPriority w:val="99"/>
    <w:semiHidden/>
    <w:unhideWhenUsed/>
    <w:rsid w:val="0056242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rf.org.uk" TargetMode="External"/><Relationship Id="rId5" Type="http://schemas.openxmlformats.org/officeDocument/2006/relationships/hyperlink" Target="https://www.cqc.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2363</Words>
  <Characters>13471</Characters>
  <Application>Microsoft Office Word</Application>
  <DocSecurity>0</DocSecurity>
  <Lines>112</Lines>
  <Paragraphs>31</Paragraphs>
  <ScaleCrop>false</ScaleCrop>
  <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ruksar israr</dc:creator>
  <cp:keywords/>
  <dc:description/>
  <cp:lastModifiedBy>ruksar israr</cp:lastModifiedBy>
  <cp:revision>5</cp:revision>
  <dcterms:created xsi:type="dcterms:W3CDTF">2026-07-27T00:44:00Z</dcterms:created>
  <dcterms:modified xsi:type="dcterms:W3CDTF">2026-07-27T00:47:00Z</dcterms:modified>
</cp:coreProperties>
</file>