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A14A9" w14:textId="18DDD5C0" w:rsidR="002D5506" w:rsidRDefault="002D5506" w:rsidP="002D5506">
      <w:pPr>
        <w:jc w:val="center"/>
        <w:rPr>
          <w:u w:val="single"/>
        </w:rPr>
      </w:pPr>
      <w:r w:rsidRPr="002D5506">
        <w:rPr>
          <w:u w:val="single"/>
        </w:rPr>
        <w:t xml:space="preserve">The </w:t>
      </w:r>
      <w:r>
        <w:rPr>
          <w:u w:val="single"/>
        </w:rPr>
        <w:t>a</w:t>
      </w:r>
      <w:r w:rsidRPr="002D5506">
        <w:rPr>
          <w:u w:val="single"/>
        </w:rPr>
        <w:t xml:space="preserve">rchitecture and </w:t>
      </w:r>
      <w:r>
        <w:rPr>
          <w:u w:val="single"/>
        </w:rPr>
        <w:t>f</w:t>
      </w:r>
      <w:r w:rsidRPr="002D5506">
        <w:rPr>
          <w:u w:val="single"/>
        </w:rPr>
        <w:t xml:space="preserve">inds of the </w:t>
      </w:r>
      <w:r>
        <w:rPr>
          <w:u w:val="single"/>
        </w:rPr>
        <w:t>t</w:t>
      </w:r>
      <w:r w:rsidRPr="002D5506">
        <w:rPr>
          <w:u w:val="single"/>
        </w:rPr>
        <w:t xml:space="preserve">omb of </w:t>
      </w:r>
      <w:proofErr w:type="spellStart"/>
      <w:r w:rsidRPr="002D5506">
        <w:rPr>
          <w:u w:val="single"/>
        </w:rPr>
        <w:t>Senneferi</w:t>
      </w:r>
      <w:proofErr w:type="spellEnd"/>
      <w:r w:rsidRPr="002D5506">
        <w:rPr>
          <w:u w:val="single"/>
        </w:rPr>
        <w:t xml:space="preserve"> (TT99) and </w:t>
      </w:r>
      <w:r>
        <w:rPr>
          <w:u w:val="single"/>
        </w:rPr>
        <w:t>t</w:t>
      </w:r>
      <w:r w:rsidRPr="002D5506">
        <w:rPr>
          <w:u w:val="single"/>
        </w:rPr>
        <w:t xml:space="preserve">heir </w:t>
      </w:r>
      <w:r>
        <w:rPr>
          <w:u w:val="single"/>
        </w:rPr>
        <w:t>s</w:t>
      </w:r>
      <w:r w:rsidRPr="002D5506">
        <w:rPr>
          <w:u w:val="single"/>
        </w:rPr>
        <w:t xml:space="preserve">ignificance for </w:t>
      </w:r>
      <w:r>
        <w:rPr>
          <w:u w:val="single"/>
        </w:rPr>
        <w:t>u</w:t>
      </w:r>
      <w:r w:rsidRPr="002D5506">
        <w:rPr>
          <w:u w:val="single"/>
        </w:rPr>
        <w:t xml:space="preserve">nderstanding </w:t>
      </w:r>
      <w:r>
        <w:rPr>
          <w:u w:val="single"/>
        </w:rPr>
        <w:t>e</w:t>
      </w:r>
      <w:r w:rsidRPr="002D5506">
        <w:rPr>
          <w:u w:val="single"/>
        </w:rPr>
        <w:t xml:space="preserve">lite </w:t>
      </w:r>
      <w:r>
        <w:rPr>
          <w:u w:val="single"/>
        </w:rPr>
        <w:t>s</w:t>
      </w:r>
      <w:r w:rsidRPr="002D5506">
        <w:rPr>
          <w:u w:val="single"/>
        </w:rPr>
        <w:t xml:space="preserve">tatus in the </w:t>
      </w:r>
      <w:r w:rsidR="00B80C93">
        <w:rPr>
          <w:u w:val="single"/>
        </w:rPr>
        <w:t>E</w:t>
      </w:r>
      <w:r w:rsidRPr="002D5506">
        <w:rPr>
          <w:u w:val="single"/>
        </w:rPr>
        <w:t xml:space="preserve">ighteenth </w:t>
      </w:r>
      <w:r w:rsidR="00B80C93">
        <w:rPr>
          <w:u w:val="single"/>
        </w:rPr>
        <w:t>D</w:t>
      </w:r>
      <w:r w:rsidRPr="002D5506">
        <w:rPr>
          <w:u w:val="single"/>
        </w:rPr>
        <w:t>ynasty</w:t>
      </w:r>
    </w:p>
    <w:p w14:paraId="4EF4E846" w14:textId="77777777" w:rsidR="002D5506" w:rsidRPr="002D5506" w:rsidRDefault="002D5506" w:rsidP="002D5506">
      <w:pPr>
        <w:jc w:val="center"/>
        <w:rPr>
          <w:u w:val="single"/>
        </w:rPr>
      </w:pPr>
    </w:p>
    <w:p w14:paraId="7C7D98EE" w14:textId="4B6ACB17" w:rsidR="002D5506" w:rsidRDefault="002D5506" w:rsidP="002D5506">
      <w:r>
        <w:t>The Theban Tomb TT99</w:t>
      </w:r>
      <w:r>
        <w:t xml:space="preserve"> belonged </w:t>
      </w:r>
      <w:r>
        <w:t xml:space="preserve">to </w:t>
      </w:r>
      <w:proofErr w:type="spellStart"/>
      <w:r>
        <w:t>Senneferi</w:t>
      </w:r>
      <w:proofErr w:type="spellEnd"/>
      <w:r>
        <w:t>,</w:t>
      </w:r>
      <w:r>
        <w:t xml:space="preserve"> it</w:t>
      </w:r>
      <w:r>
        <w:t xml:space="preserve"> is situated in the Sheikh Abd </w:t>
      </w:r>
      <w:proofErr w:type="spellStart"/>
      <w:r>
        <w:t>el</w:t>
      </w:r>
      <w:proofErr w:type="spellEnd"/>
      <w:r>
        <w:t xml:space="preserve">-Qurna area of the Theban necropolis on the west bank of the Nile, opposite modern Luxor. This tomb dates to the reign of Thutmose III in the fifteenth century BCE and served as the burial place of </w:t>
      </w:r>
      <w:proofErr w:type="spellStart"/>
      <w:r>
        <w:t>Senneferi</w:t>
      </w:r>
      <w:proofErr w:type="spellEnd"/>
      <w:r>
        <w:t xml:space="preserve">, who held the title of “Overseer of the Seal,” </w:t>
      </w:r>
      <w:r>
        <w:t xml:space="preserve">which was </w:t>
      </w:r>
      <w:r>
        <w:t xml:space="preserve">often understood as a treasurer or chancellor (Strudwick, 2016). This role placed him among </w:t>
      </w:r>
      <w:proofErr w:type="gramStart"/>
      <w:r>
        <w:t xml:space="preserve">high </w:t>
      </w:r>
      <w:r>
        <w:t>ranking</w:t>
      </w:r>
      <w:proofErr w:type="gramEnd"/>
      <w:r>
        <w:t xml:space="preserve"> officials in the Egyptian administration, </w:t>
      </w:r>
      <w:r w:rsidR="00B80C93">
        <w:t>which would have granted</w:t>
      </w:r>
      <w:r>
        <w:t xml:space="preserve"> him direct access to royal authority and economic control.</w:t>
      </w:r>
    </w:p>
    <w:p w14:paraId="7960D579" w14:textId="64798106" w:rsidR="002D5506" w:rsidRDefault="002D5506" w:rsidP="002D5506">
      <w:r>
        <w:t xml:space="preserve">Excavations </w:t>
      </w:r>
      <w:r w:rsidR="00B80C93">
        <w:t xml:space="preserve">have been </w:t>
      </w:r>
      <w:r>
        <w:t xml:space="preserve">led </w:t>
      </w:r>
      <w:r w:rsidR="00B80C93" w:rsidRPr="00B80C93">
        <w:t xml:space="preserve">since 1992 </w:t>
      </w:r>
      <w:r>
        <w:t xml:space="preserve">by Nigel Strudwick and the University of Cambridge </w:t>
      </w:r>
      <w:r w:rsidR="00B80C93">
        <w:t xml:space="preserve">which </w:t>
      </w:r>
      <w:r>
        <w:t xml:space="preserve">have </w:t>
      </w:r>
      <w:r w:rsidR="00B80C93">
        <w:t>given us</w:t>
      </w:r>
      <w:r>
        <w:t xml:space="preserve"> detailed insights into the tomb’s architecture, decoration, and material</w:t>
      </w:r>
      <w:r w:rsidR="00B80C93">
        <w:t>s</w:t>
      </w:r>
      <w:r>
        <w:t xml:space="preserve">. These findings </w:t>
      </w:r>
      <w:r w:rsidR="00B80C93">
        <w:t>show</w:t>
      </w:r>
      <w:r>
        <w:t xml:space="preserve"> that TT99 </w:t>
      </w:r>
      <w:r w:rsidR="00B80C93">
        <w:t>is similar</w:t>
      </w:r>
      <w:r>
        <w:t xml:space="preserve"> to the general structure of elite Eighteenth Dynasty tombs while also expressing the status of its owner. </w:t>
      </w:r>
      <w:r w:rsidR="00B80C93">
        <w:t>T</w:t>
      </w:r>
      <w:r>
        <w:t xml:space="preserve">he combination of architectural design and material culture </w:t>
      </w:r>
      <w:r w:rsidR="00B80C93">
        <w:t>represents</w:t>
      </w:r>
      <w:r>
        <w:t xml:space="preserve"> not </w:t>
      </w:r>
      <w:r w:rsidR="00B80C93">
        <w:t>just</w:t>
      </w:r>
      <w:r>
        <w:t xml:space="preserve"> wealth but also the symbolic and religious frameworks through which </w:t>
      </w:r>
      <w:r w:rsidR="00B80C93">
        <w:t xml:space="preserve">Egyptian </w:t>
      </w:r>
      <w:r>
        <w:t xml:space="preserve">elite identity was constructed and maintained. </w:t>
      </w:r>
      <w:r w:rsidR="00B80C93">
        <w:t xml:space="preserve">Because of this, </w:t>
      </w:r>
      <w:r>
        <w:t xml:space="preserve">the tomb can be </w:t>
      </w:r>
      <w:r w:rsidR="00B80C93">
        <w:t>seen</w:t>
      </w:r>
      <w:r>
        <w:t xml:space="preserve"> as an intentional statement about status, belief, and memory, </w:t>
      </w:r>
      <w:r w:rsidR="00B80C93">
        <w:t>not just</w:t>
      </w:r>
      <w:r>
        <w:t xml:space="preserve"> a place of burial.</w:t>
      </w:r>
    </w:p>
    <w:p w14:paraId="12EA7C45" w14:textId="77777777" w:rsidR="002D5506" w:rsidRDefault="002D5506" w:rsidP="002D5506"/>
    <w:p w14:paraId="5A169EFE" w14:textId="1D480293" w:rsidR="002D5506" w:rsidRDefault="002D5506" w:rsidP="002D5506">
      <w:proofErr w:type="spellStart"/>
      <w:r>
        <w:t>Senneferi</w:t>
      </w:r>
      <w:proofErr w:type="spellEnd"/>
      <w:r>
        <w:t xml:space="preserve"> and </w:t>
      </w:r>
      <w:r w:rsidR="009F60A9">
        <w:t>h</w:t>
      </w:r>
      <w:r>
        <w:t xml:space="preserve">is </w:t>
      </w:r>
      <w:r w:rsidR="009F60A9">
        <w:t>h</w:t>
      </w:r>
      <w:r>
        <w:t xml:space="preserve">istorical </w:t>
      </w:r>
      <w:r w:rsidR="009F60A9">
        <w:t>c</w:t>
      </w:r>
      <w:r>
        <w:t>ontext</w:t>
      </w:r>
    </w:p>
    <w:p w14:paraId="5FADCC6D" w14:textId="4DDF16CF" w:rsidR="002D5506" w:rsidRDefault="002D5506" w:rsidP="002D5506">
      <w:proofErr w:type="spellStart"/>
      <w:r>
        <w:t>Senneferi</w:t>
      </w:r>
      <w:proofErr w:type="spellEnd"/>
      <w:r>
        <w:t xml:space="preserve"> lived during a period of imperial expansion and administrative consolidation in the Eighteenth Dynasty. As Overseer of the Seal, he was responsible for overseeing royal finances and documentation, </w:t>
      </w:r>
      <w:r w:rsidR="00B80C93">
        <w:t>which made</w:t>
      </w:r>
      <w:r>
        <w:t xml:space="preserve"> his position </w:t>
      </w:r>
      <w:r w:rsidR="00B80C93">
        <w:t>very important</w:t>
      </w:r>
      <w:r>
        <w:t xml:space="preserve"> to the functioning of</w:t>
      </w:r>
      <w:r w:rsidR="00B80C93">
        <w:t xml:space="preserve"> </w:t>
      </w:r>
      <w:r w:rsidR="0025097B">
        <w:t>Thebes</w:t>
      </w:r>
      <w:r w:rsidR="00B80C93">
        <w:t xml:space="preserve"> </w:t>
      </w:r>
      <w:r>
        <w:t xml:space="preserve">(Strudwick, 2016). Officials of this rank were </w:t>
      </w:r>
      <w:r w:rsidR="00B80C93">
        <w:t>often</w:t>
      </w:r>
      <w:r>
        <w:t xml:space="preserve"> rewarded with elaborate tombs in the Theban necropolis, which </w:t>
      </w:r>
      <w:r w:rsidR="00B80C93">
        <w:t xml:space="preserve">were also seen </w:t>
      </w:r>
      <w:r>
        <w:t>as enduring statements of status and loyalty to the crown.</w:t>
      </w:r>
    </w:p>
    <w:p w14:paraId="298849F1" w14:textId="7A335417" w:rsidR="002D5506" w:rsidRDefault="002D5506" w:rsidP="002D5506">
      <w:r>
        <w:t xml:space="preserve">TT99 should be understood as both a funerary monument and a political statement. Its scale, layout, and contents reflect </w:t>
      </w:r>
      <w:proofErr w:type="spellStart"/>
      <w:r>
        <w:t>Senneferi’s</w:t>
      </w:r>
      <w:proofErr w:type="spellEnd"/>
      <w:r>
        <w:t xml:space="preserve"> proximity to royal power and his participation in the elite culture of the New Kingdom. More broadly, </w:t>
      </w:r>
      <w:r w:rsidR="0025097B">
        <w:t>these kinds of</w:t>
      </w:r>
      <w:r>
        <w:t xml:space="preserve"> tombs contributed to the visual landscape of Thebes, reinforcing hierarchies even in death by physically embedding </w:t>
      </w:r>
      <w:r w:rsidR="0025097B">
        <w:t xml:space="preserve">their </w:t>
      </w:r>
      <w:r>
        <w:t>status within the necropolis.</w:t>
      </w:r>
    </w:p>
    <w:p w14:paraId="6C895BF2" w14:textId="77777777" w:rsidR="002D5506" w:rsidRDefault="002D5506" w:rsidP="002D5506"/>
    <w:p w14:paraId="070F6D20" w14:textId="25A9C690" w:rsidR="002D5506" w:rsidRDefault="002D5506" w:rsidP="002D5506">
      <w:r>
        <w:t xml:space="preserve">Architecture of the </w:t>
      </w:r>
      <w:r w:rsidR="009F60A9">
        <w:t>t</w:t>
      </w:r>
      <w:r>
        <w:t>omb</w:t>
      </w:r>
    </w:p>
    <w:p w14:paraId="645C1B53" w14:textId="15F2BAFC" w:rsidR="002D5506" w:rsidRDefault="002D5506" w:rsidP="002D5506">
      <w:r>
        <w:t xml:space="preserve">The architectural layout of TT99 follows the </w:t>
      </w:r>
      <w:r w:rsidR="0025097B">
        <w:t>usual</w:t>
      </w:r>
      <w:r>
        <w:t xml:space="preserve"> arrangement of </w:t>
      </w:r>
      <w:r w:rsidR="0025097B">
        <w:t xml:space="preserve">the </w:t>
      </w:r>
      <w:r>
        <w:t xml:space="preserve">elite private tombs of the period, </w:t>
      </w:r>
      <w:r w:rsidR="0025097B">
        <w:t>it has</w:t>
      </w:r>
      <w:r>
        <w:t xml:space="preserve"> an open forecourt, a rock</w:t>
      </w:r>
      <w:r w:rsidR="0025097B">
        <w:t xml:space="preserve"> </w:t>
      </w:r>
      <w:r>
        <w:t xml:space="preserve">cut chapel, and subterranean burial chambers. </w:t>
      </w:r>
      <w:r>
        <w:lastRenderedPageBreak/>
        <w:t xml:space="preserve">However, the scale and organisation of these elements suggest a significant investment of resources, </w:t>
      </w:r>
      <w:r w:rsidR="0025097B">
        <w:t>which reinforces</w:t>
      </w:r>
      <w:r>
        <w:t xml:space="preserve"> </w:t>
      </w:r>
      <w:proofErr w:type="spellStart"/>
      <w:r>
        <w:t>Senneferi’s</w:t>
      </w:r>
      <w:proofErr w:type="spellEnd"/>
      <w:r>
        <w:t xml:space="preserve"> high status.</w:t>
      </w:r>
    </w:p>
    <w:p w14:paraId="2619A117" w14:textId="777E62EC" w:rsidR="002D5506" w:rsidRDefault="002D5506" w:rsidP="002D5506">
      <w:r>
        <w:t>The forecourt</w:t>
      </w:r>
      <w:r w:rsidR="0025097B">
        <w:t xml:space="preserve"> is</w:t>
      </w:r>
      <w:r>
        <w:t xml:space="preserve"> approximately ten metres wide</w:t>
      </w:r>
      <w:r w:rsidR="0025097B">
        <w:t xml:space="preserve"> and </w:t>
      </w:r>
      <w:r>
        <w:t xml:space="preserve">functioned as both a ceremonial and transitional space. It </w:t>
      </w:r>
      <w:r w:rsidR="0025097B">
        <w:t>would provide</w:t>
      </w:r>
      <w:r>
        <w:t xml:space="preserve"> an area for funerary gatherings and </w:t>
      </w:r>
      <w:r w:rsidR="0025097B">
        <w:t>mark</w:t>
      </w:r>
      <w:r>
        <w:t xml:space="preserve"> the boundary between the everyday world and the sacred domain of the tomb (Fitzwilliam Museum, n.d.). </w:t>
      </w:r>
      <w:r w:rsidR="0025097B">
        <w:t>There are</w:t>
      </w:r>
      <w:r>
        <w:t xml:space="preserve"> multiple shafts within the courtyard</w:t>
      </w:r>
      <w:r w:rsidR="0025097B">
        <w:t xml:space="preserve"> which</w:t>
      </w:r>
      <w:r>
        <w:t xml:space="preserve"> indicates reuse over time, suggesting that the tomb also served as a family burial site. This continued use highlights the role of tombs as </w:t>
      </w:r>
      <w:proofErr w:type="spellStart"/>
      <w:r>
        <w:t>longterm</w:t>
      </w:r>
      <w:proofErr w:type="spellEnd"/>
      <w:r>
        <w:t xml:space="preserve"> social and ritual spaces rather than single</w:t>
      </w:r>
      <w:r w:rsidR="0025097B">
        <w:t xml:space="preserve"> </w:t>
      </w:r>
      <w:r>
        <w:t>use monuments. It also reflects the importance of lineage, as maintaining burial within a shared space reinforced family identity and continuity.</w:t>
      </w:r>
    </w:p>
    <w:p w14:paraId="4F641EEC" w14:textId="72394F65" w:rsidR="002D5506" w:rsidRDefault="0025097B" w:rsidP="002D5506">
      <w:r>
        <w:t>Past</w:t>
      </w:r>
      <w:r w:rsidR="002D5506">
        <w:t xml:space="preserve"> the forecourt </w:t>
      </w:r>
      <w:r>
        <w:t>is</w:t>
      </w:r>
      <w:r w:rsidR="002D5506">
        <w:t xml:space="preserve"> the rock</w:t>
      </w:r>
      <w:r>
        <w:t xml:space="preserve"> </w:t>
      </w:r>
      <w:r w:rsidR="002D5506">
        <w:t xml:space="preserve">cut chapel, designed in </w:t>
      </w:r>
      <w:r>
        <w:t>a</w:t>
      </w:r>
      <w:r w:rsidR="002D5506">
        <w:t xml:space="preserve"> typical inverted T-shape. The</w:t>
      </w:r>
      <w:r w:rsidR="009F60A9">
        <w:t xml:space="preserve"> </w:t>
      </w:r>
      <w:r w:rsidR="002D5506">
        <w:t xml:space="preserve">hall formed the main reception area, where scenes depicting </w:t>
      </w:r>
      <w:proofErr w:type="spellStart"/>
      <w:r w:rsidR="002D5506">
        <w:t>Senneferi’s</w:t>
      </w:r>
      <w:proofErr w:type="spellEnd"/>
      <w:r w:rsidR="002D5506">
        <w:t xml:space="preserve"> life and ritual activities were originally displayed. These images were not </w:t>
      </w:r>
      <w:r w:rsidR="009F60A9">
        <w:t>only</w:t>
      </w:r>
      <w:r w:rsidR="002D5506">
        <w:t xml:space="preserve"> decorative</w:t>
      </w:r>
      <w:r w:rsidR="009F60A9">
        <w:t>,</w:t>
      </w:r>
      <w:r w:rsidR="002D5506">
        <w:t xml:space="preserve"> they </w:t>
      </w:r>
      <w:r w:rsidR="009F60A9">
        <w:t xml:space="preserve">also </w:t>
      </w:r>
      <w:r w:rsidR="002D5506">
        <w:t xml:space="preserve">functioned as active </w:t>
      </w:r>
      <w:r w:rsidR="009F60A9">
        <w:t>parts</w:t>
      </w:r>
      <w:r w:rsidR="002D5506">
        <w:t xml:space="preserve"> of the funerary cult, ensuring the deceased’s continued access to offerings and reinforcing his social identity (Assmann, 2005). Such imagery also acted as a form of</w:t>
      </w:r>
      <w:r w:rsidR="009F60A9">
        <w:t xml:space="preserve"> </w:t>
      </w:r>
      <w:r w:rsidR="002D5506">
        <w:t xml:space="preserve">biography, </w:t>
      </w:r>
      <w:r w:rsidR="009F60A9">
        <w:t xml:space="preserve">though likely idealised, </w:t>
      </w:r>
      <w:r w:rsidR="002D5506">
        <w:t>presenting S</w:t>
      </w:r>
      <w:proofErr w:type="spellStart"/>
      <w:r w:rsidR="002D5506">
        <w:t>enneferi</w:t>
      </w:r>
      <w:proofErr w:type="spellEnd"/>
      <w:r w:rsidR="002D5506">
        <w:t xml:space="preserve"> not as he necessarily was, but as he wished to be remembered for eternity.</w:t>
      </w:r>
    </w:p>
    <w:p w14:paraId="47AEC9C3" w14:textId="131BC7FC" w:rsidR="002D5506" w:rsidRDefault="002D5506" w:rsidP="002D5506">
      <w:r>
        <w:t>A corridor leads into the inner hall</w:t>
      </w:r>
      <w:r w:rsidR="009F60A9">
        <w:t xml:space="preserve"> </w:t>
      </w:r>
      <w:r>
        <w:t xml:space="preserve">which contains pillars and a niche likely intended to house a statue of Senneferi. This statue would have served as a focal point for offerings, acting as a physical substitute through which the deceased’s </w:t>
      </w:r>
      <w:r w:rsidR="009F60A9">
        <w:t xml:space="preserve">ka </w:t>
      </w:r>
      <w:r>
        <w:t>could receive sustenance. The progression from forecourt to inner shrine reflects an increasing degree of ritual restriction, mirroring the journey from the world of the living to the sacred realm of the dead. This spatial hierarchy reinforces the idea that access to the divine</w:t>
      </w:r>
      <w:r w:rsidR="009F60A9">
        <w:t xml:space="preserve"> </w:t>
      </w:r>
      <w:r>
        <w:t>and even to the memory of the deceased</w:t>
      </w:r>
      <w:r w:rsidR="009F60A9">
        <w:t xml:space="preserve"> </w:t>
      </w:r>
      <w:r>
        <w:t>was structured and controlled.</w:t>
      </w:r>
    </w:p>
    <w:p w14:paraId="177F0FBD" w14:textId="5EAF76B2" w:rsidR="002D5506" w:rsidRDefault="002D5506" w:rsidP="002D5506">
      <w:r>
        <w:t>The subterranean burial chambers</w:t>
      </w:r>
      <w:r w:rsidR="009F60A9">
        <w:t xml:space="preserve"> were</w:t>
      </w:r>
      <w:r>
        <w:t xml:space="preserve"> accessed via </w:t>
      </w:r>
      <w:proofErr w:type="gramStart"/>
      <w:r>
        <w:t>shafts,</w:t>
      </w:r>
      <w:proofErr w:type="gramEnd"/>
      <w:r w:rsidR="009F60A9">
        <w:t xml:space="preserve"> they</w:t>
      </w:r>
      <w:r>
        <w:t xml:space="preserve"> were deliberately separated from the chapel above. This separation reflects both practical concerns, such as protection from tomb robbers, and symbolic </w:t>
      </w:r>
      <w:r w:rsidR="009F60A9">
        <w:t>concerns</w:t>
      </w:r>
      <w:r>
        <w:t xml:space="preserve">, reinforcing the division between life and death. At the same time, it </w:t>
      </w:r>
      <w:r w:rsidR="009F60A9">
        <w:t xml:space="preserve">also </w:t>
      </w:r>
      <w:r>
        <w:t xml:space="preserve">allowed the tomb to function simultaneously as a burial space and a site of ongoing ritual activity. This duality is </w:t>
      </w:r>
      <w:r w:rsidR="009F60A9">
        <w:t>important</w:t>
      </w:r>
      <w:r>
        <w:t xml:space="preserve"> to understanding Egyptian funerary belief, where death was not </w:t>
      </w:r>
      <w:r w:rsidR="009F60A9">
        <w:t xml:space="preserve">the end all, </w:t>
      </w:r>
      <w:r>
        <w:t xml:space="preserve">but a transition </w:t>
      </w:r>
      <w:r w:rsidR="009F60A9">
        <w:t xml:space="preserve">that </w:t>
      </w:r>
      <w:r>
        <w:t>requir</w:t>
      </w:r>
      <w:r w:rsidR="009F60A9">
        <w:t>ed</w:t>
      </w:r>
      <w:r>
        <w:t xml:space="preserve"> continuous maintenance through ritual</w:t>
      </w:r>
      <w:r w:rsidR="009F60A9">
        <w:t>s</w:t>
      </w:r>
      <w:r>
        <w:t>.</w:t>
      </w:r>
    </w:p>
    <w:p w14:paraId="008B8D98" w14:textId="77777777" w:rsidR="002D5506" w:rsidRDefault="002D5506" w:rsidP="002D5506"/>
    <w:p w14:paraId="64F96C81" w14:textId="0273ED16" w:rsidR="002D5506" w:rsidRDefault="002D5506" w:rsidP="002D5506">
      <w:r>
        <w:t xml:space="preserve">Finds from the </w:t>
      </w:r>
      <w:r w:rsidR="009F60A9">
        <w:t>e</w:t>
      </w:r>
      <w:r>
        <w:t xml:space="preserve">xcavations and </w:t>
      </w:r>
      <w:r w:rsidR="009F60A9">
        <w:t>t</w:t>
      </w:r>
      <w:r>
        <w:t xml:space="preserve">heir </w:t>
      </w:r>
      <w:r w:rsidR="009F60A9">
        <w:t>m</w:t>
      </w:r>
      <w:r>
        <w:t>eaning</w:t>
      </w:r>
    </w:p>
    <w:p w14:paraId="410E0330" w14:textId="35C77417" w:rsidR="002D5506" w:rsidRDefault="002D5506" w:rsidP="002D5506">
      <w:r>
        <w:t>The artefacts recovered from TT99 provide crucial evidence for understanding elite funerary practices. More importantly, they reveal how material culture was used to express religious beliefs and social status.</w:t>
      </w:r>
    </w:p>
    <w:p w14:paraId="14B18A09" w14:textId="25FCEFD5" w:rsidR="002D5506" w:rsidRDefault="002D5506" w:rsidP="002D5506">
      <w:r>
        <w:lastRenderedPageBreak/>
        <w:t xml:space="preserve">One of the most significant discoveries is a group of tools associated with the Opening of the Mouth ceremony. This ritual was essential in Egyptian funerary practice, intended to restore the senses of the deceased so that they could function in the afterlife (Taylor, 2001). The identification of ivory adzes among the finds is </w:t>
      </w:r>
      <w:r w:rsidR="009F60A9">
        <w:t>very</w:t>
      </w:r>
      <w:r>
        <w:t xml:space="preserve"> notable, as </w:t>
      </w:r>
      <w:r w:rsidR="009F60A9">
        <w:t>these kinds of</w:t>
      </w:r>
      <w:r>
        <w:t xml:space="preserve"> </w:t>
      </w:r>
      <w:r w:rsidR="009F60A9">
        <w:t>tools</w:t>
      </w:r>
      <w:r>
        <w:t xml:space="preserve"> are rarely preserved archaeologically. Their presence indicates that the full ritual was carried out, reflecting both adherence to religious tradition and the resources required to perform it properly. These objects signal not only ritual completion but also access to specialised knowledge and trained personnel, which were </w:t>
      </w:r>
      <w:r w:rsidR="009F60A9">
        <w:t>also considered</w:t>
      </w:r>
      <w:r>
        <w:t xml:space="preserve"> markers of elite status.</w:t>
      </w:r>
    </w:p>
    <w:p w14:paraId="50108781" w14:textId="7753BC18" w:rsidR="002D5506" w:rsidRDefault="002D5506" w:rsidP="002D5506">
      <w:r>
        <w:t xml:space="preserve">Stone vessels, including alabaster examples, were also recovered. These objects likely contained oils and perfumes used in both the embalming process and ongoing offerings. </w:t>
      </w:r>
      <w:r w:rsidR="009F60A9">
        <w:t>These</w:t>
      </w:r>
      <w:r>
        <w:t xml:space="preserve"> substances were closely associated with purification, rebirth, and divine favour (Nicholson and Shaw, 2000). </w:t>
      </w:r>
      <w:r w:rsidR="009F60A9">
        <w:t>On top of that</w:t>
      </w:r>
      <w:r>
        <w:t xml:space="preserve">, scent played an important role in Egyptian ritual, often linked to the presence of the divine. The use of </w:t>
      </w:r>
      <w:r w:rsidR="009F60A9">
        <w:t>expensive</w:t>
      </w:r>
      <w:r>
        <w:t xml:space="preserve"> materials such as alabaster </w:t>
      </w:r>
      <w:r w:rsidR="009F60A9">
        <w:t>also</w:t>
      </w:r>
      <w:r>
        <w:t xml:space="preserve"> enhanced both the sensory and symbolic dimensions of the burial.</w:t>
      </w:r>
    </w:p>
    <w:p w14:paraId="252B3150" w14:textId="50128040" w:rsidR="002D5506" w:rsidRDefault="002D5506" w:rsidP="002D5506">
      <w:r>
        <w:t xml:space="preserve">Fragments of wooden boxes, including parts of a canopic chest, were also identified. These items were used to store the internal organs removed during mummification, each protected by a specific deity. The inclusion of </w:t>
      </w:r>
      <w:r w:rsidR="009F60A9">
        <w:t>this</w:t>
      </w:r>
      <w:r>
        <w:t xml:space="preserve"> equipment confirms that </w:t>
      </w:r>
      <w:proofErr w:type="spellStart"/>
      <w:r>
        <w:t>Senneferi</w:t>
      </w:r>
      <w:proofErr w:type="spellEnd"/>
      <w:r>
        <w:t xml:space="preserve"> received a complete and proper</w:t>
      </w:r>
      <w:r w:rsidR="009F60A9">
        <w:t xml:space="preserve"> </w:t>
      </w:r>
      <w:r>
        <w:t xml:space="preserve">burial. More significantly, it reflects the Egyptian emphasis on bodily preservation as a </w:t>
      </w:r>
      <w:r w:rsidR="009F60A9">
        <w:t>need</w:t>
      </w:r>
      <w:r>
        <w:t xml:space="preserve"> for eternal life, demonstrating how physical remains and spiritual survival were closely </w:t>
      </w:r>
      <w:r w:rsidR="009F60A9">
        <w:t>connected</w:t>
      </w:r>
      <w:r>
        <w:t xml:space="preserve"> (Ikram and Dodson, 1998).</w:t>
      </w:r>
    </w:p>
    <w:p w14:paraId="6312E567" w14:textId="397B42BA" w:rsidR="002D5506" w:rsidRDefault="002D5506" w:rsidP="002D5506">
      <w:r>
        <w:t xml:space="preserve">The </w:t>
      </w:r>
      <w:r w:rsidR="00CD5F1D">
        <w:t xml:space="preserve">collection of </w:t>
      </w:r>
      <w:r>
        <w:t xml:space="preserve">ceramic </w:t>
      </w:r>
      <w:r w:rsidR="009F60A9">
        <w:t>findings</w:t>
      </w:r>
      <w:r>
        <w:t xml:space="preserve"> from the tomb is particularly large and significant. Pottery was used to store food, drink, oils, and other offerings, making it </w:t>
      </w:r>
      <w:r w:rsidR="00CD5F1D">
        <w:t>necessary for</w:t>
      </w:r>
      <w:r>
        <w:t xml:space="preserve"> both burial rituals and ongoing practices. The </w:t>
      </w:r>
      <w:r w:rsidR="00CD5F1D">
        <w:t>large</w:t>
      </w:r>
      <w:r>
        <w:t xml:space="preserve"> quantity of ceramics suggests repeated acts of offering, indicating that the tomb remained an active site of commemoration over time (Strudwick, 2016). This continued deposition of material highlights the social obligations of the living to sustain the dead, reinforcing relationships between generations.</w:t>
      </w:r>
    </w:p>
    <w:p w14:paraId="445B4B20" w14:textId="733B50F8" w:rsidR="002D5506" w:rsidRDefault="002D5506" w:rsidP="002D5506">
      <w:r>
        <w:t>Fragments of shabti figures were also recovered. These figurines were intended to act as substitutes for the deceased in performing labour in the afterlife. Their presence reflects a belief in the continuation of social roles beyond death, where even elite individuals required servants (Taylor, 2001). At the same time, the use of shabtis allowed</w:t>
      </w:r>
      <w:r w:rsidR="00CD5F1D">
        <w:t xml:space="preserve"> the</w:t>
      </w:r>
      <w:r>
        <w:t xml:space="preserve"> elites to symbolically maintain control over labour, </w:t>
      </w:r>
      <w:r w:rsidR="00CD5F1D">
        <w:t>continuing</w:t>
      </w:r>
      <w:r>
        <w:t xml:space="preserve"> earthly hierarchies into the afterlife.</w:t>
      </w:r>
    </w:p>
    <w:p w14:paraId="7D5DD985" w14:textId="1FF1BEDB" w:rsidR="002D5506" w:rsidRDefault="002D5506" w:rsidP="002D5506">
      <w:r>
        <w:t xml:space="preserve">Finally, the discovery of a limestone ostracon </w:t>
      </w:r>
      <w:r w:rsidR="00CD5F1D">
        <w:t>with inscriptions of</w:t>
      </w:r>
      <w:r>
        <w:t xml:space="preserve"> early alphabetic characters adds another dimension to the site’s significance. Although not directly related to </w:t>
      </w:r>
      <w:proofErr w:type="spellStart"/>
      <w:r>
        <w:t>Senneferi’s</w:t>
      </w:r>
      <w:proofErr w:type="spellEnd"/>
      <w:r>
        <w:t xml:space="preserve"> burial, it highlights the later reuse of the tomb and its role within a broader cultural and historical context. This demonstrates how tombs could remain meaningful long after their original function had ended, </w:t>
      </w:r>
      <w:r w:rsidR="00CD5F1D">
        <w:t>gaining</w:t>
      </w:r>
      <w:r>
        <w:t xml:space="preserve"> new layers of activity and interpretation.</w:t>
      </w:r>
    </w:p>
    <w:p w14:paraId="146ECDC9" w14:textId="77777777" w:rsidR="002D5506" w:rsidRDefault="002D5506" w:rsidP="002D5506"/>
    <w:p w14:paraId="240EEC53" w14:textId="11006393" w:rsidR="002D5506" w:rsidRDefault="002D5506" w:rsidP="002D5506">
      <w:r>
        <w:lastRenderedPageBreak/>
        <w:t>Material Culture and Social Status</w:t>
      </w:r>
    </w:p>
    <w:p w14:paraId="16A57294" w14:textId="1BC9ED48" w:rsidR="002D5506" w:rsidRDefault="002D5506" w:rsidP="002D5506">
      <w:r>
        <w:t>T</w:t>
      </w:r>
      <w:r w:rsidR="00CD5F1D">
        <w:t>ogether t</w:t>
      </w:r>
      <w:r>
        <w:t xml:space="preserve">he architecture and artefacts of TT99 provide strong evidence for </w:t>
      </w:r>
      <w:proofErr w:type="spellStart"/>
      <w:r>
        <w:t>Senneferi’s</w:t>
      </w:r>
      <w:proofErr w:type="spellEnd"/>
      <w:r>
        <w:t xml:space="preserve"> elite position. The scale of the tomb and the quality of its construction </w:t>
      </w:r>
      <w:proofErr w:type="gramStart"/>
      <w:r>
        <w:t>indicate</w:t>
      </w:r>
      <w:r w:rsidR="00CD5F1D">
        <w:t>s</w:t>
      </w:r>
      <w:proofErr w:type="gramEnd"/>
      <w:r>
        <w:t xml:space="preserve"> access to significant economic resources and skilled labour. At the same time, the decorative and ritual elements demonstrate a deep engagement with religious beliefs and practices.</w:t>
      </w:r>
    </w:p>
    <w:p w14:paraId="5A0E4F4D" w14:textId="1528F197" w:rsidR="002D5506" w:rsidRDefault="002D5506" w:rsidP="002D5506">
      <w:r>
        <w:t xml:space="preserve">The objects found within the tomb are revealing. They show that wealth was not </w:t>
      </w:r>
      <w:r w:rsidR="00CD5F1D">
        <w:t>just</w:t>
      </w:r>
      <w:r>
        <w:t xml:space="preserve"> displayed through quantity or material value but also through participation in complex ritual systems. The ability to carry out ceremonies such as the Opening of the Mouth, to provide high</w:t>
      </w:r>
      <w:r w:rsidR="00CD5F1D">
        <w:t xml:space="preserve"> </w:t>
      </w:r>
      <w:r>
        <w:t>quality offerings, and to equip the burial with specialised items all served to reinforce</w:t>
      </w:r>
      <w:r w:rsidR="00CD5F1D">
        <w:t xml:space="preserve"> this</w:t>
      </w:r>
      <w:r>
        <w:t xml:space="preserve"> elite identity. These practices can </w:t>
      </w:r>
      <w:r w:rsidR="00CD5F1D">
        <w:t>also</w:t>
      </w:r>
      <w:r>
        <w:t xml:space="preserve"> be understood as performative, actively constructing status rather than </w:t>
      </w:r>
      <w:r w:rsidR="00CD5F1D">
        <w:t>just</w:t>
      </w:r>
      <w:r>
        <w:t xml:space="preserve"> reflecting it.</w:t>
      </w:r>
      <w:r w:rsidR="00CD5F1D">
        <w:t xml:space="preserve"> T</w:t>
      </w:r>
      <w:r>
        <w:t xml:space="preserve">hese practices were </w:t>
      </w:r>
      <w:r w:rsidR="00CD5F1D">
        <w:t xml:space="preserve">also </w:t>
      </w:r>
      <w:r>
        <w:t xml:space="preserve">closely tied to the structures of royal authority. As Overseer of the Seal, </w:t>
      </w:r>
      <w:proofErr w:type="spellStart"/>
      <w:r>
        <w:t>Senneferi</w:t>
      </w:r>
      <w:proofErr w:type="spellEnd"/>
      <w:r>
        <w:t xml:space="preserve"> occupied a position that linked economic power with political influence. His tomb reflects this connection, acting as both a personal monument and a symbol of his role within the state.</w:t>
      </w:r>
    </w:p>
    <w:p w14:paraId="527204AE" w14:textId="5F00B955" w:rsidR="002D5506" w:rsidRDefault="002D5506" w:rsidP="002D5506">
      <w:r w:rsidRPr="002D5506">
        <w:t xml:space="preserve">An additional point to consider is how the material assemblage from TT99 reflects not only individual status but broader patterns of elite competition and display within the Theban necropolis. Tombs </w:t>
      </w:r>
      <w:r w:rsidR="00CD5F1D">
        <w:t>like</w:t>
      </w:r>
      <w:r w:rsidRPr="002D5506">
        <w:t xml:space="preserve"> </w:t>
      </w:r>
      <w:proofErr w:type="spellStart"/>
      <w:r w:rsidRPr="002D5506">
        <w:t>Senneferi</w:t>
      </w:r>
      <w:r w:rsidR="00CD5F1D">
        <w:t>’s</w:t>
      </w:r>
      <w:proofErr w:type="spellEnd"/>
      <w:r w:rsidRPr="002D5506">
        <w:t xml:space="preserve"> did not exist </w:t>
      </w:r>
      <w:r w:rsidR="00CD5F1D">
        <w:t>alone,</w:t>
      </w:r>
      <w:r w:rsidRPr="002D5506">
        <w:t xml:space="preserve"> they formed part of a densely occupied funerary landscape in which officials of similar rank constructed monuments in close proximity. In this context, the scale of the tomb, the quality of its decoration, and the richness of its contents can be understood as part of a wider social dialogue, </w:t>
      </w:r>
      <w:r w:rsidR="00CD5F1D">
        <w:t>with</w:t>
      </w:r>
      <w:r w:rsidRPr="002D5506">
        <w:t xml:space="preserve"> status </w:t>
      </w:r>
      <w:r w:rsidR="00CD5F1D">
        <w:t>being</w:t>
      </w:r>
      <w:r w:rsidRPr="002D5506">
        <w:t xml:space="preserve"> continuously negotiated and displayed (Baines and Yoffee, 1998). The inclusion of rare or symbolically powerful objects, such as the ivory ritual tools, may have served to</w:t>
      </w:r>
      <w:r w:rsidR="00CD5F1D">
        <w:t xml:space="preserve"> </w:t>
      </w:r>
      <w:r w:rsidRPr="002D5506">
        <w:t xml:space="preserve">distinguish </w:t>
      </w:r>
      <w:proofErr w:type="spellStart"/>
      <w:r w:rsidRPr="002D5506">
        <w:t>Senneferi</w:t>
      </w:r>
      <w:proofErr w:type="spellEnd"/>
      <w:r w:rsidRPr="002D5506">
        <w:t xml:space="preserve"> from </w:t>
      </w:r>
      <w:r w:rsidR="00CD5F1D">
        <w:t>the others nearby</w:t>
      </w:r>
      <w:r w:rsidRPr="002D5506">
        <w:t xml:space="preserve">, reinforcing his prestige even among the elite. At the same time, the adherence to established funerary traditions ensured that this display remained legible within the shared cultural framework of Egypt. This balance between conformity and distinction is significant, as it demonstrates that elite identity was constructed through both participation in tradition and strategic differentiation. TT99 </w:t>
      </w:r>
      <w:r w:rsidR="00CD5F1D">
        <w:t>therefore</w:t>
      </w:r>
      <w:r w:rsidRPr="002D5506">
        <w:t xml:space="preserve"> provides insight not only into one individual’s burial, but into the competitive and highly visual nature of elite </w:t>
      </w:r>
      <w:proofErr w:type="spellStart"/>
      <w:r w:rsidRPr="002D5506">
        <w:t>self</w:t>
      </w:r>
      <w:r w:rsidR="00CD5F1D">
        <w:t xml:space="preserve"> </w:t>
      </w:r>
      <w:r w:rsidRPr="002D5506">
        <w:t>presentation</w:t>
      </w:r>
      <w:proofErr w:type="spellEnd"/>
      <w:r w:rsidRPr="002D5506">
        <w:t xml:space="preserve"> in ancient Egyptian society.</w:t>
      </w:r>
    </w:p>
    <w:p w14:paraId="72051396" w14:textId="77777777" w:rsidR="002D5506" w:rsidRDefault="002D5506" w:rsidP="002D5506"/>
    <w:p w14:paraId="2D073CF7" w14:textId="321F340B" w:rsidR="002D5506" w:rsidRDefault="002D5506" w:rsidP="002D5506">
      <w:r>
        <w:t>Conclusion</w:t>
      </w:r>
    </w:p>
    <w:p w14:paraId="2B2973AF" w14:textId="41139B7F" w:rsidR="002D5506" w:rsidRDefault="002D5506" w:rsidP="002D5506">
      <w:r>
        <w:t xml:space="preserve">The tomb of </w:t>
      </w:r>
      <w:proofErr w:type="spellStart"/>
      <w:r>
        <w:t>Senneferi</w:t>
      </w:r>
      <w:proofErr w:type="spellEnd"/>
      <w:r>
        <w:t xml:space="preserve"> offers valuable insight into the relationship between architecture, material culture, and social status in the Eighteenth Dynasty. Its layout follows </w:t>
      </w:r>
      <w:r w:rsidR="00CD5F1D">
        <w:t>clear</w:t>
      </w:r>
      <w:r>
        <w:t xml:space="preserve"> patterns of elite tomb design, </w:t>
      </w:r>
      <w:r w:rsidR="00CD5F1D">
        <w:t>and</w:t>
      </w:r>
      <w:r>
        <w:t xml:space="preserve"> its scale and complexity reflect the high status of its owner.</w:t>
      </w:r>
      <w:r w:rsidR="00CD5F1D">
        <w:t xml:space="preserve"> </w:t>
      </w:r>
      <w:r>
        <w:t>The artefacts recovered from the site, including ritual tools, stone vessels, funerary equipment, and ceramics, demonstrate the importance of religious practice in elite burials</w:t>
      </w:r>
      <w:r w:rsidR="00CD5F1D">
        <w:t xml:space="preserve"> as well as</w:t>
      </w:r>
      <w:r>
        <w:t xml:space="preserve"> reveal</w:t>
      </w:r>
      <w:r w:rsidR="00CD5F1D">
        <w:t>ing</w:t>
      </w:r>
      <w:r>
        <w:t xml:space="preserve"> how objects functioned as carriers of meaning, expressing beliefs about the afterlife and reinforcing social identity.</w:t>
      </w:r>
      <w:r w:rsidR="00CD5F1D">
        <w:t xml:space="preserve"> </w:t>
      </w:r>
      <w:r>
        <w:t xml:space="preserve">TT99 </w:t>
      </w:r>
      <w:r w:rsidR="00CD5F1D">
        <w:t>emphasises</w:t>
      </w:r>
      <w:r>
        <w:t xml:space="preserve"> how elite tombs operated as both </w:t>
      </w:r>
      <w:r>
        <w:lastRenderedPageBreak/>
        <w:t xml:space="preserve">physical and symbolic spaces. Through its architecture and contents, it provides a detailed picture of how status, religion, and material culture were intertwined in </w:t>
      </w:r>
      <w:r w:rsidR="00CD5F1D">
        <w:t>Egypt.</w:t>
      </w:r>
    </w:p>
    <w:p w14:paraId="7047C415" w14:textId="77777777" w:rsidR="002D5506" w:rsidRDefault="002D5506" w:rsidP="002D5506"/>
    <w:p w14:paraId="0C3A4CB9" w14:textId="7E3CE4EB" w:rsidR="002D5506" w:rsidRPr="002D5506" w:rsidRDefault="002D5506" w:rsidP="002D5506">
      <w:pPr>
        <w:rPr>
          <w:u w:val="single"/>
        </w:rPr>
      </w:pPr>
      <w:r w:rsidRPr="002D5506">
        <w:rPr>
          <w:u w:val="single"/>
        </w:rPr>
        <w:t>Bibliography</w:t>
      </w:r>
    </w:p>
    <w:p w14:paraId="50BFF33F" w14:textId="77777777" w:rsidR="002D5506" w:rsidRDefault="002D5506" w:rsidP="002D5506">
      <w:r>
        <w:t>Assmann, J. (2005) Death and Salvation in Ancient Egypt. Ithaca: Cornell University Press.</w:t>
      </w:r>
    </w:p>
    <w:p w14:paraId="0AFC8305" w14:textId="1AECBF79" w:rsidR="002D5506" w:rsidRDefault="002D5506" w:rsidP="002D5506">
      <w:r>
        <w:t xml:space="preserve">Fitzwilliam Museum (n.d.) The Tomb of </w:t>
      </w:r>
      <w:proofErr w:type="spellStart"/>
      <w:r>
        <w:t>Senneferi</w:t>
      </w:r>
      <w:proofErr w:type="spellEnd"/>
      <w:r>
        <w:t xml:space="preserve"> TT99: Architecture. Available at: </w:t>
      </w:r>
      <w:hyperlink r:id="rId4" w:history="1">
        <w:r w:rsidRPr="00433B12">
          <w:rPr>
            <w:rStyle w:val="Hyperlink"/>
          </w:rPr>
          <w:t>https://tt99.fitz.ms/arc</w:t>
        </w:r>
        <w:r w:rsidRPr="00433B12">
          <w:rPr>
            <w:rStyle w:val="Hyperlink"/>
          </w:rPr>
          <w:t>h</w:t>
        </w:r>
        <w:r w:rsidRPr="00433B12">
          <w:rPr>
            <w:rStyle w:val="Hyperlink"/>
          </w:rPr>
          <w:t>itecture.html</w:t>
        </w:r>
      </w:hyperlink>
      <w:r>
        <w:t xml:space="preserve"> </w:t>
      </w:r>
      <w:r>
        <w:t>(Accessed: 19 March 2026).</w:t>
      </w:r>
    </w:p>
    <w:p w14:paraId="3914E4C3" w14:textId="35097DE0" w:rsidR="002D5506" w:rsidRDefault="002D5506" w:rsidP="002D5506">
      <w:r>
        <w:t>Ikram, S. and Dodson, A. (1998) The Mummy in Ancient Egypt: Equipping the Dead for Eternity. London: Thames &amp; Hudson.</w:t>
      </w:r>
    </w:p>
    <w:p w14:paraId="11357A21" w14:textId="204C9554" w:rsidR="002D5506" w:rsidRDefault="002D5506" w:rsidP="002D5506">
      <w:r>
        <w:t>Nicholson, P.T. and Shaw, I. (2000) Ancient Egyptian Materials and Technology. Cambridge: Cambridge University Press.</w:t>
      </w:r>
    </w:p>
    <w:p w14:paraId="131FE163" w14:textId="79CF49BB" w:rsidR="002D5506" w:rsidRDefault="002D5506" w:rsidP="002D5506">
      <w:r>
        <w:t xml:space="preserve">Strudwick, N. (2016) The Tomb of Pharaoh’s Chancellor </w:t>
      </w:r>
      <w:proofErr w:type="spellStart"/>
      <w:r>
        <w:t>Senneferi</w:t>
      </w:r>
      <w:proofErr w:type="spellEnd"/>
      <w:r>
        <w:t xml:space="preserve"> at Thebes (TT99). Oxford: Oxbow.</w:t>
      </w:r>
    </w:p>
    <w:p w14:paraId="03D58E58" w14:textId="49165BDF" w:rsidR="002D5506" w:rsidRDefault="002D5506" w:rsidP="002D5506">
      <w:r>
        <w:t>Taylor, J.H. (2001) Death and the Afterlife in Ancient Egypt. London: British Museum Press.</w:t>
      </w:r>
    </w:p>
    <w:p w14:paraId="220FCB01" w14:textId="5A26C877" w:rsidR="002D5506" w:rsidRDefault="002D5506" w:rsidP="002D5506">
      <w:r w:rsidRPr="002D5506">
        <w:t>Baines, J. and Yoffee, N. (1998) ‘Order, legitimacy, and wealth in ancient Egypt and Mesopotamia’, in Feinman, G.M. and Marcus, J. (eds.) Archaic States. Santa Fe: School of American Research Press, pp. 199–260.</w:t>
      </w:r>
    </w:p>
    <w:sectPr w:rsidR="002D55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506"/>
    <w:rsid w:val="0025097B"/>
    <w:rsid w:val="002D5506"/>
    <w:rsid w:val="004604E5"/>
    <w:rsid w:val="00490491"/>
    <w:rsid w:val="009F60A9"/>
    <w:rsid w:val="00B80C93"/>
    <w:rsid w:val="00CD5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33B29"/>
  <w15:chartTrackingRefBased/>
  <w15:docId w15:val="{25484917-4171-4073-9EFF-EDC3EEE19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5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55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55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55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55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55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5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5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5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5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55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55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55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55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55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5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5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506"/>
    <w:rPr>
      <w:rFonts w:eastAsiaTheme="majorEastAsia" w:cstheme="majorBidi"/>
      <w:color w:val="272727" w:themeColor="text1" w:themeTint="D8"/>
    </w:rPr>
  </w:style>
  <w:style w:type="paragraph" w:styleId="Title">
    <w:name w:val="Title"/>
    <w:basedOn w:val="Normal"/>
    <w:next w:val="Normal"/>
    <w:link w:val="TitleChar"/>
    <w:uiPriority w:val="10"/>
    <w:qFormat/>
    <w:rsid w:val="002D55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5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5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5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506"/>
    <w:pPr>
      <w:spacing w:before="160"/>
      <w:jc w:val="center"/>
    </w:pPr>
    <w:rPr>
      <w:i/>
      <w:iCs/>
      <w:color w:val="404040" w:themeColor="text1" w:themeTint="BF"/>
    </w:rPr>
  </w:style>
  <w:style w:type="character" w:customStyle="1" w:styleId="QuoteChar">
    <w:name w:val="Quote Char"/>
    <w:basedOn w:val="DefaultParagraphFont"/>
    <w:link w:val="Quote"/>
    <w:uiPriority w:val="29"/>
    <w:rsid w:val="002D5506"/>
    <w:rPr>
      <w:i/>
      <w:iCs/>
      <w:color w:val="404040" w:themeColor="text1" w:themeTint="BF"/>
    </w:rPr>
  </w:style>
  <w:style w:type="paragraph" w:styleId="ListParagraph">
    <w:name w:val="List Paragraph"/>
    <w:basedOn w:val="Normal"/>
    <w:uiPriority w:val="34"/>
    <w:qFormat/>
    <w:rsid w:val="002D5506"/>
    <w:pPr>
      <w:ind w:left="720"/>
      <w:contextualSpacing/>
    </w:pPr>
  </w:style>
  <w:style w:type="character" w:styleId="IntenseEmphasis">
    <w:name w:val="Intense Emphasis"/>
    <w:basedOn w:val="DefaultParagraphFont"/>
    <w:uiPriority w:val="21"/>
    <w:qFormat/>
    <w:rsid w:val="002D5506"/>
    <w:rPr>
      <w:i/>
      <w:iCs/>
      <w:color w:val="2F5496" w:themeColor="accent1" w:themeShade="BF"/>
    </w:rPr>
  </w:style>
  <w:style w:type="paragraph" w:styleId="IntenseQuote">
    <w:name w:val="Intense Quote"/>
    <w:basedOn w:val="Normal"/>
    <w:next w:val="Normal"/>
    <w:link w:val="IntenseQuoteChar"/>
    <w:uiPriority w:val="30"/>
    <w:qFormat/>
    <w:rsid w:val="002D55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5506"/>
    <w:rPr>
      <w:i/>
      <w:iCs/>
      <w:color w:val="2F5496" w:themeColor="accent1" w:themeShade="BF"/>
    </w:rPr>
  </w:style>
  <w:style w:type="character" w:styleId="IntenseReference">
    <w:name w:val="Intense Reference"/>
    <w:basedOn w:val="DefaultParagraphFont"/>
    <w:uiPriority w:val="32"/>
    <w:qFormat/>
    <w:rsid w:val="002D5506"/>
    <w:rPr>
      <w:b/>
      <w:bCs/>
      <w:smallCaps/>
      <w:color w:val="2F5496" w:themeColor="accent1" w:themeShade="BF"/>
      <w:spacing w:val="5"/>
    </w:rPr>
  </w:style>
  <w:style w:type="character" w:styleId="Hyperlink">
    <w:name w:val="Hyperlink"/>
    <w:basedOn w:val="DefaultParagraphFont"/>
    <w:uiPriority w:val="99"/>
    <w:unhideWhenUsed/>
    <w:rsid w:val="002D5506"/>
    <w:rPr>
      <w:color w:val="0563C1" w:themeColor="hyperlink"/>
      <w:u w:val="single"/>
    </w:rPr>
  </w:style>
  <w:style w:type="character" w:styleId="UnresolvedMention">
    <w:name w:val="Unresolved Mention"/>
    <w:basedOn w:val="DefaultParagraphFont"/>
    <w:uiPriority w:val="99"/>
    <w:semiHidden/>
    <w:unhideWhenUsed/>
    <w:rsid w:val="002D5506"/>
    <w:rPr>
      <w:color w:val="605E5C"/>
      <w:shd w:val="clear" w:color="auto" w:fill="E1DFDD"/>
    </w:rPr>
  </w:style>
  <w:style w:type="character" w:styleId="FollowedHyperlink">
    <w:name w:val="FollowedHyperlink"/>
    <w:basedOn w:val="DefaultParagraphFont"/>
    <w:uiPriority w:val="99"/>
    <w:semiHidden/>
    <w:unhideWhenUsed/>
    <w:rsid w:val="00CD5F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t99.fitz.ms/architectur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5</Pages>
  <Words>1912</Words>
  <Characters>10899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Deena Lewis</dc:creator>
  <cp:keywords/>
  <dc:description/>
  <cp:lastModifiedBy>Deena Lewis</cp:lastModifiedBy>
  <cp:revision>1</cp:revision>
  <dcterms:created xsi:type="dcterms:W3CDTF">2026-03-19T22:28:00Z</dcterms:created>
  <dcterms:modified xsi:type="dcterms:W3CDTF">2026-03-20T00:01:00Z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121a2172-f5a0-41a0-908a-08aa47a765d7</vt:lpwstr>
  </property>
</Properties>
</file>