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6D039E4D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B6CD0DB" w14:textId="7BD710C7" w:rsidR="009C337F" w:rsidRDefault="004D11B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Rhian Wyn Roberts</w:t>
            </w:r>
          </w:p>
          <w:p w14:paraId="3A6EAAC7" w14:textId="728A0FE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</w:p>
          <w:p w14:paraId="22E38809" w14:textId="1BBC7ECB" w:rsidR="00986B43" w:rsidRDefault="004D11B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4D11B3">
              <w:rPr>
                <w:rFonts w:ascii="Times New Roman" w:hAnsi="Times New Roman" w:cs="Times New Roman"/>
                <w:b/>
                <w:color w:val="auto"/>
                <w:sz w:val="48"/>
              </w:rPr>
              <w:t>2432432@student.uwtsd.ac.uk</w:t>
            </w: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22FD17A" w14:textId="598C0393" w:rsidR="0085230E" w:rsidRPr="005D3F07" w:rsidRDefault="004D11B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2432432</w:t>
            </w: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4CF60DE3" w14:textId="77777777" w:rsidR="00F905FE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</w:t>
            </w:r>
          </w:p>
          <w:p w14:paraId="375822F5" w14:textId="77777777" w:rsidR="00F905FE" w:rsidRDefault="00F905FE" w:rsidP="00FF7EBB">
            <w:pPr>
              <w:jc w:val="both"/>
              <w:rPr>
                <w:sz w:val="24"/>
                <w:szCs w:val="24"/>
              </w:rPr>
            </w:pPr>
          </w:p>
          <w:p w14:paraId="3A73B6CC" w14:textId="77777777" w:rsidR="00F905FE" w:rsidRDefault="00F905FE" w:rsidP="00F905FE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500 words</w:t>
            </w:r>
            <w:r w:rsidRPr="006108C9">
              <w:rPr>
                <w:sz w:val="24"/>
                <w:szCs w:val="24"/>
              </w:rPr>
              <w:t xml:space="preserve"> (+/- 10%: include your actual word count at the end of each section)</w:t>
            </w:r>
            <w:r>
              <w:rPr>
                <w:sz w:val="24"/>
                <w:szCs w:val="24"/>
              </w:rPr>
              <w:t>.</w:t>
            </w:r>
          </w:p>
          <w:p w14:paraId="17A49383" w14:textId="4B41E825" w:rsidR="008B28E7" w:rsidRDefault="008B28E7" w:rsidP="00FF7EBB">
            <w:pPr>
              <w:jc w:val="both"/>
              <w:rPr>
                <w:sz w:val="24"/>
                <w:szCs w:val="24"/>
              </w:rPr>
            </w:pP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5F6529D3" w14:textId="575CF938" w:rsidR="007C6910" w:rsidRDefault="007C6910" w:rsidP="007C6910">
            <w:pPr>
              <w:spacing w:line="48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Social Services and Well-Being (Wales) Act 2014 (SSWBA) is the primary legislation relevant to adult safeguarding in Wales</w:t>
            </w:r>
            <w:r w:rsidR="00931FE1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with a clear shift towards parity between children and adult</w:t>
            </w:r>
            <w:r w:rsidR="000C076E">
              <w:rPr>
                <w:sz w:val="24"/>
                <w:szCs w:val="24"/>
              </w:rPr>
              <w:t>s’</w:t>
            </w:r>
            <w:r>
              <w:rPr>
                <w:sz w:val="24"/>
                <w:szCs w:val="24"/>
              </w:rPr>
              <w:t xml:space="preserve"> safeguarding. The SSWBA introduced the definition of ‘adult at risk’,</w:t>
            </w:r>
            <w:r w:rsidRPr="003B0570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replacing the previous definition of ‘vulnerable adult’. Under Section 126 of the SSWBA</w:t>
            </w:r>
            <w:r w:rsidR="00931FE1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adult</w:t>
            </w:r>
            <w:r w:rsidR="006756BC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at risk are considered to be a </w:t>
            </w:r>
            <w:r w:rsidR="00131E5F">
              <w:rPr>
                <w:sz w:val="24"/>
                <w:szCs w:val="24"/>
              </w:rPr>
              <w:t>“</w:t>
            </w:r>
            <w:r>
              <w:rPr>
                <w:sz w:val="24"/>
                <w:szCs w:val="24"/>
              </w:rPr>
              <w:t>person experiencing</w:t>
            </w:r>
            <w:r w:rsidR="000F6EAD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or are at risk of</w:t>
            </w:r>
            <w:r w:rsidR="00952BD4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abuse (physical, emotional, sexual </w:t>
            </w:r>
            <w:r w:rsidR="001E5E39">
              <w:rPr>
                <w:sz w:val="24"/>
                <w:szCs w:val="24"/>
              </w:rPr>
              <w:t>or</w:t>
            </w:r>
            <w:r>
              <w:rPr>
                <w:sz w:val="24"/>
                <w:szCs w:val="24"/>
              </w:rPr>
              <w:t xml:space="preserve"> financial) or neglect, have care and support needs and </w:t>
            </w:r>
            <w:r w:rsidR="00A61048">
              <w:rPr>
                <w:sz w:val="24"/>
                <w:szCs w:val="24"/>
              </w:rPr>
              <w:t xml:space="preserve">who, </w:t>
            </w:r>
            <w:r>
              <w:rPr>
                <w:sz w:val="24"/>
                <w:szCs w:val="24"/>
              </w:rPr>
              <w:t>as a result are unable to protect themselves</w:t>
            </w:r>
            <w:r w:rsidR="00131E5F">
              <w:rPr>
                <w:sz w:val="24"/>
                <w:szCs w:val="24"/>
              </w:rPr>
              <w:t>”</w:t>
            </w:r>
            <w:r>
              <w:rPr>
                <w:sz w:val="24"/>
                <w:szCs w:val="24"/>
              </w:rPr>
              <w:t xml:space="preserve">. The SSWBA places a duty on relevant partners to report (Section 128 of the SSWBA) and make enquiries in relation to any adult </w:t>
            </w:r>
            <w:r w:rsidR="00BD5CFF">
              <w:rPr>
                <w:sz w:val="24"/>
                <w:szCs w:val="24"/>
              </w:rPr>
              <w:t>who</w:t>
            </w:r>
            <w:r>
              <w:rPr>
                <w:sz w:val="24"/>
                <w:szCs w:val="24"/>
              </w:rPr>
              <w:t xml:space="preserve"> appears to be at risk of abuse </w:t>
            </w:r>
            <w:r w:rsidR="00D82502">
              <w:rPr>
                <w:sz w:val="24"/>
                <w:szCs w:val="24"/>
              </w:rPr>
              <w:t>or</w:t>
            </w:r>
            <w:r>
              <w:rPr>
                <w:sz w:val="24"/>
                <w:szCs w:val="24"/>
              </w:rPr>
              <w:t xml:space="preserve"> neglect (Section 126 of the SSWBA). Under the SSWBA</w:t>
            </w:r>
            <w:r w:rsidR="00BD5CFF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</w:t>
            </w:r>
            <w:r w:rsidR="00277CC6">
              <w:rPr>
                <w:sz w:val="24"/>
                <w:szCs w:val="24"/>
              </w:rPr>
              <w:t xml:space="preserve">Adult Protection and Support Orders and </w:t>
            </w:r>
            <w:r w:rsidR="0063739A">
              <w:rPr>
                <w:sz w:val="24"/>
                <w:szCs w:val="24"/>
              </w:rPr>
              <w:t xml:space="preserve">an </w:t>
            </w:r>
            <w:r>
              <w:rPr>
                <w:sz w:val="24"/>
                <w:szCs w:val="24"/>
              </w:rPr>
              <w:t>adult’s right to a needs assessment w</w:t>
            </w:r>
            <w:r w:rsidR="0063739A">
              <w:rPr>
                <w:sz w:val="24"/>
                <w:szCs w:val="24"/>
              </w:rPr>
              <w:t>ere</w:t>
            </w:r>
            <w:r>
              <w:rPr>
                <w:sz w:val="24"/>
                <w:szCs w:val="24"/>
              </w:rPr>
              <w:t xml:space="preserve"> introduced</w:t>
            </w:r>
            <w:r w:rsidR="00277CC6">
              <w:rPr>
                <w:sz w:val="24"/>
                <w:szCs w:val="24"/>
              </w:rPr>
              <w:t>;</w:t>
            </w:r>
            <w:r>
              <w:rPr>
                <w:sz w:val="24"/>
                <w:szCs w:val="24"/>
              </w:rPr>
              <w:t xml:space="preserve"> </w:t>
            </w:r>
            <w:r w:rsidR="00277CC6">
              <w:rPr>
                <w:sz w:val="24"/>
                <w:szCs w:val="24"/>
              </w:rPr>
              <w:t>adult needs assessments</w:t>
            </w:r>
            <w:r>
              <w:rPr>
                <w:sz w:val="24"/>
                <w:szCs w:val="24"/>
              </w:rPr>
              <w:t xml:space="preserve"> </w:t>
            </w:r>
            <w:r w:rsidR="009F389F">
              <w:rPr>
                <w:sz w:val="24"/>
                <w:szCs w:val="24"/>
              </w:rPr>
              <w:t>emp</w:t>
            </w:r>
            <w:r w:rsidR="00AE446A">
              <w:rPr>
                <w:sz w:val="24"/>
                <w:szCs w:val="24"/>
              </w:rPr>
              <w:t>hasise</w:t>
            </w:r>
            <w:r>
              <w:rPr>
                <w:sz w:val="24"/>
                <w:szCs w:val="24"/>
              </w:rPr>
              <w:t xml:space="preserve"> </w:t>
            </w:r>
            <w:r w:rsidR="00AE446A">
              <w:rPr>
                <w:sz w:val="24"/>
                <w:szCs w:val="24"/>
              </w:rPr>
              <w:t xml:space="preserve">the </w:t>
            </w:r>
            <w:r>
              <w:rPr>
                <w:sz w:val="24"/>
                <w:szCs w:val="24"/>
              </w:rPr>
              <w:t>promot</w:t>
            </w:r>
            <w:r w:rsidR="00D5444B">
              <w:rPr>
                <w:sz w:val="24"/>
                <w:szCs w:val="24"/>
              </w:rPr>
              <w:t xml:space="preserve">ion of </w:t>
            </w:r>
            <w:r>
              <w:rPr>
                <w:sz w:val="24"/>
                <w:szCs w:val="24"/>
              </w:rPr>
              <w:t>individual well-being</w:t>
            </w:r>
            <w:r w:rsidR="00657619">
              <w:rPr>
                <w:sz w:val="24"/>
                <w:szCs w:val="24"/>
              </w:rPr>
              <w:t xml:space="preserve">, </w:t>
            </w:r>
            <w:r w:rsidR="00277CC6">
              <w:rPr>
                <w:sz w:val="24"/>
                <w:szCs w:val="24"/>
              </w:rPr>
              <w:t xml:space="preserve">a </w:t>
            </w:r>
            <w:r w:rsidR="00657619">
              <w:rPr>
                <w:sz w:val="24"/>
                <w:szCs w:val="24"/>
              </w:rPr>
              <w:t>p</w:t>
            </w:r>
            <w:r>
              <w:rPr>
                <w:sz w:val="24"/>
                <w:szCs w:val="24"/>
              </w:rPr>
              <w:t>erson-centred</w:t>
            </w:r>
            <w:r w:rsidR="00657619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approach, participation, collaboration, empowerment and advocacy</w:t>
            </w:r>
            <w:r w:rsidR="00316E9C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with safeguarding regarded as a holistic process</w:t>
            </w:r>
            <w:r w:rsidR="00277CC6">
              <w:rPr>
                <w:sz w:val="24"/>
                <w:szCs w:val="24"/>
              </w:rPr>
              <w:t xml:space="preserve"> </w:t>
            </w:r>
            <w:r w:rsidR="00AD60B7">
              <w:rPr>
                <w:sz w:val="24"/>
                <w:szCs w:val="24"/>
              </w:rPr>
              <w:t>(Williams, 2017)</w:t>
            </w:r>
            <w:r>
              <w:rPr>
                <w:sz w:val="24"/>
                <w:szCs w:val="24"/>
              </w:rPr>
              <w:t xml:space="preserve">. </w:t>
            </w:r>
          </w:p>
          <w:p w14:paraId="43C05A4E" w14:textId="37D8A696" w:rsidR="007C6910" w:rsidRDefault="007C6910" w:rsidP="007C6910">
            <w:pPr>
              <w:spacing w:line="48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Part 7 of the SSWBA provides the </w:t>
            </w:r>
            <w:r w:rsidR="007B052F">
              <w:rPr>
                <w:sz w:val="24"/>
                <w:szCs w:val="24"/>
              </w:rPr>
              <w:t>framework for safeguarding proc</w:t>
            </w:r>
            <w:r w:rsidR="0058272B">
              <w:rPr>
                <w:sz w:val="24"/>
                <w:szCs w:val="24"/>
              </w:rPr>
              <w:t xml:space="preserve">edures </w:t>
            </w:r>
            <w:r w:rsidR="000A4B62">
              <w:rPr>
                <w:sz w:val="24"/>
                <w:szCs w:val="24"/>
              </w:rPr>
              <w:t xml:space="preserve">for </w:t>
            </w:r>
            <w:r w:rsidR="0058272B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 xml:space="preserve">dults and children. The SSWBA introduced a duty under Section 134 on all local authorities to establish Safeguarding Adult Boards to protect adults at risk and prevent adults from becoming at risk. The </w:t>
            </w:r>
            <w:r w:rsidRPr="004C7BE7">
              <w:rPr>
                <w:sz w:val="24"/>
                <w:szCs w:val="24"/>
              </w:rPr>
              <w:t>Safeguarding Boards (Functions and Procedures) (Wales) Regulations 2015 set</w:t>
            </w:r>
            <w:r>
              <w:rPr>
                <w:sz w:val="24"/>
                <w:szCs w:val="24"/>
              </w:rPr>
              <w:t xml:space="preserve"> out </w:t>
            </w:r>
            <w:r w:rsidR="00100C1D">
              <w:rPr>
                <w:sz w:val="24"/>
                <w:szCs w:val="24"/>
              </w:rPr>
              <w:t xml:space="preserve">the </w:t>
            </w:r>
            <w:r>
              <w:rPr>
                <w:sz w:val="24"/>
                <w:szCs w:val="24"/>
              </w:rPr>
              <w:t>duties for Safeguarding Adult Boards. The Working Together to Safeguard People guidance is also issued under Part 7 of the SSWBA</w:t>
            </w:r>
            <w:r w:rsidR="00654D93">
              <w:rPr>
                <w:sz w:val="24"/>
                <w:szCs w:val="24"/>
              </w:rPr>
              <w:t>. T</w:t>
            </w:r>
            <w:r>
              <w:rPr>
                <w:sz w:val="24"/>
                <w:szCs w:val="24"/>
              </w:rPr>
              <w:t>his provides statutory guidance and procedures for agencies (</w:t>
            </w:r>
            <w:r w:rsidRPr="00EF5526">
              <w:rPr>
                <w:sz w:val="24"/>
                <w:szCs w:val="24"/>
              </w:rPr>
              <w:t>Welsh Government, 2022)</w:t>
            </w:r>
            <w:r w:rsidR="00254E52">
              <w:rPr>
                <w:sz w:val="24"/>
                <w:szCs w:val="24"/>
              </w:rPr>
              <w:t>,</w:t>
            </w:r>
            <w:r w:rsidRPr="00EF5526">
              <w:rPr>
                <w:sz w:val="24"/>
                <w:szCs w:val="24"/>
              </w:rPr>
              <w:t xml:space="preserve"> with Volume 6 providing further guidance </w:t>
            </w:r>
            <w:r w:rsidR="00A82BAE">
              <w:rPr>
                <w:sz w:val="24"/>
                <w:szCs w:val="24"/>
              </w:rPr>
              <w:t>o</w:t>
            </w:r>
            <w:r w:rsidRPr="00EF5526">
              <w:rPr>
                <w:sz w:val="24"/>
                <w:szCs w:val="24"/>
              </w:rPr>
              <w:t>n protecting</w:t>
            </w:r>
            <w:r>
              <w:rPr>
                <w:sz w:val="24"/>
                <w:szCs w:val="24"/>
              </w:rPr>
              <w:t xml:space="preserve"> adults at risk (</w:t>
            </w:r>
            <w:r w:rsidRPr="009F195A">
              <w:rPr>
                <w:sz w:val="24"/>
                <w:szCs w:val="24"/>
              </w:rPr>
              <w:t>Welsh Government, 2018b</w:t>
            </w:r>
            <w:r>
              <w:rPr>
                <w:sz w:val="24"/>
                <w:szCs w:val="24"/>
              </w:rPr>
              <w:t>). Under the SSWBA</w:t>
            </w:r>
            <w:r w:rsidR="00254E52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the Wales Safeguarding Procedure</w:t>
            </w:r>
            <w:r w:rsidR="00A82BAE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(Social Care Wales, 2025c) provide operational practice safeguarding guidance for adults and children</w:t>
            </w:r>
            <w:r w:rsidR="006D345B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supporting a single national approach.</w:t>
            </w:r>
          </w:p>
          <w:p w14:paraId="45552DF0" w14:textId="77777777" w:rsidR="007C6910" w:rsidRDefault="007C6910" w:rsidP="007C6910">
            <w:pPr>
              <w:spacing w:line="480" w:lineRule="auto"/>
              <w:jc w:val="both"/>
              <w:rPr>
                <w:sz w:val="24"/>
                <w:szCs w:val="24"/>
              </w:rPr>
            </w:pPr>
          </w:p>
          <w:p w14:paraId="6FD03497" w14:textId="172CA97A" w:rsidR="007C6910" w:rsidRDefault="007C6910" w:rsidP="007C6910">
            <w:pPr>
              <w:spacing w:line="48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Underpinning all safeguarding practice in Wales is the interface with the legislative framework of the European Convention on Human Rights (ECHR)</w:t>
            </w:r>
            <w:r w:rsidR="002011A2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in particular Article 2, right to life, Article 3, freedom from inhumane treatment</w:t>
            </w:r>
            <w:r w:rsidR="00871353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and Article 8, respect for private and family life. The UK joined the European Convention in 1951</w:t>
            </w:r>
            <w:r w:rsidR="00F16832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with the Human Rights Act 19</w:t>
            </w:r>
            <w:r w:rsidR="00C82C10">
              <w:rPr>
                <w:sz w:val="24"/>
                <w:szCs w:val="24"/>
              </w:rPr>
              <w:t>9</w:t>
            </w:r>
            <w:r>
              <w:rPr>
                <w:sz w:val="24"/>
                <w:szCs w:val="24"/>
              </w:rPr>
              <w:t>8 incorporating these rights into law</w:t>
            </w:r>
            <w:r w:rsidR="00277CC6">
              <w:rPr>
                <w:sz w:val="24"/>
                <w:szCs w:val="24"/>
              </w:rPr>
              <w:t xml:space="preserve"> (UK Parliament, 2026).</w:t>
            </w:r>
            <w:r>
              <w:rPr>
                <w:sz w:val="24"/>
                <w:szCs w:val="24"/>
              </w:rPr>
              <w:t xml:space="preserve"> </w:t>
            </w:r>
          </w:p>
          <w:p w14:paraId="217E6DFB" w14:textId="77777777" w:rsidR="007C6910" w:rsidRDefault="007C6910" w:rsidP="007C6910">
            <w:pPr>
              <w:spacing w:line="480" w:lineRule="auto"/>
              <w:jc w:val="both"/>
              <w:rPr>
                <w:sz w:val="24"/>
                <w:szCs w:val="24"/>
              </w:rPr>
            </w:pPr>
          </w:p>
          <w:p w14:paraId="0A4E0A08" w14:textId="57AD1C18" w:rsidR="007C6910" w:rsidRDefault="007C6910" w:rsidP="007C6910">
            <w:pPr>
              <w:spacing w:line="48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There is a clear interface between the SSWBA and the Mental Capacity Act 2005 (MCA), amended in 2019. The MCA applies to </w:t>
            </w:r>
            <w:r w:rsidR="00277CC6">
              <w:rPr>
                <w:sz w:val="24"/>
                <w:szCs w:val="24"/>
              </w:rPr>
              <w:t xml:space="preserve">adults in </w:t>
            </w:r>
            <w:r>
              <w:rPr>
                <w:sz w:val="24"/>
                <w:szCs w:val="24"/>
              </w:rPr>
              <w:t>England and Wales</w:t>
            </w:r>
            <w:r w:rsidR="007A5064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with the primary aim of safeguarding and promoting individuals’ rights to decision</w:t>
            </w:r>
            <w:r w:rsidR="00F45567">
              <w:rPr>
                <w:sz w:val="24"/>
                <w:szCs w:val="24"/>
              </w:rPr>
              <w:t>-</w:t>
            </w:r>
            <w:r>
              <w:rPr>
                <w:sz w:val="24"/>
                <w:szCs w:val="24"/>
              </w:rPr>
              <w:t>making (</w:t>
            </w:r>
            <w:r w:rsidRPr="00837E54">
              <w:rPr>
                <w:sz w:val="24"/>
                <w:szCs w:val="24"/>
              </w:rPr>
              <w:t>SCIE, 2022</w:t>
            </w:r>
            <w:r>
              <w:rPr>
                <w:sz w:val="24"/>
                <w:szCs w:val="24"/>
              </w:rPr>
              <w:t xml:space="preserve">). The Act has </w:t>
            </w:r>
            <w:r w:rsidR="00F45567">
              <w:rPr>
                <w:sz w:val="24"/>
                <w:szCs w:val="24"/>
              </w:rPr>
              <w:t>five</w:t>
            </w:r>
            <w:r>
              <w:rPr>
                <w:sz w:val="24"/>
                <w:szCs w:val="24"/>
              </w:rPr>
              <w:t xml:space="preserve"> key principles that include the presumption of capacity, whereby the starting point of any assessment involves the presumption </w:t>
            </w:r>
            <w:r w:rsidR="00277CC6">
              <w:rPr>
                <w:sz w:val="24"/>
                <w:szCs w:val="24"/>
              </w:rPr>
              <w:t xml:space="preserve">of </w:t>
            </w:r>
            <w:r>
              <w:rPr>
                <w:sz w:val="24"/>
                <w:szCs w:val="24"/>
              </w:rPr>
              <w:t>capacity unless proven otherwise</w:t>
            </w:r>
            <w:r w:rsidR="002E0387">
              <w:rPr>
                <w:sz w:val="24"/>
                <w:szCs w:val="24"/>
              </w:rPr>
              <w:t>;</w:t>
            </w:r>
            <w:r>
              <w:rPr>
                <w:sz w:val="24"/>
                <w:szCs w:val="24"/>
              </w:rPr>
              <w:t xml:space="preserve"> that individuals should always be supported to make their own decisions</w:t>
            </w:r>
            <w:r w:rsidR="002E0387">
              <w:rPr>
                <w:sz w:val="24"/>
                <w:szCs w:val="24"/>
              </w:rPr>
              <w:t>;</w:t>
            </w:r>
            <w:r>
              <w:rPr>
                <w:sz w:val="24"/>
                <w:szCs w:val="24"/>
              </w:rPr>
              <w:t xml:space="preserve"> that individuals have the right to </w:t>
            </w:r>
            <w:r>
              <w:rPr>
                <w:sz w:val="24"/>
                <w:szCs w:val="24"/>
              </w:rPr>
              <w:lastRenderedPageBreak/>
              <w:t xml:space="preserve">make </w:t>
            </w:r>
            <w:r w:rsidR="00382A5C">
              <w:rPr>
                <w:sz w:val="24"/>
                <w:szCs w:val="24"/>
              </w:rPr>
              <w:t>‘</w:t>
            </w:r>
            <w:r>
              <w:rPr>
                <w:sz w:val="24"/>
                <w:szCs w:val="24"/>
              </w:rPr>
              <w:t>unwise decisions</w:t>
            </w:r>
            <w:r w:rsidR="00382A5C">
              <w:rPr>
                <w:sz w:val="24"/>
                <w:szCs w:val="24"/>
              </w:rPr>
              <w:t>’</w:t>
            </w:r>
            <w:r>
              <w:rPr>
                <w:sz w:val="24"/>
                <w:szCs w:val="24"/>
              </w:rPr>
              <w:t xml:space="preserve"> if they have </w:t>
            </w:r>
            <w:r w:rsidR="00DD5D5C">
              <w:rPr>
                <w:sz w:val="24"/>
                <w:szCs w:val="24"/>
              </w:rPr>
              <w:t>capacity;</w:t>
            </w:r>
            <w:r>
              <w:rPr>
                <w:sz w:val="24"/>
                <w:szCs w:val="24"/>
              </w:rPr>
              <w:t xml:space="preserve"> </w:t>
            </w:r>
            <w:r w:rsidR="00DD5D5C">
              <w:rPr>
                <w:sz w:val="24"/>
                <w:szCs w:val="24"/>
              </w:rPr>
              <w:t>and</w:t>
            </w:r>
            <w:r>
              <w:rPr>
                <w:sz w:val="24"/>
                <w:szCs w:val="24"/>
              </w:rPr>
              <w:t xml:space="preserve"> </w:t>
            </w:r>
            <w:r w:rsidR="002073C7">
              <w:rPr>
                <w:sz w:val="24"/>
                <w:szCs w:val="24"/>
              </w:rPr>
              <w:t xml:space="preserve">that </w:t>
            </w:r>
            <w:r>
              <w:rPr>
                <w:sz w:val="24"/>
                <w:szCs w:val="24"/>
              </w:rPr>
              <w:t xml:space="preserve">least restrictive options and the </w:t>
            </w:r>
            <w:r w:rsidR="002073C7">
              <w:rPr>
                <w:sz w:val="24"/>
                <w:szCs w:val="24"/>
              </w:rPr>
              <w:t>individual’s</w:t>
            </w:r>
            <w:r>
              <w:rPr>
                <w:sz w:val="24"/>
                <w:szCs w:val="24"/>
              </w:rPr>
              <w:t xml:space="preserve"> best interest</w:t>
            </w:r>
            <w:r w:rsidR="00100C1D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</w:t>
            </w:r>
            <w:r w:rsidR="002073C7">
              <w:rPr>
                <w:sz w:val="24"/>
                <w:szCs w:val="24"/>
              </w:rPr>
              <w:t xml:space="preserve">are </w:t>
            </w:r>
            <w:r>
              <w:rPr>
                <w:sz w:val="24"/>
                <w:szCs w:val="24"/>
              </w:rPr>
              <w:t>promoted (SCIE, 2022).</w:t>
            </w:r>
          </w:p>
          <w:p w14:paraId="6EE39232" w14:textId="77777777" w:rsidR="007C6910" w:rsidRDefault="007C6910" w:rsidP="007C6910">
            <w:pPr>
              <w:spacing w:line="480" w:lineRule="auto"/>
              <w:jc w:val="both"/>
              <w:rPr>
                <w:sz w:val="24"/>
                <w:szCs w:val="24"/>
              </w:rPr>
            </w:pPr>
          </w:p>
          <w:p w14:paraId="2B6C7855" w14:textId="285F2988" w:rsidR="007C6910" w:rsidRDefault="007C6910" w:rsidP="007C6910">
            <w:pPr>
              <w:spacing w:line="48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Adult safeguarding in Wales is supported by the National Action Plan to Prevent Abuse of Older People</w:t>
            </w:r>
            <w:r w:rsidR="002A5BE6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which aims to protect older individuals </w:t>
            </w:r>
            <w:r w:rsidRPr="003E36DF">
              <w:rPr>
                <w:sz w:val="24"/>
                <w:szCs w:val="24"/>
              </w:rPr>
              <w:t>(Welsh Government, 2024</w:t>
            </w:r>
            <w:r>
              <w:rPr>
                <w:sz w:val="24"/>
                <w:szCs w:val="24"/>
              </w:rPr>
              <w:t>)</w:t>
            </w:r>
            <w:r w:rsidR="008B6111">
              <w:rPr>
                <w:sz w:val="24"/>
                <w:szCs w:val="24"/>
              </w:rPr>
              <w:t>.</w:t>
            </w:r>
            <w:r>
              <w:rPr>
                <w:sz w:val="24"/>
                <w:szCs w:val="24"/>
              </w:rPr>
              <w:t xml:space="preserve"> Under Section 134 of the SSWBA</w:t>
            </w:r>
            <w:r w:rsidR="008B6111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the regional Safeguarding Board</w:t>
            </w:r>
            <w:r w:rsidR="00EE4CF2">
              <w:rPr>
                <w:sz w:val="24"/>
                <w:szCs w:val="24"/>
              </w:rPr>
              <w:t>s are responsible for protecting</w:t>
            </w:r>
            <w:r>
              <w:rPr>
                <w:sz w:val="24"/>
                <w:szCs w:val="24"/>
              </w:rPr>
              <w:t xml:space="preserve"> adults experiencing</w:t>
            </w:r>
            <w:r w:rsidR="00217A4A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or </w:t>
            </w:r>
            <w:r w:rsidR="0025303F">
              <w:rPr>
                <w:sz w:val="24"/>
                <w:szCs w:val="24"/>
              </w:rPr>
              <w:t xml:space="preserve">are </w:t>
            </w:r>
            <w:r>
              <w:rPr>
                <w:sz w:val="24"/>
                <w:szCs w:val="24"/>
              </w:rPr>
              <w:t xml:space="preserve">at risk of abuse or neglect. </w:t>
            </w:r>
            <w:r w:rsidR="00CD689F">
              <w:rPr>
                <w:sz w:val="24"/>
                <w:szCs w:val="24"/>
              </w:rPr>
              <w:t>At</w:t>
            </w:r>
            <w:r>
              <w:rPr>
                <w:sz w:val="24"/>
                <w:szCs w:val="24"/>
              </w:rPr>
              <w:t xml:space="preserve"> </w:t>
            </w:r>
            <w:r w:rsidR="00BB60BB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 xml:space="preserve"> local and organisational level, the local authority implements Safeguarding Policy and Guidelines (Adults and Children) and a Corporate Plan</w:t>
            </w:r>
            <w:r w:rsidR="007A6C5F">
              <w:rPr>
                <w:sz w:val="24"/>
                <w:szCs w:val="24"/>
              </w:rPr>
              <w:t>, supported by a strategic panel</w:t>
            </w:r>
            <w:r>
              <w:rPr>
                <w:sz w:val="24"/>
                <w:szCs w:val="24"/>
              </w:rPr>
              <w:t xml:space="preserve"> that </w:t>
            </w:r>
            <w:r w:rsidR="00C90D33">
              <w:rPr>
                <w:sz w:val="24"/>
                <w:szCs w:val="24"/>
              </w:rPr>
              <w:t>prioritises</w:t>
            </w:r>
            <w:r>
              <w:rPr>
                <w:sz w:val="24"/>
                <w:szCs w:val="24"/>
              </w:rPr>
              <w:t xml:space="preserve"> adult safeguarding</w:t>
            </w:r>
            <w:r w:rsidR="007A6C5F">
              <w:rPr>
                <w:sz w:val="24"/>
                <w:szCs w:val="24"/>
              </w:rPr>
              <w:t>.</w:t>
            </w:r>
          </w:p>
          <w:p w14:paraId="7B512B91" w14:textId="77777777" w:rsidR="007C6910" w:rsidRDefault="007C6910" w:rsidP="007C6910">
            <w:pPr>
              <w:spacing w:line="480" w:lineRule="auto"/>
              <w:jc w:val="both"/>
              <w:rPr>
                <w:sz w:val="24"/>
                <w:szCs w:val="24"/>
              </w:rPr>
            </w:pPr>
          </w:p>
          <w:p w14:paraId="74015FF2" w14:textId="29E48270" w:rsidR="007C6910" w:rsidRDefault="007C6910" w:rsidP="007C691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 5</w:t>
            </w:r>
            <w:r w:rsidR="00B461A4">
              <w:rPr>
                <w:sz w:val="24"/>
                <w:szCs w:val="24"/>
              </w:rPr>
              <w:t>50</w:t>
            </w:r>
          </w:p>
          <w:p w14:paraId="0318E81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6D8CB8AF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A95F4DB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5DF59E2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883BA0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9641ACD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206514B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03BD6D93" w14:textId="56AD433A" w:rsidR="007A628F" w:rsidRPr="008B28E7" w:rsidRDefault="007A628F" w:rsidP="00F905FE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Default="00AA666E" w:rsidP="00FF7EBB">
      <w:pPr>
        <w:jc w:val="both"/>
        <w:rPr>
          <w:sz w:val="24"/>
          <w:szCs w:val="24"/>
        </w:rPr>
      </w:pPr>
    </w:p>
    <w:p w14:paraId="3DDE1FFD" w14:textId="77777777" w:rsidR="009F5ACC" w:rsidRDefault="009F5ACC" w:rsidP="00FF7EBB">
      <w:pPr>
        <w:jc w:val="both"/>
        <w:rPr>
          <w:sz w:val="24"/>
          <w:szCs w:val="24"/>
        </w:rPr>
      </w:pPr>
    </w:p>
    <w:p w14:paraId="359F5364" w14:textId="77777777" w:rsidR="009F5ACC" w:rsidRDefault="009F5ACC" w:rsidP="00FF7EBB">
      <w:pPr>
        <w:jc w:val="both"/>
        <w:rPr>
          <w:sz w:val="24"/>
          <w:szCs w:val="24"/>
        </w:rPr>
      </w:pPr>
    </w:p>
    <w:p w14:paraId="3AF78774" w14:textId="77777777" w:rsidR="009F5ACC" w:rsidRDefault="009F5ACC" w:rsidP="00FF7EBB">
      <w:pPr>
        <w:jc w:val="both"/>
        <w:rPr>
          <w:sz w:val="24"/>
          <w:szCs w:val="24"/>
        </w:rPr>
      </w:pPr>
    </w:p>
    <w:p w14:paraId="3358FADC" w14:textId="77777777" w:rsidR="009F5ACC" w:rsidRDefault="009F5ACC" w:rsidP="00FF7EBB">
      <w:pPr>
        <w:jc w:val="both"/>
        <w:rPr>
          <w:sz w:val="24"/>
          <w:szCs w:val="24"/>
        </w:rPr>
      </w:pPr>
    </w:p>
    <w:p w14:paraId="4EBF0776" w14:textId="77777777" w:rsidR="009F5ACC" w:rsidRDefault="009F5ACC" w:rsidP="00FF7EBB">
      <w:pPr>
        <w:jc w:val="both"/>
        <w:rPr>
          <w:sz w:val="24"/>
          <w:szCs w:val="24"/>
        </w:rPr>
      </w:pPr>
    </w:p>
    <w:p w14:paraId="122F5D16" w14:textId="77777777" w:rsidR="009F5ACC" w:rsidRDefault="009F5ACC" w:rsidP="00FF7EBB">
      <w:pPr>
        <w:jc w:val="both"/>
        <w:rPr>
          <w:sz w:val="24"/>
          <w:szCs w:val="24"/>
        </w:rPr>
      </w:pPr>
    </w:p>
    <w:p w14:paraId="70CCBED5" w14:textId="77777777" w:rsidR="009F5ACC" w:rsidRDefault="009F5ACC" w:rsidP="00FF7EBB">
      <w:pPr>
        <w:jc w:val="both"/>
        <w:rPr>
          <w:sz w:val="24"/>
          <w:szCs w:val="24"/>
        </w:rPr>
      </w:pPr>
    </w:p>
    <w:p w14:paraId="2001B704" w14:textId="77777777" w:rsidR="009F5ACC" w:rsidRDefault="009F5ACC" w:rsidP="00FF7EBB">
      <w:pPr>
        <w:jc w:val="both"/>
        <w:rPr>
          <w:sz w:val="24"/>
          <w:szCs w:val="24"/>
        </w:rPr>
      </w:pPr>
    </w:p>
    <w:p w14:paraId="5A419EC8" w14:textId="77777777" w:rsidR="009F5ACC" w:rsidRDefault="009F5ACC" w:rsidP="00FF7EBB">
      <w:pPr>
        <w:jc w:val="both"/>
        <w:rPr>
          <w:sz w:val="24"/>
          <w:szCs w:val="24"/>
        </w:rPr>
      </w:pPr>
    </w:p>
    <w:p w14:paraId="08C29242" w14:textId="77777777" w:rsidR="009F5ACC" w:rsidRDefault="009F5ACC" w:rsidP="00FF7EBB">
      <w:pPr>
        <w:jc w:val="both"/>
        <w:rPr>
          <w:sz w:val="24"/>
          <w:szCs w:val="24"/>
        </w:rPr>
      </w:pPr>
    </w:p>
    <w:p w14:paraId="4003FF8E" w14:textId="77777777" w:rsidR="009F5ACC" w:rsidRDefault="009F5ACC" w:rsidP="00FF7EBB">
      <w:pPr>
        <w:jc w:val="both"/>
        <w:rPr>
          <w:sz w:val="24"/>
          <w:szCs w:val="24"/>
        </w:rPr>
      </w:pPr>
    </w:p>
    <w:p w14:paraId="00284BC1" w14:textId="77777777" w:rsidR="009F5ACC" w:rsidRDefault="009F5ACC" w:rsidP="00FF7EBB">
      <w:pPr>
        <w:jc w:val="both"/>
        <w:rPr>
          <w:sz w:val="24"/>
          <w:szCs w:val="24"/>
        </w:rPr>
      </w:pPr>
    </w:p>
    <w:p w14:paraId="7B7391CD" w14:textId="77777777" w:rsidR="009F5ACC" w:rsidRPr="008B28E7" w:rsidRDefault="009F5ACC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14F77C82" w14:textId="77777777" w:rsidR="00F905FE" w:rsidRDefault="00F905FE" w:rsidP="00FC0334">
            <w:pPr>
              <w:jc w:val="both"/>
              <w:rPr>
                <w:sz w:val="24"/>
                <w:szCs w:val="24"/>
              </w:rPr>
            </w:pPr>
          </w:p>
          <w:p w14:paraId="462A001C" w14:textId="77777777" w:rsidR="00F905FE" w:rsidRDefault="00F905FE" w:rsidP="00F905FE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6E943108" w14:textId="77777777" w:rsidR="00F905FE" w:rsidRDefault="00F905FE" w:rsidP="00FC0334">
            <w:pPr>
              <w:jc w:val="both"/>
              <w:rPr>
                <w:sz w:val="24"/>
                <w:szCs w:val="24"/>
              </w:rPr>
            </w:pP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1B69BD8" w14:textId="760AB793" w:rsidR="001D4D03" w:rsidRPr="002639C7" w:rsidRDefault="001D4D03" w:rsidP="001D4D03">
            <w:pPr>
              <w:overflowPunct/>
              <w:autoSpaceDE/>
              <w:autoSpaceDN/>
              <w:adjustRightInd/>
              <w:spacing w:after="160" w:line="480" w:lineRule="auto"/>
              <w:jc w:val="both"/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</w:pP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While the 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Social Services and Well-being (Wales) Act 2014 (SSWBA) introduce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d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parity within adult and children</w:t>
            </w:r>
            <w:r w:rsidR="0086150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’s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safeguarding by introducing the statutory definition of ‘adult at risk’ and aligning the 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categories of abuse </w:t>
            </w:r>
            <w:r w:rsidR="000E5535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between adult and children</w:t>
            </w:r>
            <w:r w:rsidR="0086150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’s</w:t>
            </w:r>
            <w:r w:rsidR="000E5535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safeguarding 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to include neglect, physical, sexual, </w:t>
            </w:r>
            <w:proofErr w:type="gramStart"/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emotional</w:t>
            </w:r>
            <w:proofErr w:type="gramEnd"/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and financial abuse</w:t>
            </w:r>
            <w:r w:rsidR="0058090A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there remain clear differences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.</w:t>
            </w:r>
          </w:p>
          <w:p w14:paraId="2585649E" w14:textId="017E1A6A" w:rsidR="001D4D03" w:rsidRPr="002639C7" w:rsidRDefault="001D4D03" w:rsidP="001D4D03">
            <w:pPr>
              <w:overflowPunct/>
              <w:autoSpaceDE/>
              <w:autoSpaceDN/>
              <w:adjustRightInd/>
              <w:spacing w:after="160" w:line="480" w:lineRule="auto"/>
              <w:jc w:val="both"/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</w:pPr>
            <w:r w:rsidRPr="006F648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The Children Act 1989 directs safeguarding children through Section 47 enquiries. </w:t>
            </w:r>
            <w:r w:rsidR="00EF36EB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During Section 47 enquiries</w:t>
            </w:r>
            <w:r w:rsidR="001D5693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 neither</w:t>
            </w:r>
            <w:r w:rsidR="00EF36EB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the </w:t>
            </w:r>
            <w:r w:rsidRPr="006F648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parents' </w:t>
            </w:r>
            <w:r w:rsidR="00EF36EB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n</w:t>
            </w:r>
            <w:r w:rsidRPr="006F648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or </w:t>
            </w:r>
            <w:r w:rsidR="000678FA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the </w:t>
            </w:r>
            <w:r w:rsidRPr="006F648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child's consent is </w:t>
            </w:r>
            <w:r w:rsidR="000678FA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required</w:t>
            </w:r>
            <w:r w:rsidR="008360AA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;</w:t>
            </w:r>
            <w:r w:rsidR="00EF1AA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the child’s welfare is considered</w:t>
            </w:r>
            <w:r w:rsidRPr="006F648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paramount, and concerns relating to the risk of significant harm </w:t>
            </w:r>
            <w:r w:rsidR="008F0440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initiate</w:t>
            </w:r>
            <w:r w:rsidRPr="006F648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safeguarding responsibilities, with children considered</w:t>
            </w:r>
            <w:r w:rsidR="00116F80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="00031CC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as </w:t>
            </w:r>
            <w:r w:rsidRPr="006F648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vulnerable</w:t>
            </w:r>
            <w:r w:rsidR="001365A2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(Welsh Government, 2025)</w:t>
            </w:r>
            <w:r w:rsidRPr="006F648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.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="008F0440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In compari</w:t>
            </w:r>
            <w:r w:rsidR="00B659A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s</w:t>
            </w:r>
            <w:r w:rsidR="008F0440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on</w:t>
            </w:r>
            <w:r w:rsidR="00881F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="008F0440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="00031CC6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a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dult safeguarding enquir</w:t>
            </w:r>
            <w:r w:rsidR="00AF5BAF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i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es are led under Section 126 of the SSWBA. </w:t>
            </w:r>
            <w:r w:rsidR="006D57B1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The SSWBA </w:t>
            </w:r>
            <w:r w:rsidR="001C6C34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directs</w:t>
            </w:r>
            <w:r w:rsidR="006D57B1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that a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dult s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afeguarding focus</w:t>
            </w:r>
            <w:r w:rsidR="00AF5BAF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es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on a person-</w:t>
            </w:r>
            <w:proofErr w:type="spellStart"/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centred</w:t>
            </w:r>
            <w:proofErr w:type="spellEnd"/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="005B58E0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assessment of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whether the individual is </w:t>
            </w:r>
            <w:r w:rsidR="00131E5F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“</w:t>
            </w:r>
            <w:r w:rsidR="00AF757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experiencing or is 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at risk of abuse or neglect, ha</w:t>
            </w:r>
            <w:r w:rsidR="00AF5BAF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s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care and support needs</w:t>
            </w:r>
            <w:r w:rsidR="0041703E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and </w:t>
            </w:r>
            <w:r w:rsidR="00FD6EEA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is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unable to protect themselves because of these needs</w:t>
            </w:r>
            <w:r w:rsidR="00131E5F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”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, 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with 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Adult Protection and Support Orders </w:t>
            </w:r>
            <w:r w:rsidR="0041703E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used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="00116C5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cautiously </w:t>
            </w:r>
            <w:r w:rsidR="00742AFF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(</w:t>
            </w:r>
            <w:r w:rsidR="00116C5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Williams, 2017)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.</w:t>
            </w:r>
          </w:p>
          <w:p w14:paraId="0971CF41" w14:textId="5C179C51" w:rsidR="001D4D03" w:rsidRPr="002639C7" w:rsidRDefault="001D4D03" w:rsidP="001D4D03">
            <w:pPr>
              <w:overflowPunct/>
              <w:autoSpaceDE/>
              <w:autoSpaceDN/>
              <w:adjustRightInd/>
              <w:spacing w:after="160" w:line="480" w:lineRule="auto"/>
              <w:jc w:val="both"/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</w:pP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The key </w:t>
            </w:r>
            <w:r w:rsidR="005B58E0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element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in adult safeguarding is individual autonomy and capacity to consent</w:t>
            </w:r>
            <w:r w:rsidR="0041703E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="00D64F9D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as identified under the Mental Capacity Act</w:t>
            </w:r>
            <w:r w:rsidR="007D668D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(</w:t>
            </w:r>
            <w:r w:rsidR="00D64F9D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2005</w:t>
            </w:r>
            <w:r w:rsidR="007D668D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)</w:t>
            </w:r>
            <w:r w:rsidR="00D64F9D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, </w:t>
            </w:r>
            <w:r w:rsidR="00C65005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with all adults having the </w:t>
            </w:r>
            <w:r w:rsidR="00881F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r</w:t>
            </w:r>
            <w:r w:rsidR="00C65005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ight to make ‘unwise </w:t>
            </w:r>
            <w:proofErr w:type="gramStart"/>
            <w:r w:rsidR="00C65005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decisions</w:t>
            </w:r>
            <w:r w:rsidR="00382A5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’</w:t>
            </w:r>
            <w:proofErr w:type="gramEnd"/>
            <w:r w:rsidR="00C65005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.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The guiding principles of the Mental 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Capacity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Act </w:t>
            </w:r>
            <w:r w:rsidR="007D668D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(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2005</w:t>
            </w:r>
            <w:r w:rsidR="007D668D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)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include empowerment, least restrictive </w:t>
            </w:r>
            <w:r w:rsidR="00862CDF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interventions,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and the presumption of capacity. The Act ensures that unless it is established that an adult lacks capacity, they have the autonomy to consent or withhold 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lastRenderedPageBreak/>
              <w:t xml:space="preserve">consent. </w:t>
            </w:r>
            <w:r w:rsidR="00BC2F1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Braye et al. (2015) posit that capacity and individual rights create ambiguity </w:t>
            </w:r>
            <w:r w:rsidR="00BC2F13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regarding</w:t>
            </w:r>
            <w:r w:rsidR="00BC2F1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safeguarding</w:t>
            </w:r>
            <w:r w:rsidR="00BC2F13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.</w:t>
            </w:r>
          </w:p>
          <w:p w14:paraId="6E289986" w14:textId="7F0185BB" w:rsidR="001D4D03" w:rsidRPr="002639C7" w:rsidRDefault="00D73653" w:rsidP="001D4D03">
            <w:pPr>
              <w:overflowPunct/>
              <w:autoSpaceDE/>
              <w:autoSpaceDN/>
              <w:adjustRightInd/>
              <w:spacing w:after="160" w:line="480" w:lineRule="auto"/>
              <w:jc w:val="both"/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</w:pP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As children develop and grow</w:t>
            </w:r>
            <w:r w:rsidR="00862CDF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t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he concept of capacity is also a consideration</w:t>
            </w:r>
            <w:r w:rsidR="0079464E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.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="0079464E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This means 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it is important to consider their wishes and feelings and </w:t>
            </w:r>
            <w:r w:rsidR="00F83070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their 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right to be involved in decision</w:t>
            </w:r>
            <w:r w:rsidR="006A75B5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-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making (NSPCC, 2022). Gillick Competency and Fraser Guidelines are legal principles established by caselaw in 1985</w:t>
            </w:r>
            <w:r w:rsidR="000161B1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(NSPCC, 2022)</w:t>
            </w:r>
            <w:r w:rsidR="00547309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.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Fraser Guidelines </w:t>
            </w:r>
            <w:r w:rsidR="00F26B4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provide guidance 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on contraception and sexual health</w:t>
            </w:r>
            <w:r w:rsidR="002A1A6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="00D77324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while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Gillick Competency is used </w:t>
            </w:r>
            <w:r w:rsidR="00D77324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to 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assess whether children have</w:t>
            </w:r>
            <w:r w:rsidR="00B94FFF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the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maturity and understanding</w:t>
            </w:r>
            <w:r w:rsidR="00D77324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about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the </w:t>
            </w:r>
            <w:r w:rsidR="00D77324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consequences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</w:t>
            </w:r>
            <w:r w:rsidR="002A1A6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of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their decision</w:t>
            </w:r>
            <w:r w:rsidR="002A1A6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-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making (NSPCC, 2022). In assessing competence</w:t>
            </w:r>
            <w:r w:rsidR="007A5803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age, maturity</w:t>
            </w:r>
            <w:r w:rsidR="007A5803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and capacity must be considered</w:t>
            </w:r>
            <w:r w:rsidR="007A5803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;</w:t>
            </w:r>
            <w:r w:rsidR="001D4D03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however, i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f there is a risk to the child’s well-being</w:t>
            </w:r>
            <w:r w:rsidR="004B33D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safeguarding procedures </w:t>
            </w:r>
            <w:r w:rsidR="004B3CF0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take precedence over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their decision</w:t>
            </w:r>
            <w:r w:rsidR="004B33D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-</w:t>
            </w:r>
            <w:r w:rsidR="001D4D03"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making.</w:t>
            </w:r>
          </w:p>
          <w:p w14:paraId="26968A44" w14:textId="791B7A7C" w:rsidR="001D4D03" w:rsidRPr="002639C7" w:rsidRDefault="001D4D03" w:rsidP="001D4D03">
            <w:pPr>
              <w:overflowPunct/>
              <w:autoSpaceDE/>
              <w:autoSpaceDN/>
              <w:adjustRightInd/>
              <w:spacing w:after="160" w:line="480" w:lineRule="auto"/>
              <w:jc w:val="both"/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</w:pP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Compared to Safeguarding Children</w:t>
            </w:r>
            <w:r w:rsidR="004B33D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where thresholds and procedures 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are 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defined under the Children Act 1989 and SSWBA, uncertainties surround adult safeguarding</w:t>
            </w:r>
            <w:r w:rsidR="009F3150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. </w:t>
            </w:r>
            <w:r w:rsidR="00A978A1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Specifically, 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the capacity to consent</w:t>
            </w:r>
            <w:r w:rsidR="00D674DF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unreported abuse, </w:t>
            </w:r>
            <w:r w:rsidR="000D3C93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unclear evidence of 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abuse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and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differences in multi-agency thresholds and professional judgment 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(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SCIE</w:t>
            </w:r>
            <w:r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, 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2018). </w:t>
            </w:r>
            <w:r w:rsidR="000D3C93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Additionally, t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here are limited </w:t>
            </w:r>
            <w:r w:rsidR="0003574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circumstances in which 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the law will intervene in adult safeguarding by detaining adults under the Mental Health Act 1983</w:t>
            </w:r>
            <w:r w:rsidR="00A51B75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(</w:t>
            </w:r>
            <w:r w:rsidR="00F1787E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Mason</w:t>
            </w:r>
            <w:r w:rsidR="00F733A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et al.</w:t>
            </w:r>
            <w:r w:rsidR="0097570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</w:t>
            </w:r>
            <w:r w:rsidR="00F733AC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 xml:space="preserve"> 2025)</w:t>
            </w: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, whereas Family Courts will grant protective orders if the threshold of significant harm is met.</w:t>
            </w:r>
          </w:p>
          <w:p w14:paraId="78430B6C" w14:textId="21A3FA7C" w:rsidR="001D4D03" w:rsidRPr="002639C7" w:rsidRDefault="001D4D03" w:rsidP="001D4D03">
            <w:pPr>
              <w:overflowPunct/>
              <w:autoSpaceDE/>
              <w:autoSpaceDN/>
              <w:adjustRightInd/>
              <w:spacing w:after="160" w:line="480" w:lineRule="auto"/>
              <w:jc w:val="both"/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</w:pPr>
            <w:r w:rsidRPr="002639C7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Word count: 4</w:t>
            </w:r>
            <w:r w:rsidR="00FC0AB2">
              <w:rPr>
                <w:rFonts w:eastAsiaTheme="minorHAnsi"/>
                <w:color w:val="auto"/>
                <w:kern w:val="2"/>
                <w:sz w:val="24"/>
                <w:szCs w:val="24"/>
                <w:lang w:val="en-US" w:eastAsia="en-US"/>
                <w14:ligatures w14:val="standardContextual"/>
              </w:rPr>
              <w:t>40</w:t>
            </w:r>
          </w:p>
          <w:p w14:paraId="04285720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AA3081F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8760B3D" w14:textId="77777777" w:rsidR="00FC0334" w:rsidRPr="006108C9" w:rsidRDefault="00FC0334" w:rsidP="00F905FE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287EF4" w14:textId="77777777" w:rsidR="00093FFA" w:rsidRDefault="00093FFA">
      <w:r>
        <w:separator/>
      </w:r>
    </w:p>
  </w:endnote>
  <w:endnote w:type="continuationSeparator" w:id="0">
    <w:p w14:paraId="05BB6A15" w14:textId="77777777" w:rsidR="00093FFA" w:rsidRDefault="00093F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1584E3" w14:textId="77777777" w:rsidR="00093FFA" w:rsidRDefault="00093FFA">
      <w:r>
        <w:separator/>
      </w:r>
    </w:p>
  </w:footnote>
  <w:footnote w:type="continuationSeparator" w:id="0">
    <w:p w14:paraId="7D4F8FD4" w14:textId="77777777" w:rsidR="00093FFA" w:rsidRDefault="00093F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F6E"/>
    <w:rsid w:val="00012B16"/>
    <w:rsid w:val="000161B1"/>
    <w:rsid w:val="00020EEC"/>
    <w:rsid w:val="0002440E"/>
    <w:rsid w:val="0002759A"/>
    <w:rsid w:val="00027B1F"/>
    <w:rsid w:val="0003088B"/>
    <w:rsid w:val="00031CC6"/>
    <w:rsid w:val="000325D9"/>
    <w:rsid w:val="0003574C"/>
    <w:rsid w:val="00035ABC"/>
    <w:rsid w:val="000372B2"/>
    <w:rsid w:val="0004079F"/>
    <w:rsid w:val="00040FEE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678F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3FFA"/>
    <w:rsid w:val="0009488C"/>
    <w:rsid w:val="00095C1B"/>
    <w:rsid w:val="00096DEA"/>
    <w:rsid w:val="000A4240"/>
    <w:rsid w:val="000A469A"/>
    <w:rsid w:val="000A4B62"/>
    <w:rsid w:val="000A5812"/>
    <w:rsid w:val="000A584A"/>
    <w:rsid w:val="000A6458"/>
    <w:rsid w:val="000C076E"/>
    <w:rsid w:val="000C378F"/>
    <w:rsid w:val="000C6892"/>
    <w:rsid w:val="000C6FFE"/>
    <w:rsid w:val="000D0BB6"/>
    <w:rsid w:val="000D1409"/>
    <w:rsid w:val="000D2ED2"/>
    <w:rsid w:val="000D3C93"/>
    <w:rsid w:val="000D6653"/>
    <w:rsid w:val="000E0D51"/>
    <w:rsid w:val="000E26B0"/>
    <w:rsid w:val="000E37C2"/>
    <w:rsid w:val="000E38C3"/>
    <w:rsid w:val="000E5535"/>
    <w:rsid w:val="000F1599"/>
    <w:rsid w:val="000F1769"/>
    <w:rsid w:val="000F1A97"/>
    <w:rsid w:val="000F42AE"/>
    <w:rsid w:val="000F6196"/>
    <w:rsid w:val="000F6BC3"/>
    <w:rsid w:val="000F6EAD"/>
    <w:rsid w:val="00100C1D"/>
    <w:rsid w:val="0010312C"/>
    <w:rsid w:val="00105026"/>
    <w:rsid w:val="0010662B"/>
    <w:rsid w:val="00106DC7"/>
    <w:rsid w:val="00112391"/>
    <w:rsid w:val="00114F52"/>
    <w:rsid w:val="00116C5C"/>
    <w:rsid w:val="00116F80"/>
    <w:rsid w:val="001279B2"/>
    <w:rsid w:val="00130119"/>
    <w:rsid w:val="00131E5F"/>
    <w:rsid w:val="00132812"/>
    <w:rsid w:val="001347F8"/>
    <w:rsid w:val="0013510A"/>
    <w:rsid w:val="001359EE"/>
    <w:rsid w:val="001365A2"/>
    <w:rsid w:val="00137BB5"/>
    <w:rsid w:val="00137E05"/>
    <w:rsid w:val="001447F6"/>
    <w:rsid w:val="00147DE3"/>
    <w:rsid w:val="00150794"/>
    <w:rsid w:val="00151DA6"/>
    <w:rsid w:val="001608C4"/>
    <w:rsid w:val="0016232C"/>
    <w:rsid w:val="00164832"/>
    <w:rsid w:val="00171418"/>
    <w:rsid w:val="001772BF"/>
    <w:rsid w:val="001772DE"/>
    <w:rsid w:val="001775E7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C6C34"/>
    <w:rsid w:val="001D229F"/>
    <w:rsid w:val="001D4D03"/>
    <w:rsid w:val="001D5693"/>
    <w:rsid w:val="001E2EB6"/>
    <w:rsid w:val="001E5E39"/>
    <w:rsid w:val="001F4552"/>
    <w:rsid w:val="002011A2"/>
    <w:rsid w:val="002019EB"/>
    <w:rsid w:val="00204B58"/>
    <w:rsid w:val="00205051"/>
    <w:rsid w:val="002073C7"/>
    <w:rsid w:val="00211F65"/>
    <w:rsid w:val="00214047"/>
    <w:rsid w:val="00216563"/>
    <w:rsid w:val="0021792F"/>
    <w:rsid w:val="00217A4A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5303F"/>
    <w:rsid w:val="00254E52"/>
    <w:rsid w:val="00260663"/>
    <w:rsid w:val="002657E9"/>
    <w:rsid w:val="0026665E"/>
    <w:rsid w:val="0027147E"/>
    <w:rsid w:val="00275E01"/>
    <w:rsid w:val="002761F4"/>
    <w:rsid w:val="002775E1"/>
    <w:rsid w:val="00277979"/>
    <w:rsid w:val="00277CC6"/>
    <w:rsid w:val="00291ADD"/>
    <w:rsid w:val="002920DF"/>
    <w:rsid w:val="00292F3D"/>
    <w:rsid w:val="00295CA1"/>
    <w:rsid w:val="002A0E51"/>
    <w:rsid w:val="002A1A44"/>
    <w:rsid w:val="002A1A6C"/>
    <w:rsid w:val="002A291A"/>
    <w:rsid w:val="002A2C54"/>
    <w:rsid w:val="002A4E2E"/>
    <w:rsid w:val="002A5604"/>
    <w:rsid w:val="002A5BE6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63B"/>
    <w:rsid w:val="002D6B31"/>
    <w:rsid w:val="002E0387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16E9C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2A5C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B5134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567A"/>
    <w:rsid w:val="003F67A4"/>
    <w:rsid w:val="00400786"/>
    <w:rsid w:val="00401FDA"/>
    <w:rsid w:val="004046F0"/>
    <w:rsid w:val="0040668F"/>
    <w:rsid w:val="00411EF7"/>
    <w:rsid w:val="00412677"/>
    <w:rsid w:val="0041703E"/>
    <w:rsid w:val="00425160"/>
    <w:rsid w:val="00430DE3"/>
    <w:rsid w:val="004348AE"/>
    <w:rsid w:val="004376C0"/>
    <w:rsid w:val="0044223A"/>
    <w:rsid w:val="004433ED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374F"/>
    <w:rsid w:val="004968E2"/>
    <w:rsid w:val="004A2A49"/>
    <w:rsid w:val="004A5A64"/>
    <w:rsid w:val="004B33D7"/>
    <w:rsid w:val="004B3CF0"/>
    <w:rsid w:val="004B3EB5"/>
    <w:rsid w:val="004B5553"/>
    <w:rsid w:val="004B600B"/>
    <w:rsid w:val="004B6822"/>
    <w:rsid w:val="004B69F6"/>
    <w:rsid w:val="004C2D3A"/>
    <w:rsid w:val="004D03C4"/>
    <w:rsid w:val="004D0BF1"/>
    <w:rsid w:val="004D0F4E"/>
    <w:rsid w:val="004D11B3"/>
    <w:rsid w:val="004D3278"/>
    <w:rsid w:val="004D35A4"/>
    <w:rsid w:val="004D445F"/>
    <w:rsid w:val="004D76C9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1FC6"/>
    <w:rsid w:val="0052250B"/>
    <w:rsid w:val="005305C6"/>
    <w:rsid w:val="00540EEC"/>
    <w:rsid w:val="005414F4"/>
    <w:rsid w:val="00546187"/>
    <w:rsid w:val="00547309"/>
    <w:rsid w:val="00547B11"/>
    <w:rsid w:val="0055750F"/>
    <w:rsid w:val="00557D77"/>
    <w:rsid w:val="00562EAA"/>
    <w:rsid w:val="00563B58"/>
    <w:rsid w:val="005640C4"/>
    <w:rsid w:val="0056684C"/>
    <w:rsid w:val="00574A0C"/>
    <w:rsid w:val="0057780F"/>
    <w:rsid w:val="0058090A"/>
    <w:rsid w:val="00581E0A"/>
    <w:rsid w:val="0058272B"/>
    <w:rsid w:val="00586D89"/>
    <w:rsid w:val="005877C8"/>
    <w:rsid w:val="00587923"/>
    <w:rsid w:val="00594F9F"/>
    <w:rsid w:val="005A1B4C"/>
    <w:rsid w:val="005A545C"/>
    <w:rsid w:val="005B271A"/>
    <w:rsid w:val="005B3A2D"/>
    <w:rsid w:val="005B58E0"/>
    <w:rsid w:val="005C005B"/>
    <w:rsid w:val="005C1567"/>
    <w:rsid w:val="005C28D3"/>
    <w:rsid w:val="005C6CE5"/>
    <w:rsid w:val="005D3F07"/>
    <w:rsid w:val="005D4A1E"/>
    <w:rsid w:val="005D4F72"/>
    <w:rsid w:val="005E061B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2785E"/>
    <w:rsid w:val="0063005C"/>
    <w:rsid w:val="006326D1"/>
    <w:rsid w:val="00632E0A"/>
    <w:rsid w:val="00633165"/>
    <w:rsid w:val="0063739A"/>
    <w:rsid w:val="006447DE"/>
    <w:rsid w:val="00644889"/>
    <w:rsid w:val="0065276E"/>
    <w:rsid w:val="00654329"/>
    <w:rsid w:val="00654CEC"/>
    <w:rsid w:val="00654D93"/>
    <w:rsid w:val="00655507"/>
    <w:rsid w:val="00657619"/>
    <w:rsid w:val="006579FD"/>
    <w:rsid w:val="006635E3"/>
    <w:rsid w:val="006669F3"/>
    <w:rsid w:val="006712A7"/>
    <w:rsid w:val="00671AE1"/>
    <w:rsid w:val="00672CED"/>
    <w:rsid w:val="00674FC2"/>
    <w:rsid w:val="006756BC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A75B5"/>
    <w:rsid w:val="006B4496"/>
    <w:rsid w:val="006B5E67"/>
    <w:rsid w:val="006B6612"/>
    <w:rsid w:val="006C297A"/>
    <w:rsid w:val="006C2EB5"/>
    <w:rsid w:val="006C43B2"/>
    <w:rsid w:val="006D18A3"/>
    <w:rsid w:val="006D345B"/>
    <w:rsid w:val="006D57B1"/>
    <w:rsid w:val="006D5970"/>
    <w:rsid w:val="006E481E"/>
    <w:rsid w:val="006E795F"/>
    <w:rsid w:val="006F0862"/>
    <w:rsid w:val="006F1438"/>
    <w:rsid w:val="006F2004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355C"/>
    <w:rsid w:val="00734809"/>
    <w:rsid w:val="0073714E"/>
    <w:rsid w:val="007374EF"/>
    <w:rsid w:val="007406E1"/>
    <w:rsid w:val="00742AFF"/>
    <w:rsid w:val="00743E40"/>
    <w:rsid w:val="00745016"/>
    <w:rsid w:val="00747550"/>
    <w:rsid w:val="0075031F"/>
    <w:rsid w:val="00751263"/>
    <w:rsid w:val="007544FC"/>
    <w:rsid w:val="00755427"/>
    <w:rsid w:val="007559AC"/>
    <w:rsid w:val="00756548"/>
    <w:rsid w:val="0075673A"/>
    <w:rsid w:val="0075704F"/>
    <w:rsid w:val="00763B2D"/>
    <w:rsid w:val="00764C84"/>
    <w:rsid w:val="007710AD"/>
    <w:rsid w:val="00772924"/>
    <w:rsid w:val="0078102B"/>
    <w:rsid w:val="0078112D"/>
    <w:rsid w:val="007820B0"/>
    <w:rsid w:val="00784E34"/>
    <w:rsid w:val="007872F2"/>
    <w:rsid w:val="007873F9"/>
    <w:rsid w:val="007908E0"/>
    <w:rsid w:val="00793EB3"/>
    <w:rsid w:val="00794205"/>
    <w:rsid w:val="0079422A"/>
    <w:rsid w:val="0079464E"/>
    <w:rsid w:val="007A1F6A"/>
    <w:rsid w:val="007A5064"/>
    <w:rsid w:val="007A5803"/>
    <w:rsid w:val="007A628F"/>
    <w:rsid w:val="007A6C5F"/>
    <w:rsid w:val="007B052F"/>
    <w:rsid w:val="007B0DE3"/>
    <w:rsid w:val="007B1BFD"/>
    <w:rsid w:val="007B7191"/>
    <w:rsid w:val="007C1D94"/>
    <w:rsid w:val="007C556F"/>
    <w:rsid w:val="007C5ABE"/>
    <w:rsid w:val="007C6910"/>
    <w:rsid w:val="007C6A87"/>
    <w:rsid w:val="007D0A07"/>
    <w:rsid w:val="007D0F11"/>
    <w:rsid w:val="007D133D"/>
    <w:rsid w:val="007D3EB4"/>
    <w:rsid w:val="007D3F16"/>
    <w:rsid w:val="007D668D"/>
    <w:rsid w:val="007F0144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0AA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1506"/>
    <w:rsid w:val="008622F7"/>
    <w:rsid w:val="00862CDF"/>
    <w:rsid w:val="00865B58"/>
    <w:rsid w:val="00866B50"/>
    <w:rsid w:val="00867A63"/>
    <w:rsid w:val="008708F1"/>
    <w:rsid w:val="00871353"/>
    <w:rsid w:val="00871960"/>
    <w:rsid w:val="0087369F"/>
    <w:rsid w:val="00880539"/>
    <w:rsid w:val="00881FC7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71F"/>
    <w:rsid w:val="008B07DE"/>
    <w:rsid w:val="008B1309"/>
    <w:rsid w:val="008B28E7"/>
    <w:rsid w:val="008B6111"/>
    <w:rsid w:val="008B67F6"/>
    <w:rsid w:val="008B682B"/>
    <w:rsid w:val="008C14C7"/>
    <w:rsid w:val="008C2FFB"/>
    <w:rsid w:val="008C633F"/>
    <w:rsid w:val="008C6EEA"/>
    <w:rsid w:val="008C771B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20FE"/>
    <w:rsid w:val="008E2433"/>
    <w:rsid w:val="008E3195"/>
    <w:rsid w:val="008E5A35"/>
    <w:rsid w:val="008F0440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B05"/>
    <w:rsid w:val="00926C53"/>
    <w:rsid w:val="0093018C"/>
    <w:rsid w:val="00931FE1"/>
    <w:rsid w:val="0094495F"/>
    <w:rsid w:val="00952BD4"/>
    <w:rsid w:val="00953C1F"/>
    <w:rsid w:val="009544C0"/>
    <w:rsid w:val="00954FA4"/>
    <w:rsid w:val="00956AE9"/>
    <w:rsid w:val="00964CC6"/>
    <w:rsid w:val="00967BFA"/>
    <w:rsid w:val="0097570C"/>
    <w:rsid w:val="00976D7A"/>
    <w:rsid w:val="0098262C"/>
    <w:rsid w:val="0098329B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82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084B"/>
    <w:rsid w:val="009E122F"/>
    <w:rsid w:val="009E1982"/>
    <w:rsid w:val="009E4D2C"/>
    <w:rsid w:val="009F0978"/>
    <w:rsid w:val="009F3150"/>
    <w:rsid w:val="009F389F"/>
    <w:rsid w:val="009F3AEC"/>
    <w:rsid w:val="009F50F7"/>
    <w:rsid w:val="009F5ACC"/>
    <w:rsid w:val="009F6801"/>
    <w:rsid w:val="00A00081"/>
    <w:rsid w:val="00A02747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1B75"/>
    <w:rsid w:val="00A54D67"/>
    <w:rsid w:val="00A55A3F"/>
    <w:rsid w:val="00A5656A"/>
    <w:rsid w:val="00A60103"/>
    <w:rsid w:val="00A61048"/>
    <w:rsid w:val="00A652F6"/>
    <w:rsid w:val="00A65861"/>
    <w:rsid w:val="00A732EA"/>
    <w:rsid w:val="00A7489E"/>
    <w:rsid w:val="00A8015F"/>
    <w:rsid w:val="00A82BAE"/>
    <w:rsid w:val="00A85039"/>
    <w:rsid w:val="00A906AA"/>
    <w:rsid w:val="00A94C5E"/>
    <w:rsid w:val="00A978A1"/>
    <w:rsid w:val="00AA252C"/>
    <w:rsid w:val="00AA666E"/>
    <w:rsid w:val="00AA7960"/>
    <w:rsid w:val="00AB5518"/>
    <w:rsid w:val="00AB625A"/>
    <w:rsid w:val="00AC3A0E"/>
    <w:rsid w:val="00AC4A04"/>
    <w:rsid w:val="00AC5679"/>
    <w:rsid w:val="00AD336F"/>
    <w:rsid w:val="00AD60B7"/>
    <w:rsid w:val="00AE134C"/>
    <w:rsid w:val="00AE1868"/>
    <w:rsid w:val="00AE2564"/>
    <w:rsid w:val="00AE301F"/>
    <w:rsid w:val="00AE3302"/>
    <w:rsid w:val="00AE446A"/>
    <w:rsid w:val="00AE5BA6"/>
    <w:rsid w:val="00AE6231"/>
    <w:rsid w:val="00AE7077"/>
    <w:rsid w:val="00AF5BAF"/>
    <w:rsid w:val="00AF61C2"/>
    <w:rsid w:val="00AF6CC6"/>
    <w:rsid w:val="00AF757C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61A4"/>
    <w:rsid w:val="00B47734"/>
    <w:rsid w:val="00B50FBA"/>
    <w:rsid w:val="00B558EB"/>
    <w:rsid w:val="00B577D3"/>
    <w:rsid w:val="00B60466"/>
    <w:rsid w:val="00B6548F"/>
    <w:rsid w:val="00B659AC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4FFF"/>
    <w:rsid w:val="00B9689A"/>
    <w:rsid w:val="00B97056"/>
    <w:rsid w:val="00BA531E"/>
    <w:rsid w:val="00BA728B"/>
    <w:rsid w:val="00BB06CB"/>
    <w:rsid w:val="00BB1112"/>
    <w:rsid w:val="00BB261F"/>
    <w:rsid w:val="00BB2887"/>
    <w:rsid w:val="00BB3B56"/>
    <w:rsid w:val="00BB5EAA"/>
    <w:rsid w:val="00BB5F11"/>
    <w:rsid w:val="00BB60BB"/>
    <w:rsid w:val="00BB6638"/>
    <w:rsid w:val="00BB7FD2"/>
    <w:rsid w:val="00BC04FA"/>
    <w:rsid w:val="00BC1C22"/>
    <w:rsid w:val="00BC2F13"/>
    <w:rsid w:val="00BC460B"/>
    <w:rsid w:val="00BC4ED3"/>
    <w:rsid w:val="00BC5725"/>
    <w:rsid w:val="00BD30B1"/>
    <w:rsid w:val="00BD5CFF"/>
    <w:rsid w:val="00BE0F7B"/>
    <w:rsid w:val="00BE10C2"/>
    <w:rsid w:val="00BF0D6C"/>
    <w:rsid w:val="00BF16B3"/>
    <w:rsid w:val="00BF5D06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0AC0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005"/>
    <w:rsid w:val="00C657F4"/>
    <w:rsid w:val="00C65921"/>
    <w:rsid w:val="00C7108B"/>
    <w:rsid w:val="00C75883"/>
    <w:rsid w:val="00C77FA5"/>
    <w:rsid w:val="00C8089F"/>
    <w:rsid w:val="00C82C10"/>
    <w:rsid w:val="00C835FE"/>
    <w:rsid w:val="00C836CC"/>
    <w:rsid w:val="00C852D6"/>
    <w:rsid w:val="00C87A74"/>
    <w:rsid w:val="00C90D33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725"/>
    <w:rsid w:val="00CD5D3F"/>
    <w:rsid w:val="00CD6179"/>
    <w:rsid w:val="00CD689F"/>
    <w:rsid w:val="00CD7E1F"/>
    <w:rsid w:val="00CE4BC4"/>
    <w:rsid w:val="00CE7DA2"/>
    <w:rsid w:val="00CF2F8A"/>
    <w:rsid w:val="00CF3DB3"/>
    <w:rsid w:val="00CF76E4"/>
    <w:rsid w:val="00D003C4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444B"/>
    <w:rsid w:val="00D55DE0"/>
    <w:rsid w:val="00D56607"/>
    <w:rsid w:val="00D607EF"/>
    <w:rsid w:val="00D60F88"/>
    <w:rsid w:val="00D646BD"/>
    <w:rsid w:val="00D64F9D"/>
    <w:rsid w:val="00D65558"/>
    <w:rsid w:val="00D674DF"/>
    <w:rsid w:val="00D71201"/>
    <w:rsid w:val="00D720C7"/>
    <w:rsid w:val="00D73653"/>
    <w:rsid w:val="00D77324"/>
    <w:rsid w:val="00D82502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5D5C"/>
    <w:rsid w:val="00DD63BE"/>
    <w:rsid w:val="00DE4296"/>
    <w:rsid w:val="00DE6CB7"/>
    <w:rsid w:val="00DF017C"/>
    <w:rsid w:val="00DF2469"/>
    <w:rsid w:val="00DF7899"/>
    <w:rsid w:val="00E0524C"/>
    <w:rsid w:val="00E15751"/>
    <w:rsid w:val="00E17160"/>
    <w:rsid w:val="00E17D41"/>
    <w:rsid w:val="00E231D1"/>
    <w:rsid w:val="00E3288D"/>
    <w:rsid w:val="00E339A7"/>
    <w:rsid w:val="00E35112"/>
    <w:rsid w:val="00E35BEC"/>
    <w:rsid w:val="00E41A6A"/>
    <w:rsid w:val="00E50821"/>
    <w:rsid w:val="00E51387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8F0"/>
    <w:rsid w:val="00E76F60"/>
    <w:rsid w:val="00E812B5"/>
    <w:rsid w:val="00E83D90"/>
    <w:rsid w:val="00E83F91"/>
    <w:rsid w:val="00E86299"/>
    <w:rsid w:val="00E873E2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3500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4CF2"/>
    <w:rsid w:val="00EE52AD"/>
    <w:rsid w:val="00EE5BC3"/>
    <w:rsid w:val="00EE63D8"/>
    <w:rsid w:val="00EE6FAB"/>
    <w:rsid w:val="00EF1AA6"/>
    <w:rsid w:val="00EF328C"/>
    <w:rsid w:val="00EF36EB"/>
    <w:rsid w:val="00EF68BB"/>
    <w:rsid w:val="00F01F92"/>
    <w:rsid w:val="00F030D4"/>
    <w:rsid w:val="00F04053"/>
    <w:rsid w:val="00F06573"/>
    <w:rsid w:val="00F10A08"/>
    <w:rsid w:val="00F10F90"/>
    <w:rsid w:val="00F15354"/>
    <w:rsid w:val="00F16832"/>
    <w:rsid w:val="00F1787E"/>
    <w:rsid w:val="00F22AC5"/>
    <w:rsid w:val="00F254D1"/>
    <w:rsid w:val="00F26B4C"/>
    <w:rsid w:val="00F32B82"/>
    <w:rsid w:val="00F34C86"/>
    <w:rsid w:val="00F4043E"/>
    <w:rsid w:val="00F41795"/>
    <w:rsid w:val="00F41BBC"/>
    <w:rsid w:val="00F41C56"/>
    <w:rsid w:val="00F444F0"/>
    <w:rsid w:val="00F446FF"/>
    <w:rsid w:val="00F45521"/>
    <w:rsid w:val="00F45567"/>
    <w:rsid w:val="00F50847"/>
    <w:rsid w:val="00F53F27"/>
    <w:rsid w:val="00F546D1"/>
    <w:rsid w:val="00F60281"/>
    <w:rsid w:val="00F66272"/>
    <w:rsid w:val="00F709C0"/>
    <w:rsid w:val="00F733AC"/>
    <w:rsid w:val="00F81FEC"/>
    <w:rsid w:val="00F83070"/>
    <w:rsid w:val="00F905FE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0AB2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D6EEA"/>
    <w:rsid w:val="00FE0C16"/>
    <w:rsid w:val="00FE14B1"/>
    <w:rsid w:val="00FE4D97"/>
    <w:rsid w:val="00FE5F90"/>
    <w:rsid w:val="00FF0070"/>
    <w:rsid w:val="00FF07C3"/>
    <w:rsid w:val="00FF545D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6</Pages>
  <Words>1197</Words>
  <Characters>6881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8062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Rhian Roberts</cp:lastModifiedBy>
  <cp:revision>152</cp:revision>
  <cp:lastPrinted>2020-02-11T19:20:00Z</cp:lastPrinted>
  <dcterms:created xsi:type="dcterms:W3CDTF">2025-12-15T13:55:00Z</dcterms:created>
  <dcterms:modified xsi:type="dcterms:W3CDTF">2026-02-24T07:18:00Z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