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08811" w14:textId="77777777" w:rsidR="00E91A6E" w:rsidRPr="00E91A6E" w:rsidRDefault="00E91A6E" w:rsidP="00E91A6E">
      <w:pPr>
        <w:spacing w:line="480" w:lineRule="auto"/>
        <w:rPr>
          <w:b/>
          <w:bCs/>
          <w:sz w:val="28"/>
          <w:szCs w:val="28"/>
        </w:rPr>
      </w:pPr>
      <w:r w:rsidRPr="00E91A6E">
        <w:rPr>
          <w:b/>
          <w:bCs/>
          <w:sz w:val="28"/>
          <w:szCs w:val="28"/>
        </w:rPr>
        <w:br/>
        <w:t>Student Name: Andrei-Cristian Chicos</w:t>
      </w:r>
      <w:r w:rsidRPr="00E91A6E">
        <w:rPr>
          <w:b/>
          <w:bCs/>
          <w:sz w:val="28"/>
          <w:szCs w:val="28"/>
        </w:rPr>
        <w:br/>
        <w:t>Student Id: 1814116</w:t>
      </w:r>
      <w:r w:rsidRPr="00E91A6E">
        <w:rPr>
          <w:b/>
          <w:bCs/>
          <w:sz w:val="28"/>
          <w:szCs w:val="28"/>
        </w:rPr>
        <w:br/>
        <w:t xml:space="preserve">Programme: BA Business Management </w:t>
      </w:r>
      <w:r w:rsidRPr="00E91A6E">
        <w:rPr>
          <w:b/>
          <w:bCs/>
          <w:sz w:val="28"/>
          <w:szCs w:val="28"/>
        </w:rPr>
        <w:br/>
        <w:t xml:space="preserve">Module: International Financial Management </w:t>
      </w:r>
      <w:r w:rsidRPr="00E91A6E">
        <w:rPr>
          <w:b/>
          <w:bCs/>
          <w:sz w:val="28"/>
          <w:szCs w:val="28"/>
        </w:rPr>
        <w:br/>
        <w:t xml:space="preserve">Module code: LCBB6002 </w:t>
      </w:r>
      <w:r w:rsidRPr="00E91A6E">
        <w:rPr>
          <w:b/>
          <w:bCs/>
          <w:sz w:val="28"/>
          <w:szCs w:val="28"/>
        </w:rPr>
        <w:br/>
        <w:t xml:space="preserve">Contribution to Overall Module Assessment (%): 30% </w:t>
      </w:r>
      <w:r w:rsidRPr="00E91A6E">
        <w:rPr>
          <w:b/>
          <w:bCs/>
          <w:sz w:val="28"/>
          <w:szCs w:val="28"/>
        </w:rPr>
        <w:br/>
        <w:t xml:space="preserve">Module Coordinator/ Lecturer: </w:t>
      </w:r>
      <w:proofErr w:type="spellStart"/>
      <w:r w:rsidRPr="00E91A6E">
        <w:rPr>
          <w:b/>
          <w:bCs/>
          <w:sz w:val="28"/>
          <w:szCs w:val="28"/>
        </w:rPr>
        <w:t>Dr.</w:t>
      </w:r>
      <w:proofErr w:type="spellEnd"/>
      <w:r w:rsidRPr="00E91A6E">
        <w:rPr>
          <w:b/>
          <w:bCs/>
          <w:sz w:val="28"/>
          <w:szCs w:val="28"/>
        </w:rPr>
        <w:t xml:space="preserve"> Taye Timothy </w:t>
      </w:r>
      <w:proofErr w:type="spellStart"/>
      <w:r w:rsidRPr="00E91A6E">
        <w:rPr>
          <w:b/>
          <w:bCs/>
          <w:sz w:val="28"/>
          <w:szCs w:val="28"/>
        </w:rPr>
        <w:t>Osadiya</w:t>
      </w:r>
      <w:proofErr w:type="spellEnd"/>
      <w:r w:rsidRPr="00E91A6E">
        <w:rPr>
          <w:b/>
          <w:bCs/>
          <w:sz w:val="28"/>
          <w:szCs w:val="28"/>
        </w:rPr>
        <w:t xml:space="preserve"> </w:t>
      </w:r>
      <w:r w:rsidRPr="00E91A6E">
        <w:rPr>
          <w:b/>
          <w:bCs/>
          <w:sz w:val="28"/>
          <w:szCs w:val="28"/>
        </w:rPr>
        <w:br/>
        <w:t xml:space="preserve">Internal Verifier: Zainab Atta </w:t>
      </w:r>
      <w:r w:rsidRPr="00E91A6E">
        <w:rPr>
          <w:b/>
          <w:bCs/>
          <w:sz w:val="28"/>
          <w:szCs w:val="28"/>
        </w:rPr>
        <w:br/>
        <w:t xml:space="preserve">Assignment Title: Assessment 1 </w:t>
      </w:r>
      <w:r w:rsidRPr="00E91A6E">
        <w:rPr>
          <w:b/>
          <w:bCs/>
          <w:sz w:val="28"/>
          <w:szCs w:val="28"/>
        </w:rPr>
        <w:br/>
        <w:t>Word count (or equivalent): 1500</w:t>
      </w:r>
    </w:p>
    <w:p w14:paraId="25C0CADF" w14:textId="77777777" w:rsidR="00E91A6E" w:rsidRPr="00E91A6E" w:rsidRDefault="00E91A6E" w:rsidP="00E91A6E">
      <w:pPr>
        <w:spacing w:line="480" w:lineRule="auto"/>
        <w:rPr>
          <w:b/>
          <w:bCs/>
          <w:sz w:val="28"/>
          <w:szCs w:val="28"/>
        </w:rPr>
      </w:pPr>
    </w:p>
    <w:p w14:paraId="7033868E" w14:textId="77777777" w:rsidR="00E91A6E" w:rsidRPr="00E91A6E" w:rsidRDefault="00E91A6E" w:rsidP="00E91A6E">
      <w:pPr>
        <w:spacing w:line="480" w:lineRule="auto"/>
        <w:rPr>
          <w:b/>
          <w:bCs/>
          <w:sz w:val="28"/>
          <w:szCs w:val="28"/>
        </w:rPr>
      </w:pPr>
    </w:p>
    <w:p w14:paraId="03BDE29C" w14:textId="77777777" w:rsidR="00E91A6E" w:rsidRPr="00E91A6E" w:rsidRDefault="00E91A6E" w:rsidP="00E91A6E">
      <w:pPr>
        <w:spacing w:line="360" w:lineRule="auto"/>
        <w:rPr>
          <w:b/>
          <w:bCs/>
          <w:sz w:val="28"/>
          <w:szCs w:val="28"/>
        </w:rPr>
      </w:pPr>
    </w:p>
    <w:p w14:paraId="26AB393D" w14:textId="77777777" w:rsidR="00E91A6E" w:rsidRPr="00E91A6E" w:rsidRDefault="00E91A6E" w:rsidP="00E91A6E">
      <w:pPr>
        <w:rPr>
          <w:b/>
          <w:bCs/>
          <w:sz w:val="28"/>
          <w:szCs w:val="28"/>
        </w:rPr>
      </w:pPr>
      <w:r w:rsidRPr="00E91A6E">
        <w:rPr>
          <w:b/>
          <w:bCs/>
          <w:sz w:val="28"/>
          <w:szCs w:val="28"/>
        </w:rPr>
        <w:br w:type="page"/>
      </w:r>
    </w:p>
    <w:sdt>
      <w:sdtPr>
        <w:rPr>
          <w:rFonts w:asciiTheme="minorHAnsi" w:hAnsiTheme="minorHAnsi" w:cstheme="minorBidi"/>
          <w:sz w:val="22"/>
          <w:szCs w:val="22"/>
        </w:rPr>
        <w:id w:val="7097970"/>
        <w:docPartObj>
          <w:docPartGallery w:val="Table of Contents"/>
          <w:docPartUnique/>
        </w:docPartObj>
      </w:sdtPr>
      <w:sdtEndPr>
        <w:rPr>
          <w:rFonts w:ascii="Times New Roman" w:hAnsi="Times New Roman" w:cs="Times New Roman"/>
          <w:b/>
          <w:bCs/>
          <w:sz w:val="24"/>
          <w:szCs w:val="24"/>
        </w:rPr>
      </w:sdtEndPr>
      <w:sdtContent>
        <w:p w14:paraId="11BFA657" w14:textId="77777777" w:rsidR="00E91A6E" w:rsidRPr="00E91A6E" w:rsidRDefault="00E91A6E" w:rsidP="00E91A6E">
          <w:pPr>
            <w:keepNext/>
            <w:keepLines/>
            <w:spacing w:before="480" w:after="0" w:line="276" w:lineRule="auto"/>
            <w:jc w:val="center"/>
            <w:rPr>
              <w:rFonts w:eastAsiaTheme="majorEastAsia"/>
              <w:b/>
              <w:bCs/>
              <w:sz w:val="28"/>
              <w:szCs w:val="28"/>
              <w:lang w:val="en-US"/>
            </w:rPr>
          </w:pPr>
          <w:r w:rsidRPr="00E91A6E">
            <w:rPr>
              <w:rFonts w:eastAsiaTheme="majorEastAsia"/>
              <w:b/>
              <w:bCs/>
              <w:sz w:val="28"/>
              <w:szCs w:val="28"/>
              <w:lang w:val="en-US"/>
            </w:rPr>
            <w:t>Table of Contents</w:t>
          </w:r>
        </w:p>
        <w:p w14:paraId="005D0E88" w14:textId="77777777" w:rsidR="00E91A6E" w:rsidRPr="00E91A6E" w:rsidRDefault="00E91A6E" w:rsidP="00E91A6E"/>
        <w:p w14:paraId="6A561FD9" w14:textId="26E13D27" w:rsidR="00B52311" w:rsidRDefault="00E91A6E" w:rsidP="00B52311">
          <w:pPr>
            <w:pStyle w:val="TOC1"/>
            <w:rPr>
              <w:rFonts w:asciiTheme="minorHAnsi" w:eastAsiaTheme="minorEastAsia" w:hAnsiTheme="minorHAnsi" w:cstheme="minorBidi"/>
              <w:noProof/>
              <w:sz w:val="22"/>
              <w:szCs w:val="22"/>
              <w:lang w:eastAsia="en-GB"/>
            </w:rPr>
          </w:pPr>
          <w:r w:rsidRPr="00E91A6E">
            <w:rPr>
              <w:b/>
              <w:bCs/>
              <w:lang w:val="en-US"/>
            </w:rPr>
            <w:fldChar w:fldCharType="begin"/>
          </w:r>
          <w:r w:rsidRPr="00E91A6E">
            <w:rPr>
              <w:b/>
              <w:bCs/>
              <w:lang w:val="en-US"/>
            </w:rPr>
            <w:instrText xml:space="preserve"> TOC \o "1-3" \h \z \u </w:instrText>
          </w:r>
          <w:r w:rsidRPr="00E91A6E">
            <w:rPr>
              <w:b/>
              <w:bCs/>
              <w:lang w:val="en-US"/>
            </w:rPr>
            <w:fldChar w:fldCharType="separate"/>
          </w:r>
          <w:hyperlink w:anchor="_Toc102504761" w:history="1">
            <w:r w:rsidR="00B52311" w:rsidRPr="00D449A8">
              <w:rPr>
                <w:rStyle w:val="Hyperlink"/>
                <w:rFonts w:eastAsiaTheme="majorEastAsia" w:cstheme="majorBidi"/>
                <w:b/>
                <w:bCs/>
                <w:noProof/>
                <w:lang w:val="en-US"/>
              </w:rPr>
              <w:t>Introduction</w:t>
            </w:r>
            <w:r w:rsidR="00B52311">
              <w:rPr>
                <w:noProof/>
                <w:webHidden/>
              </w:rPr>
              <w:tab/>
            </w:r>
            <w:r w:rsidR="00B52311">
              <w:rPr>
                <w:noProof/>
                <w:webHidden/>
              </w:rPr>
              <w:fldChar w:fldCharType="begin"/>
            </w:r>
            <w:r w:rsidR="00B52311">
              <w:rPr>
                <w:noProof/>
                <w:webHidden/>
              </w:rPr>
              <w:instrText xml:space="preserve"> PAGEREF _Toc102504761 \h </w:instrText>
            </w:r>
            <w:r w:rsidR="00B52311">
              <w:rPr>
                <w:noProof/>
                <w:webHidden/>
              </w:rPr>
            </w:r>
            <w:r w:rsidR="00B52311">
              <w:rPr>
                <w:noProof/>
                <w:webHidden/>
              </w:rPr>
              <w:fldChar w:fldCharType="separate"/>
            </w:r>
            <w:r w:rsidR="00B52311">
              <w:rPr>
                <w:noProof/>
                <w:webHidden/>
              </w:rPr>
              <w:t>3</w:t>
            </w:r>
            <w:r w:rsidR="00B52311">
              <w:rPr>
                <w:noProof/>
                <w:webHidden/>
              </w:rPr>
              <w:fldChar w:fldCharType="end"/>
            </w:r>
          </w:hyperlink>
        </w:p>
        <w:p w14:paraId="0510C471" w14:textId="11E2657D" w:rsidR="00B52311" w:rsidRDefault="00B52311" w:rsidP="00B52311">
          <w:pPr>
            <w:pStyle w:val="TOC1"/>
            <w:rPr>
              <w:rFonts w:asciiTheme="minorHAnsi" w:eastAsiaTheme="minorEastAsia" w:hAnsiTheme="minorHAnsi" w:cstheme="minorBidi"/>
              <w:noProof/>
              <w:sz w:val="22"/>
              <w:szCs w:val="22"/>
              <w:lang w:eastAsia="en-GB"/>
            </w:rPr>
          </w:pPr>
          <w:hyperlink w:anchor="_Toc102504762" w:history="1">
            <w:r w:rsidRPr="00D449A8">
              <w:rPr>
                <w:rStyle w:val="Hyperlink"/>
                <w:rFonts w:eastAsiaTheme="majorEastAsia" w:cstheme="majorBidi"/>
                <w:b/>
                <w:bCs/>
                <w:noProof/>
                <w:lang w:val="en-US"/>
              </w:rPr>
              <w:t>Importance of international financial management to BP Plc</w:t>
            </w:r>
            <w:r>
              <w:rPr>
                <w:noProof/>
                <w:webHidden/>
              </w:rPr>
              <w:tab/>
            </w:r>
            <w:r>
              <w:rPr>
                <w:noProof/>
                <w:webHidden/>
              </w:rPr>
              <w:fldChar w:fldCharType="begin"/>
            </w:r>
            <w:r>
              <w:rPr>
                <w:noProof/>
                <w:webHidden/>
              </w:rPr>
              <w:instrText xml:space="preserve"> PAGEREF _Toc102504762 \h </w:instrText>
            </w:r>
            <w:r>
              <w:rPr>
                <w:noProof/>
                <w:webHidden/>
              </w:rPr>
            </w:r>
            <w:r>
              <w:rPr>
                <w:noProof/>
                <w:webHidden/>
              </w:rPr>
              <w:fldChar w:fldCharType="separate"/>
            </w:r>
            <w:r>
              <w:rPr>
                <w:noProof/>
                <w:webHidden/>
              </w:rPr>
              <w:t>3</w:t>
            </w:r>
            <w:r>
              <w:rPr>
                <w:noProof/>
                <w:webHidden/>
              </w:rPr>
              <w:fldChar w:fldCharType="end"/>
            </w:r>
          </w:hyperlink>
        </w:p>
        <w:p w14:paraId="6F4CD925" w14:textId="3648A48A" w:rsidR="00B52311" w:rsidRDefault="00B52311" w:rsidP="00B52311">
          <w:pPr>
            <w:pStyle w:val="TOC2"/>
            <w:tabs>
              <w:tab w:val="right" w:leader="dot" w:pos="9016"/>
            </w:tabs>
            <w:spacing w:line="360" w:lineRule="auto"/>
            <w:rPr>
              <w:rFonts w:asciiTheme="minorHAnsi" w:eastAsiaTheme="minorEastAsia" w:hAnsiTheme="minorHAnsi" w:cstheme="minorBidi"/>
              <w:noProof/>
              <w:sz w:val="22"/>
              <w:szCs w:val="22"/>
              <w:lang w:eastAsia="en-GB"/>
            </w:rPr>
          </w:pPr>
          <w:hyperlink w:anchor="_Toc102504763" w:history="1">
            <w:r w:rsidRPr="00D449A8">
              <w:rPr>
                <w:rStyle w:val="Hyperlink"/>
                <w:rFonts w:eastAsiaTheme="majorEastAsia" w:cstheme="majorBidi"/>
                <w:b/>
                <w:bCs/>
                <w:noProof/>
                <w:lang w:val="en-US"/>
              </w:rPr>
              <w:t>Evaluation of BP Plc’s dividend distribution policy</w:t>
            </w:r>
            <w:r>
              <w:rPr>
                <w:noProof/>
                <w:webHidden/>
              </w:rPr>
              <w:tab/>
            </w:r>
            <w:r>
              <w:rPr>
                <w:noProof/>
                <w:webHidden/>
              </w:rPr>
              <w:fldChar w:fldCharType="begin"/>
            </w:r>
            <w:r>
              <w:rPr>
                <w:noProof/>
                <w:webHidden/>
              </w:rPr>
              <w:instrText xml:space="preserve"> PAGEREF _Toc102504763 \h </w:instrText>
            </w:r>
            <w:r>
              <w:rPr>
                <w:noProof/>
                <w:webHidden/>
              </w:rPr>
            </w:r>
            <w:r>
              <w:rPr>
                <w:noProof/>
                <w:webHidden/>
              </w:rPr>
              <w:fldChar w:fldCharType="separate"/>
            </w:r>
            <w:r>
              <w:rPr>
                <w:noProof/>
                <w:webHidden/>
              </w:rPr>
              <w:t>4</w:t>
            </w:r>
            <w:r>
              <w:rPr>
                <w:noProof/>
                <w:webHidden/>
              </w:rPr>
              <w:fldChar w:fldCharType="end"/>
            </w:r>
          </w:hyperlink>
        </w:p>
        <w:p w14:paraId="72336630" w14:textId="3BD8AC7C" w:rsidR="00B52311" w:rsidRDefault="00B52311" w:rsidP="00B52311">
          <w:pPr>
            <w:pStyle w:val="TOC2"/>
            <w:tabs>
              <w:tab w:val="right" w:leader="dot" w:pos="9016"/>
            </w:tabs>
            <w:spacing w:line="360" w:lineRule="auto"/>
            <w:rPr>
              <w:rFonts w:asciiTheme="minorHAnsi" w:eastAsiaTheme="minorEastAsia" w:hAnsiTheme="minorHAnsi" w:cstheme="minorBidi"/>
              <w:noProof/>
              <w:sz w:val="22"/>
              <w:szCs w:val="22"/>
              <w:lang w:eastAsia="en-GB"/>
            </w:rPr>
          </w:pPr>
          <w:hyperlink w:anchor="_Toc102504764" w:history="1">
            <w:r w:rsidRPr="00D449A8">
              <w:rPr>
                <w:rStyle w:val="Hyperlink"/>
                <w:rFonts w:eastAsiaTheme="majorEastAsia" w:cstheme="majorBidi"/>
                <w:b/>
                <w:bCs/>
                <w:noProof/>
                <w:lang w:val="en-US"/>
              </w:rPr>
              <w:t>Efficient market hypothesis theory relative to BP Plc’s operations</w:t>
            </w:r>
            <w:r>
              <w:rPr>
                <w:noProof/>
                <w:webHidden/>
              </w:rPr>
              <w:tab/>
            </w:r>
            <w:r>
              <w:rPr>
                <w:noProof/>
                <w:webHidden/>
              </w:rPr>
              <w:fldChar w:fldCharType="begin"/>
            </w:r>
            <w:r>
              <w:rPr>
                <w:noProof/>
                <w:webHidden/>
              </w:rPr>
              <w:instrText xml:space="preserve"> PAGEREF _Toc102504764 \h </w:instrText>
            </w:r>
            <w:r>
              <w:rPr>
                <w:noProof/>
                <w:webHidden/>
              </w:rPr>
            </w:r>
            <w:r>
              <w:rPr>
                <w:noProof/>
                <w:webHidden/>
              </w:rPr>
              <w:fldChar w:fldCharType="separate"/>
            </w:r>
            <w:r>
              <w:rPr>
                <w:noProof/>
                <w:webHidden/>
              </w:rPr>
              <w:t>5</w:t>
            </w:r>
            <w:r>
              <w:rPr>
                <w:noProof/>
                <w:webHidden/>
              </w:rPr>
              <w:fldChar w:fldCharType="end"/>
            </w:r>
          </w:hyperlink>
        </w:p>
        <w:p w14:paraId="38E4221E" w14:textId="20F864B0" w:rsidR="00B52311" w:rsidRDefault="00B52311" w:rsidP="00B52311">
          <w:pPr>
            <w:pStyle w:val="TOC2"/>
            <w:tabs>
              <w:tab w:val="right" w:leader="dot" w:pos="9016"/>
            </w:tabs>
            <w:spacing w:line="360" w:lineRule="auto"/>
            <w:rPr>
              <w:rFonts w:asciiTheme="minorHAnsi" w:eastAsiaTheme="minorEastAsia" w:hAnsiTheme="minorHAnsi" w:cstheme="minorBidi"/>
              <w:noProof/>
              <w:sz w:val="22"/>
              <w:szCs w:val="22"/>
              <w:lang w:eastAsia="en-GB"/>
            </w:rPr>
          </w:pPr>
          <w:hyperlink w:anchor="_Toc102504765" w:history="1">
            <w:r w:rsidRPr="00D449A8">
              <w:rPr>
                <w:rStyle w:val="Hyperlink"/>
                <w:rFonts w:eastAsiaTheme="majorEastAsia" w:cstheme="majorBidi"/>
                <w:b/>
                <w:bCs/>
                <w:noProof/>
                <w:lang w:val="en-US"/>
              </w:rPr>
              <w:t>Analyzing BP Plc’s methods of appraising projects</w:t>
            </w:r>
            <w:r>
              <w:rPr>
                <w:noProof/>
                <w:webHidden/>
              </w:rPr>
              <w:tab/>
            </w:r>
            <w:r>
              <w:rPr>
                <w:noProof/>
                <w:webHidden/>
              </w:rPr>
              <w:fldChar w:fldCharType="begin"/>
            </w:r>
            <w:r>
              <w:rPr>
                <w:noProof/>
                <w:webHidden/>
              </w:rPr>
              <w:instrText xml:space="preserve"> PAGEREF _Toc102504765 \h </w:instrText>
            </w:r>
            <w:r>
              <w:rPr>
                <w:noProof/>
                <w:webHidden/>
              </w:rPr>
            </w:r>
            <w:r>
              <w:rPr>
                <w:noProof/>
                <w:webHidden/>
              </w:rPr>
              <w:fldChar w:fldCharType="separate"/>
            </w:r>
            <w:r>
              <w:rPr>
                <w:noProof/>
                <w:webHidden/>
              </w:rPr>
              <w:t>5</w:t>
            </w:r>
            <w:r>
              <w:rPr>
                <w:noProof/>
                <w:webHidden/>
              </w:rPr>
              <w:fldChar w:fldCharType="end"/>
            </w:r>
          </w:hyperlink>
        </w:p>
        <w:p w14:paraId="22FDBB48" w14:textId="4F2E804A" w:rsidR="00B52311" w:rsidRDefault="00B52311" w:rsidP="00B52311">
          <w:pPr>
            <w:pStyle w:val="TOC1"/>
            <w:rPr>
              <w:rFonts w:asciiTheme="minorHAnsi" w:eastAsiaTheme="minorEastAsia" w:hAnsiTheme="minorHAnsi" w:cstheme="minorBidi"/>
              <w:noProof/>
              <w:sz w:val="22"/>
              <w:szCs w:val="22"/>
              <w:lang w:eastAsia="en-GB"/>
            </w:rPr>
          </w:pPr>
          <w:hyperlink w:anchor="_Toc102504766" w:history="1">
            <w:r w:rsidRPr="00D449A8">
              <w:rPr>
                <w:rStyle w:val="Hyperlink"/>
                <w:rFonts w:eastAsiaTheme="majorEastAsia" w:cstheme="majorBidi"/>
                <w:b/>
                <w:bCs/>
                <w:noProof/>
                <w:lang w:val="en-US"/>
              </w:rPr>
              <w:t>Challenges that BP Plc may be experiencing relative to diverse international financial markets</w:t>
            </w:r>
            <w:r>
              <w:rPr>
                <w:noProof/>
                <w:webHidden/>
              </w:rPr>
              <w:tab/>
            </w:r>
            <w:r>
              <w:rPr>
                <w:noProof/>
                <w:webHidden/>
              </w:rPr>
              <w:fldChar w:fldCharType="begin"/>
            </w:r>
            <w:r>
              <w:rPr>
                <w:noProof/>
                <w:webHidden/>
              </w:rPr>
              <w:instrText xml:space="preserve"> PAGEREF _Toc102504766 \h </w:instrText>
            </w:r>
            <w:r>
              <w:rPr>
                <w:noProof/>
                <w:webHidden/>
              </w:rPr>
            </w:r>
            <w:r>
              <w:rPr>
                <w:noProof/>
                <w:webHidden/>
              </w:rPr>
              <w:fldChar w:fldCharType="separate"/>
            </w:r>
            <w:r>
              <w:rPr>
                <w:noProof/>
                <w:webHidden/>
              </w:rPr>
              <w:t>6</w:t>
            </w:r>
            <w:r>
              <w:rPr>
                <w:noProof/>
                <w:webHidden/>
              </w:rPr>
              <w:fldChar w:fldCharType="end"/>
            </w:r>
          </w:hyperlink>
        </w:p>
        <w:p w14:paraId="7B067F96" w14:textId="439B0BF4" w:rsidR="00B52311" w:rsidRDefault="00B52311" w:rsidP="00B52311">
          <w:pPr>
            <w:pStyle w:val="TOC1"/>
            <w:rPr>
              <w:rFonts w:asciiTheme="minorHAnsi" w:eastAsiaTheme="minorEastAsia" w:hAnsiTheme="minorHAnsi" w:cstheme="minorBidi"/>
              <w:noProof/>
              <w:sz w:val="22"/>
              <w:szCs w:val="22"/>
              <w:lang w:eastAsia="en-GB"/>
            </w:rPr>
          </w:pPr>
          <w:hyperlink w:anchor="_Toc102504767" w:history="1">
            <w:r w:rsidRPr="00D449A8">
              <w:rPr>
                <w:rStyle w:val="Hyperlink"/>
                <w:rFonts w:eastAsiaTheme="majorEastAsia" w:cstheme="majorBidi"/>
                <w:b/>
                <w:bCs/>
                <w:noProof/>
                <w:lang w:val="en-US"/>
              </w:rPr>
              <w:t>Conclusion</w:t>
            </w:r>
            <w:r>
              <w:rPr>
                <w:noProof/>
                <w:webHidden/>
              </w:rPr>
              <w:tab/>
            </w:r>
            <w:r>
              <w:rPr>
                <w:noProof/>
                <w:webHidden/>
              </w:rPr>
              <w:fldChar w:fldCharType="begin"/>
            </w:r>
            <w:r>
              <w:rPr>
                <w:noProof/>
                <w:webHidden/>
              </w:rPr>
              <w:instrText xml:space="preserve"> PAGEREF _Toc102504767 \h </w:instrText>
            </w:r>
            <w:r>
              <w:rPr>
                <w:noProof/>
                <w:webHidden/>
              </w:rPr>
            </w:r>
            <w:r>
              <w:rPr>
                <w:noProof/>
                <w:webHidden/>
              </w:rPr>
              <w:fldChar w:fldCharType="separate"/>
            </w:r>
            <w:r>
              <w:rPr>
                <w:noProof/>
                <w:webHidden/>
              </w:rPr>
              <w:t>7</w:t>
            </w:r>
            <w:r>
              <w:rPr>
                <w:noProof/>
                <w:webHidden/>
              </w:rPr>
              <w:fldChar w:fldCharType="end"/>
            </w:r>
          </w:hyperlink>
        </w:p>
        <w:p w14:paraId="435993CE" w14:textId="27AF3664" w:rsidR="00B52311" w:rsidRDefault="00B52311" w:rsidP="00B52311">
          <w:pPr>
            <w:pStyle w:val="TOC1"/>
            <w:rPr>
              <w:rFonts w:asciiTheme="minorHAnsi" w:eastAsiaTheme="minorEastAsia" w:hAnsiTheme="minorHAnsi" w:cstheme="minorBidi"/>
              <w:noProof/>
              <w:sz w:val="22"/>
              <w:szCs w:val="22"/>
              <w:lang w:eastAsia="en-GB"/>
            </w:rPr>
          </w:pPr>
          <w:hyperlink w:anchor="_Toc102504768" w:history="1">
            <w:r w:rsidRPr="00D449A8">
              <w:rPr>
                <w:rStyle w:val="Hyperlink"/>
                <w:rFonts w:eastAsiaTheme="majorEastAsia" w:cstheme="majorBidi"/>
                <w:b/>
                <w:bCs/>
                <w:noProof/>
                <w:lang w:val="en-US"/>
              </w:rPr>
              <w:t>References</w:t>
            </w:r>
            <w:r>
              <w:rPr>
                <w:noProof/>
                <w:webHidden/>
              </w:rPr>
              <w:tab/>
            </w:r>
            <w:r>
              <w:rPr>
                <w:noProof/>
                <w:webHidden/>
              </w:rPr>
              <w:fldChar w:fldCharType="begin"/>
            </w:r>
            <w:r>
              <w:rPr>
                <w:noProof/>
                <w:webHidden/>
              </w:rPr>
              <w:instrText xml:space="preserve"> PAGEREF _Toc102504768 \h </w:instrText>
            </w:r>
            <w:r>
              <w:rPr>
                <w:noProof/>
                <w:webHidden/>
              </w:rPr>
            </w:r>
            <w:r>
              <w:rPr>
                <w:noProof/>
                <w:webHidden/>
              </w:rPr>
              <w:fldChar w:fldCharType="separate"/>
            </w:r>
            <w:r>
              <w:rPr>
                <w:noProof/>
                <w:webHidden/>
              </w:rPr>
              <w:t>8</w:t>
            </w:r>
            <w:r>
              <w:rPr>
                <w:noProof/>
                <w:webHidden/>
              </w:rPr>
              <w:fldChar w:fldCharType="end"/>
            </w:r>
          </w:hyperlink>
        </w:p>
        <w:p w14:paraId="074E2059" w14:textId="5E88187B" w:rsidR="00E91A6E" w:rsidRPr="00E91A6E" w:rsidRDefault="00E91A6E" w:rsidP="00E91A6E">
          <w:pPr>
            <w:rPr>
              <w:b/>
              <w:bCs/>
            </w:rPr>
          </w:pPr>
          <w:r w:rsidRPr="00E91A6E">
            <w:rPr>
              <w:b/>
              <w:bCs/>
            </w:rPr>
            <w:fldChar w:fldCharType="end"/>
          </w:r>
        </w:p>
      </w:sdtContent>
    </w:sdt>
    <w:p w14:paraId="5B3BB74B" w14:textId="77777777" w:rsidR="00E91A6E" w:rsidRPr="00E91A6E" w:rsidRDefault="00E91A6E" w:rsidP="00E91A6E">
      <w:pPr>
        <w:spacing w:line="360" w:lineRule="auto"/>
        <w:jc w:val="center"/>
        <w:rPr>
          <w:b/>
          <w:sz w:val="36"/>
          <w:szCs w:val="36"/>
        </w:rPr>
      </w:pPr>
    </w:p>
    <w:p w14:paraId="1CF3A498" w14:textId="77777777" w:rsidR="00E91A6E" w:rsidRPr="00E91A6E" w:rsidRDefault="00E91A6E" w:rsidP="00E91A6E">
      <w:r w:rsidRPr="00E91A6E">
        <w:br w:type="page"/>
      </w:r>
    </w:p>
    <w:p w14:paraId="49FE27B8" w14:textId="77777777" w:rsidR="00E91A6E" w:rsidRPr="00E91A6E" w:rsidRDefault="00E91A6E" w:rsidP="00E91A6E">
      <w:pPr>
        <w:keepNext/>
        <w:keepLines/>
        <w:spacing w:before="480" w:after="0" w:line="360" w:lineRule="auto"/>
        <w:jc w:val="both"/>
        <w:outlineLvl w:val="0"/>
        <w:rPr>
          <w:rFonts w:eastAsiaTheme="majorEastAsia" w:cstheme="majorBidi"/>
          <w:b/>
          <w:bCs/>
          <w:lang w:val="en-US"/>
        </w:rPr>
      </w:pPr>
      <w:bookmarkStart w:id="0" w:name="_Toc102504761"/>
      <w:r w:rsidRPr="00E91A6E">
        <w:rPr>
          <w:rFonts w:eastAsiaTheme="majorEastAsia" w:cstheme="majorBidi"/>
          <w:b/>
          <w:bCs/>
          <w:lang w:val="en-US"/>
        </w:rPr>
        <w:lastRenderedPageBreak/>
        <w:t>Introduction</w:t>
      </w:r>
      <w:bookmarkEnd w:id="0"/>
    </w:p>
    <w:p w14:paraId="3646A924" w14:textId="77777777" w:rsidR="00E91A6E" w:rsidRPr="00E91A6E" w:rsidRDefault="00E91A6E" w:rsidP="00E91A6E">
      <w:pPr>
        <w:spacing w:line="360" w:lineRule="auto"/>
        <w:jc w:val="both"/>
      </w:pPr>
    </w:p>
    <w:p w14:paraId="4FD3A81D" w14:textId="77777777" w:rsidR="00E91A6E" w:rsidRPr="00E91A6E" w:rsidRDefault="00E91A6E" w:rsidP="00E91A6E">
      <w:pPr>
        <w:spacing w:line="360" w:lineRule="auto"/>
        <w:jc w:val="both"/>
      </w:pPr>
      <w:r w:rsidRPr="00E91A6E">
        <w:t xml:space="preserve">International financial management also determined as international finance implication is recognized as a well-known concept in the today's business organization or corporate world. However, the term simply states financial management evolution within an international level of business environment or scenario. Evolving with this perception, the existing assignment is developed to discuss the significance of international financial management concerning to the selected multinational corporation of the United Kingdom (UK), namely BP Plc. The British associated the British Petroleum (BP) company identified as the well-known oil and Gas Company of England. BP Plc is referring to one of the seven "supermajors" oil and gas companies of the world and today evolves with operating 80 different nations around the globe. Hence, the assignment constituted to illustrate the importance of international financial management ideology to BP Plc inclusive of its dividend distribution policy, major operations, and project appraising methods follows by highlighting challenges related to the same also. </w:t>
      </w:r>
    </w:p>
    <w:p w14:paraId="05E538CE" w14:textId="77777777" w:rsidR="00E91A6E" w:rsidRPr="00E91A6E" w:rsidRDefault="00E91A6E" w:rsidP="00E91A6E">
      <w:pPr>
        <w:keepNext/>
        <w:keepLines/>
        <w:spacing w:before="480" w:after="0" w:line="360" w:lineRule="auto"/>
        <w:jc w:val="both"/>
        <w:outlineLvl w:val="0"/>
        <w:rPr>
          <w:rFonts w:eastAsiaTheme="majorEastAsia" w:cstheme="majorBidi"/>
          <w:b/>
          <w:bCs/>
          <w:lang w:val="en-US"/>
        </w:rPr>
      </w:pPr>
      <w:bookmarkStart w:id="1" w:name="_Toc102504762"/>
      <w:r w:rsidRPr="00E91A6E">
        <w:rPr>
          <w:rFonts w:eastAsiaTheme="majorEastAsia" w:cstheme="majorBidi"/>
          <w:b/>
          <w:bCs/>
          <w:lang w:val="en-US"/>
        </w:rPr>
        <w:t>Importance of international financial management to BP Plc</w:t>
      </w:r>
      <w:bookmarkEnd w:id="1"/>
    </w:p>
    <w:p w14:paraId="45C0E943" w14:textId="77777777" w:rsidR="00E91A6E" w:rsidRPr="00E91A6E" w:rsidRDefault="00E91A6E" w:rsidP="00E91A6E">
      <w:pPr>
        <w:spacing w:line="360" w:lineRule="auto"/>
        <w:jc w:val="both"/>
      </w:pPr>
    </w:p>
    <w:p w14:paraId="14C1928C" w14:textId="77777777" w:rsidR="00E91A6E" w:rsidRPr="00E91A6E" w:rsidRDefault="00E91A6E" w:rsidP="00E91A6E">
      <w:pPr>
        <w:spacing w:line="360" w:lineRule="auto"/>
        <w:jc w:val="both"/>
      </w:pPr>
      <w:r w:rsidRPr="00E91A6E">
        <w:t xml:space="preserve">As opined by </w:t>
      </w:r>
      <w:r w:rsidRPr="00E91A6E">
        <w:rPr>
          <w:shd w:val="clear" w:color="auto" w:fill="FFFFFF"/>
        </w:rPr>
        <w:t xml:space="preserve">Madura (2020), </w:t>
      </w:r>
      <w:r w:rsidRPr="00E91A6E">
        <w:t>international financial management plays a significant part for BP Plc to ensure inter-economy and international trade exchanging purpose of its goods and services. A crucial implication of international financial management for BP Plc evolves with serving as an important tool to compare various nations' related inflation rates, and exchange rates and to generate ideas related to investing in international debt securities. As BP Plc is entitled to produce nearly 3.7 million barrels daily inclusive existence of its core operations in almost 80 different nations of the world, the significance of international financial management subjected to also relate evaluating the economic status of its various operating nations inclusive generating information to judge the existing foreign markets scenario also. Exchange rates are considered very vital in the context of the international finance level for BP Plc as the metric is regarded effective to access the relation valuation of the currencies and hence international finance determined important for calculating purpose of these exchange rates (</w:t>
      </w:r>
      <w:proofErr w:type="spellStart"/>
      <w:r w:rsidRPr="00E91A6E">
        <w:rPr>
          <w:color w:val="222222"/>
          <w:shd w:val="clear" w:color="auto" w:fill="FFFFFF"/>
        </w:rPr>
        <w:t>Solovjova</w:t>
      </w:r>
      <w:proofErr w:type="spellEnd"/>
      <w:r w:rsidRPr="00E91A6E">
        <w:rPr>
          <w:color w:val="222222"/>
          <w:shd w:val="clear" w:color="auto" w:fill="FFFFFF"/>
        </w:rPr>
        <w:t xml:space="preserve"> </w:t>
      </w:r>
      <w:r w:rsidRPr="00E91A6E">
        <w:rPr>
          <w:i/>
          <w:color w:val="222222"/>
          <w:shd w:val="clear" w:color="auto" w:fill="FFFFFF"/>
        </w:rPr>
        <w:t>et al.</w:t>
      </w:r>
      <w:r w:rsidRPr="00E91A6E">
        <w:rPr>
          <w:color w:val="222222"/>
          <w:shd w:val="clear" w:color="auto" w:fill="FFFFFF"/>
        </w:rPr>
        <w:t xml:space="preserve"> 2018)</w:t>
      </w:r>
      <w:r w:rsidRPr="00E91A6E">
        <w:t xml:space="preserve">. </w:t>
      </w:r>
    </w:p>
    <w:p w14:paraId="611FCB37" w14:textId="77777777" w:rsidR="00E91A6E" w:rsidRPr="00E91A6E" w:rsidRDefault="00E91A6E" w:rsidP="00E91A6E">
      <w:pPr>
        <w:spacing w:line="360" w:lineRule="auto"/>
        <w:jc w:val="both"/>
      </w:pPr>
      <w:r w:rsidRPr="00E91A6E">
        <w:t xml:space="preserve">On the other hand, the consideration of the International Financial Reporting System (IFRS) is a determined crucial factor for various stages or levels of international finance. In context to </w:t>
      </w:r>
      <w:r w:rsidRPr="00E91A6E">
        <w:lastRenderedPageBreak/>
        <w:t>this, the financial statements constituted by the United Kingdom are further entitled to maintain by BP Plc by adopting the similar presented IFRS. Besides, the undertaking of the IFRS system which is regarded as a major part of the international financial management also provides help to BP Plc to manage its monetary structure by subsequently following the reporting rules based on the single adapted accounting regulation and standard (</w:t>
      </w:r>
      <w:proofErr w:type="spellStart"/>
      <w:r w:rsidRPr="00E91A6E">
        <w:rPr>
          <w:color w:val="222222"/>
          <w:shd w:val="clear" w:color="auto" w:fill="FFFFFF"/>
        </w:rPr>
        <w:t>Seabrooke</w:t>
      </w:r>
      <w:proofErr w:type="spellEnd"/>
      <w:r w:rsidRPr="00E91A6E">
        <w:rPr>
          <w:color w:val="222222"/>
          <w:shd w:val="clear" w:color="auto" w:fill="FFFFFF"/>
        </w:rPr>
        <w:t xml:space="preserve"> and </w:t>
      </w:r>
      <w:proofErr w:type="spellStart"/>
      <w:r w:rsidRPr="00E91A6E">
        <w:rPr>
          <w:color w:val="222222"/>
          <w:shd w:val="clear" w:color="auto" w:fill="FFFFFF"/>
        </w:rPr>
        <w:t>Tsingou</w:t>
      </w:r>
      <w:proofErr w:type="spellEnd"/>
      <w:r w:rsidRPr="00E91A6E">
        <w:rPr>
          <w:color w:val="222222"/>
          <w:shd w:val="clear" w:color="auto" w:fill="FFFFFF"/>
        </w:rPr>
        <w:t>, 2021)</w:t>
      </w:r>
      <w:r w:rsidRPr="00E91A6E">
        <w:t xml:space="preserve">. BP Plc is said largest publicly traded oil and Gas Corporation in the world and hence requires the company to maintain peace and strong collaborative relationship with various nations around the globe thus, here international financial management evolving with robust finance measures ensures any issues or challenges at bay. Collaborating with multiple international finance organisations for instance the World Bank, IMF, and many more BP Plc experiences to resolve and mediating financial disputes among its member countries evolving with the practice of international financial management.  </w:t>
      </w:r>
    </w:p>
    <w:p w14:paraId="1BC3EC54" w14:textId="77777777" w:rsidR="00E91A6E" w:rsidRPr="00E91A6E" w:rsidRDefault="00E91A6E" w:rsidP="00E91A6E">
      <w:pPr>
        <w:keepNext/>
        <w:keepLines/>
        <w:spacing w:before="200" w:after="0" w:line="360" w:lineRule="auto"/>
        <w:jc w:val="both"/>
        <w:outlineLvl w:val="1"/>
        <w:rPr>
          <w:rFonts w:eastAsiaTheme="majorEastAsia" w:cstheme="majorBidi"/>
          <w:b/>
          <w:bCs/>
          <w:lang w:val="en-US"/>
        </w:rPr>
      </w:pPr>
      <w:bookmarkStart w:id="2" w:name="_Toc102504763"/>
      <w:r w:rsidRPr="00E91A6E">
        <w:rPr>
          <w:rFonts w:eastAsiaTheme="majorEastAsia" w:cstheme="majorBidi"/>
          <w:b/>
          <w:bCs/>
          <w:lang w:val="en-US"/>
        </w:rPr>
        <w:t>Evaluation of BP Plc’s dividend distribution policy</w:t>
      </w:r>
      <w:bookmarkEnd w:id="2"/>
    </w:p>
    <w:p w14:paraId="464E02D8" w14:textId="77777777" w:rsidR="00E91A6E" w:rsidRPr="00E91A6E" w:rsidRDefault="00E91A6E" w:rsidP="00E91A6E">
      <w:pPr>
        <w:spacing w:line="360" w:lineRule="auto"/>
        <w:jc w:val="both"/>
      </w:pPr>
    </w:p>
    <w:p w14:paraId="39CFF861" w14:textId="77777777" w:rsidR="00E91A6E" w:rsidRPr="00E91A6E" w:rsidRDefault="00E91A6E" w:rsidP="00E91A6E">
      <w:pPr>
        <w:spacing w:line="360" w:lineRule="auto"/>
        <w:jc w:val="both"/>
      </w:pPr>
      <w:r w:rsidRPr="00E91A6E">
        <w:t>One of the major objectives of Multinational corporations such as BP Plc inclusive with international financial management implications includes maximizing the wealth/ value of their shareholders. As shareholders of BP Plc said spread overall across the globe, financial executives existing within the premises of corporation many a time require posing decisions to address any conflict scenario along with the significant objective of maximizing shareholder’s wealth structure (</w:t>
      </w:r>
      <w:r w:rsidRPr="00E91A6E">
        <w:rPr>
          <w:color w:val="222222"/>
          <w:shd w:val="clear" w:color="auto" w:fill="FFFFFF"/>
        </w:rPr>
        <w:t>Marques, 2019)</w:t>
      </w:r>
      <w:r w:rsidRPr="00E91A6E">
        <w:t xml:space="preserve">. </w:t>
      </w:r>
    </w:p>
    <w:p w14:paraId="7A7867E4" w14:textId="77777777" w:rsidR="00E91A6E" w:rsidRPr="00E91A6E" w:rsidRDefault="00E91A6E" w:rsidP="00E91A6E">
      <w:pPr>
        <w:spacing w:line="360" w:lineRule="auto"/>
        <w:jc w:val="both"/>
      </w:pPr>
      <w:r w:rsidRPr="00E91A6E">
        <w:t>BP Plc is determined to be the market leader in production and exploration, power, gas, marketing chemicals, and refining. However, the company's major production and exploration activities comprise natural gas and oil exploration, production, and field development together with natural gas processing and pipeline transportation. However, shareholders play a major part for BP Plc to essentially own the corporation follows by reaping the benefits of their business’ success extent. Furthermore, dividends serve as the way with the help of which BP Plc is entitled to make distributions to shareholders from that of the corporation's profits structure (</w:t>
      </w:r>
      <w:proofErr w:type="spellStart"/>
      <w:r w:rsidRPr="00E91A6E">
        <w:rPr>
          <w:color w:val="222222"/>
          <w:shd w:val="clear" w:color="auto" w:fill="FFFFFF"/>
        </w:rPr>
        <w:t>Feito</w:t>
      </w:r>
      <w:proofErr w:type="spellEnd"/>
      <w:r w:rsidRPr="00E91A6E">
        <w:rPr>
          <w:color w:val="222222"/>
          <w:shd w:val="clear" w:color="auto" w:fill="FFFFFF"/>
        </w:rPr>
        <w:t xml:space="preserve">-Ruiz </w:t>
      </w:r>
      <w:r w:rsidRPr="00E91A6E">
        <w:rPr>
          <w:i/>
          <w:color w:val="222222"/>
          <w:shd w:val="clear" w:color="auto" w:fill="FFFFFF"/>
        </w:rPr>
        <w:t>et al.</w:t>
      </w:r>
      <w:r w:rsidRPr="00E91A6E">
        <w:rPr>
          <w:color w:val="222222"/>
          <w:shd w:val="clear" w:color="auto" w:fill="FFFFFF"/>
        </w:rPr>
        <w:t xml:space="preserve"> 2020)</w:t>
      </w:r>
      <w:r w:rsidRPr="00E91A6E">
        <w:t xml:space="preserve">. In context to this, BP Plc evolves with the decision to pay its shareholders dividends at every three months, that is, quarterly with its cash structure only. The company identified preferring stable dividend levels inclusive of a stable dividend </w:t>
      </w:r>
      <w:proofErr w:type="spellStart"/>
      <w:r w:rsidRPr="00E91A6E">
        <w:t>payout</w:t>
      </w:r>
      <w:proofErr w:type="spellEnd"/>
      <w:r w:rsidRPr="00E91A6E">
        <w:t xml:space="preserve"> ratio. In other words, BP Plc poses higher volatility in EPS irrespective of its paid dividends per share structure which in return probably signifies that the corporation favoured steady dividends per </w:t>
      </w:r>
      <w:r w:rsidRPr="00E91A6E">
        <w:lastRenderedPageBreak/>
        <w:t>share implication relative to maintaining a steady pay-out ratio. This in return reflects the main dividend policy basis for BP Plc. On another respective, if interim dividends are subsequently declared, BP Plc is entitled to pay its shareholders' dividends about eight weeks after placing an announcement. Furthermore, the timing and amount of a dividend may be eventually changed at any period without providing any specific notice (</w:t>
      </w:r>
      <w:r w:rsidRPr="00E91A6E">
        <w:rPr>
          <w:color w:val="222222"/>
          <w:shd w:val="clear" w:color="auto" w:fill="FFFFFF"/>
        </w:rPr>
        <w:t xml:space="preserve">Haslam </w:t>
      </w:r>
      <w:r w:rsidRPr="00E91A6E">
        <w:rPr>
          <w:i/>
          <w:color w:val="222222"/>
          <w:shd w:val="clear" w:color="auto" w:fill="FFFFFF"/>
        </w:rPr>
        <w:t>et al.</w:t>
      </w:r>
      <w:r w:rsidRPr="00E91A6E">
        <w:rPr>
          <w:color w:val="222222"/>
          <w:shd w:val="clear" w:color="auto" w:fill="FFFFFF"/>
        </w:rPr>
        <w:t xml:space="preserve"> 2020)</w:t>
      </w:r>
      <w:r w:rsidRPr="00E91A6E">
        <w:t xml:space="preserve">. More specifically, BP Plc makes notice that dividend is paid for its every share so that the generated amount may rely on the owned shares number by the corporation. </w:t>
      </w:r>
    </w:p>
    <w:p w14:paraId="7836A10B" w14:textId="77777777" w:rsidR="00E91A6E" w:rsidRPr="00E91A6E" w:rsidRDefault="00E91A6E" w:rsidP="00E91A6E">
      <w:pPr>
        <w:keepNext/>
        <w:keepLines/>
        <w:spacing w:before="200" w:after="0" w:line="360" w:lineRule="auto"/>
        <w:jc w:val="both"/>
        <w:outlineLvl w:val="1"/>
        <w:rPr>
          <w:rFonts w:eastAsiaTheme="majorEastAsia" w:cstheme="majorBidi"/>
          <w:b/>
          <w:bCs/>
          <w:lang w:val="en-US"/>
        </w:rPr>
      </w:pPr>
    </w:p>
    <w:p w14:paraId="62CD0FB7" w14:textId="77777777" w:rsidR="00E91A6E" w:rsidRPr="00E91A6E" w:rsidRDefault="00E91A6E" w:rsidP="00E91A6E">
      <w:pPr>
        <w:keepNext/>
        <w:keepLines/>
        <w:spacing w:before="200" w:after="0" w:line="360" w:lineRule="auto"/>
        <w:jc w:val="both"/>
        <w:outlineLvl w:val="1"/>
        <w:rPr>
          <w:rFonts w:eastAsiaTheme="majorEastAsia" w:cstheme="majorBidi"/>
          <w:b/>
          <w:bCs/>
          <w:lang w:val="en-US"/>
        </w:rPr>
      </w:pPr>
      <w:bookmarkStart w:id="3" w:name="_Toc102504764"/>
      <w:r w:rsidRPr="00E91A6E">
        <w:rPr>
          <w:rFonts w:eastAsiaTheme="majorEastAsia" w:cstheme="majorBidi"/>
          <w:b/>
          <w:bCs/>
          <w:lang w:val="en-US"/>
        </w:rPr>
        <w:t>Efficient market hypothesis theory relative to BP Plc’s operations</w:t>
      </w:r>
      <w:bookmarkEnd w:id="3"/>
    </w:p>
    <w:p w14:paraId="6FE0CEE5" w14:textId="77777777" w:rsidR="00E91A6E" w:rsidRPr="00E91A6E" w:rsidRDefault="00E91A6E" w:rsidP="00E91A6E">
      <w:pPr>
        <w:spacing w:line="360" w:lineRule="auto"/>
        <w:jc w:val="both"/>
      </w:pPr>
    </w:p>
    <w:p w14:paraId="1E6E2B38" w14:textId="77777777" w:rsidR="00E91A6E" w:rsidRPr="00E91A6E" w:rsidRDefault="00E91A6E" w:rsidP="00E91A6E">
      <w:pPr>
        <w:spacing w:line="360" w:lineRule="auto"/>
        <w:jc w:val="both"/>
      </w:pPr>
      <w:r w:rsidRPr="00E91A6E">
        <w:t xml:space="preserve">One of the vital debates exists among investors is that whether the stock market is efficient or not, that is, whether it determines the entire made information available relative to market participants within the provided period or not. However, according to the theory, the efficient market hypothesis predicted that </w:t>
      </w:r>
      <w:proofErr w:type="gramStart"/>
      <w:r w:rsidRPr="00E91A6E">
        <w:t>all of</w:t>
      </w:r>
      <w:proofErr w:type="gramEnd"/>
      <w:r w:rsidRPr="00E91A6E">
        <w:t xml:space="preserve"> the multinational corporation’s stocks must require to be traded at their fair value (</w:t>
      </w:r>
      <w:proofErr w:type="spellStart"/>
      <w:r w:rsidRPr="00E91A6E">
        <w:rPr>
          <w:color w:val="222222"/>
          <w:shd w:val="clear" w:color="auto" w:fill="FFFFFF"/>
        </w:rPr>
        <w:t>Kawal</w:t>
      </w:r>
      <w:proofErr w:type="spellEnd"/>
      <w:r w:rsidRPr="00E91A6E">
        <w:rPr>
          <w:color w:val="222222"/>
          <w:shd w:val="clear" w:color="auto" w:fill="FFFFFF"/>
        </w:rPr>
        <w:t xml:space="preserve"> Kaur and </w:t>
      </w:r>
      <w:proofErr w:type="spellStart"/>
      <w:r w:rsidRPr="00E91A6E">
        <w:rPr>
          <w:color w:val="222222"/>
          <w:shd w:val="clear" w:color="auto" w:fill="FFFFFF"/>
        </w:rPr>
        <w:t>Koozi</w:t>
      </w:r>
      <w:proofErr w:type="spellEnd"/>
      <w:r w:rsidRPr="00E91A6E">
        <w:rPr>
          <w:color w:val="222222"/>
          <w:shd w:val="clear" w:color="auto" w:fill="FFFFFF"/>
        </w:rPr>
        <w:t>, 2021)</w:t>
      </w:r>
      <w:r w:rsidRPr="00E91A6E">
        <w:t xml:space="preserve">. In other words, the efficient market hypothesis (EMH) ensures that </w:t>
      </w:r>
      <w:proofErr w:type="gramStart"/>
      <w:r w:rsidRPr="00E91A6E">
        <w:t>all of</w:t>
      </w:r>
      <w:proofErr w:type="gramEnd"/>
      <w:r w:rsidRPr="00E91A6E">
        <w:t xml:space="preserve"> the corporation’s stocks are perfectly priced based on their respective inherent investment properties. Furthermore, the theory inscribed knowledge that </w:t>
      </w:r>
      <w:proofErr w:type="gramStart"/>
      <w:r w:rsidRPr="00E91A6E">
        <w:t>all of</w:t>
      </w:r>
      <w:proofErr w:type="gramEnd"/>
      <w:r w:rsidRPr="00E91A6E">
        <w:t xml:space="preserve"> the existing market participants are reliable to equally possess. In context to this, BP Plc is subjected to evolution with rational expectations concerning to the efficient market hypothesis theory relative to their assets pricing structure (</w:t>
      </w:r>
      <w:r w:rsidRPr="00E91A6E">
        <w:rPr>
          <w:color w:val="222222"/>
          <w:shd w:val="clear" w:color="auto" w:fill="FFFFFF"/>
        </w:rPr>
        <w:t>Rahman, 2022)</w:t>
      </w:r>
      <w:r w:rsidRPr="00E91A6E">
        <w:t xml:space="preserve">. More specifically, the investors of BP Plc undertaking the theory of efficient market hypothesis utilized its corporation available data or information to demonstrate future expectations associated with rates of return, the assets equilibrium price equivalents to the fundamental optimal forecasting valuation relies on the existing information. Moreover, all these implications are undertaken according to the corporation's currently available information associated with its assets price structure relative to its efficient financial market scenario. </w:t>
      </w:r>
    </w:p>
    <w:p w14:paraId="037CB8EC" w14:textId="77777777" w:rsidR="00E91A6E" w:rsidRPr="00E91A6E" w:rsidRDefault="00E91A6E" w:rsidP="00E91A6E">
      <w:pPr>
        <w:keepNext/>
        <w:keepLines/>
        <w:spacing w:before="200" w:after="0" w:line="360" w:lineRule="auto"/>
        <w:jc w:val="both"/>
        <w:outlineLvl w:val="1"/>
        <w:rPr>
          <w:rFonts w:eastAsiaTheme="majorEastAsia" w:cstheme="majorBidi"/>
          <w:b/>
          <w:bCs/>
          <w:lang w:val="en-US"/>
        </w:rPr>
      </w:pPr>
      <w:bookmarkStart w:id="4" w:name="_Toc102504765"/>
      <w:r w:rsidRPr="00E91A6E">
        <w:rPr>
          <w:rFonts w:eastAsiaTheme="majorEastAsia" w:cstheme="majorBidi"/>
          <w:b/>
          <w:bCs/>
          <w:lang w:val="en-US"/>
        </w:rPr>
        <w:t>Analyzing BP Plc’s methods of appraising projects</w:t>
      </w:r>
      <w:bookmarkEnd w:id="4"/>
    </w:p>
    <w:p w14:paraId="62CEE457" w14:textId="77777777" w:rsidR="00E91A6E" w:rsidRPr="00E91A6E" w:rsidRDefault="00E91A6E" w:rsidP="00E91A6E">
      <w:pPr>
        <w:spacing w:line="360" w:lineRule="auto"/>
        <w:jc w:val="both"/>
      </w:pPr>
    </w:p>
    <w:p w14:paraId="361AB6B2" w14:textId="77777777" w:rsidR="00E91A6E" w:rsidRPr="00E91A6E" w:rsidRDefault="00E91A6E" w:rsidP="00E91A6E">
      <w:pPr>
        <w:spacing w:line="360" w:lineRule="auto"/>
        <w:jc w:val="both"/>
      </w:pPr>
      <w:r w:rsidRPr="00E91A6E">
        <w:t xml:space="preserve">Project appraisal concerning to BP Plc determines as the costs and benefits associated with analysis related to its proposed project structure with an objective of feasibility adjudging. However, project appraisal comprises the determination of the project's feasibility before </w:t>
      </w:r>
      <w:r w:rsidRPr="00E91A6E">
        <w:lastRenderedPageBreak/>
        <w:t>committing adequate resources to it. Hence, the project appraisal implication serves effective for selecting the purpose of the best project structure for BP Plc. In context to this, the various project appraising methods utilized by BP Plc includes financial analysis, economic analysis, and management and market analysis methods (</w:t>
      </w:r>
      <w:r w:rsidRPr="00E91A6E">
        <w:rPr>
          <w:color w:val="222222"/>
          <w:shd w:val="clear" w:color="auto" w:fill="FFFFFF"/>
        </w:rPr>
        <w:t xml:space="preserve">Walter </w:t>
      </w:r>
      <w:r w:rsidRPr="00E91A6E">
        <w:rPr>
          <w:i/>
          <w:color w:val="222222"/>
          <w:shd w:val="clear" w:color="auto" w:fill="FFFFFF"/>
        </w:rPr>
        <w:t xml:space="preserve">et al. </w:t>
      </w:r>
      <w:r w:rsidRPr="00E91A6E">
        <w:rPr>
          <w:color w:val="222222"/>
          <w:shd w:val="clear" w:color="auto" w:fill="FFFFFF"/>
        </w:rPr>
        <w:t>2021)</w:t>
      </w:r>
      <w:r w:rsidRPr="00E91A6E">
        <w:t xml:space="preserve">. Analysis related to economic cost and benefit of BP Plc evolves with costs and benefits implication from the viewpoint of the </w:t>
      </w:r>
      <w:proofErr w:type="gramStart"/>
      <w:r w:rsidRPr="00E91A6E">
        <w:t>nation as a whole</w:t>
      </w:r>
      <w:proofErr w:type="gramEnd"/>
      <w:r w:rsidRPr="00E91A6E">
        <w:t>. Moreover, considering this project appraisal method the economic analysis of BP Plc mainly evolves by dealing with various aspects such as its anticipated sales, profits probability, anticipated expenses, capacity utilization level, and its raw material requirements. Besides, the method of financial analysis evolves financial assessment requirements in association with both of its fixed and working capital structure. The market analysis method is regarded as effective for BP Plc to ensure the corporation's requirements to anticipate its possible market scenario for its associated product structure (</w:t>
      </w:r>
      <w:r w:rsidRPr="00E91A6E">
        <w:rPr>
          <w:color w:val="222222"/>
          <w:shd w:val="clear" w:color="auto" w:fill="FFFFFF"/>
        </w:rPr>
        <w:t xml:space="preserve">McLaney and </w:t>
      </w:r>
      <w:proofErr w:type="spellStart"/>
      <w:r w:rsidRPr="00E91A6E">
        <w:rPr>
          <w:color w:val="222222"/>
          <w:shd w:val="clear" w:color="auto" w:fill="FFFFFF"/>
        </w:rPr>
        <w:t>Atrill</w:t>
      </w:r>
      <w:proofErr w:type="spellEnd"/>
      <w:r w:rsidRPr="00E91A6E">
        <w:rPr>
          <w:color w:val="222222"/>
          <w:shd w:val="clear" w:color="auto" w:fill="FFFFFF"/>
        </w:rPr>
        <w:t>, 2020)</w:t>
      </w:r>
      <w:r w:rsidRPr="00E91A6E">
        <w:t xml:space="preserve">. Additionally, the management competence or ability plays a significant part in making BP Plc as a successful multinational corporation across the world. More specifically, it is specifically maintained by utilizing the adequate talent or competence of its management in collaboration with the BP Plc's core operational implications and activities. </w:t>
      </w:r>
    </w:p>
    <w:p w14:paraId="39DFA361" w14:textId="77777777" w:rsidR="00E91A6E" w:rsidRPr="00E91A6E" w:rsidRDefault="00E91A6E" w:rsidP="00E91A6E">
      <w:pPr>
        <w:keepNext/>
        <w:keepLines/>
        <w:spacing w:before="480" w:after="0" w:line="360" w:lineRule="auto"/>
        <w:jc w:val="both"/>
        <w:outlineLvl w:val="0"/>
        <w:rPr>
          <w:rFonts w:eastAsiaTheme="majorEastAsia" w:cstheme="majorBidi"/>
          <w:b/>
          <w:bCs/>
          <w:lang w:val="en-US"/>
        </w:rPr>
      </w:pPr>
      <w:bookmarkStart w:id="5" w:name="_Toc102504766"/>
      <w:r w:rsidRPr="00E91A6E">
        <w:rPr>
          <w:rFonts w:eastAsiaTheme="majorEastAsia" w:cstheme="majorBidi"/>
          <w:b/>
          <w:bCs/>
          <w:lang w:val="en-US"/>
        </w:rPr>
        <w:t>Challenges that BP Plc may be experiencing relative to diverse international financial markets</w:t>
      </w:r>
      <w:bookmarkEnd w:id="5"/>
    </w:p>
    <w:p w14:paraId="538B9C79" w14:textId="77777777" w:rsidR="00E91A6E" w:rsidRPr="00E91A6E" w:rsidRDefault="00E91A6E" w:rsidP="00E91A6E">
      <w:pPr>
        <w:spacing w:line="360" w:lineRule="auto"/>
        <w:jc w:val="both"/>
      </w:pPr>
    </w:p>
    <w:p w14:paraId="2DFEBECD" w14:textId="77777777" w:rsidR="00E91A6E" w:rsidRPr="00E91A6E" w:rsidRDefault="00E91A6E" w:rsidP="00E91A6E">
      <w:pPr>
        <w:spacing w:line="360" w:lineRule="auto"/>
        <w:jc w:val="both"/>
      </w:pPr>
      <w:r w:rsidRPr="00E91A6E">
        <w:t>Though BP Plc over the past years evolved with experiencing better operational implications in association with its collaboration with various international financial market scenarios but is likely to say emerging with certain challenges also. However, increasing globalisation is likely to impose certain major challenges on the businesses of BP Plc while operating within the international financial market’s scenario. Furthermore, international business is subjected not easy to consider as it might emerge with certain challenges including tax competition, market imperfections, political instability, and issue related to inflation rates and currency exchange (</w:t>
      </w:r>
      <w:proofErr w:type="spellStart"/>
      <w:r w:rsidRPr="00E91A6E">
        <w:rPr>
          <w:color w:val="222222"/>
          <w:shd w:val="clear" w:color="auto" w:fill="FFFFFF"/>
        </w:rPr>
        <w:t>Leuz</w:t>
      </w:r>
      <w:proofErr w:type="spellEnd"/>
      <w:r w:rsidRPr="00E91A6E">
        <w:rPr>
          <w:color w:val="222222"/>
          <w:shd w:val="clear" w:color="auto" w:fill="FFFFFF"/>
        </w:rPr>
        <w:t>, 2018)</w:t>
      </w:r>
      <w:r w:rsidRPr="00E91A6E">
        <w:t xml:space="preserve">. </w:t>
      </w:r>
    </w:p>
    <w:p w14:paraId="20EA8715" w14:textId="77777777" w:rsidR="00E91A6E" w:rsidRPr="00E91A6E" w:rsidRDefault="00E91A6E" w:rsidP="00E91A6E">
      <w:pPr>
        <w:spacing w:line="360" w:lineRule="auto"/>
        <w:jc w:val="both"/>
      </w:pPr>
      <w:r w:rsidRPr="00E91A6E">
        <w:t xml:space="preserve">Political instability occurs in the absence of reliable government authority.  It affects the business costs and hence increases the risks of doing business. BP Plc may face the threat of market withdrawal and there may be limited availability of resources. Often multinational corporate lobbying is mainly directed by taking a range of business concerns.  There can be </w:t>
      </w:r>
      <w:r w:rsidRPr="00E91A6E">
        <w:lastRenderedPageBreak/>
        <w:t>asserted of tariff structures to the environmental regulations. The company is unable to meet the tough environmental standards and ultimately brings weaker positions</w:t>
      </w:r>
      <w:r w:rsidRPr="00E91A6E">
        <w:rPr>
          <w:color w:val="222222"/>
          <w:shd w:val="clear" w:color="auto" w:fill="FFFFFF"/>
        </w:rPr>
        <w:t xml:space="preserve"> (Carroll and Brown, 2018)</w:t>
      </w:r>
      <w:r w:rsidRPr="00E91A6E">
        <w:t xml:space="preserve">. They hold strong confidence in the transition growth for the business.  It also sets the operations and production for holding better generations of activities. Over the different challenges, the company brings better strategic actions to shape the operations, which they have aimed for in the future years. </w:t>
      </w:r>
    </w:p>
    <w:p w14:paraId="604CE47A" w14:textId="77777777" w:rsidR="00E91A6E" w:rsidRPr="00E91A6E" w:rsidRDefault="00E91A6E" w:rsidP="00E91A6E">
      <w:pPr>
        <w:keepNext/>
        <w:keepLines/>
        <w:spacing w:before="480" w:after="0" w:line="360" w:lineRule="auto"/>
        <w:jc w:val="both"/>
        <w:outlineLvl w:val="0"/>
        <w:rPr>
          <w:rFonts w:eastAsiaTheme="majorEastAsia" w:cstheme="majorBidi"/>
          <w:b/>
          <w:bCs/>
          <w:lang w:val="en-US"/>
        </w:rPr>
      </w:pPr>
      <w:bookmarkStart w:id="6" w:name="_Toc102504767"/>
      <w:r w:rsidRPr="00E91A6E">
        <w:rPr>
          <w:rFonts w:eastAsiaTheme="majorEastAsia" w:cstheme="majorBidi"/>
          <w:b/>
          <w:bCs/>
          <w:lang w:val="en-US"/>
        </w:rPr>
        <w:t>Conclusion</w:t>
      </w:r>
      <w:bookmarkEnd w:id="6"/>
    </w:p>
    <w:p w14:paraId="00E610D7" w14:textId="77777777" w:rsidR="00E91A6E" w:rsidRPr="00E91A6E" w:rsidRDefault="00E91A6E" w:rsidP="00E91A6E">
      <w:pPr>
        <w:spacing w:line="360" w:lineRule="auto"/>
        <w:jc w:val="both"/>
      </w:pPr>
    </w:p>
    <w:p w14:paraId="1520A688" w14:textId="77777777" w:rsidR="00E91A6E" w:rsidRPr="00E91A6E" w:rsidRDefault="00E91A6E" w:rsidP="00E91A6E">
      <w:pPr>
        <w:spacing w:line="360" w:lineRule="auto"/>
        <w:jc w:val="both"/>
      </w:pPr>
      <w:r w:rsidRPr="00E91A6E">
        <w:t>Thus, it can be concluded that the international financial activities associated with the international financial management ensure corporations remain connected with foreign dealings including international business partners such as lenders, suppliers, customers, and many others also. Furthermore, the emergence of international financial management is regarded as no different relative to the concept of financial management irrespective of the fact of considering financial decisions within the area of international business. It can be thus concluded that BT Group brings a strong position in the market and even implies certain activities undertaking effective international financial management implication.</w:t>
      </w:r>
    </w:p>
    <w:p w14:paraId="20A15925" w14:textId="77777777" w:rsidR="00E91A6E" w:rsidRPr="00E91A6E" w:rsidRDefault="00E91A6E" w:rsidP="00E91A6E">
      <w:pPr>
        <w:spacing w:line="360" w:lineRule="auto"/>
      </w:pPr>
      <w:r w:rsidRPr="00E91A6E">
        <w:br w:type="page"/>
      </w:r>
    </w:p>
    <w:p w14:paraId="68E5A616" w14:textId="77777777" w:rsidR="00E91A6E" w:rsidRPr="00E91A6E" w:rsidRDefault="00E91A6E" w:rsidP="00E91A6E">
      <w:pPr>
        <w:keepNext/>
        <w:keepLines/>
        <w:spacing w:before="240" w:after="0" w:line="360" w:lineRule="auto"/>
        <w:outlineLvl w:val="0"/>
        <w:rPr>
          <w:rFonts w:eastAsiaTheme="majorEastAsia" w:cstheme="majorBidi"/>
          <w:b/>
          <w:bCs/>
          <w:lang w:val="en-US"/>
        </w:rPr>
      </w:pPr>
      <w:bookmarkStart w:id="7" w:name="_Toc102504768"/>
      <w:r w:rsidRPr="00E91A6E">
        <w:rPr>
          <w:rFonts w:eastAsiaTheme="majorEastAsia" w:cstheme="majorBidi"/>
          <w:b/>
          <w:bCs/>
          <w:lang w:val="en-US"/>
        </w:rPr>
        <w:lastRenderedPageBreak/>
        <w:t>References</w:t>
      </w:r>
      <w:bookmarkEnd w:id="7"/>
    </w:p>
    <w:p w14:paraId="4D2180AE" w14:textId="77777777" w:rsidR="00E91A6E" w:rsidRPr="00E91A6E" w:rsidRDefault="00E91A6E" w:rsidP="00E91A6E">
      <w:pPr>
        <w:keepNext/>
        <w:keepLines/>
        <w:spacing w:before="240" w:after="0" w:line="360" w:lineRule="auto"/>
        <w:outlineLvl w:val="0"/>
        <w:rPr>
          <w:rFonts w:eastAsiaTheme="majorEastAsia"/>
          <w:color w:val="2F5496" w:themeColor="accent1" w:themeShade="BF"/>
          <w:lang w:val="en-US"/>
        </w:rPr>
      </w:pPr>
    </w:p>
    <w:sdt>
      <w:sdtPr>
        <w:id w:val="-573587230"/>
        <w:bibliography/>
      </w:sdtPr>
      <w:sdtContent>
        <w:p w14:paraId="19527DE9" w14:textId="77777777" w:rsidR="00E91A6E" w:rsidRPr="00E91A6E" w:rsidRDefault="00E91A6E" w:rsidP="00E91A6E">
          <w:pPr>
            <w:spacing w:line="360" w:lineRule="auto"/>
            <w:rPr>
              <w:noProof/>
              <w:lang w:val="en-US"/>
            </w:rPr>
          </w:pPr>
          <w:r w:rsidRPr="00E91A6E">
            <w:fldChar w:fldCharType="begin"/>
          </w:r>
          <w:r w:rsidRPr="00E91A6E">
            <w:instrText xml:space="preserve"> BIBLIOGRAPHY </w:instrText>
          </w:r>
          <w:r w:rsidRPr="00E91A6E">
            <w:fldChar w:fldCharType="separate"/>
          </w:r>
          <w:r w:rsidRPr="00E91A6E">
            <w:rPr>
              <w:noProof/>
              <w:lang w:val="en-US"/>
            </w:rPr>
            <w:t xml:space="preserve">Archie B. Carroll, Jill A. Brown, 2018. </w:t>
          </w:r>
          <w:r w:rsidRPr="00E91A6E">
            <w:rPr>
              <w:i/>
              <w:iCs/>
              <w:noProof/>
              <w:lang w:val="en-US"/>
            </w:rPr>
            <w:t xml:space="preserve">Corporate Social Responsibility: A Review of Current Concepts, Research, and Issues. </w:t>
          </w:r>
          <w:r w:rsidRPr="00E91A6E">
            <w:rPr>
              <w:noProof/>
              <w:lang w:val="en-US"/>
            </w:rPr>
            <w:t xml:space="preserve">[Online] </w:t>
          </w:r>
          <w:r w:rsidRPr="00E91A6E">
            <w:rPr>
              <w:noProof/>
              <w:lang w:val="en-US"/>
            </w:rPr>
            <w:br/>
            <w:t xml:space="preserve">Available at: </w:t>
          </w:r>
          <w:r w:rsidRPr="00E91A6E">
            <w:rPr>
              <w:noProof/>
              <w:u w:val="single"/>
              <w:lang w:val="en-US"/>
            </w:rPr>
            <w:t>https://www.emerald.com/insight/content/doi/10.1108/S2514-175920180000002002/full/html</w:t>
          </w:r>
          <w:r w:rsidRPr="00E91A6E">
            <w:rPr>
              <w:noProof/>
              <w:lang w:val="en-US"/>
            </w:rPr>
            <w:br/>
            <w:t>[Accessed 25 March 2022].</w:t>
          </w:r>
        </w:p>
        <w:p w14:paraId="0CB5204D" w14:textId="77777777" w:rsidR="00E91A6E" w:rsidRPr="00E91A6E" w:rsidRDefault="00E91A6E" w:rsidP="00E91A6E">
          <w:pPr>
            <w:spacing w:line="360" w:lineRule="auto"/>
            <w:rPr>
              <w:noProof/>
              <w:lang w:val="en-US"/>
            </w:rPr>
          </w:pPr>
          <w:r w:rsidRPr="00E91A6E">
            <w:rPr>
              <w:noProof/>
              <w:lang w:val="en-US"/>
            </w:rPr>
            <w:t xml:space="preserve">Claudia Koozi &amp; Preet Kawal Kaur, 2021. </w:t>
          </w:r>
          <w:r w:rsidRPr="00E91A6E">
            <w:rPr>
              <w:i/>
              <w:iCs/>
              <w:noProof/>
              <w:lang w:val="en-US"/>
            </w:rPr>
            <w:t xml:space="preserve">Stock market response to unsustainable conduct within listed companies. </w:t>
          </w:r>
          <w:r w:rsidRPr="00E91A6E">
            <w:rPr>
              <w:noProof/>
              <w:lang w:val="en-US"/>
            </w:rPr>
            <w:t xml:space="preserve">[Online] </w:t>
          </w:r>
          <w:r w:rsidRPr="00E91A6E">
            <w:rPr>
              <w:noProof/>
              <w:lang w:val="en-US"/>
            </w:rPr>
            <w:br/>
            <w:t xml:space="preserve">Available at: </w:t>
          </w:r>
          <w:r w:rsidRPr="00E91A6E">
            <w:rPr>
              <w:noProof/>
              <w:u w:val="single"/>
              <w:lang w:val="en-US"/>
            </w:rPr>
            <w:t>https://gupea.ub.gu.se/bitstream/handle/2077/69178/gupea_2077_69178_1.pdf?sequence=1&amp;isAllowed=y</w:t>
          </w:r>
          <w:r w:rsidRPr="00E91A6E">
            <w:rPr>
              <w:noProof/>
              <w:lang w:val="en-US"/>
            </w:rPr>
            <w:br/>
            <w:t>[Accessed 20 April 2022].</w:t>
          </w:r>
        </w:p>
        <w:p w14:paraId="1BA4D67C" w14:textId="77777777" w:rsidR="00E91A6E" w:rsidRPr="00E91A6E" w:rsidRDefault="00E91A6E" w:rsidP="00E91A6E">
          <w:pPr>
            <w:spacing w:line="360" w:lineRule="auto"/>
            <w:rPr>
              <w:noProof/>
              <w:lang w:val="en-US"/>
            </w:rPr>
          </w:pPr>
          <w:r w:rsidRPr="00E91A6E">
            <w:rPr>
              <w:noProof/>
              <w:lang w:val="en-US"/>
            </w:rPr>
            <w:t xml:space="preserve">Eddie McLaney &amp; Peter Atrill, 2020. </w:t>
          </w:r>
          <w:r w:rsidRPr="00E91A6E">
            <w:rPr>
              <w:i/>
              <w:iCs/>
              <w:noProof/>
              <w:lang w:val="en-US"/>
            </w:rPr>
            <w:t xml:space="preserve">Accounting and Finance an Introduction, </w:t>
          </w:r>
          <w:r w:rsidRPr="00E91A6E">
            <w:rPr>
              <w:noProof/>
              <w:lang w:val="en-US"/>
            </w:rPr>
            <w:t>London: Pearson.</w:t>
          </w:r>
        </w:p>
        <w:p w14:paraId="1DC5027B" w14:textId="77777777" w:rsidR="00E91A6E" w:rsidRPr="00E91A6E" w:rsidRDefault="00E91A6E" w:rsidP="00E91A6E">
          <w:pPr>
            <w:spacing w:line="360" w:lineRule="auto"/>
            <w:rPr>
              <w:noProof/>
              <w:lang w:val="en-US"/>
            </w:rPr>
          </w:pPr>
          <w:r w:rsidRPr="00E91A6E">
            <w:rPr>
              <w:noProof/>
              <w:lang w:val="en-US"/>
            </w:rPr>
            <w:t xml:space="preserve">Haslam, Colin; Leaver, Adam; Murphy, Richard; Tsitsianis, Nick, 2021. </w:t>
          </w:r>
          <w:r w:rsidRPr="00E91A6E">
            <w:rPr>
              <w:i/>
              <w:iCs/>
              <w:noProof/>
              <w:lang w:val="en-US"/>
            </w:rPr>
            <w:t xml:space="preserve">Assessing the Impact of Shareholder Primacy and Value, </w:t>
          </w:r>
          <w:r w:rsidRPr="00E91A6E">
            <w:rPr>
              <w:noProof/>
              <w:lang w:val="en-US"/>
            </w:rPr>
            <w:t>s.l.: s.n.</w:t>
          </w:r>
        </w:p>
        <w:p w14:paraId="29FCDB56" w14:textId="77777777" w:rsidR="00E91A6E" w:rsidRPr="00E91A6E" w:rsidRDefault="00E91A6E" w:rsidP="00E91A6E">
          <w:pPr>
            <w:spacing w:line="360" w:lineRule="auto"/>
            <w:rPr>
              <w:noProof/>
              <w:lang w:val="en-US"/>
            </w:rPr>
          </w:pPr>
          <w:r w:rsidRPr="00E91A6E">
            <w:rPr>
              <w:noProof/>
              <w:lang w:val="en-US"/>
            </w:rPr>
            <w:t xml:space="preserve">Irina Solovjova, Ramona Rupeika-Apoga &amp; Inna Romānova, 2018. Competitiveness Enhancement of International Financial Centres. </w:t>
          </w:r>
          <w:r w:rsidRPr="00E91A6E">
            <w:rPr>
              <w:i/>
              <w:iCs/>
              <w:noProof/>
              <w:lang w:val="en-US"/>
            </w:rPr>
            <w:t xml:space="preserve">European Research Studies Journal, </w:t>
          </w:r>
          <w:r w:rsidRPr="00E91A6E">
            <w:rPr>
              <w:noProof/>
              <w:lang w:val="en-US"/>
            </w:rPr>
            <w:t>21(1), pp. 5-17.</w:t>
          </w:r>
        </w:p>
        <w:p w14:paraId="647743FD" w14:textId="77777777" w:rsidR="00E91A6E" w:rsidRPr="00E91A6E" w:rsidRDefault="00E91A6E" w:rsidP="00E91A6E">
          <w:pPr>
            <w:spacing w:line="360" w:lineRule="auto"/>
            <w:rPr>
              <w:noProof/>
              <w:lang w:val="en-US"/>
            </w:rPr>
          </w:pPr>
          <w:r w:rsidRPr="00E91A6E">
            <w:rPr>
              <w:noProof/>
              <w:lang w:val="en-US"/>
            </w:rPr>
            <w:t xml:space="preserve">Isabel Feito-Ruiz, Luc Renneboog, Cara Vansteenkiste,, 2020. Elective stock and scrip dividends. </w:t>
          </w:r>
          <w:r w:rsidRPr="00E91A6E">
            <w:rPr>
              <w:i/>
              <w:iCs/>
              <w:noProof/>
              <w:lang w:val="en-US"/>
            </w:rPr>
            <w:t xml:space="preserve">Journal of Corporate Finance, </w:t>
          </w:r>
          <w:r w:rsidRPr="00E91A6E">
            <w:rPr>
              <w:noProof/>
              <w:lang w:val="en-US"/>
            </w:rPr>
            <w:t>Volume 64.</w:t>
          </w:r>
        </w:p>
        <w:p w14:paraId="4E782144" w14:textId="77777777" w:rsidR="00E91A6E" w:rsidRPr="00E91A6E" w:rsidRDefault="00E91A6E" w:rsidP="00E91A6E">
          <w:pPr>
            <w:spacing w:line="360" w:lineRule="auto"/>
            <w:rPr>
              <w:noProof/>
              <w:lang w:val="en-US"/>
            </w:rPr>
          </w:pPr>
          <w:r w:rsidRPr="00E91A6E">
            <w:rPr>
              <w:noProof/>
              <w:lang w:val="en-US"/>
            </w:rPr>
            <w:t xml:space="preserve">LEONARD SEABROOKE AND ELENI TSINGOU, 2021. Revolving doors in international financial governance. </w:t>
          </w:r>
          <w:r w:rsidRPr="00E91A6E">
            <w:rPr>
              <w:i/>
              <w:iCs/>
              <w:noProof/>
              <w:lang w:val="en-US"/>
            </w:rPr>
            <w:t xml:space="preserve">Global Networks, </w:t>
          </w:r>
          <w:r w:rsidRPr="00E91A6E">
            <w:rPr>
              <w:noProof/>
              <w:lang w:val="en-US"/>
            </w:rPr>
            <w:t>21(2), pp. 294-319.</w:t>
          </w:r>
        </w:p>
        <w:p w14:paraId="71A11E2B" w14:textId="77777777" w:rsidR="00E91A6E" w:rsidRPr="00E91A6E" w:rsidRDefault="00E91A6E" w:rsidP="00E91A6E">
          <w:pPr>
            <w:spacing w:line="360" w:lineRule="auto"/>
            <w:rPr>
              <w:noProof/>
              <w:lang w:val="en-US"/>
            </w:rPr>
          </w:pPr>
          <w:r w:rsidRPr="00E91A6E">
            <w:rPr>
              <w:noProof/>
              <w:lang w:val="en-US"/>
            </w:rPr>
            <w:t xml:space="preserve">Leuz, C., 2018. Evidence-based policymaking: promise, challenges and opportunities for accounting and financial markets research. </w:t>
          </w:r>
          <w:r w:rsidRPr="00E91A6E">
            <w:rPr>
              <w:i/>
              <w:iCs/>
              <w:noProof/>
              <w:lang w:val="en-US"/>
            </w:rPr>
            <w:t xml:space="preserve">Accounting and Business Research , </w:t>
          </w:r>
          <w:r w:rsidRPr="00E91A6E">
            <w:rPr>
              <w:noProof/>
              <w:lang w:val="en-US"/>
            </w:rPr>
            <w:t>48(5), pp. 582-608.</w:t>
          </w:r>
        </w:p>
        <w:p w14:paraId="4D0F4A1C" w14:textId="77777777" w:rsidR="00E91A6E" w:rsidRPr="00E91A6E" w:rsidRDefault="00E91A6E" w:rsidP="00E91A6E">
          <w:pPr>
            <w:spacing w:line="360" w:lineRule="auto"/>
            <w:rPr>
              <w:noProof/>
              <w:lang w:val="en-US"/>
            </w:rPr>
          </w:pPr>
          <w:r w:rsidRPr="00E91A6E">
            <w:rPr>
              <w:noProof/>
              <w:lang w:val="en-US"/>
            </w:rPr>
            <w:t xml:space="preserve">Madura, J., 2020. </w:t>
          </w:r>
          <w:r w:rsidRPr="00E91A6E">
            <w:rPr>
              <w:i/>
              <w:iCs/>
              <w:noProof/>
              <w:lang w:val="en-US"/>
            </w:rPr>
            <w:t xml:space="preserve">International financial managemen. </w:t>
          </w:r>
          <w:r w:rsidRPr="00E91A6E">
            <w:rPr>
              <w:noProof/>
              <w:lang w:val="en-US"/>
            </w:rPr>
            <w:t>14th ed. Boston(United States): Cengage Learning Inc..</w:t>
          </w:r>
        </w:p>
        <w:p w14:paraId="5E9B02FD" w14:textId="77777777" w:rsidR="00E91A6E" w:rsidRPr="00E91A6E" w:rsidRDefault="00E91A6E" w:rsidP="00E91A6E">
          <w:pPr>
            <w:spacing w:line="360" w:lineRule="auto"/>
            <w:rPr>
              <w:noProof/>
              <w:lang w:val="en-US"/>
            </w:rPr>
          </w:pPr>
          <w:r w:rsidRPr="00E91A6E">
            <w:rPr>
              <w:noProof/>
              <w:lang w:val="en-US"/>
            </w:rPr>
            <w:lastRenderedPageBreak/>
            <w:t xml:space="preserve">MARQUES, G. A., 2019. </w:t>
          </w:r>
          <w:r w:rsidRPr="00E91A6E">
            <w:rPr>
              <w:i/>
              <w:iCs/>
              <w:noProof/>
              <w:lang w:val="en-US"/>
            </w:rPr>
            <w:t xml:space="preserve">Equity Research: BP PLC (Master's Dissertation), </w:t>
          </w:r>
          <w:r w:rsidRPr="00E91A6E">
            <w:rPr>
              <w:noProof/>
              <w:lang w:val="en-US"/>
            </w:rPr>
            <w:t>Lisbon: University of Lisbon.</w:t>
          </w:r>
        </w:p>
        <w:p w14:paraId="7BCE968C" w14:textId="77777777" w:rsidR="00E91A6E" w:rsidRPr="00E91A6E" w:rsidRDefault="00E91A6E" w:rsidP="00E91A6E">
          <w:pPr>
            <w:spacing w:line="360" w:lineRule="auto"/>
            <w:rPr>
              <w:noProof/>
              <w:lang w:val="en-US"/>
            </w:rPr>
          </w:pPr>
          <w:r w:rsidRPr="00E91A6E">
            <w:rPr>
              <w:noProof/>
              <w:lang w:val="en-US"/>
            </w:rPr>
            <w:t xml:space="preserve">Md.Tanvir Rahman &amp; Rafia Akhter, 2021. </w:t>
          </w:r>
          <w:r w:rsidRPr="00E91A6E">
            <w:rPr>
              <w:i/>
              <w:iCs/>
              <w:noProof/>
              <w:lang w:val="en-US"/>
            </w:rPr>
            <w:t xml:space="preserve">Forecasting Stock Market Price Using Multiple Machine Learning Technique, </w:t>
          </w:r>
          <w:r w:rsidRPr="00E91A6E">
            <w:rPr>
              <w:noProof/>
              <w:lang w:val="en-US"/>
            </w:rPr>
            <w:t>s.l.: Reserch Gate.</w:t>
          </w:r>
        </w:p>
        <w:p w14:paraId="3F72759E" w14:textId="77777777" w:rsidR="00E91A6E" w:rsidRPr="00E91A6E" w:rsidRDefault="00E91A6E" w:rsidP="00E91A6E">
          <w:pPr>
            <w:spacing w:line="360" w:lineRule="auto"/>
            <w:rPr>
              <w:noProof/>
              <w:lang w:val="en-US"/>
            </w:rPr>
          </w:pPr>
          <w:r w:rsidRPr="00E91A6E">
            <w:rPr>
              <w:noProof/>
              <w:lang w:val="en-US"/>
            </w:rPr>
            <w:t xml:space="preserve">Walter, Bartosz, Marović, B., Garnizov, I., Wolski, M. and Todosijevic, A, 2021. </w:t>
          </w:r>
          <w:r w:rsidRPr="00E91A6E">
            <w:rPr>
              <w:i/>
              <w:iCs/>
              <w:noProof/>
              <w:lang w:val="en-US"/>
            </w:rPr>
            <w:t xml:space="preserve">Monitoring the adoption of SPI-related best practices. An experience report. </w:t>
          </w:r>
          <w:r w:rsidRPr="00E91A6E">
            <w:rPr>
              <w:noProof/>
              <w:lang w:val="en-US"/>
            </w:rPr>
            <w:t>s.l., eprint arXiv, pp. 475-484.</w:t>
          </w:r>
        </w:p>
        <w:p w14:paraId="10725F15" w14:textId="2516F283" w:rsidR="00433916" w:rsidRDefault="00E91A6E" w:rsidP="00E91A6E">
          <w:r w:rsidRPr="00E91A6E">
            <w:rPr>
              <w:b/>
              <w:bCs/>
              <w:noProof/>
            </w:rPr>
            <w:fldChar w:fldCharType="end"/>
          </w:r>
        </w:p>
      </w:sdtContent>
    </w:sdt>
    <w:sectPr w:rsidR="00433916" w:rsidSect="003533FB">
      <w:foot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0FBD" w14:textId="77777777" w:rsidR="005D021C" w:rsidRDefault="005D021C" w:rsidP="003533FB">
      <w:pPr>
        <w:spacing w:after="0" w:line="240" w:lineRule="auto"/>
      </w:pPr>
      <w:r>
        <w:separator/>
      </w:r>
    </w:p>
  </w:endnote>
  <w:endnote w:type="continuationSeparator" w:id="0">
    <w:p w14:paraId="2F04AE6D" w14:textId="77777777" w:rsidR="005D021C" w:rsidRDefault="005D021C" w:rsidP="00353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253703"/>
      <w:docPartObj>
        <w:docPartGallery w:val="Page Numbers (Bottom of Page)"/>
        <w:docPartUnique/>
      </w:docPartObj>
    </w:sdtPr>
    <w:sdtEndPr>
      <w:rPr>
        <w:noProof/>
      </w:rPr>
    </w:sdtEndPr>
    <w:sdtContent>
      <w:p w14:paraId="3F9697AB" w14:textId="6FCB2AB4" w:rsidR="003533FB" w:rsidRDefault="003533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658517" w14:textId="77777777" w:rsidR="003533FB" w:rsidRDefault="00353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2D0DF" w14:textId="77777777" w:rsidR="005D021C" w:rsidRDefault="005D021C" w:rsidP="003533FB">
      <w:pPr>
        <w:spacing w:after="0" w:line="240" w:lineRule="auto"/>
      </w:pPr>
      <w:r>
        <w:separator/>
      </w:r>
    </w:p>
  </w:footnote>
  <w:footnote w:type="continuationSeparator" w:id="0">
    <w:p w14:paraId="58EB29DD" w14:textId="77777777" w:rsidR="005D021C" w:rsidRDefault="005D021C" w:rsidP="00353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6F7D3" w14:textId="5B58E525" w:rsidR="00C46E29" w:rsidRPr="00C46E29" w:rsidRDefault="00C46E29">
    <w:pPr>
      <w:pStyle w:val="Header"/>
      <w:rPr>
        <w:sz w:val="22"/>
        <w:szCs w:val="22"/>
      </w:rPr>
    </w:pPr>
    <w:r w:rsidRPr="00C46E29">
      <w:rPr>
        <w:b/>
        <w:bCs/>
      </w:rPr>
      <w:t>1814116</w:t>
    </w:r>
  </w:p>
  <w:p w14:paraId="69EC5D3F" w14:textId="77777777" w:rsidR="00C46E29" w:rsidRDefault="00C46E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3C4"/>
    <w:rsid w:val="0002478F"/>
    <w:rsid w:val="0026675F"/>
    <w:rsid w:val="002F714D"/>
    <w:rsid w:val="003533FB"/>
    <w:rsid w:val="00433916"/>
    <w:rsid w:val="004B333B"/>
    <w:rsid w:val="004E4727"/>
    <w:rsid w:val="005D021C"/>
    <w:rsid w:val="009751E2"/>
    <w:rsid w:val="00A84CEC"/>
    <w:rsid w:val="00B52311"/>
    <w:rsid w:val="00B603C4"/>
    <w:rsid w:val="00C0013E"/>
    <w:rsid w:val="00C46E29"/>
    <w:rsid w:val="00D34F10"/>
    <w:rsid w:val="00DA3645"/>
    <w:rsid w:val="00E91A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A61A1A-63C4-424F-A653-1E4D51AF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3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3FB"/>
  </w:style>
  <w:style w:type="paragraph" w:styleId="Footer">
    <w:name w:val="footer"/>
    <w:basedOn w:val="Normal"/>
    <w:link w:val="FooterChar"/>
    <w:uiPriority w:val="99"/>
    <w:unhideWhenUsed/>
    <w:rsid w:val="003533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3FB"/>
  </w:style>
  <w:style w:type="paragraph" w:styleId="TOC1">
    <w:name w:val="toc 1"/>
    <w:basedOn w:val="Normal"/>
    <w:next w:val="Normal"/>
    <w:autoRedefine/>
    <w:uiPriority w:val="39"/>
    <w:unhideWhenUsed/>
    <w:rsid w:val="004B333B"/>
    <w:pPr>
      <w:tabs>
        <w:tab w:val="right" w:leader="dot" w:pos="9016"/>
      </w:tabs>
      <w:spacing w:after="100" w:line="360" w:lineRule="auto"/>
    </w:pPr>
  </w:style>
  <w:style w:type="paragraph" w:styleId="TOC2">
    <w:name w:val="toc 2"/>
    <w:basedOn w:val="Normal"/>
    <w:next w:val="Normal"/>
    <w:autoRedefine/>
    <w:uiPriority w:val="39"/>
    <w:unhideWhenUsed/>
    <w:rsid w:val="004B333B"/>
    <w:pPr>
      <w:spacing w:after="100"/>
      <w:ind w:left="240"/>
    </w:pPr>
  </w:style>
  <w:style w:type="character" w:styleId="Hyperlink">
    <w:name w:val="Hyperlink"/>
    <w:basedOn w:val="DefaultParagraphFont"/>
    <w:uiPriority w:val="99"/>
    <w:unhideWhenUsed/>
    <w:rsid w:val="004B33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Arc18</b:Tag>
    <b:SourceType>InternetSite</b:SourceType>
    <b:Guid>{C1D8C4A6-BC5E-4EC2-BC34-438A920D6507}</b:Guid>
    <b:Author>
      <b:Author>
        <b:Corporate>Archie B. Carroll, Jill A. Brown</b:Corporate>
      </b:Author>
    </b:Author>
    <b:Title>Corporate Social Responsibility: A Review of Current Concepts, Research, and Issues</b:Title>
    <b:Year>2018</b:Year>
    <b:YearAccessed>2022</b:YearAccessed>
    <b:MonthAccessed>March</b:MonthAccessed>
    <b:DayAccessed>25</b:DayAccessed>
    <b:URL>https://www.emerald.com/insight/content/doi/10.1108/S2514-175920180000002002/full/html</b:URL>
    <b:Month>05</b:Month>
    <b:Day>14</b:Day>
    <b:RefOrder>1</b:RefOrder>
  </b:Source>
  <b:Source>
    <b:Tag>Isa20</b:Tag>
    <b:SourceType>JournalArticle</b:SourceType>
    <b:Guid>{4E1AEF4E-0253-4FBC-A0B2-F5A9C699D806}</b:Guid>
    <b:Author>
      <b:Author>
        <b:Corporate>Isabel Feito-Ruiz, Luc Renneboog, Cara Vansteenkiste,</b:Corporate>
      </b:Author>
    </b:Author>
    <b:Title>Elective stock and scrip dividends</b:Title>
    <b:Year>2020</b:Year>
    <b:YearAccessed>2022</b:YearAccessed>
    <b:MonthAccessed>March</b:MonthAccessed>
    <b:DayAccessed>01</b:DayAccessed>
    <b:DOI>https://doi.org/10.1016/j.jcorpfin.2020.101660.</b:DOI>
    <b:JournalName>Journal of Corporate Finance</b:JournalName>
    <b:Volume>64</b:Volume>
    <b:RefOrder>2</b:RefOrder>
  </b:Source>
  <b:Source>
    <b:Tag>Has21</b:Tag>
    <b:SourceType>ElectronicSource</b:SourceType>
    <b:Guid>{3A9A8DB4-FDA4-4105-BBD0-F0B1F08E7E8E}</b:Guid>
    <b:Title>Assessing the Impact of Shareholder Primacy and Value</b:Title>
    <b:Year>2021</b:Year>
    <b:YearAccessed>2022</b:YearAccessed>
    <b:MonthAccessed>April</b:MonthAccessed>
    <b:DayAccessed>13</b:DayAccessed>
    <b:URL>https://research-api.cbs.dk/ws/portalfiles/portal/69798495/PIN_Report_29_6_21_FINAL.pdf</b:URL>
    <b:Author>
      <b:Author>
        <b:Corporate>Haslam, Colin; Leaver, Adam; Murphy, Richard; Tsitsianis, Nick</b:Corporate>
      </b:Author>
    </b:Author>
    <b:PublicationTitle>Copenhagen Business School</b:PublicationTitle>
    <b:RefOrder>3</b:RefOrder>
  </b:Source>
  <b:Source>
    <b:Tag>Cla21</b:Tag>
    <b:SourceType>DocumentFromInternetSite</b:SourceType>
    <b:Guid>{A6A7B8A2-D1F7-434D-9ED2-BA179E4BD4B5}</b:Guid>
    <b:Title>Stock market response to unsustainable conduct within listed companies</b:Title>
    <b:Year>2021</b:Year>
    <b:Author>
      <b:Author>
        <b:Corporate>Claudia Koozi &amp; Preet Kawal Kaur</b:Corporate>
      </b:Author>
    </b:Author>
    <b:YearAccessed>2022</b:YearAccessed>
    <b:MonthAccessed>April</b:MonthAccessed>
    <b:DayAccessed>20</b:DayAccessed>
    <b:URL>https://gupea.ub.gu.se/bitstream/handle/2077/69178/gupea_2077_69178_1.pdf?sequence=1&amp;isAllowed=y</b:URL>
    <b:InternetSiteTitle>University of Gothenburg</b:InternetSiteTitle>
    <b:RefOrder>4</b:RefOrder>
  </b:Source>
  <b:Source>
    <b:Tag>Leu18</b:Tag>
    <b:SourceType>JournalArticle</b:SourceType>
    <b:Guid>{F0CB6D30-172E-441A-B362-89149C95B7EE}</b:Guid>
    <b:Title> Evidence-based policymaking: promise, challenges and opportunities for accounting and financial markets research</b:Title>
    <b:Year>2018</b:Year>
    <b:URL>doi: 10.1080/00014788.2018.1470151</b:URL>
    <b:Author>
      <b:Author>
        <b:NameList>
          <b:Person>
            <b:Last>Leuz</b:Last>
            <b:First>Christian</b:First>
          </b:Person>
        </b:NameList>
      </b:Author>
    </b:Author>
    <b:JournalName>Accounting and Business Research </b:JournalName>
    <b:Pages>582-608</b:Pages>
    <b:Volume>48</b:Volume>
    <b:Issue>5</b:Issue>
    <b:RefOrder>5</b:RefOrder>
  </b:Source>
  <b:Source>
    <b:Tag>Mad20</b:Tag>
    <b:SourceType>Book</b:SourceType>
    <b:Guid>{2F3098D6-D5DC-4BE5-B721-3C780D4F0721}</b:Guid>
    <b:Author>
      <b:Author>
        <b:NameList>
          <b:Person>
            <b:Last>Madura</b:Last>
            <b:First>Jeff</b:First>
          </b:Person>
        </b:NameList>
      </b:Author>
    </b:Author>
    <b:Title>International financial managemen</b:Title>
    <b:Year>2020</b:Year>
    <b:City>Boston</b:City>
    <b:Publisher>Cengage Learning Inc.</b:Publisher>
    <b:StateProvince>United States</b:StateProvince>
    <b:Edition>14th</b:Edition>
    <b:RefOrder>6</b:RefOrder>
  </b:Source>
  <b:Source>
    <b:Tag>GON19</b:Tag>
    <b:SourceType>ElectronicSource</b:SourceType>
    <b:Guid>{03F03033-4EFD-4864-A4AF-5F45475E1FE6}</b:Guid>
    <b:Title>Equity Research: BP PLC (Master's Dissertation)</b:Title>
    <b:Year>2019</b:Year>
    <b:City>Lisbon</b:City>
    <b:Publisher>University of Lisbon</b:Publisher>
    <b:URL>https://www.proquest.com/openview/922c017e82a0a4041ebf1d20341e6650/1?pq-origsite=gscholar&amp;cbl=2026366&amp;diss=y</b:URL>
    <b:Author>
      <b:Author>
        <b:NameList>
          <b:Person>
            <b:Last>MARQUES</b:Last>
            <b:First>GONÇALO</b:First>
            <b:Middle>ANTUNES</b:Middle>
          </b:Person>
        </b:NameList>
      </b:Author>
    </b:Author>
    <b:RefOrder>7</b:RefOrder>
  </b:Source>
  <b:Source>
    <b:Tag>Edd20</b:Tag>
    <b:SourceType>ElectronicSource</b:SourceType>
    <b:Guid>{6FFB81F0-3EC1-44BE-8DAE-B18F4FD38ECF}</b:Guid>
    <b:Title>Accounting and Finance an Introduction</b:Title>
    <b:City>London</b:City>
    <b:Publisher>Pearson</b:Publisher>
    <b:Year>2020</b:Year>
    <b:Author>
      <b:Author>
        <b:Corporate>Eddie McLaney &amp; Peter Atrill</b:Corporate>
      </b:Author>
    </b:Author>
    <b:Edition>10th </b:Edition>
    <b:RefOrder>8</b:RefOrder>
  </b:Source>
  <b:Source>
    <b:Tag>Akh21</b:Tag>
    <b:SourceType>ElectronicSource</b:SourceType>
    <b:Guid>{CB1D2132-CB15-481D-A24A-7305D438A754}</b:Guid>
    <b:Title>Forecasting Stock Market Price Using Multiple Machine Learning Technique</b:Title>
    <b:Publisher>Reserch Gate</b:Publisher>
    <b:Year>2021</b:Year>
    <b:MonthAccessed>December</b:MonthAccessed>
    <b:DayAccessed>18</b:DayAccessed>
    <b:URL>https://www.researchgate.net/publication/348976652_Forecasting_Stock_Market_Price_Using_Multiple_Machine_Learning_Technique</b:URL>
    <b:Author>
      <b:Author>
        <b:Corporate>Md.Tanvir Rahman &amp; Rafia Akhter</b:Corporate>
      </b:Author>
    </b:Author>
    <b:RefOrder>9</b:RefOrder>
  </b:Source>
  <b:Source>
    <b:Tag>LEO21</b:Tag>
    <b:SourceType>JournalArticle</b:SourceType>
    <b:Guid>{EBCD51BA-55EF-4E79-B33F-A3DCABACC41B}</b:Guid>
    <b:Title>Revolving doors in international  financial governance</b:Title>
    <b:Publisher>John Wiley &amp; Sons Ltd</b:Publisher>
    <b:Year>2021</b:Year>
    <b:PublicationTitle>Global Networks</b:PublicationTitle>
    <b:Volume>21</b:Volume>
    <b:URL>https://onlinelibrary.wiley.com/doi/epdf/10.1111/glob.12286</b:URL>
    <b:Author>
      <b:Author>
        <b:Corporate>LEONARD SEABROOKE AND ELENI TSINGOU</b:Corporate>
      </b:Author>
    </b:Author>
    <b:JournalName>Global Networks</b:JournalName>
    <b:Pages>294-319</b:Pages>
    <b:Issue>2</b:Issue>
    <b:RefOrder>10</b:RefOrder>
  </b:Source>
  <b:Source>
    <b:Tag>Iri18</b:Tag>
    <b:SourceType>JournalArticle</b:SourceType>
    <b:Guid>{4BE4A802-ACD7-4128-830F-7202C5AE3DF3}</b:Guid>
    <b:Title>Competitiveness Enhancement of International Financial Centres</b:Title>
    <b:JournalName>European Research Studies Journal</b:JournalName>
    <b:Year>2018</b:Year>
    <b:Pages>5-17</b:Pages>
    <b:Volume>21</b:Volume>
    <b:Issue>1</b:Issue>
    <b:YearAccessed>2022</b:YearAccessed>
    <b:MonthAccessed>April</b:MonthAccessed>
    <b:DayAccessed>15</b:DayAccessed>
    <b:URL>https://www.um.edu.mt/library/oar/bitstream/123456789/30012/1/ERSJ%2c_21%281%29_-_A1.pdf</b:URL>
    <b:Author>
      <b:Author>
        <b:Corporate>Irina Solovjova, Ramona Rupeika-Apoga &amp; Inna Romānova</b:Corporate>
      </b:Author>
    </b:Author>
    <b:RefOrder>11</b:RefOrder>
  </b:Source>
  <b:Source>
    <b:Tag>Bar</b:Tag>
    <b:SourceType>ConferenceProceedings</b:SourceType>
    <b:Guid>{7A8089C3-8D30-4AC6-A0D8-2330F103CE96}</b:Guid>
    <b:URL>https://arxiv.org/pdf/2109.03550.pdf</b:URL>
    <b:Author>
      <b:Author>
        <b:Corporate>Walter, Bartosz, Marović, B., Garnizov, I., Wolski, M. and Todosijevic, A</b:Corporate>
      </b:Author>
    </b:Author>
    <b:Title>Monitoring the adoption of SPI-related best practices. An experience report</b:Title>
    <b:Publisher>eprint arXiv</b:Publisher>
    <b:Year>2021</b:Year>
    <b:Volume>1442</b:Volume>
    <b:YearAccessed>2022</b:YearAccessed>
    <b:MonthAccessed>March</b:MonthAccessed>
    <b:DayAccessed>11</b:DayAccessed>
    <b:Pages>475-484</b:Pages>
    <b:ConferenceName>European Conference</b:ConferenceName>
    <b:RefOrder>12</b:RefOrder>
  </b:Source>
</b:Sources>
</file>

<file path=customXml/itemProps1.xml><?xml version="1.0" encoding="utf-8"?>
<ds:datastoreItem xmlns:ds="http://schemas.openxmlformats.org/officeDocument/2006/customXml" ds:itemID="{41DCDE76-FA5E-4678-ADB4-98ACC204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2223</Words>
  <Characters>12674</Characters>
  <Application>Microsoft Office Word</Application>
  <DocSecurity>0</DocSecurity>
  <Lines>105</Lines>
  <Paragraphs>29</Paragraphs>
  <ScaleCrop>false</ScaleCrop>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Andrei-Cristian Chicos (1814116)</dc:creator>
  <cp:keywords/>
  <dc:description/>
  <cp:lastModifiedBy>Andrei-Cristian Chicos (1814116)</cp:lastModifiedBy>
  <cp:revision>12</cp:revision>
  <dcterms:created xsi:type="dcterms:W3CDTF">2022-05-03T20:07:00Z</dcterms:created>
  <dcterms:modified xsi:type="dcterms:W3CDTF">2022-05-03T20:12:00Z</dcterms:modified>
</cp:coreProperties>
</file>