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BBD360" w14:textId="77777777" w:rsidR="004D6DF3" w:rsidRDefault="004D6DF3"/>
    <w:p w14:paraId="31C73734" w14:textId="346D88C6" w:rsidR="004D6DF3" w:rsidRDefault="004D6DF3"/>
    <w:p w14:paraId="5DAB4905" w14:textId="77777777" w:rsidR="004D6DF3" w:rsidRDefault="004D6DF3" w:rsidP="004D6DF3">
      <w:pPr>
        <w:jc w:val="center"/>
        <w:rPr>
          <w:b/>
          <w:bCs/>
          <w:color w:val="156082" w:themeColor="accent1"/>
          <w:sz w:val="24"/>
          <w:szCs w:val="24"/>
        </w:rPr>
      </w:pPr>
    </w:p>
    <w:p w14:paraId="6FA3115C" w14:textId="77777777" w:rsidR="004D6DF3" w:rsidRDefault="004D6DF3" w:rsidP="004D6DF3">
      <w:pPr>
        <w:jc w:val="center"/>
        <w:rPr>
          <w:b/>
          <w:bCs/>
          <w:color w:val="156082" w:themeColor="accent1"/>
          <w:sz w:val="24"/>
          <w:szCs w:val="24"/>
        </w:rPr>
      </w:pPr>
    </w:p>
    <w:p w14:paraId="23827588" w14:textId="77777777" w:rsidR="004D6DF3" w:rsidRDefault="004D6DF3" w:rsidP="004D6DF3">
      <w:pPr>
        <w:jc w:val="center"/>
        <w:rPr>
          <w:b/>
          <w:bCs/>
          <w:color w:val="156082" w:themeColor="accent1"/>
          <w:sz w:val="24"/>
          <w:szCs w:val="24"/>
        </w:rPr>
      </w:pPr>
    </w:p>
    <w:p w14:paraId="6ABF2ADB" w14:textId="01A22462" w:rsidR="004D6DF3" w:rsidRDefault="004D6DF3" w:rsidP="004D6DF3">
      <w:pPr>
        <w:jc w:val="center"/>
        <w:rPr>
          <w:b/>
          <w:bCs/>
          <w:color w:val="156082" w:themeColor="accent1"/>
          <w:sz w:val="24"/>
          <w:szCs w:val="24"/>
        </w:rPr>
      </w:pPr>
      <w:r w:rsidRPr="004D6DF3">
        <w:rPr>
          <w:b/>
          <w:bCs/>
          <w:color w:val="156082" w:themeColor="accent1"/>
          <w:sz w:val="24"/>
          <w:szCs w:val="24"/>
        </w:rPr>
        <w:t>INFORMATION BOOKLET</w:t>
      </w:r>
    </w:p>
    <w:p w14:paraId="37D05ECA" w14:textId="47C6EC7D" w:rsidR="004D6DF3" w:rsidRDefault="004D6DF3" w:rsidP="004D6DF3">
      <w:pPr>
        <w:jc w:val="center"/>
        <w:rPr>
          <w:b/>
          <w:bCs/>
          <w:color w:val="153D63" w:themeColor="text2" w:themeTint="E6"/>
          <w:sz w:val="36"/>
          <w:szCs w:val="36"/>
          <w:u w:val="single"/>
        </w:rPr>
      </w:pPr>
      <w:r w:rsidRPr="004D6DF3">
        <w:rPr>
          <w:b/>
          <w:bCs/>
          <w:color w:val="153D63" w:themeColor="text2" w:themeTint="E6"/>
          <w:sz w:val="36"/>
          <w:szCs w:val="36"/>
          <w:u w:val="single"/>
        </w:rPr>
        <w:t>TYPE 2 DIABETES MELLITUS</w:t>
      </w:r>
    </w:p>
    <w:p w14:paraId="6F4CEA9D" w14:textId="6ACDCCB1" w:rsidR="004D6DF3" w:rsidRDefault="004D6DF3" w:rsidP="004D6DF3">
      <w:pPr>
        <w:jc w:val="center"/>
        <w:rPr>
          <w:rFonts w:ascii="LArial" w:hAnsi="LArial" w:cs="Arial"/>
          <w:i/>
          <w:iCs/>
          <w:sz w:val="36"/>
          <w:szCs w:val="36"/>
        </w:rPr>
      </w:pPr>
      <w:r>
        <w:rPr>
          <w:rFonts w:ascii="LArial" w:hAnsi="LArial" w:cs="Arial"/>
          <w:i/>
          <w:iCs/>
          <w:sz w:val="36"/>
          <w:szCs w:val="36"/>
        </w:rPr>
        <w:t>Long-term condition management, person-centred care and self-management in the United Kingdom</w:t>
      </w:r>
    </w:p>
    <w:p w14:paraId="5565E279" w14:textId="77777777" w:rsidR="004D6DF3" w:rsidRDefault="004D6DF3" w:rsidP="004D6DF3">
      <w:pPr>
        <w:jc w:val="center"/>
        <w:rPr>
          <w:rFonts w:ascii="LArial" w:hAnsi="LArial" w:cs="Arial"/>
          <w:i/>
          <w:iCs/>
          <w:sz w:val="36"/>
          <w:szCs w:val="36"/>
        </w:rPr>
      </w:pPr>
    </w:p>
    <w:p w14:paraId="74FC5CF2" w14:textId="3D7C90BB" w:rsidR="004D6DF3" w:rsidRDefault="004D6DF3" w:rsidP="004D6DF3">
      <w:pPr>
        <w:jc w:val="center"/>
        <w:rPr>
          <w:rFonts w:ascii="LArial" w:hAnsi="LArial" w:cs="Arial"/>
          <w:i/>
          <w:iCs/>
          <w:sz w:val="36"/>
          <w:szCs w:val="36"/>
        </w:rPr>
      </w:pPr>
      <w:r>
        <w:rPr>
          <w:rFonts w:ascii="LArial" w:hAnsi="LArial" w:cs="Arial"/>
          <w:i/>
          <w:iCs/>
          <w:sz w:val="36"/>
          <w:szCs w:val="36"/>
        </w:rPr>
        <w:t>Student: Mualuke Kalunga Kashama</w:t>
      </w:r>
    </w:p>
    <w:p w14:paraId="390692EA" w14:textId="0AF0EE80" w:rsidR="004D6DF3" w:rsidRDefault="004D6DF3" w:rsidP="004D6DF3">
      <w:pPr>
        <w:jc w:val="center"/>
        <w:rPr>
          <w:rFonts w:ascii="LArial" w:hAnsi="LArial" w:cs="Arial"/>
          <w:i/>
          <w:iCs/>
          <w:sz w:val="36"/>
          <w:szCs w:val="36"/>
        </w:rPr>
      </w:pPr>
      <w:r>
        <w:rPr>
          <w:rFonts w:ascii="LArial" w:hAnsi="LArial" w:cs="Arial"/>
          <w:i/>
          <w:iCs/>
          <w:sz w:val="36"/>
          <w:szCs w:val="36"/>
        </w:rPr>
        <w:t>SID: 2213244</w:t>
      </w:r>
    </w:p>
    <w:p w14:paraId="394D4C28" w14:textId="3E2127CE" w:rsidR="004D6DF3" w:rsidRDefault="004D6DF3" w:rsidP="004D6DF3">
      <w:pPr>
        <w:jc w:val="center"/>
        <w:rPr>
          <w:rFonts w:ascii="LArial" w:hAnsi="LArial" w:cs="Arial"/>
          <w:i/>
          <w:iCs/>
          <w:sz w:val="36"/>
          <w:szCs w:val="36"/>
        </w:rPr>
      </w:pPr>
      <w:r>
        <w:rPr>
          <w:rFonts w:ascii="LArial" w:hAnsi="LArial" w:cs="Arial"/>
          <w:i/>
          <w:iCs/>
          <w:sz w:val="36"/>
          <w:szCs w:val="36"/>
        </w:rPr>
        <w:t xml:space="preserve"> LCHS7003: Community Care and Management of Long-term Conditions</w:t>
      </w:r>
    </w:p>
    <w:p w14:paraId="3A41918D" w14:textId="241C2F45" w:rsidR="004D6DF3" w:rsidRDefault="004D6DF3" w:rsidP="004D6DF3">
      <w:pPr>
        <w:jc w:val="center"/>
        <w:rPr>
          <w:rFonts w:ascii="LArial" w:hAnsi="LArial" w:cs="Arial"/>
          <w:i/>
          <w:iCs/>
          <w:sz w:val="36"/>
          <w:szCs w:val="36"/>
        </w:rPr>
      </w:pPr>
      <w:r>
        <w:rPr>
          <w:rFonts w:ascii="LArial" w:hAnsi="LArial" w:cs="Arial"/>
          <w:i/>
          <w:iCs/>
          <w:sz w:val="36"/>
          <w:szCs w:val="36"/>
        </w:rPr>
        <w:t>Word count: 3</w:t>
      </w:r>
      <w:r w:rsidR="00147A6E">
        <w:rPr>
          <w:rFonts w:ascii="LArial" w:hAnsi="LArial" w:cs="Arial"/>
          <w:i/>
          <w:iCs/>
          <w:sz w:val="36"/>
          <w:szCs w:val="36"/>
        </w:rPr>
        <w:t>265</w:t>
      </w:r>
    </w:p>
    <w:p w14:paraId="0DD8AF0C" w14:textId="77777777" w:rsidR="00D21E26" w:rsidRDefault="00D21E26" w:rsidP="004D6DF3">
      <w:pPr>
        <w:jc w:val="center"/>
        <w:rPr>
          <w:rFonts w:ascii="LArial" w:hAnsi="LArial" w:cs="Arial"/>
          <w:i/>
          <w:iCs/>
          <w:sz w:val="36"/>
          <w:szCs w:val="36"/>
        </w:rPr>
      </w:pPr>
    </w:p>
    <w:p w14:paraId="002C4715" w14:textId="77777777" w:rsidR="00D21E26" w:rsidRDefault="00D21E26" w:rsidP="004D6DF3">
      <w:pPr>
        <w:jc w:val="center"/>
        <w:rPr>
          <w:rFonts w:ascii="LArial" w:hAnsi="LArial" w:cs="Arial"/>
          <w:i/>
          <w:iCs/>
          <w:sz w:val="36"/>
          <w:szCs w:val="36"/>
        </w:rPr>
      </w:pPr>
    </w:p>
    <w:p w14:paraId="14A223B8" w14:textId="77777777" w:rsidR="00D21E26" w:rsidRDefault="00D21E26" w:rsidP="004D6DF3">
      <w:pPr>
        <w:jc w:val="center"/>
        <w:rPr>
          <w:rFonts w:ascii="LArial" w:hAnsi="LArial" w:cs="Arial"/>
          <w:i/>
          <w:iCs/>
          <w:sz w:val="36"/>
          <w:szCs w:val="36"/>
        </w:rPr>
      </w:pPr>
    </w:p>
    <w:p w14:paraId="7A3142B4" w14:textId="77777777" w:rsidR="00D21E26" w:rsidRDefault="00D21E26" w:rsidP="004D6DF3">
      <w:pPr>
        <w:jc w:val="center"/>
        <w:rPr>
          <w:rFonts w:ascii="LArial" w:hAnsi="LArial" w:cs="Arial"/>
          <w:i/>
          <w:iCs/>
          <w:sz w:val="36"/>
          <w:szCs w:val="36"/>
        </w:rPr>
      </w:pPr>
    </w:p>
    <w:p w14:paraId="73BE0345" w14:textId="77777777" w:rsidR="00D21E26" w:rsidRDefault="00D21E26" w:rsidP="004D6DF3">
      <w:pPr>
        <w:jc w:val="center"/>
        <w:rPr>
          <w:rFonts w:ascii="LArial" w:hAnsi="LArial" w:cs="Arial"/>
          <w:i/>
          <w:iCs/>
          <w:sz w:val="36"/>
          <w:szCs w:val="36"/>
        </w:rPr>
      </w:pPr>
    </w:p>
    <w:p w14:paraId="4F19BC6E" w14:textId="77777777" w:rsidR="00D21E26" w:rsidRDefault="00D21E26" w:rsidP="004D6DF3">
      <w:pPr>
        <w:jc w:val="center"/>
        <w:rPr>
          <w:rFonts w:ascii="LArial" w:hAnsi="LArial" w:cs="Arial"/>
          <w:i/>
          <w:iCs/>
          <w:sz w:val="36"/>
          <w:szCs w:val="36"/>
        </w:rPr>
      </w:pPr>
    </w:p>
    <w:p w14:paraId="303B1295" w14:textId="77777777" w:rsidR="00D21E26" w:rsidRDefault="00D21E26" w:rsidP="004D6DF3">
      <w:pPr>
        <w:jc w:val="center"/>
        <w:rPr>
          <w:rFonts w:ascii="LArial" w:hAnsi="LArial" w:cs="Arial"/>
          <w:i/>
          <w:iCs/>
          <w:sz w:val="36"/>
          <w:szCs w:val="36"/>
        </w:rPr>
      </w:pPr>
    </w:p>
    <w:p w14:paraId="43BAC517" w14:textId="2D7B97B0" w:rsidR="00D21E26" w:rsidRPr="00D53AA1" w:rsidRDefault="00D21E26" w:rsidP="00D21E26">
      <w:pPr>
        <w:jc w:val="center"/>
        <w:rPr>
          <w:rFonts w:ascii="LArial" w:hAnsi="LArial" w:cs="Arial"/>
          <w:b/>
          <w:bCs/>
          <w:i/>
          <w:iCs/>
          <w:sz w:val="36"/>
          <w:szCs w:val="36"/>
          <w:u w:val="single"/>
        </w:rPr>
      </w:pPr>
      <w:r w:rsidRPr="00D53AA1">
        <w:rPr>
          <w:rFonts w:ascii="LArial" w:hAnsi="LArial" w:cs="Arial"/>
          <w:b/>
          <w:bCs/>
          <w:i/>
          <w:iCs/>
          <w:sz w:val="36"/>
          <w:szCs w:val="36"/>
          <w:u w:val="single"/>
        </w:rPr>
        <w:lastRenderedPageBreak/>
        <w:t>Contents Page</w:t>
      </w:r>
    </w:p>
    <w:p w14:paraId="643D57D0" w14:textId="77777777" w:rsidR="00D21E26" w:rsidRDefault="00D21E26" w:rsidP="00D21E26">
      <w:pPr>
        <w:jc w:val="center"/>
        <w:rPr>
          <w:rFonts w:ascii="LArial" w:hAnsi="LArial" w:cs="Arial"/>
          <w:i/>
          <w:iCs/>
          <w:sz w:val="36"/>
          <w:szCs w:val="36"/>
        </w:rPr>
      </w:pPr>
    </w:p>
    <w:p w14:paraId="158710B0" w14:textId="77777777" w:rsidR="00D53AA1" w:rsidRDefault="00D53AA1" w:rsidP="00D21E26">
      <w:pPr>
        <w:jc w:val="center"/>
        <w:rPr>
          <w:rFonts w:ascii="LArial" w:hAnsi="LArial" w:cs="Arial"/>
          <w:i/>
          <w:iCs/>
          <w:sz w:val="36"/>
          <w:szCs w:val="36"/>
        </w:rPr>
      </w:pPr>
    </w:p>
    <w:p w14:paraId="54F8F44A" w14:textId="77777777" w:rsidR="00D53AA1" w:rsidRDefault="00D53AA1" w:rsidP="00D21E26">
      <w:pPr>
        <w:jc w:val="center"/>
        <w:rPr>
          <w:rFonts w:ascii="LArial" w:hAnsi="LArial" w:cs="Arial"/>
          <w:i/>
          <w:iCs/>
          <w:sz w:val="36"/>
          <w:szCs w:val="36"/>
        </w:rPr>
      </w:pPr>
    </w:p>
    <w:p w14:paraId="6D753076" w14:textId="2ECF5C07" w:rsidR="00D21E26" w:rsidRDefault="00D53AA1" w:rsidP="00D21E26">
      <w:pPr>
        <w:pStyle w:val="ListParagraph"/>
        <w:numPr>
          <w:ilvl w:val="0"/>
          <w:numId w:val="1"/>
        </w:numPr>
        <w:jc w:val="center"/>
        <w:rPr>
          <w:rFonts w:ascii="LArial" w:hAnsi="LArial" w:cs="Arial"/>
          <w:i/>
          <w:iCs/>
          <w:sz w:val="36"/>
          <w:szCs w:val="36"/>
        </w:rPr>
      </w:pPr>
      <w:r>
        <w:rPr>
          <w:rFonts w:ascii="LArial" w:hAnsi="LArial" w:cs="Arial"/>
          <w:i/>
          <w:iCs/>
          <w:sz w:val="36"/>
          <w:szCs w:val="36"/>
        </w:rPr>
        <w:t>Introduction and purpose</w:t>
      </w:r>
    </w:p>
    <w:p w14:paraId="17B40B8A" w14:textId="1F068B42" w:rsidR="00D53AA1" w:rsidRDefault="00D53AA1" w:rsidP="00D53AA1">
      <w:pPr>
        <w:pStyle w:val="ListParagraph"/>
        <w:numPr>
          <w:ilvl w:val="0"/>
          <w:numId w:val="1"/>
        </w:numPr>
        <w:jc w:val="center"/>
        <w:rPr>
          <w:rFonts w:ascii="LArial" w:hAnsi="LArial" w:cs="Arial"/>
          <w:i/>
          <w:iCs/>
          <w:sz w:val="36"/>
          <w:szCs w:val="36"/>
        </w:rPr>
      </w:pPr>
      <w:r>
        <w:rPr>
          <w:rFonts w:ascii="LArial" w:hAnsi="LArial" w:cs="Arial"/>
          <w:i/>
          <w:iCs/>
          <w:sz w:val="36"/>
          <w:szCs w:val="36"/>
        </w:rPr>
        <w:t xml:space="preserve">Understanding Type 2 Diabetes Mellitus </w:t>
      </w:r>
    </w:p>
    <w:p w14:paraId="3741FAFB" w14:textId="6283CC59" w:rsidR="00D53AA1" w:rsidRDefault="00D53AA1" w:rsidP="00D53AA1">
      <w:pPr>
        <w:pStyle w:val="ListParagraph"/>
        <w:numPr>
          <w:ilvl w:val="1"/>
          <w:numId w:val="1"/>
        </w:numPr>
        <w:rPr>
          <w:rFonts w:ascii="LArial" w:hAnsi="LArial" w:cs="Arial"/>
          <w:i/>
          <w:iCs/>
          <w:sz w:val="36"/>
          <w:szCs w:val="36"/>
        </w:rPr>
      </w:pPr>
      <w:r>
        <w:rPr>
          <w:rFonts w:ascii="LArial" w:hAnsi="LArial" w:cs="Arial"/>
          <w:i/>
          <w:iCs/>
          <w:sz w:val="36"/>
          <w:szCs w:val="36"/>
        </w:rPr>
        <w:t xml:space="preserve">Definition and underlying mechanisms </w:t>
      </w:r>
    </w:p>
    <w:p w14:paraId="371DA87C" w14:textId="6DDE7B9C" w:rsidR="00D53AA1" w:rsidRDefault="00D53AA1" w:rsidP="00D53AA1">
      <w:pPr>
        <w:pStyle w:val="ListParagraph"/>
        <w:numPr>
          <w:ilvl w:val="1"/>
          <w:numId w:val="1"/>
        </w:numPr>
        <w:rPr>
          <w:rFonts w:ascii="LArial" w:hAnsi="LArial" w:cs="Arial"/>
          <w:i/>
          <w:iCs/>
          <w:sz w:val="36"/>
          <w:szCs w:val="36"/>
        </w:rPr>
      </w:pPr>
      <w:r>
        <w:rPr>
          <w:rFonts w:ascii="LArial" w:hAnsi="LArial" w:cs="Arial"/>
          <w:i/>
          <w:iCs/>
          <w:sz w:val="36"/>
          <w:szCs w:val="36"/>
        </w:rPr>
        <w:t>Worldwide and UK prevalence and burden</w:t>
      </w:r>
    </w:p>
    <w:p w14:paraId="22DE8745" w14:textId="4CED9A65" w:rsidR="00D53AA1" w:rsidRDefault="00D53AA1" w:rsidP="00D53AA1">
      <w:pPr>
        <w:pStyle w:val="ListParagraph"/>
        <w:numPr>
          <w:ilvl w:val="1"/>
          <w:numId w:val="1"/>
        </w:numPr>
        <w:rPr>
          <w:rFonts w:ascii="LArial" w:hAnsi="LArial" w:cs="Arial"/>
          <w:i/>
          <w:iCs/>
          <w:sz w:val="36"/>
          <w:szCs w:val="36"/>
        </w:rPr>
      </w:pPr>
      <w:r>
        <w:rPr>
          <w:rFonts w:ascii="LArial" w:hAnsi="LArial" w:cs="Arial"/>
          <w:i/>
          <w:iCs/>
          <w:sz w:val="36"/>
          <w:szCs w:val="36"/>
        </w:rPr>
        <w:t xml:space="preserve">Risk factors and aetiology </w:t>
      </w:r>
    </w:p>
    <w:p w14:paraId="53F37D91" w14:textId="56FE0DB9" w:rsidR="00D53AA1" w:rsidRDefault="00D53AA1" w:rsidP="00D53AA1">
      <w:pPr>
        <w:pStyle w:val="ListParagraph"/>
        <w:numPr>
          <w:ilvl w:val="0"/>
          <w:numId w:val="1"/>
        </w:numPr>
        <w:rPr>
          <w:rFonts w:ascii="LArial" w:hAnsi="LArial" w:cs="Arial"/>
          <w:i/>
          <w:iCs/>
          <w:sz w:val="36"/>
          <w:szCs w:val="36"/>
        </w:rPr>
      </w:pPr>
      <w:r>
        <w:rPr>
          <w:rFonts w:ascii="LArial" w:hAnsi="LArial" w:cs="Arial"/>
          <w:i/>
          <w:iCs/>
          <w:sz w:val="36"/>
          <w:szCs w:val="36"/>
        </w:rPr>
        <w:t xml:space="preserve">Physical, psychological and social input </w:t>
      </w:r>
    </w:p>
    <w:p w14:paraId="0D9B4673" w14:textId="0FB00FDF" w:rsidR="00D53AA1" w:rsidRDefault="00D53AA1" w:rsidP="00D53AA1">
      <w:pPr>
        <w:pStyle w:val="ListParagraph"/>
        <w:numPr>
          <w:ilvl w:val="0"/>
          <w:numId w:val="1"/>
        </w:numPr>
        <w:rPr>
          <w:rFonts w:ascii="LArial" w:hAnsi="LArial" w:cs="Arial"/>
          <w:i/>
          <w:iCs/>
          <w:sz w:val="36"/>
          <w:szCs w:val="36"/>
        </w:rPr>
      </w:pPr>
      <w:r>
        <w:rPr>
          <w:rFonts w:ascii="LArial" w:hAnsi="LArial" w:cs="Arial"/>
          <w:i/>
          <w:iCs/>
          <w:sz w:val="36"/>
          <w:szCs w:val="36"/>
        </w:rPr>
        <w:t>Evidence-based treatments available through the NHS</w:t>
      </w:r>
    </w:p>
    <w:p w14:paraId="52A00331" w14:textId="6D2CF4EE" w:rsidR="00D53AA1" w:rsidRDefault="00D53AA1" w:rsidP="00D53AA1">
      <w:pPr>
        <w:pStyle w:val="ListParagraph"/>
        <w:numPr>
          <w:ilvl w:val="0"/>
          <w:numId w:val="1"/>
        </w:numPr>
        <w:rPr>
          <w:rFonts w:ascii="LArial" w:hAnsi="LArial" w:cs="Arial"/>
          <w:i/>
          <w:iCs/>
          <w:sz w:val="36"/>
          <w:szCs w:val="36"/>
        </w:rPr>
      </w:pPr>
      <w:r>
        <w:rPr>
          <w:rFonts w:ascii="LArial" w:hAnsi="LArial" w:cs="Arial"/>
          <w:i/>
          <w:iCs/>
          <w:sz w:val="36"/>
          <w:szCs w:val="36"/>
        </w:rPr>
        <w:t>Theoretical models and frameworks for improved outcomes</w:t>
      </w:r>
    </w:p>
    <w:p w14:paraId="235BF778" w14:textId="04EA63F3" w:rsidR="00D53AA1" w:rsidRDefault="00D53AA1" w:rsidP="00D53AA1">
      <w:pPr>
        <w:pStyle w:val="ListParagraph"/>
        <w:numPr>
          <w:ilvl w:val="1"/>
          <w:numId w:val="1"/>
        </w:numPr>
        <w:rPr>
          <w:rFonts w:ascii="LArial" w:hAnsi="LArial" w:cs="Arial"/>
          <w:i/>
          <w:iCs/>
          <w:sz w:val="36"/>
          <w:szCs w:val="36"/>
        </w:rPr>
      </w:pPr>
      <w:r>
        <w:rPr>
          <w:rFonts w:ascii="LArial" w:hAnsi="LArial" w:cs="Arial"/>
          <w:i/>
          <w:iCs/>
          <w:sz w:val="36"/>
          <w:szCs w:val="36"/>
        </w:rPr>
        <w:t>UK Model</w:t>
      </w:r>
    </w:p>
    <w:p w14:paraId="0C370D3A" w14:textId="3CB2B2B1" w:rsidR="00D53AA1" w:rsidRDefault="00D53AA1" w:rsidP="00D53AA1">
      <w:pPr>
        <w:pStyle w:val="ListParagraph"/>
        <w:numPr>
          <w:ilvl w:val="1"/>
          <w:numId w:val="1"/>
        </w:numPr>
        <w:rPr>
          <w:rFonts w:ascii="LArial" w:hAnsi="LArial" w:cs="Arial"/>
          <w:i/>
          <w:iCs/>
          <w:sz w:val="36"/>
          <w:szCs w:val="36"/>
        </w:rPr>
      </w:pPr>
      <w:r>
        <w:rPr>
          <w:rFonts w:ascii="LArial" w:hAnsi="LArial" w:cs="Arial"/>
          <w:i/>
          <w:iCs/>
          <w:sz w:val="36"/>
          <w:szCs w:val="36"/>
        </w:rPr>
        <w:t>International Model</w:t>
      </w:r>
    </w:p>
    <w:p w14:paraId="31F3944C" w14:textId="5A3220F5" w:rsidR="00D53AA1" w:rsidRDefault="00D53AA1" w:rsidP="00D53AA1">
      <w:pPr>
        <w:pStyle w:val="ListParagraph"/>
        <w:numPr>
          <w:ilvl w:val="0"/>
          <w:numId w:val="1"/>
        </w:numPr>
        <w:rPr>
          <w:rFonts w:ascii="LArial" w:hAnsi="LArial" w:cs="Arial"/>
          <w:i/>
          <w:iCs/>
          <w:sz w:val="36"/>
          <w:szCs w:val="36"/>
        </w:rPr>
      </w:pPr>
      <w:r>
        <w:rPr>
          <w:rFonts w:ascii="LArial" w:hAnsi="LArial" w:cs="Arial"/>
          <w:i/>
          <w:iCs/>
          <w:sz w:val="36"/>
          <w:szCs w:val="36"/>
        </w:rPr>
        <w:t>Health and social care policies and agendas</w:t>
      </w:r>
    </w:p>
    <w:p w14:paraId="0EAB708D" w14:textId="3E2E10F9" w:rsidR="00D53AA1" w:rsidRDefault="00D53AA1" w:rsidP="00D53AA1">
      <w:pPr>
        <w:pStyle w:val="ListParagraph"/>
        <w:numPr>
          <w:ilvl w:val="0"/>
          <w:numId w:val="1"/>
        </w:numPr>
        <w:rPr>
          <w:rFonts w:ascii="LArial" w:hAnsi="LArial" w:cs="Arial"/>
          <w:i/>
          <w:iCs/>
          <w:sz w:val="36"/>
          <w:szCs w:val="36"/>
        </w:rPr>
      </w:pPr>
      <w:r>
        <w:rPr>
          <w:rFonts w:ascii="LArial" w:hAnsi="LArial" w:cs="Arial"/>
          <w:i/>
          <w:iCs/>
          <w:sz w:val="36"/>
          <w:szCs w:val="36"/>
        </w:rPr>
        <w:t>Recommendations for person-centred care and self-management</w:t>
      </w:r>
    </w:p>
    <w:p w14:paraId="3425F4A9" w14:textId="30C97964" w:rsidR="00D53AA1" w:rsidRDefault="00D53AA1" w:rsidP="00D53AA1">
      <w:pPr>
        <w:pStyle w:val="ListParagraph"/>
        <w:numPr>
          <w:ilvl w:val="0"/>
          <w:numId w:val="1"/>
        </w:numPr>
        <w:rPr>
          <w:rFonts w:ascii="LArial" w:hAnsi="LArial" w:cs="Arial"/>
          <w:i/>
          <w:iCs/>
          <w:sz w:val="36"/>
          <w:szCs w:val="36"/>
        </w:rPr>
      </w:pPr>
      <w:r>
        <w:rPr>
          <w:rFonts w:ascii="LArial" w:hAnsi="LArial" w:cs="Arial"/>
          <w:i/>
          <w:iCs/>
          <w:sz w:val="36"/>
          <w:szCs w:val="36"/>
        </w:rPr>
        <w:t>Conclusion</w:t>
      </w:r>
    </w:p>
    <w:p w14:paraId="6992E120" w14:textId="76DAA53D" w:rsidR="00D53AA1" w:rsidRPr="00D53AA1" w:rsidRDefault="00D53AA1" w:rsidP="00D53AA1">
      <w:pPr>
        <w:pStyle w:val="ListParagraph"/>
        <w:numPr>
          <w:ilvl w:val="0"/>
          <w:numId w:val="1"/>
        </w:numPr>
        <w:rPr>
          <w:rFonts w:ascii="LArial" w:hAnsi="LArial" w:cs="Arial"/>
          <w:i/>
          <w:iCs/>
          <w:sz w:val="36"/>
          <w:szCs w:val="36"/>
        </w:rPr>
      </w:pPr>
      <w:r>
        <w:rPr>
          <w:rFonts w:ascii="LArial" w:hAnsi="LArial" w:cs="Arial"/>
          <w:i/>
          <w:iCs/>
          <w:sz w:val="36"/>
          <w:szCs w:val="36"/>
        </w:rPr>
        <w:t>Reference List</w:t>
      </w:r>
    </w:p>
    <w:p w14:paraId="3626BB10" w14:textId="77777777" w:rsidR="00D53AA1" w:rsidRPr="00D53AA1" w:rsidRDefault="00D53AA1" w:rsidP="00D53AA1">
      <w:pPr>
        <w:pStyle w:val="ListParagraph"/>
        <w:rPr>
          <w:rFonts w:ascii="LArial" w:hAnsi="LArial" w:cs="Arial"/>
          <w:i/>
          <w:iCs/>
          <w:sz w:val="36"/>
          <w:szCs w:val="36"/>
        </w:rPr>
      </w:pPr>
    </w:p>
    <w:p w14:paraId="1BF14670" w14:textId="77777777" w:rsidR="00D21E26" w:rsidRDefault="00D21E26" w:rsidP="004D6DF3">
      <w:pPr>
        <w:jc w:val="center"/>
        <w:rPr>
          <w:rFonts w:ascii="LArial" w:hAnsi="LArial" w:cs="Arial"/>
          <w:i/>
          <w:iCs/>
          <w:sz w:val="36"/>
          <w:szCs w:val="36"/>
        </w:rPr>
      </w:pPr>
    </w:p>
    <w:p w14:paraId="36433792" w14:textId="77777777" w:rsidR="00E86521" w:rsidRDefault="00E86521" w:rsidP="004D6DF3">
      <w:pPr>
        <w:jc w:val="center"/>
        <w:rPr>
          <w:rFonts w:ascii="LArial" w:hAnsi="LArial" w:cs="Arial"/>
          <w:i/>
          <w:iCs/>
          <w:sz w:val="36"/>
          <w:szCs w:val="36"/>
        </w:rPr>
      </w:pPr>
    </w:p>
    <w:p w14:paraId="5EA46E9F" w14:textId="77777777" w:rsidR="00E86521" w:rsidRDefault="00E86521" w:rsidP="004D6DF3">
      <w:pPr>
        <w:jc w:val="center"/>
        <w:rPr>
          <w:rFonts w:ascii="LArial" w:hAnsi="LArial" w:cs="Arial"/>
          <w:i/>
          <w:iCs/>
          <w:sz w:val="36"/>
          <w:szCs w:val="36"/>
        </w:rPr>
      </w:pPr>
    </w:p>
    <w:p w14:paraId="2FD6D839" w14:textId="77777777" w:rsidR="00E86521" w:rsidRDefault="00E86521" w:rsidP="004D6DF3">
      <w:pPr>
        <w:jc w:val="center"/>
        <w:rPr>
          <w:rFonts w:ascii="LArial" w:hAnsi="LArial" w:cs="Arial"/>
          <w:i/>
          <w:iCs/>
          <w:sz w:val="36"/>
          <w:szCs w:val="36"/>
        </w:rPr>
      </w:pPr>
    </w:p>
    <w:p w14:paraId="70156480" w14:textId="6BE785F1" w:rsidR="00E86521" w:rsidRPr="009268B7" w:rsidRDefault="007B6CEE" w:rsidP="007B6CEE">
      <w:pPr>
        <w:pStyle w:val="ListParagraph"/>
        <w:numPr>
          <w:ilvl w:val="0"/>
          <w:numId w:val="2"/>
        </w:numPr>
        <w:rPr>
          <w:rFonts w:ascii="LArial" w:hAnsi="LArial" w:cs="Arial"/>
          <w:b/>
          <w:bCs/>
          <w:color w:val="156082" w:themeColor="accent1"/>
          <w:sz w:val="28"/>
          <w:szCs w:val="28"/>
        </w:rPr>
      </w:pPr>
      <w:r w:rsidRPr="009268B7">
        <w:rPr>
          <w:rFonts w:ascii="LArial" w:hAnsi="LArial" w:cs="Arial"/>
          <w:b/>
          <w:bCs/>
          <w:color w:val="156082" w:themeColor="accent1"/>
          <w:sz w:val="28"/>
          <w:szCs w:val="28"/>
        </w:rPr>
        <w:t>Introduction and purpose</w:t>
      </w:r>
    </w:p>
    <w:p w14:paraId="22EC660A" w14:textId="0B6931A3" w:rsidR="007B6CEE" w:rsidRDefault="003E6037" w:rsidP="006A66B0">
      <w:pPr>
        <w:spacing w:line="360" w:lineRule="auto"/>
        <w:rPr>
          <w:rFonts w:ascii="Arial" w:hAnsi="Arial" w:cs="Arial"/>
          <w:sz w:val="24"/>
          <w:szCs w:val="24"/>
        </w:rPr>
      </w:pPr>
      <w:r w:rsidRPr="006A66B0">
        <w:rPr>
          <w:rFonts w:ascii="Arial" w:hAnsi="Arial" w:cs="Arial"/>
          <w:sz w:val="24"/>
          <w:szCs w:val="24"/>
        </w:rPr>
        <w:t>Type</w:t>
      </w:r>
      <w:r w:rsidR="0064131C" w:rsidRPr="006A66B0">
        <w:rPr>
          <w:rFonts w:ascii="Arial" w:hAnsi="Arial" w:cs="Arial"/>
          <w:sz w:val="24"/>
          <w:szCs w:val="24"/>
        </w:rPr>
        <w:t xml:space="preserve"> 2 diabetes mellitus (T2DM) is a chronic metabolic disease that necessitates daily self-management as well as ongoing therapeutic care. Beyond blood glucose, it can affect </w:t>
      </w:r>
      <w:r w:rsidR="00615D8A" w:rsidRPr="006A66B0">
        <w:rPr>
          <w:rFonts w:ascii="Arial" w:hAnsi="Arial" w:cs="Arial"/>
          <w:sz w:val="24"/>
          <w:szCs w:val="24"/>
        </w:rPr>
        <w:t xml:space="preserve">independence, emotional well-being, kidney, cardiovascular health and employment. </w:t>
      </w:r>
      <w:r w:rsidR="00101DBF" w:rsidRPr="006A66B0">
        <w:rPr>
          <w:rFonts w:ascii="Arial" w:hAnsi="Arial" w:cs="Arial"/>
          <w:sz w:val="24"/>
          <w:szCs w:val="24"/>
        </w:rPr>
        <w:t xml:space="preserve">The purpose of this booklet is to educate health and social care workers as well as others who provide care in the United Kingdom. </w:t>
      </w:r>
      <w:r w:rsidR="00182E5D" w:rsidRPr="006A66B0">
        <w:rPr>
          <w:rFonts w:ascii="Arial" w:hAnsi="Arial" w:cs="Arial"/>
          <w:sz w:val="24"/>
          <w:szCs w:val="24"/>
        </w:rPr>
        <w:t>It critically considers the burden and causes of T2DM, its physical, psychological and social consequences, NHS treatments, care models and relevant policy. I</w:t>
      </w:r>
      <w:r w:rsidR="006A66B0" w:rsidRPr="006A66B0">
        <w:rPr>
          <w:rFonts w:ascii="Arial" w:hAnsi="Arial" w:cs="Arial"/>
          <w:sz w:val="24"/>
          <w:szCs w:val="24"/>
        </w:rPr>
        <w:t>t then proposes practical improvement</w:t>
      </w:r>
      <w:r w:rsidR="008449D4">
        <w:rPr>
          <w:rFonts w:ascii="Arial" w:hAnsi="Arial" w:cs="Arial"/>
          <w:sz w:val="24"/>
          <w:szCs w:val="24"/>
        </w:rPr>
        <w:t xml:space="preserve">s to person-centred care and self-management. </w:t>
      </w:r>
      <w:r w:rsidR="007B2434">
        <w:rPr>
          <w:rFonts w:ascii="Arial" w:hAnsi="Arial" w:cs="Arial"/>
          <w:sz w:val="24"/>
          <w:szCs w:val="24"/>
        </w:rPr>
        <w:t>The central argument is that good diabetes care should combine evidence-based clinical treatment with sustained, respectful support that recognises individual preferences and the social conditions shaping people’s ability to manage their health (</w:t>
      </w:r>
      <w:r w:rsidR="00AA4033">
        <w:rPr>
          <w:rFonts w:ascii="Arial" w:hAnsi="Arial" w:cs="Arial"/>
          <w:sz w:val="24"/>
          <w:szCs w:val="24"/>
        </w:rPr>
        <w:t xml:space="preserve">NICE, 2026; Davies et al., 2022). </w:t>
      </w:r>
      <w:r w:rsidR="008449D4">
        <w:rPr>
          <w:rFonts w:ascii="Arial" w:hAnsi="Arial" w:cs="Arial"/>
          <w:sz w:val="24"/>
          <w:szCs w:val="24"/>
        </w:rPr>
        <w:t xml:space="preserve"> </w:t>
      </w:r>
    </w:p>
    <w:p w14:paraId="5DF3FB50" w14:textId="77777777" w:rsidR="00D74BFA" w:rsidRDefault="00D74BFA" w:rsidP="006A66B0">
      <w:pPr>
        <w:spacing w:line="360" w:lineRule="auto"/>
        <w:rPr>
          <w:rFonts w:ascii="Arial" w:hAnsi="Arial" w:cs="Arial"/>
          <w:sz w:val="24"/>
          <w:szCs w:val="24"/>
        </w:rPr>
      </w:pPr>
    </w:p>
    <w:p w14:paraId="4FA12084" w14:textId="0E14B4B6" w:rsidR="00D74BFA" w:rsidRPr="00D435B8" w:rsidRDefault="009268B7" w:rsidP="00D435B8">
      <w:pPr>
        <w:pStyle w:val="ListParagraph"/>
        <w:numPr>
          <w:ilvl w:val="0"/>
          <w:numId w:val="2"/>
        </w:numPr>
        <w:spacing w:line="360" w:lineRule="auto"/>
        <w:rPr>
          <w:rFonts w:ascii="Arial" w:hAnsi="Arial" w:cs="Arial"/>
          <w:b/>
          <w:bCs/>
          <w:sz w:val="32"/>
          <w:szCs w:val="32"/>
          <w:u w:val="single"/>
        </w:rPr>
      </w:pPr>
      <w:r w:rsidRPr="00D435B8">
        <w:rPr>
          <w:rFonts w:ascii="Arial" w:hAnsi="Arial" w:cs="Arial"/>
          <w:b/>
          <w:bCs/>
          <w:color w:val="156082" w:themeColor="accent1"/>
          <w:sz w:val="28"/>
          <w:szCs w:val="32"/>
          <w:u w:val="single"/>
        </w:rPr>
        <w:t>Understanding Type 2 Diabetes Mellitus</w:t>
      </w:r>
    </w:p>
    <w:p w14:paraId="2F2A28A4" w14:textId="2CC3E714" w:rsidR="000900EA" w:rsidRDefault="000900EA" w:rsidP="000900EA">
      <w:pPr>
        <w:spacing w:line="360" w:lineRule="auto"/>
        <w:rPr>
          <w:rFonts w:ascii="Arial" w:hAnsi="Arial" w:cs="Arial"/>
          <w:sz w:val="24"/>
          <w:szCs w:val="24"/>
        </w:rPr>
      </w:pPr>
      <w:r>
        <w:rPr>
          <w:rFonts w:ascii="Arial" w:hAnsi="Arial" w:cs="Arial"/>
          <w:sz w:val="24"/>
          <w:szCs w:val="24"/>
        </w:rPr>
        <w:t xml:space="preserve">T2DM </w:t>
      </w:r>
      <w:r w:rsidR="00AA49C5">
        <w:rPr>
          <w:rFonts w:ascii="Arial" w:hAnsi="Arial" w:cs="Arial"/>
          <w:sz w:val="24"/>
          <w:szCs w:val="24"/>
        </w:rPr>
        <w:t xml:space="preserve">is characterised by persistent </w:t>
      </w:r>
      <w:r w:rsidR="00460122">
        <w:rPr>
          <w:rFonts w:ascii="Arial" w:hAnsi="Arial" w:cs="Arial"/>
          <w:sz w:val="24"/>
          <w:szCs w:val="24"/>
        </w:rPr>
        <w:t>hyperglycaemia arising mainly from insulin resistance and progressive inadequacy of pancreatic beta-cell insulin secretion. Normally, insulin facilitates the transfer of glu</w:t>
      </w:r>
      <w:r w:rsidR="003C44CD">
        <w:rPr>
          <w:rFonts w:ascii="Arial" w:hAnsi="Arial" w:cs="Arial"/>
          <w:sz w:val="24"/>
          <w:szCs w:val="24"/>
        </w:rPr>
        <w:t>cose from the blood into cells</w:t>
      </w:r>
      <w:r w:rsidR="004C10C6">
        <w:rPr>
          <w:rFonts w:ascii="Arial" w:hAnsi="Arial" w:cs="Arial"/>
          <w:sz w:val="24"/>
          <w:szCs w:val="24"/>
        </w:rPr>
        <w:t xml:space="preserve"> (WHO, 2024)</w:t>
      </w:r>
      <w:r w:rsidR="003C44CD">
        <w:rPr>
          <w:rFonts w:ascii="Arial" w:hAnsi="Arial" w:cs="Arial"/>
          <w:sz w:val="24"/>
          <w:szCs w:val="24"/>
        </w:rPr>
        <w:t>. The pancreas first produces more insulin to make up for the b</w:t>
      </w:r>
      <w:r w:rsidR="00221C78">
        <w:rPr>
          <w:rFonts w:ascii="Arial" w:hAnsi="Arial" w:cs="Arial"/>
          <w:sz w:val="24"/>
          <w:szCs w:val="24"/>
        </w:rPr>
        <w:t xml:space="preserve">ody’s worse response; however, this </w:t>
      </w:r>
      <w:r w:rsidR="00207899">
        <w:rPr>
          <w:rFonts w:ascii="Arial" w:hAnsi="Arial" w:cs="Arial"/>
          <w:sz w:val="24"/>
          <w:szCs w:val="24"/>
        </w:rPr>
        <w:t>compensation</w:t>
      </w:r>
      <w:r w:rsidR="00221C78">
        <w:rPr>
          <w:rFonts w:ascii="Arial" w:hAnsi="Arial" w:cs="Arial"/>
          <w:sz w:val="24"/>
          <w:szCs w:val="24"/>
        </w:rPr>
        <w:t xml:space="preserve"> may eventually be insufficient, and blood glucose levels ris</w:t>
      </w:r>
      <w:r w:rsidR="004C10C6">
        <w:rPr>
          <w:rFonts w:ascii="Arial" w:hAnsi="Arial" w:cs="Arial"/>
          <w:sz w:val="24"/>
          <w:szCs w:val="24"/>
        </w:rPr>
        <w:t>e (NICE, 2026).</w:t>
      </w:r>
      <w:r w:rsidR="00221C78">
        <w:rPr>
          <w:rFonts w:ascii="Arial" w:hAnsi="Arial" w:cs="Arial"/>
          <w:sz w:val="24"/>
          <w:szCs w:val="24"/>
        </w:rPr>
        <w:t xml:space="preserve"> Persistent </w:t>
      </w:r>
      <w:r w:rsidR="00207899">
        <w:rPr>
          <w:rFonts w:ascii="Arial" w:hAnsi="Arial" w:cs="Arial"/>
          <w:sz w:val="24"/>
          <w:szCs w:val="24"/>
        </w:rPr>
        <w:t>hyperglycaemia</w:t>
      </w:r>
      <w:r w:rsidR="00221C78">
        <w:rPr>
          <w:rFonts w:ascii="Arial" w:hAnsi="Arial" w:cs="Arial"/>
          <w:sz w:val="24"/>
          <w:szCs w:val="24"/>
        </w:rPr>
        <w:t xml:space="preserve"> raises the risk of cardiovascular disease, chronic renal disease, reti</w:t>
      </w:r>
      <w:r w:rsidR="00843724">
        <w:rPr>
          <w:rFonts w:ascii="Arial" w:hAnsi="Arial" w:cs="Arial"/>
          <w:sz w:val="24"/>
          <w:szCs w:val="24"/>
        </w:rPr>
        <w:t>nopathy, neuropathy, and foot ulcers by damaging blood vessels and nerves (</w:t>
      </w:r>
      <w:r w:rsidR="00207899">
        <w:rPr>
          <w:rFonts w:ascii="Arial" w:hAnsi="Arial" w:cs="Arial"/>
          <w:sz w:val="24"/>
          <w:szCs w:val="24"/>
        </w:rPr>
        <w:t>NHS. 2023).</w:t>
      </w:r>
    </w:p>
    <w:p w14:paraId="7596E35D" w14:textId="464771FC" w:rsidR="007E5E7F" w:rsidRPr="00D8694E" w:rsidRDefault="001162FF" w:rsidP="001162FF">
      <w:pPr>
        <w:pStyle w:val="ListParagraph"/>
        <w:numPr>
          <w:ilvl w:val="1"/>
          <w:numId w:val="2"/>
        </w:numPr>
        <w:spacing w:line="360" w:lineRule="auto"/>
        <w:rPr>
          <w:rFonts w:ascii="Arial" w:hAnsi="Arial" w:cs="Arial"/>
          <w:b/>
          <w:bCs/>
          <w:color w:val="156082" w:themeColor="accent1"/>
          <w:sz w:val="24"/>
          <w:szCs w:val="24"/>
        </w:rPr>
      </w:pPr>
      <w:r w:rsidRPr="00D8694E">
        <w:rPr>
          <w:rFonts w:ascii="Arial" w:hAnsi="Arial" w:cs="Arial"/>
          <w:b/>
          <w:bCs/>
          <w:color w:val="156082" w:themeColor="accent1"/>
          <w:sz w:val="24"/>
          <w:szCs w:val="24"/>
        </w:rPr>
        <w:t>Definition, prevalence and burden</w:t>
      </w:r>
    </w:p>
    <w:p w14:paraId="32CEE582" w14:textId="06D20DB1" w:rsidR="001162FF" w:rsidRDefault="00D73A0F" w:rsidP="001162FF">
      <w:pPr>
        <w:spacing w:line="360" w:lineRule="auto"/>
        <w:rPr>
          <w:rFonts w:ascii="Arial" w:hAnsi="Arial" w:cs="Arial"/>
          <w:sz w:val="24"/>
          <w:szCs w:val="24"/>
        </w:rPr>
      </w:pPr>
      <w:r>
        <w:rPr>
          <w:rFonts w:ascii="Arial" w:hAnsi="Arial" w:cs="Arial"/>
          <w:sz w:val="24"/>
          <w:szCs w:val="24"/>
        </w:rPr>
        <w:t>The global burden is substantial. Although this number includes all forms of diabetes, the WHO (2024) predicted that 830 million people globally had diabetes in 2022. Over 95</w:t>
      </w:r>
      <w:r w:rsidR="000A1008">
        <w:rPr>
          <w:rFonts w:ascii="Arial" w:hAnsi="Arial" w:cs="Arial"/>
          <w:sz w:val="24"/>
          <w:szCs w:val="24"/>
        </w:rPr>
        <w:t xml:space="preserve">% of cases </w:t>
      </w:r>
      <w:r w:rsidR="00771CAE">
        <w:rPr>
          <w:rFonts w:ascii="Arial" w:hAnsi="Arial" w:cs="Arial"/>
          <w:sz w:val="24"/>
          <w:szCs w:val="24"/>
        </w:rPr>
        <w:t>of diabetes are T2DM (Diabetes UK, 2025).</w:t>
      </w:r>
      <w:r w:rsidR="00394F0E">
        <w:rPr>
          <w:rFonts w:ascii="Arial" w:hAnsi="Arial" w:cs="Arial"/>
          <w:sz w:val="24"/>
          <w:szCs w:val="24"/>
        </w:rPr>
        <w:t xml:space="preserve"> According to the 11</w:t>
      </w:r>
      <w:r w:rsidR="00394F0E" w:rsidRPr="00394F0E">
        <w:rPr>
          <w:rFonts w:ascii="Arial" w:hAnsi="Arial" w:cs="Arial"/>
          <w:sz w:val="24"/>
          <w:szCs w:val="24"/>
          <w:vertAlign w:val="superscript"/>
        </w:rPr>
        <w:t>th</w:t>
      </w:r>
      <w:r w:rsidR="00394F0E">
        <w:rPr>
          <w:rFonts w:ascii="Arial" w:hAnsi="Arial" w:cs="Arial"/>
          <w:sz w:val="24"/>
          <w:szCs w:val="24"/>
        </w:rPr>
        <w:t xml:space="preserve"> Atlas of the International Diabetes Federation, 589 million adults between the ages of 20 and 79 had diabetes in 2024 (</w:t>
      </w:r>
      <w:r w:rsidR="0016530A">
        <w:rPr>
          <w:rFonts w:ascii="Arial" w:hAnsi="Arial" w:cs="Arial"/>
          <w:sz w:val="24"/>
          <w:szCs w:val="24"/>
        </w:rPr>
        <w:t xml:space="preserve">Genisaridi et al., 2026). </w:t>
      </w:r>
      <w:r w:rsidR="0016530A" w:rsidRPr="0016530A">
        <w:rPr>
          <w:rFonts w:ascii="Arial" w:hAnsi="Arial" w:cs="Arial"/>
          <w:sz w:val="24"/>
          <w:szCs w:val="24"/>
        </w:rPr>
        <w:t xml:space="preserve">The WHO and IDF </w:t>
      </w:r>
      <w:r w:rsidR="0016530A" w:rsidRPr="0016530A">
        <w:rPr>
          <w:rFonts w:ascii="Arial" w:hAnsi="Arial" w:cs="Arial"/>
          <w:sz w:val="24"/>
          <w:szCs w:val="24"/>
        </w:rPr>
        <w:lastRenderedPageBreak/>
        <w:t>employ different populations and methodology, therefore these estimates are not directly comparable. However, both point to a significant and expanding worldwide health issue, with increases occurring especially quickly in many low- and middle-income nations.</w:t>
      </w:r>
      <w:r w:rsidR="0018607E">
        <w:rPr>
          <w:rFonts w:ascii="Arial" w:hAnsi="Arial" w:cs="Arial"/>
          <w:sz w:val="24"/>
          <w:szCs w:val="24"/>
        </w:rPr>
        <w:t xml:space="preserve"> According to the National Diabetes Audit, 3,713,155</w:t>
      </w:r>
      <w:r w:rsidR="008B3261">
        <w:rPr>
          <w:rFonts w:ascii="Arial" w:hAnsi="Arial" w:cs="Arial"/>
          <w:sz w:val="24"/>
          <w:szCs w:val="24"/>
        </w:rPr>
        <w:t xml:space="preserve"> individuals in England had T2DM in 2024-2025. Only 58.2% of integrated care boards had all eight recommended care processes documented, and achievemen</w:t>
      </w:r>
      <w:r w:rsidR="00BD3E38">
        <w:rPr>
          <w:rFonts w:ascii="Arial" w:hAnsi="Arial" w:cs="Arial"/>
          <w:sz w:val="24"/>
          <w:szCs w:val="24"/>
        </w:rPr>
        <w:t xml:space="preserve">t ranged from 38.6% to </w:t>
      </w:r>
      <w:r w:rsidR="00BE19AA">
        <w:rPr>
          <w:rFonts w:ascii="Arial" w:hAnsi="Arial" w:cs="Arial"/>
          <w:sz w:val="24"/>
          <w:szCs w:val="24"/>
        </w:rPr>
        <w:t>73.5% (NHS England, 2026). This implies that there are regional variations in the avail</w:t>
      </w:r>
      <w:r w:rsidR="008C5DA7">
        <w:rPr>
          <w:rFonts w:ascii="Arial" w:hAnsi="Arial" w:cs="Arial"/>
          <w:sz w:val="24"/>
          <w:szCs w:val="24"/>
        </w:rPr>
        <w:t xml:space="preserve">ability of suggested monitoring. Audit measures must be interpreted carefully, too, as an unrecorded procedure can suggest that care was not provided or that documentation was lacking. Both scenarios are important, yet they call for different service answers. Therefore, outcomes including complications, patient experience, and needless admissions should be </w:t>
      </w:r>
      <w:r w:rsidR="0097629D">
        <w:rPr>
          <w:rFonts w:ascii="Arial" w:hAnsi="Arial" w:cs="Arial"/>
          <w:sz w:val="24"/>
          <w:szCs w:val="24"/>
        </w:rPr>
        <w:t>considered</w:t>
      </w:r>
      <w:r w:rsidR="008C5DA7">
        <w:rPr>
          <w:rFonts w:ascii="Arial" w:hAnsi="Arial" w:cs="Arial"/>
          <w:sz w:val="24"/>
          <w:szCs w:val="24"/>
        </w:rPr>
        <w:t xml:space="preserve"> in addition to prevalence and care process data</w:t>
      </w:r>
      <w:r w:rsidR="0053121E">
        <w:rPr>
          <w:rFonts w:ascii="Arial" w:hAnsi="Arial" w:cs="Arial"/>
          <w:sz w:val="24"/>
          <w:szCs w:val="24"/>
        </w:rPr>
        <w:t>.</w:t>
      </w:r>
      <w:r w:rsidR="0097629D">
        <w:rPr>
          <w:rFonts w:ascii="Arial" w:hAnsi="Arial" w:cs="Arial"/>
          <w:sz w:val="24"/>
          <w:szCs w:val="24"/>
        </w:rPr>
        <w:t xml:space="preserve"> The burden is not only clinical. </w:t>
      </w:r>
      <w:r w:rsidR="00E96BDC" w:rsidRPr="00E96BDC">
        <w:rPr>
          <w:rFonts w:ascii="Arial" w:hAnsi="Arial" w:cs="Arial"/>
          <w:sz w:val="24"/>
          <w:szCs w:val="24"/>
        </w:rPr>
        <w:t>Complications might damage employment, limit mobility and independence, and raise the need for social, medical, and family support services. However, risk can be decreased by screening, early identification, effective treatment, and prevention (WHO, 2024; NICE, 2026). Instead of presuming that the publishing of a guideline ensures constant adoption, the task is to ensure that evidence-based services are sustainable and accessible.</w:t>
      </w:r>
    </w:p>
    <w:p w14:paraId="6F32061F" w14:textId="6BC5D46B" w:rsidR="00C17AC0" w:rsidRPr="00B6068F" w:rsidRDefault="00545156" w:rsidP="00545156">
      <w:pPr>
        <w:pStyle w:val="ListParagraph"/>
        <w:numPr>
          <w:ilvl w:val="1"/>
          <w:numId w:val="2"/>
        </w:numPr>
        <w:spacing w:line="360" w:lineRule="auto"/>
        <w:rPr>
          <w:rFonts w:ascii="Arial" w:hAnsi="Arial" w:cs="Arial"/>
          <w:b/>
          <w:bCs/>
          <w:color w:val="156082" w:themeColor="accent1"/>
          <w:sz w:val="24"/>
          <w:szCs w:val="24"/>
        </w:rPr>
      </w:pPr>
      <w:r w:rsidRPr="00B6068F">
        <w:rPr>
          <w:rFonts w:ascii="Arial" w:hAnsi="Arial" w:cs="Arial"/>
          <w:b/>
          <w:bCs/>
          <w:color w:val="156082" w:themeColor="accent1"/>
          <w:sz w:val="24"/>
          <w:szCs w:val="24"/>
        </w:rPr>
        <w:t xml:space="preserve">Risk factors and aetiology </w:t>
      </w:r>
    </w:p>
    <w:p w14:paraId="3FC10ABD" w14:textId="2849C3DA" w:rsidR="00545156" w:rsidRDefault="00865212" w:rsidP="00545156">
      <w:pPr>
        <w:spacing w:line="360" w:lineRule="auto"/>
        <w:rPr>
          <w:rFonts w:ascii="Arial" w:hAnsi="Arial" w:cs="Arial"/>
          <w:sz w:val="24"/>
          <w:szCs w:val="24"/>
        </w:rPr>
      </w:pPr>
      <w:r>
        <w:rPr>
          <w:rFonts w:ascii="Arial" w:hAnsi="Arial" w:cs="Arial"/>
          <w:sz w:val="24"/>
          <w:szCs w:val="24"/>
        </w:rPr>
        <w:t xml:space="preserve">Biological, behavioural and societal factors interact to cause T2DM. </w:t>
      </w:r>
      <w:r w:rsidR="00BD6488" w:rsidRPr="00BD6488">
        <w:rPr>
          <w:rFonts w:ascii="Arial" w:hAnsi="Arial" w:cs="Arial"/>
          <w:sz w:val="24"/>
          <w:szCs w:val="24"/>
        </w:rPr>
        <w:t>Important risk factors include a history of gestational diabetes, ageing, genetic vulnerability, and family history. Additionally, several ethnic groups</w:t>
      </w:r>
      <w:r w:rsidR="00BD6488">
        <w:rPr>
          <w:rFonts w:ascii="Arial" w:hAnsi="Arial" w:cs="Arial"/>
          <w:sz w:val="24"/>
          <w:szCs w:val="24"/>
        </w:rPr>
        <w:t xml:space="preserve"> </w:t>
      </w:r>
      <w:r w:rsidR="00BD6488" w:rsidRPr="00BD6488">
        <w:rPr>
          <w:rFonts w:ascii="Arial" w:hAnsi="Arial" w:cs="Arial"/>
          <w:sz w:val="24"/>
          <w:szCs w:val="24"/>
        </w:rPr>
        <w:t>such as South Asian, Black African, and African-Caribbean populations in the UK</w:t>
      </w:r>
      <w:r w:rsidR="00BD6488">
        <w:rPr>
          <w:rFonts w:ascii="Arial" w:hAnsi="Arial" w:cs="Arial"/>
          <w:sz w:val="24"/>
          <w:szCs w:val="24"/>
        </w:rPr>
        <w:t xml:space="preserve"> </w:t>
      </w:r>
      <w:r w:rsidR="00BD6488" w:rsidRPr="00BD6488">
        <w:rPr>
          <w:rFonts w:ascii="Arial" w:hAnsi="Arial" w:cs="Arial"/>
          <w:sz w:val="24"/>
          <w:szCs w:val="24"/>
        </w:rPr>
        <w:t>have higher rates of type 2 diabetes. These trends could guide early risk assessment and proportionate prevention, but they shouldn't be viewed as a straightforward explanation based solely on ethnicity. Social circumstances, migration, service accessibility, and broader health determinants are all influenced by ethnicity (NICE, 2012; Hill-Briggs et al., 2021).</w:t>
      </w:r>
      <w:r w:rsidR="00B6068F">
        <w:rPr>
          <w:rFonts w:ascii="Arial" w:hAnsi="Arial" w:cs="Arial"/>
          <w:sz w:val="24"/>
          <w:szCs w:val="24"/>
        </w:rPr>
        <w:t xml:space="preserve"> </w:t>
      </w:r>
      <w:r w:rsidR="00D70657" w:rsidRPr="00D70657">
        <w:rPr>
          <w:rFonts w:ascii="Arial" w:hAnsi="Arial" w:cs="Arial"/>
          <w:sz w:val="24"/>
          <w:szCs w:val="24"/>
        </w:rPr>
        <w:t xml:space="preserve">Due in part to their effects on insulin sensitivity and metabolic health, physical inactivity, eating habits, smoking, and excessive obesity can raise risk. However, it is incorrect to suggest that all people with T2DM are obese or to portray T2DM as an unavoidable consequence of personal choices. These theories can stigmatise individuals and disregard biological variance, which may deter people from using services. Respectful, nonjudgmental language and treatment choices that </w:t>
      </w:r>
      <w:r w:rsidR="00D70657" w:rsidRPr="00D70657">
        <w:rPr>
          <w:rFonts w:ascii="Arial" w:hAnsi="Arial" w:cs="Arial"/>
          <w:sz w:val="24"/>
          <w:szCs w:val="24"/>
        </w:rPr>
        <w:lastRenderedPageBreak/>
        <w:t>take individuals' circumstances and preferences into consideration are key components of the ADA/EASD consensus (Davies et al., 2022).</w:t>
      </w:r>
      <w:r w:rsidR="00D70657">
        <w:rPr>
          <w:rFonts w:ascii="Arial" w:hAnsi="Arial" w:cs="Arial"/>
          <w:sz w:val="24"/>
          <w:szCs w:val="24"/>
        </w:rPr>
        <w:t xml:space="preserve"> </w:t>
      </w:r>
      <w:r w:rsidR="00D90F25" w:rsidRPr="00D90F25">
        <w:rPr>
          <w:rFonts w:ascii="Arial" w:hAnsi="Arial" w:cs="Arial"/>
          <w:sz w:val="24"/>
          <w:szCs w:val="24"/>
        </w:rPr>
        <w:t>Additionally, social influences are significant. Opportunities to avoid and treat type 2 diabetes are shaped by factors such as income, education, housing, food security, employment habits, transportation, safe locations to exercise, and access to culturally relevant health information. Maintaining regular meals, appointments, or dietary modifications may be challenging for someone who works shifts or has food insecurity. According to Hill-Briggs et al. (2021), social determinants of diabetes must be addressed in addition to clinical risk factors. Therefore, for prevention to be effective, communities and services must take steps to lower obstacles in addition to providing individual support.</w:t>
      </w:r>
    </w:p>
    <w:p w14:paraId="53B8D2B2" w14:textId="77777777" w:rsidR="006F2614" w:rsidRDefault="006F2614" w:rsidP="00545156">
      <w:pPr>
        <w:spacing w:line="360" w:lineRule="auto"/>
        <w:rPr>
          <w:rFonts w:ascii="Arial" w:hAnsi="Arial" w:cs="Arial"/>
          <w:sz w:val="24"/>
          <w:szCs w:val="24"/>
        </w:rPr>
      </w:pPr>
    </w:p>
    <w:p w14:paraId="378BC83D" w14:textId="68A279E7" w:rsidR="006F2614" w:rsidRPr="00D939A7" w:rsidRDefault="006F2614" w:rsidP="006F2614">
      <w:pPr>
        <w:pStyle w:val="ListParagraph"/>
        <w:numPr>
          <w:ilvl w:val="0"/>
          <w:numId w:val="2"/>
        </w:numPr>
        <w:spacing w:line="360" w:lineRule="auto"/>
        <w:rPr>
          <w:rFonts w:ascii="Arial" w:hAnsi="Arial" w:cs="Arial"/>
          <w:b/>
          <w:bCs/>
          <w:color w:val="156082" w:themeColor="accent1"/>
          <w:sz w:val="24"/>
          <w:szCs w:val="24"/>
          <w:u w:val="single"/>
        </w:rPr>
      </w:pPr>
      <w:r w:rsidRPr="00D939A7">
        <w:rPr>
          <w:rFonts w:ascii="Arial" w:hAnsi="Arial" w:cs="Arial"/>
          <w:b/>
          <w:bCs/>
          <w:color w:val="156082" w:themeColor="accent1"/>
          <w:sz w:val="24"/>
          <w:szCs w:val="24"/>
          <w:u w:val="single"/>
        </w:rPr>
        <w:t xml:space="preserve">Physical, psychological and social impact </w:t>
      </w:r>
    </w:p>
    <w:p w14:paraId="6CF4923C" w14:textId="490E85FD" w:rsidR="006F2614" w:rsidRDefault="00167D21" w:rsidP="006F2614">
      <w:pPr>
        <w:spacing w:line="360" w:lineRule="auto"/>
        <w:rPr>
          <w:rFonts w:ascii="Arial" w:hAnsi="Arial" w:cs="Arial"/>
          <w:sz w:val="24"/>
          <w:szCs w:val="24"/>
        </w:rPr>
      </w:pPr>
      <w:r w:rsidRPr="00167D21">
        <w:rPr>
          <w:rFonts w:ascii="Arial" w:hAnsi="Arial" w:cs="Arial"/>
          <w:sz w:val="24"/>
          <w:szCs w:val="24"/>
        </w:rPr>
        <w:t xml:space="preserve">Fatigue and major long-term problems can result from type 2 diabetes. </w:t>
      </w:r>
      <w:r w:rsidR="00B04B86" w:rsidRPr="00167D21">
        <w:rPr>
          <w:rFonts w:ascii="Arial" w:hAnsi="Arial" w:cs="Arial"/>
          <w:sz w:val="24"/>
          <w:szCs w:val="24"/>
        </w:rPr>
        <w:t>As</w:t>
      </w:r>
      <w:r w:rsidRPr="00167D21">
        <w:rPr>
          <w:rFonts w:ascii="Arial" w:hAnsi="Arial" w:cs="Arial"/>
          <w:sz w:val="24"/>
          <w:szCs w:val="24"/>
        </w:rPr>
        <w:t xml:space="preserve"> diabetes frequently coexists with hypertension and dyslipidaemia, cardiovascular disease is a serious issue. Monitoring urine albumin and kidney function is crucial because kidney disease can develop silently. While neuropathy and poor circulation raise the risk of foot ulcers and amputation, retinopathy can endanger vision. Preventive foot care and systematic risk assessment are advised by NICE (NICE, 2023; NICE, 2026).</w:t>
      </w:r>
      <w:r w:rsidR="00B04B86">
        <w:rPr>
          <w:rFonts w:ascii="Arial" w:hAnsi="Arial" w:cs="Arial"/>
          <w:sz w:val="24"/>
          <w:szCs w:val="24"/>
        </w:rPr>
        <w:t xml:space="preserve"> </w:t>
      </w:r>
      <w:r w:rsidR="00671AB1" w:rsidRPr="00671AB1">
        <w:rPr>
          <w:rFonts w:ascii="Arial" w:hAnsi="Arial" w:cs="Arial"/>
          <w:sz w:val="24"/>
          <w:szCs w:val="24"/>
        </w:rPr>
        <w:t xml:space="preserve">The length of diabetes, exposure to glucose, blood pressure, cholesterol, smoking, and timely access to care all affect the risks. Although its treatment context predates several modern medications, the UK Prospective Diabetes Study established the significance of controlling </w:t>
      </w:r>
      <w:r w:rsidR="00671AB1" w:rsidRPr="00671AB1">
        <w:rPr>
          <w:rFonts w:ascii="Arial" w:hAnsi="Arial" w:cs="Arial"/>
          <w:sz w:val="24"/>
          <w:szCs w:val="24"/>
        </w:rPr>
        <w:t>hyperglycaemia</w:t>
      </w:r>
      <w:r w:rsidR="00671AB1" w:rsidRPr="00671AB1">
        <w:rPr>
          <w:rFonts w:ascii="Arial" w:hAnsi="Arial" w:cs="Arial"/>
          <w:sz w:val="24"/>
          <w:szCs w:val="24"/>
        </w:rPr>
        <w:t xml:space="preserve"> and other risk factors (UK Prospective Diabetes Study Group, 1998). Therefore, current recommendations include medications that have advantages beyond lowering HbA1c and combine glucose control with cardiovascular and renal protection (NICE, 2026; Davies et al., 2022). This is a change from using glucose as the only measure of achievement.</w:t>
      </w:r>
      <w:r w:rsidR="00FE0090">
        <w:rPr>
          <w:rFonts w:ascii="Arial" w:hAnsi="Arial" w:cs="Arial"/>
          <w:sz w:val="24"/>
          <w:szCs w:val="24"/>
        </w:rPr>
        <w:t xml:space="preserve"> </w:t>
      </w:r>
    </w:p>
    <w:p w14:paraId="44733B17" w14:textId="0B268C46" w:rsidR="00D66B14" w:rsidRDefault="00D66B14" w:rsidP="006F2614">
      <w:pPr>
        <w:spacing w:line="360" w:lineRule="auto"/>
        <w:rPr>
          <w:rFonts w:ascii="Arial" w:hAnsi="Arial" w:cs="Arial"/>
          <w:sz w:val="24"/>
          <w:szCs w:val="24"/>
        </w:rPr>
      </w:pPr>
      <w:r w:rsidRPr="00D66B14">
        <w:rPr>
          <w:rFonts w:ascii="Arial" w:hAnsi="Arial" w:cs="Arial"/>
          <w:sz w:val="24"/>
          <w:szCs w:val="24"/>
        </w:rPr>
        <w:t xml:space="preserve">Fear of complications, the burden of treatment, anxiety over day-to-day choices, and worries about stigma are examples of psychological effects. Diabetes distress is the emotional strain that comes with having and managing diabetes, and it affects some people. Additionally, anxiety and depression can coexist and make self-management, motivation, sleep, and attendance at appointments more challenging. </w:t>
      </w:r>
      <w:r w:rsidRPr="00D66B14">
        <w:rPr>
          <w:rFonts w:ascii="Arial" w:hAnsi="Arial" w:cs="Arial"/>
          <w:sz w:val="24"/>
          <w:szCs w:val="24"/>
        </w:rPr>
        <w:lastRenderedPageBreak/>
        <w:t>These connections are probably reciprocal: management may be compromised by distress, and distress may be exacerbated by complications or difficult treatment. Missed appointments or difficulty following a plan should prompt exploration of barriers rather than an assumption that a person is unmotivated (Davies et al., 2022).</w:t>
      </w:r>
      <w:r>
        <w:rPr>
          <w:rFonts w:ascii="Arial" w:hAnsi="Arial" w:cs="Arial"/>
          <w:sz w:val="24"/>
          <w:szCs w:val="24"/>
        </w:rPr>
        <w:t xml:space="preserve"> </w:t>
      </w:r>
      <w:r w:rsidR="00C256AB" w:rsidRPr="00C256AB">
        <w:rPr>
          <w:rFonts w:ascii="Arial" w:hAnsi="Arial" w:cs="Arial"/>
          <w:sz w:val="24"/>
          <w:szCs w:val="24"/>
        </w:rPr>
        <w:t>Changes in family meals, social activities, work, and finances are examples of social effects. Individuals may have to pay for transportation, take time off work for appointments, or have trouble finding appropriate food. Family members can provide reminders, emotional support and practical help, but caring responsibilities may also create worry and fatigue. According to NICE's guidance on supporting adult caregivers, it is crucial to acknowledge the needs of caregivers and include them in care planning when they give their consent (NICE, 2020). Family involvement shouldn't come naturally to everyone because some people have unsupportive family relationships or prefer privacy.</w:t>
      </w:r>
      <w:r w:rsidR="00C256AB">
        <w:rPr>
          <w:rFonts w:ascii="Arial" w:hAnsi="Arial" w:cs="Arial"/>
          <w:sz w:val="24"/>
          <w:szCs w:val="24"/>
        </w:rPr>
        <w:t xml:space="preserve"> </w:t>
      </w:r>
      <w:r w:rsidR="007A76C5" w:rsidRPr="007A76C5">
        <w:rPr>
          <w:rFonts w:ascii="Arial" w:hAnsi="Arial" w:cs="Arial"/>
          <w:sz w:val="24"/>
          <w:szCs w:val="24"/>
        </w:rPr>
        <w:t>The wider impact is unequal. The Marmot review links health inequalities to social and economic conditions, while diabetes research identifies food insecurity, low income and limited access to resources as barriers to effective self-management (Marmot et al., 2020; Hill-Briggs et al., 2021). If people have different resources to act upon identical advice, the results may be uneven. In addition to clinical indicators, a whole-person approach must evaluate the individual's priorities, emotional health, social support, health literacy, and financial strain.</w:t>
      </w:r>
    </w:p>
    <w:p w14:paraId="41A9E3B0" w14:textId="77777777" w:rsidR="00D939A7" w:rsidRDefault="00D939A7" w:rsidP="006F2614">
      <w:pPr>
        <w:spacing w:line="360" w:lineRule="auto"/>
        <w:rPr>
          <w:rFonts w:ascii="Arial" w:hAnsi="Arial" w:cs="Arial"/>
          <w:sz w:val="24"/>
          <w:szCs w:val="24"/>
        </w:rPr>
      </w:pPr>
    </w:p>
    <w:p w14:paraId="247E4116" w14:textId="3E5DEDA1" w:rsidR="00D939A7" w:rsidRPr="00993F7E" w:rsidRDefault="00D939A7" w:rsidP="00D939A7">
      <w:pPr>
        <w:pStyle w:val="ListParagraph"/>
        <w:numPr>
          <w:ilvl w:val="0"/>
          <w:numId w:val="2"/>
        </w:numPr>
        <w:spacing w:line="360" w:lineRule="auto"/>
        <w:rPr>
          <w:rFonts w:ascii="Arial" w:hAnsi="Arial" w:cs="Arial"/>
          <w:b/>
          <w:bCs/>
          <w:color w:val="156082" w:themeColor="accent1"/>
          <w:sz w:val="24"/>
          <w:szCs w:val="24"/>
          <w:u w:val="single"/>
        </w:rPr>
      </w:pPr>
      <w:r w:rsidRPr="00993F7E">
        <w:rPr>
          <w:rFonts w:ascii="Arial" w:hAnsi="Arial" w:cs="Arial"/>
          <w:b/>
          <w:bCs/>
          <w:color w:val="156082" w:themeColor="accent1"/>
          <w:sz w:val="24"/>
          <w:szCs w:val="24"/>
          <w:u w:val="single"/>
        </w:rPr>
        <w:t>Evidence-based treatments available through the NHS</w:t>
      </w:r>
    </w:p>
    <w:p w14:paraId="45C8BFFB" w14:textId="77777777" w:rsidR="001D05C2" w:rsidRPr="001D05C2" w:rsidRDefault="00993F7E" w:rsidP="001D05C2">
      <w:pPr>
        <w:spacing w:line="360" w:lineRule="auto"/>
        <w:rPr>
          <w:rFonts w:ascii="Arial" w:hAnsi="Arial" w:cs="Arial"/>
          <w:sz w:val="24"/>
          <w:szCs w:val="24"/>
        </w:rPr>
      </w:pPr>
      <w:r w:rsidRPr="00993F7E">
        <w:rPr>
          <w:rFonts w:ascii="Arial" w:hAnsi="Arial" w:cs="Arial"/>
          <w:sz w:val="24"/>
          <w:szCs w:val="24"/>
        </w:rPr>
        <w:t>Education, lifestyle support, medication, monitoring, and problem prevention are all part of management. NICE NG28, which was revised in February 2026, suggests making customized decisions based on comorbidities, polypharmacy risks, preferences, and likely benefit. HbA1c and cardiovascular and renal outcomes are given more weight in its revised medication recommendations (NICE, 2026). When a person's circumstances and health change, their treatment plan should be reviewed and agreed upon with them.</w:t>
      </w:r>
      <w:r w:rsidR="004A474F">
        <w:rPr>
          <w:rFonts w:ascii="Arial" w:hAnsi="Arial" w:cs="Arial"/>
          <w:sz w:val="24"/>
          <w:szCs w:val="24"/>
        </w:rPr>
        <w:t xml:space="preserve"> </w:t>
      </w:r>
      <w:r w:rsidR="004A474F" w:rsidRPr="004A474F">
        <w:rPr>
          <w:rFonts w:ascii="Arial" w:hAnsi="Arial" w:cs="Arial"/>
          <w:sz w:val="24"/>
          <w:szCs w:val="24"/>
        </w:rPr>
        <w:t xml:space="preserve">Structured diabetes self-management education helps people understand the condition, food choices, activity, medicines, monitoring and when to seek help. The DESMOND trial found that structured group education for people with newly diagnosed T2DM improved some outcomes, including weight and </w:t>
      </w:r>
      <w:r w:rsidR="004A474F" w:rsidRPr="004A474F">
        <w:rPr>
          <w:rFonts w:ascii="Arial" w:hAnsi="Arial" w:cs="Arial"/>
          <w:sz w:val="24"/>
          <w:szCs w:val="24"/>
        </w:rPr>
        <w:lastRenderedPageBreak/>
        <w:t xml:space="preserve">illness beliefs, although not all biomedical differences persisted over time (Davies et al., 2008). Education can increase knowledge and self-assurance, but one-time sessions are unlikely to guaranty long-term </w:t>
      </w:r>
      <w:r w:rsidR="004A474F" w:rsidRPr="004A474F">
        <w:rPr>
          <w:rFonts w:ascii="Arial" w:hAnsi="Arial" w:cs="Arial"/>
          <w:sz w:val="24"/>
          <w:szCs w:val="24"/>
        </w:rPr>
        <w:t>behaviour</w:t>
      </w:r>
      <w:r w:rsidR="004A474F" w:rsidRPr="004A474F">
        <w:rPr>
          <w:rFonts w:ascii="Arial" w:hAnsi="Arial" w:cs="Arial"/>
          <w:sz w:val="24"/>
          <w:szCs w:val="24"/>
        </w:rPr>
        <w:t xml:space="preserve"> change or get past every practical obstacle. According to Davies et al. (2022), education should be easily accessible, culturally appropriate, and reviewed at the time of diagnosis, every year, and whenever a person's health or circumstances change.</w:t>
      </w:r>
      <w:r w:rsidR="00204045">
        <w:rPr>
          <w:rFonts w:ascii="Arial" w:hAnsi="Arial" w:cs="Arial"/>
          <w:sz w:val="24"/>
          <w:szCs w:val="24"/>
        </w:rPr>
        <w:t xml:space="preserve"> </w:t>
      </w:r>
      <w:r w:rsidR="00204045" w:rsidRPr="00204045">
        <w:rPr>
          <w:rFonts w:ascii="Arial" w:hAnsi="Arial" w:cs="Arial"/>
          <w:sz w:val="24"/>
          <w:szCs w:val="24"/>
        </w:rPr>
        <w:t>Instead of focusing on a single ideal diet, dietary advice should consider sustainable eating patterns, nutritional adequacy, and the individual's cultural, financial, and medical circumstances. Physical activity can improve metabolic health and wellbeing, while smoking cessation and management of blood pressure and lipids reduce cardiovascular risk. The NHS Type 2 Diabetes Path to Remission Program provides a low-calorie total diet replacement phase with clinical monitoring and coaching for those who qualify. It necessitates medication review and follow-up and is not appropriate for everyone (NHS England, 2026b).</w:t>
      </w:r>
      <w:r w:rsidR="005956F9">
        <w:rPr>
          <w:rFonts w:ascii="Arial" w:hAnsi="Arial" w:cs="Arial"/>
          <w:sz w:val="24"/>
          <w:szCs w:val="24"/>
        </w:rPr>
        <w:t xml:space="preserve"> </w:t>
      </w:r>
      <w:r w:rsidR="005956F9" w:rsidRPr="005956F9">
        <w:rPr>
          <w:rFonts w:ascii="Arial" w:hAnsi="Arial" w:cs="Arial"/>
          <w:sz w:val="24"/>
          <w:szCs w:val="24"/>
        </w:rPr>
        <w:t xml:space="preserve">According to the DiRECT trial, some participants could experience remission with a structured weight-management program in primary care; however, remission was not always achieved, and relapse is still possible (Lean et al., 2018). Remission shouldn't be used as an excuse to discontinue regular monitoring or as a surefire cure. </w:t>
      </w:r>
      <w:r w:rsidR="00C7435F" w:rsidRPr="00C7435F">
        <w:rPr>
          <w:rFonts w:ascii="Arial" w:hAnsi="Arial" w:cs="Arial"/>
          <w:sz w:val="24"/>
          <w:szCs w:val="24"/>
        </w:rPr>
        <w:t>Clinical profile, kidney function, cardiovascular disease, heart failure, frailty, side effects, treatment burden, and patient preference all influence the choice of medication. For many adults without pertinent comorbidities, NICE's February 2026 recommendations include modified-release metformin and an SGLT-2 inhibitor, with additional options or alternatives for particular clinical groups. SGLT-2 inhibitors and GLP-1 receptor agonists may be selected for cardiovascular or renal benefits as well as glucose lowering (NICE, 2026). Prescribers should follow these guidelines rather than taking them as personal medical advice.</w:t>
      </w:r>
      <w:r w:rsidR="00DC7133">
        <w:rPr>
          <w:rFonts w:ascii="Arial" w:hAnsi="Arial" w:cs="Arial"/>
          <w:sz w:val="24"/>
          <w:szCs w:val="24"/>
        </w:rPr>
        <w:t xml:space="preserve"> </w:t>
      </w:r>
      <w:r w:rsidR="00DC7133" w:rsidRPr="00DC7133">
        <w:rPr>
          <w:rFonts w:ascii="Arial" w:hAnsi="Arial" w:cs="Arial"/>
          <w:sz w:val="24"/>
          <w:szCs w:val="24"/>
        </w:rPr>
        <w:t xml:space="preserve">Although gastrointestinal side effects and contraindications must be </w:t>
      </w:r>
      <w:r w:rsidR="005C4FB5" w:rsidRPr="00DC7133">
        <w:rPr>
          <w:rFonts w:ascii="Arial" w:hAnsi="Arial" w:cs="Arial"/>
          <w:sz w:val="24"/>
          <w:szCs w:val="24"/>
        </w:rPr>
        <w:t>considered</w:t>
      </w:r>
      <w:r w:rsidR="00DC7133" w:rsidRPr="00DC7133">
        <w:rPr>
          <w:rFonts w:ascii="Arial" w:hAnsi="Arial" w:cs="Arial"/>
          <w:sz w:val="24"/>
          <w:szCs w:val="24"/>
        </w:rPr>
        <w:t xml:space="preserve">, metformin is widely used and generally effective. SGLT-2 inhibitors can benefit the kidneys and heart, but they also need to be managed with </w:t>
      </w:r>
      <w:r w:rsidR="00DC7133" w:rsidRPr="00DC7133">
        <w:rPr>
          <w:rFonts w:ascii="Arial" w:hAnsi="Arial" w:cs="Arial"/>
          <w:sz w:val="24"/>
          <w:szCs w:val="24"/>
        </w:rPr>
        <w:t>counselling</w:t>
      </w:r>
      <w:r w:rsidR="00DC7133" w:rsidRPr="00DC7133">
        <w:rPr>
          <w:rFonts w:ascii="Arial" w:hAnsi="Arial" w:cs="Arial"/>
          <w:sz w:val="24"/>
          <w:szCs w:val="24"/>
        </w:rPr>
        <w:t xml:space="preserve"> regarding side effects. For certain patients, GLP-1 receptor agonists can improve weight and </w:t>
      </w:r>
      <w:r w:rsidR="00DC7133" w:rsidRPr="00DC7133">
        <w:rPr>
          <w:rFonts w:ascii="Arial" w:hAnsi="Arial" w:cs="Arial"/>
          <w:sz w:val="24"/>
          <w:szCs w:val="24"/>
        </w:rPr>
        <w:t>glycaemic</w:t>
      </w:r>
      <w:r w:rsidR="00DC7133" w:rsidRPr="00DC7133">
        <w:rPr>
          <w:rFonts w:ascii="Arial" w:hAnsi="Arial" w:cs="Arial"/>
          <w:sz w:val="24"/>
          <w:szCs w:val="24"/>
        </w:rPr>
        <w:t xml:space="preserve"> control; however, access, tolerability, injection preferences, and eligibility are important factors. In certain situations, additional medications such as insulin, sulfonylureas, and DPP-4 inhibitors may be suitable. Benefit, harm, cost, treatment burden, and the individual's objectives must all be taken into consideration when ranking medications (Davies et al., 2022; NICE, </w:t>
      </w:r>
      <w:r w:rsidR="00DC7133" w:rsidRPr="00DC7133">
        <w:rPr>
          <w:rFonts w:ascii="Arial" w:hAnsi="Arial" w:cs="Arial"/>
          <w:sz w:val="24"/>
          <w:szCs w:val="24"/>
        </w:rPr>
        <w:lastRenderedPageBreak/>
        <w:t xml:space="preserve">2026). </w:t>
      </w:r>
      <w:r w:rsidR="001D05C2" w:rsidRPr="001D05C2">
        <w:rPr>
          <w:rFonts w:ascii="Arial" w:hAnsi="Arial" w:cs="Arial"/>
          <w:sz w:val="24"/>
          <w:szCs w:val="24"/>
        </w:rPr>
        <w:t xml:space="preserve">HbA1c, blood pressure, cholesterol, kidney function, urine albumin assessment, foot examinations, and retinal screening should all be part of routine care. Systematic risk management is supported by NICE guidelines on diabetic foot issues and hypertension (NICE, 2019b; NICE, 2023). Another essential component of regular diabetes care is retinal screening (NHS, 2024). Care-process completion is incomplete and varies geographically, according to the National Diabetes Audit (NHS England, 2026a). As a result, services should make use of recall mechanisms, assign clear accountability for follow-up, and actively reach out to individuals who fail to complete reviews, all the while making sure that monitoring is accessible and meaningful rather than merely checking boxes. </w:t>
      </w:r>
    </w:p>
    <w:p w14:paraId="396974DA" w14:textId="4179E556" w:rsidR="00DC7133" w:rsidRDefault="00DC7133" w:rsidP="00DC7133">
      <w:pPr>
        <w:spacing w:line="360" w:lineRule="auto"/>
        <w:rPr>
          <w:rFonts w:ascii="Arial" w:hAnsi="Arial" w:cs="Arial"/>
          <w:sz w:val="24"/>
          <w:szCs w:val="24"/>
        </w:rPr>
      </w:pPr>
    </w:p>
    <w:p w14:paraId="39F3D385" w14:textId="26F12F5D" w:rsidR="00F924F0" w:rsidRPr="00D5655D" w:rsidRDefault="00214EFA" w:rsidP="00F924F0">
      <w:pPr>
        <w:pStyle w:val="ListParagraph"/>
        <w:numPr>
          <w:ilvl w:val="0"/>
          <w:numId w:val="2"/>
        </w:numPr>
        <w:spacing w:line="360" w:lineRule="auto"/>
        <w:rPr>
          <w:rFonts w:ascii="Arial" w:hAnsi="Arial" w:cs="Arial"/>
          <w:b/>
          <w:bCs/>
          <w:color w:val="156082" w:themeColor="accent1"/>
          <w:sz w:val="24"/>
          <w:szCs w:val="24"/>
          <w:u w:val="single"/>
        </w:rPr>
      </w:pPr>
      <w:r w:rsidRPr="00D5655D">
        <w:rPr>
          <w:rFonts w:ascii="Arial" w:hAnsi="Arial" w:cs="Arial"/>
          <w:b/>
          <w:bCs/>
          <w:color w:val="156082" w:themeColor="accent1"/>
          <w:sz w:val="24"/>
          <w:szCs w:val="24"/>
          <w:u w:val="single"/>
        </w:rPr>
        <w:t>Models and frameworks for improved outcomes</w:t>
      </w:r>
    </w:p>
    <w:p w14:paraId="210060B9" w14:textId="71AA368F" w:rsidR="00214EFA" w:rsidRPr="00D5655D" w:rsidRDefault="00214EFA" w:rsidP="004E41AE">
      <w:pPr>
        <w:pStyle w:val="ListParagraph"/>
        <w:numPr>
          <w:ilvl w:val="1"/>
          <w:numId w:val="2"/>
        </w:numPr>
        <w:spacing w:line="360" w:lineRule="auto"/>
        <w:rPr>
          <w:rFonts w:ascii="Arial" w:hAnsi="Arial" w:cs="Arial"/>
          <w:b/>
          <w:bCs/>
          <w:color w:val="156082" w:themeColor="accent1"/>
          <w:sz w:val="24"/>
          <w:szCs w:val="24"/>
        </w:rPr>
      </w:pPr>
      <w:r w:rsidRPr="00D5655D">
        <w:rPr>
          <w:rFonts w:ascii="Arial" w:hAnsi="Arial" w:cs="Arial"/>
          <w:b/>
          <w:bCs/>
          <w:color w:val="156082" w:themeColor="accent1"/>
          <w:sz w:val="24"/>
          <w:szCs w:val="24"/>
        </w:rPr>
        <w:t xml:space="preserve">UK model: the </w:t>
      </w:r>
      <w:r w:rsidR="004E41AE" w:rsidRPr="00D5655D">
        <w:rPr>
          <w:rFonts w:ascii="Arial" w:hAnsi="Arial" w:cs="Arial"/>
          <w:b/>
          <w:bCs/>
          <w:color w:val="156082" w:themeColor="accent1"/>
          <w:sz w:val="24"/>
          <w:szCs w:val="24"/>
        </w:rPr>
        <w:t>House of Care</w:t>
      </w:r>
    </w:p>
    <w:p w14:paraId="45E6CFA9" w14:textId="76A01364" w:rsidR="00D5655D" w:rsidRDefault="00D5655D" w:rsidP="00D5655D">
      <w:pPr>
        <w:spacing w:line="360" w:lineRule="auto"/>
        <w:rPr>
          <w:rFonts w:ascii="Arial" w:hAnsi="Arial" w:cs="Arial"/>
          <w:sz w:val="24"/>
          <w:szCs w:val="24"/>
        </w:rPr>
      </w:pPr>
      <w:r w:rsidRPr="00D5655D">
        <w:rPr>
          <w:rFonts w:ascii="Arial" w:hAnsi="Arial" w:cs="Arial"/>
          <w:sz w:val="24"/>
          <w:szCs w:val="24"/>
        </w:rPr>
        <w:t>Collaborative care planning is at the core of the UK's House of Care approach to long-term condition management. Its walls are responsive commissioning and organizational procedures, its roof is the care-planning dialog, and its foundations are informed, involved individuals and healthcare professionals ready to collaborate. Because it connects a person's priorities with scheduled clinical reviews, self-management assistance, and coordinated services, the model is pertinent to type 2 diabetes</w:t>
      </w:r>
      <w:r w:rsidR="004D394E">
        <w:rPr>
          <w:rFonts w:ascii="Arial" w:hAnsi="Arial" w:cs="Arial"/>
          <w:sz w:val="24"/>
          <w:szCs w:val="24"/>
        </w:rPr>
        <w:t xml:space="preserve"> (NHS England, 2016). </w:t>
      </w:r>
      <w:r w:rsidRPr="00D5655D">
        <w:rPr>
          <w:rFonts w:ascii="Arial" w:hAnsi="Arial" w:cs="Arial"/>
          <w:sz w:val="24"/>
          <w:szCs w:val="24"/>
        </w:rPr>
        <w:t xml:space="preserve"> </w:t>
      </w:r>
      <w:r w:rsidR="0092366C" w:rsidRPr="0092366C">
        <w:rPr>
          <w:rFonts w:ascii="Arial" w:hAnsi="Arial" w:cs="Arial"/>
          <w:sz w:val="24"/>
          <w:szCs w:val="24"/>
        </w:rPr>
        <w:t>Its challenge to a purely biomedical consultation, where professionals set goals and people are expected to comply, is one of its strengths. Identifying the person's priorities, agreeing on doable tasks, and tying clinical treatment to social or emotional support are all possible through shared planning. However, the model depends on time, trained staff, accessible information and organisational capacity. The care-planning discussion could become a formality if consultations are hurried or services are dispersed. Rather than being a stand-alone intervention that has been shown to overcome every obstacle, the model is best understood as a framework for service redesign.</w:t>
      </w:r>
    </w:p>
    <w:p w14:paraId="273ABAF3" w14:textId="0F34F23B" w:rsidR="00F948C1" w:rsidRPr="00F948C1" w:rsidRDefault="00F948C1" w:rsidP="00F948C1">
      <w:pPr>
        <w:pStyle w:val="ListParagraph"/>
        <w:numPr>
          <w:ilvl w:val="1"/>
          <w:numId w:val="2"/>
        </w:numPr>
        <w:spacing w:line="360" w:lineRule="auto"/>
        <w:rPr>
          <w:rFonts w:ascii="Arial" w:hAnsi="Arial" w:cs="Arial"/>
          <w:sz w:val="24"/>
          <w:szCs w:val="24"/>
        </w:rPr>
      </w:pPr>
      <w:r w:rsidRPr="00F948C1">
        <w:rPr>
          <w:rFonts w:ascii="Arial" w:hAnsi="Arial" w:cs="Arial"/>
          <w:sz w:val="24"/>
          <w:szCs w:val="24"/>
        </w:rPr>
        <w:t>International model: the Chronic Care Model</w:t>
      </w:r>
    </w:p>
    <w:p w14:paraId="3C36C895" w14:textId="5A398C98" w:rsidR="004168E7" w:rsidRDefault="004168E7" w:rsidP="004168E7">
      <w:pPr>
        <w:spacing w:line="360" w:lineRule="auto"/>
        <w:rPr>
          <w:rFonts w:ascii="Arial" w:hAnsi="Arial" w:cs="Arial"/>
          <w:sz w:val="24"/>
          <w:szCs w:val="24"/>
        </w:rPr>
      </w:pPr>
      <w:r w:rsidRPr="004168E7">
        <w:rPr>
          <w:rFonts w:ascii="Arial" w:hAnsi="Arial" w:cs="Arial"/>
          <w:sz w:val="24"/>
          <w:szCs w:val="24"/>
        </w:rPr>
        <w:t xml:space="preserve">According to Wagner, Austin, and Von Korff (1996), the Chronic Care Model (CCM), which was developed in the United States, suggests that improved chronic disease outcomes depend on six interrelated components: clinical information systems, </w:t>
      </w:r>
      <w:r w:rsidRPr="004168E7">
        <w:rPr>
          <w:rFonts w:ascii="Arial" w:hAnsi="Arial" w:cs="Arial"/>
          <w:sz w:val="24"/>
          <w:szCs w:val="24"/>
        </w:rPr>
        <w:lastRenderedPageBreak/>
        <w:t xml:space="preserve">delivery-system design, community resources, self-management support, and healthcare </w:t>
      </w:r>
      <w:r w:rsidR="005C7F44">
        <w:rPr>
          <w:rFonts w:ascii="Arial" w:hAnsi="Arial" w:cs="Arial"/>
          <w:sz w:val="24"/>
          <w:szCs w:val="24"/>
        </w:rPr>
        <w:t>organisation</w:t>
      </w:r>
      <w:r w:rsidRPr="004168E7">
        <w:rPr>
          <w:rFonts w:ascii="Arial" w:hAnsi="Arial" w:cs="Arial"/>
          <w:sz w:val="24"/>
          <w:szCs w:val="24"/>
        </w:rPr>
        <w:t xml:space="preserve">. Its goal is to facilitate communication between proactive, ready care teams and informed, engaged patients. This is pertinent to diabetes because services can find unmet needs and lessen fragmented care with the aid of planned reviews, evidence-based protocols, patient education, and registries. </w:t>
      </w:r>
      <w:r w:rsidR="003B59D0" w:rsidRPr="003B59D0">
        <w:rPr>
          <w:rFonts w:ascii="Arial" w:hAnsi="Arial" w:cs="Arial"/>
          <w:sz w:val="24"/>
          <w:szCs w:val="24"/>
        </w:rPr>
        <w:t>Bodenheimer, Wagner and Grumbach (2002a) reported that 32 of 39 studies of CCM-related interventions improved at least one diabetes process or outcome measure. This demonstrates the potential of the model, but the evidence is inconsistent: different interventions produced different results, and improvements in one measure do not always translate into higher quality of life or fewer disparities. Additionally, the CCM needs staff capacity, dependable data, and infrastructure, all of which may be more difficult to establish in settings with limited resources.</w:t>
      </w:r>
    </w:p>
    <w:p w14:paraId="7007F3FA" w14:textId="4063DE87" w:rsidR="003E1859" w:rsidRDefault="003E1859" w:rsidP="003E1859">
      <w:pPr>
        <w:spacing w:line="360" w:lineRule="auto"/>
        <w:rPr>
          <w:rFonts w:ascii="Arial" w:hAnsi="Arial" w:cs="Arial"/>
          <w:sz w:val="24"/>
          <w:szCs w:val="24"/>
        </w:rPr>
      </w:pPr>
      <w:r w:rsidRPr="003E1859">
        <w:rPr>
          <w:rFonts w:ascii="Arial" w:hAnsi="Arial" w:cs="Arial"/>
          <w:sz w:val="24"/>
          <w:szCs w:val="24"/>
        </w:rPr>
        <w:t xml:space="preserve">Both CCM and the House of Care encourage self-management and proactive, coordinated care. While the CCM provides a more comprehensive </w:t>
      </w:r>
      <w:r w:rsidR="008A5E7A">
        <w:rPr>
          <w:rFonts w:ascii="Arial" w:hAnsi="Arial" w:cs="Arial"/>
          <w:sz w:val="24"/>
          <w:szCs w:val="24"/>
        </w:rPr>
        <w:t>organisationa</w:t>
      </w:r>
      <w:r w:rsidR="00BE78D4">
        <w:rPr>
          <w:rFonts w:ascii="Arial" w:hAnsi="Arial" w:cs="Arial"/>
          <w:sz w:val="24"/>
          <w:szCs w:val="24"/>
        </w:rPr>
        <w:t>l</w:t>
      </w:r>
      <w:r w:rsidRPr="003E1859">
        <w:rPr>
          <w:rFonts w:ascii="Arial" w:hAnsi="Arial" w:cs="Arial"/>
          <w:sz w:val="24"/>
          <w:szCs w:val="24"/>
        </w:rPr>
        <w:t xml:space="preserve"> framework for combining clinical data, delivery systems, and community resources, the House of Care </w:t>
      </w:r>
      <w:r w:rsidR="008A5E7A">
        <w:rPr>
          <w:rFonts w:ascii="Arial" w:hAnsi="Arial" w:cs="Arial"/>
          <w:sz w:val="24"/>
          <w:szCs w:val="24"/>
        </w:rPr>
        <w:t>emphasises</w:t>
      </w:r>
      <w:r w:rsidRPr="003E1859">
        <w:rPr>
          <w:rFonts w:ascii="Arial" w:hAnsi="Arial" w:cs="Arial"/>
          <w:sz w:val="24"/>
          <w:szCs w:val="24"/>
        </w:rPr>
        <w:t xml:space="preserve"> collaborative care planning. They work well together. Their efficacy is contingent upon meaningful patient involvement, staff engagement, and local adaptation. Experience, access, complications, and equity should all be considered in the evaluation, not just HbA1c. </w:t>
      </w:r>
    </w:p>
    <w:p w14:paraId="179E6B12" w14:textId="77777777" w:rsidR="00CA639A" w:rsidRDefault="00CA639A" w:rsidP="003E1859">
      <w:pPr>
        <w:spacing w:line="360" w:lineRule="auto"/>
        <w:rPr>
          <w:rFonts w:ascii="Arial" w:hAnsi="Arial" w:cs="Arial"/>
          <w:sz w:val="24"/>
          <w:szCs w:val="24"/>
        </w:rPr>
      </w:pPr>
    </w:p>
    <w:p w14:paraId="12800A35" w14:textId="4640207C" w:rsidR="00CA639A" w:rsidRPr="00DD6D91" w:rsidRDefault="00CA639A" w:rsidP="00CA639A">
      <w:pPr>
        <w:pStyle w:val="ListParagraph"/>
        <w:numPr>
          <w:ilvl w:val="0"/>
          <w:numId w:val="2"/>
        </w:numPr>
        <w:spacing w:line="360" w:lineRule="auto"/>
        <w:rPr>
          <w:rFonts w:ascii="Arial" w:hAnsi="Arial" w:cs="Arial"/>
          <w:b/>
          <w:bCs/>
          <w:color w:val="156082" w:themeColor="accent1"/>
          <w:sz w:val="24"/>
          <w:szCs w:val="24"/>
          <w:u w:val="single"/>
        </w:rPr>
      </w:pPr>
      <w:r w:rsidRPr="00DD6D91">
        <w:rPr>
          <w:rFonts w:ascii="Arial" w:hAnsi="Arial" w:cs="Arial"/>
          <w:b/>
          <w:bCs/>
          <w:color w:val="156082" w:themeColor="accent1"/>
          <w:sz w:val="24"/>
          <w:szCs w:val="24"/>
          <w:u w:val="single"/>
        </w:rPr>
        <w:t>Health and social care policy and implementation</w:t>
      </w:r>
    </w:p>
    <w:p w14:paraId="75C71134" w14:textId="5539E3D1" w:rsidR="0077788C" w:rsidRDefault="0077788C" w:rsidP="0077788C">
      <w:pPr>
        <w:spacing w:line="360" w:lineRule="auto"/>
        <w:rPr>
          <w:rFonts w:ascii="Arial" w:hAnsi="Arial" w:cs="Arial"/>
          <w:sz w:val="24"/>
          <w:szCs w:val="24"/>
        </w:rPr>
      </w:pPr>
      <w:r w:rsidRPr="0077788C">
        <w:rPr>
          <w:rFonts w:ascii="Arial" w:hAnsi="Arial" w:cs="Arial"/>
          <w:sz w:val="24"/>
          <w:szCs w:val="24"/>
        </w:rPr>
        <w:t>The main national clinical framework for managing adult T2DM is NICE NG28, which was revised in February 2026. A more comprehensive approach than glucose-</w:t>
      </w:r>
      <w:r w:rsidRPr="0077788C">
        <w:rPr>
          <w:rFonts w:ascii="Arial" w:hAnsi="Arial" w:cs="Arial"/>
          <w:sz w:val="24"/>
          <w:szCs w:val="24"/>
        </w:rPr>
        <w:t>centred</w:t>
      </w:r>
      <w:r w:rsidRPr="0077788C">
        <w:rPr>
          <w:rFonts w:ascii="Arial" w:hAnsi="Arial" w:cs="Arial"/>
          <w:sz w:val="24"/>
          <w:szCs w:val="24"/>
        </w:rPr>
        <w:t xml:space="preserve"> treatment alone is reflected in its emphasis on shared decision-making, cardiovascular and renal protection, and individualized medication selection (NICE, 2026). By establishing evidence-based expectations, NICE guidelines can lessen unwarranted variation. However, their implementation necessitates workforce capacity, prescribing access, education, monitoring systems, and clear accountability. </w:t>
      </w:r>
    </w:p>
    <w:p w14:paraId="3AE7E9FD" w14:textId="3712C459" w:rsidR="00861AE0" w:rsidRDefault="00861AE0" w:rsidP="0077788C">
      <w:pPr>
        <w:spacing w:line="360" w:lineRule="auto"/>
        <w:rPr>
          <w:rFonts w:ascii="Arial" w:hAnsi="Arial" w:cs="Arial"/>
          <w:sz w:val="24"/>
          <w:szCs w:val="24"/>
        </w:rPr>
      </w:pPr>
      <w:r w:rsidRPr="00861AE0">
        <w:rPr>
          <w:rFonts w:ascii="Arial" w:hAnsi="Arial" w:cs="Arial"/>
          <w:sz w:val="24"/>
          <w:szCs w:val="24"/>
        </w:rPr>
        <w:t xml:space="preserve">The NHS Long Term Plan identified prevention, digital transformation and improved management of major long-term conditions as priorities (NHS England, 2019). While the Path to Remission Program provides an intervention for qualified individuals with </w:t>
      </w:r>
      <w:r w:rsidRPr="00861AE0">
        <w:rPr>
          <w:rFonts w:ascii="Arial" w:hAnsi="Arial" w:cs="Arial"/>
          <w:sz w:val="24"/>
          <w:szCs w:val="24"/>
        </w:rPr>
        <w:lastRenderedPageBreak/>
        <w:t>established type 2 diabetes, the NHS Diabetes Prevention Program seeks to identify individuals at high risk and support lifestyle changes before diabetes develops (NHS England, 2026b; NHS England, 2026c). Although availability does not ensure equitable uptake, these programs offer opportunities for prevention and remission. Eligibility criteria, referral pathways, language, digital access, work commitments and local capacity can affect participation.</w:t>
      </w:r>
    </w:p>
    <w:p w14:paraId="1DC7E696" w14:textId="77777777" w:rsidR="00250FA8" w:rsidRPr="00250FA8" w:rsidRDefault="00250FA8" w:rsidP="00250FA8">
      <w:pPr>
        <w:spacing w:line="360" w:lineRule="auto"/>
        <w:rPr>
          <w:rFonts w:ascii="Arial" w:hAnsi="Arial" w:cs="Arial"/>
          <w:sz w:val="24"/>
          <w:szCs w:val="24"/>
        </w:rPr>
      </w:pPr>
      <w:r w:rsidRPr="00250FA8">
        <w:rPr>
          <w:rFonts w:ascii="Arial" w:hAnsi="Arial" w:cs="Arial"/>
          <w:sz w:val="24"/>
          <w:szCs w:val="24"/>
        </w:rPr>
        <w:t xml:space="preserve">The Core20PLUS5 approach focuses NHS action on five clinical areas of priority for adults, locally identified PLUS groups with worse outcomes, and the most deprived 20% of the population (NHS England, 2021). Its equity focus is pertinent to diabetes prevention and complication management even though it is not a diabetes-specific treatment guideline. Examining local performance and identifying underserved groups is justified by the National Diabetes Audit's variation in care-process completion (NHS England, 2026a). To identify the reasons behind gaps, services should integrate community engagement with population-level audits. </w:t>
      </w:r>
    </w:p>
    <w:p w14:paraId="3D711DD4" w14:textId="1CC67CE6" w:rsidR="006933F5" w:rsidRDefault="006933F5" w:rsidP="006933F5">
      <w:pPr>
        <w:spacing w:line="360" w:lineRule="auto"/>
        <w:rPr>
          <w:rFonts w:ascii="Arial" w:hAnsi="Arial" w:cs="Arial"/>
          <w:sz w:val="24"/>
          <w:szCs w:val="24"/>
        </w:rPr>
      </w:pPr>
      <w:r w:rsidRPr="006933F5">
        <w:rPr>
          <w:rFonts w:ascii="Arial" w:hAnsi="Arial" w:cs="Arial"/>
          <w:sz w:val="24"/>
          <w:szCs w:val="24"/>
        </w:rPr>
        <w:t xml:space="preserve">The NHS, local governments, and community services all share responsibilities, which must be taken into consideration during implementation. Primary care, </w:t>
      </w:r>
      <w:r w:rsidR="002D76FC">
        <w:rPr>
          <w:rFonts w:ascii="Arial" w:hAnsi="Arial" w:cs="Arial"/>
          <w:sz w:val="24"/>
          <w:szCs w:val="24"/>
        </w:rPr>
        <w:t>specialised</w:t>
      </w:r>
      <w:r w:rsidRPr="006933F5">
        <w:rPr>
          <w:rFonts w:ascii="Arial" w:hAnsi="Arial" w:cs="Arial"/>
          <w:sz w:val="24"/>
          <w:szCs w:val="24"/>
        </w:rPr>
        <w:t xml:space="preserve"> teams, dietitians, foot services, retinal screening, and social support can all be part of diabetes care. Inadequate communication may result in unclear responsibility or missed follow-up. Digital systems must not exclude individuals with low connectivity, low self-esteem, low language proficiency, or inaccessible technology, even though shared records and referral routes may enhance continuity. Access and results, not just the program's existence, should be used to evaluate policy. </w:t>
      </w:r>
    </w:p>
    <w:p w14:paraId="251AAFDC" w14:textId="77777777" w:rsidR="002D76FC" w:rsidRDefault="002D76FC" w:rsidP="006933F5">
      <w:pPr>
        <w:spacing w:line="360" w:lineRule="auto"/>
        <w:rPr>
          <w:rFonts w:ascii="Arial" w:hAnsi="Arial" w:cs="Arial"/>
          <w:sz w:val="24"/>
          <w:szCs w:val="24"/>
        </w:rPr>
      </w:pPr>
    </w:p>
    <w:p w14:paraId="591EA237" w14:textId="062730FF" w:rsidR="004A5467" w:rsidRPr="008352B1" w:rsidRDefault="004641D6" w:rsidP="004A5467">
      <w:pPr>
        <w:pStyle w:val="ListParagraph"/>
        <w:numPr>
          <w:ilvl w:val="0"/>
          <w:numId w:val="2"/>
        </w:numPr>
        <w:spacing w:line="360" w:lineRule="auto"/>
        <w:rPr>
          <w:rFonts w:ascii="Arial" w:hAnsi="Arial" w:cs="Arial"/>
          <w:b/>
          <w:bCs/>
          <w:color w:val="156082" w:themeColor="accent1"/>
          <w:sz w:val="24"/>
          <w:szCs w:val="24"/>
          <w:u w:val="single"/>
        </w:rPr>
      </w:pPr>
      <w:r w:rsidRPr="008352B1">
        <w:rPr>
          <w:rFonts w:ascii="Arial" w:hAnsi="Arial" w:cs="Arial"/>
          <w:b/>
          <w:bCs/>
          <w:color w:val="156082" w:themeColor="accent1"/>
          <w:sz w:val="24"/>
          <w:szCs w:val="24"/>
          <w:u w:val="single"/>
        </w:rPr>
        <w:t>Recommendations for person-centred care and self-management</w:t>
      </w:r>
    </w:p>
    <w:p w14:paraId="1F8C302F" w14:textId="22741719" w:rsidR="004A5467" w:rsidRPr="008352B1" w:rsidRDefault="004828BB" w:rsidP="004828BB">
      <w:pPr>
        <w:pStyle w:val="ListParagraph"/>
        <w:numPr>
          <w:ilvl w:val="1"/>
          <w:numId w:val="2"/>
        </w:numPr>
        <w:spacing w:line="360" w:lineRule="auto"/>
        <w:rPr>
          <w:rFonts w:ascii="Arial" w:hAnsi="Arial" w:cs="Arial"/>
          <w:b/>
          <w:bCs/>
          <w:color w:val="156082" w:themeColor="accent1"/>
          <w:sz w:val="24"/>
          <w:szCs w:val="24"/>
        </w:rPr>
      </w:pPr>
      <w:r w:rsidRPr="008352B1">
        <w:rPr>
          <w:rFonts w:ascii="Arial" w:hAnsi="Arial" w:cs="Arial"/>
          <w:b/>
          <w:bCs/>
          <w:color w:val="156082" w:themeColor="accent1"/>
          <w:sz w:val="24"/>
          <w:szCs w:val="24"/>
        </w:rPr>
        <w:t>Make collaborative care planning routine</w:t>
      </w:r>
    </w:p>
    <w:p w14:paraId="0F80BB1B" w14:textId="77777777" w:rsidR="004314D1" w:rsidRDefault="004314D1" w:rsidP="004314D1">
      <w:pPr>
        <w:spacing w:line="360" w:lineRule="auto"/>
        <w:rPr>
          <w:rFonts w:ascii="Arial" w:hAnsi="Arial" w:cs="Arial"/>
          <w:sz w:val="24"/>
          <w:szCs w:val="24"/>
        </w:rPr>
      </w:pPr>
      <w:r w:rsidRPr="004314D1">
        <w:rPr>
          <w:rFonts w:ascii="Arial" w:hAnsi="Arial" w:cs="Arial"/>
          <w:sz w:val="24"/>
          <w:szCs w:val="24"/>
        </w:rPr>
        <w:t xml:space="preserve">Professionals should inquire about the patient's priorities during diagnosis and every review, provide clear explanations of available options, and establish clear, attainable goals. The House of Care's tenets and NICE guidelines support shared decision-making (NICE, 2021; NHS England, 2016). In addition to clinical targets, goals could include symptom management, energy, and involvement in the </w:t>
      </w:r>
      <w:r w:rsidRPr="004314D1">
        <w:rPr>
          <w:rFonts w:ascii="Arial" w:hAnsi="Arial" w:cs="Arial"/>
          <w:sz w:val="24"/>
          <w:szCs w:val="24"/>
        </w:rPr>
        <w:lastRenderedPageBreak/>
        <w:t xml:space="preserve">workplace or family. When circumstances change, plans should be reviewed and recorded in an understandable format. </w:t>
      </w:r>
    </w:p>
    <w:p w14:paraId="1968B580" w14:textId="24907905" w:rsidR="008352B1" w:rsidRPr="0027472C" w:rsidRDefault="0026415A" w:rsidP="0026415A">
      <w:pPr>
        <w:pStyle w:val="ListParagraph"/>
        <w:numPr>
          <w:ilvl w:val="1"/>
          <w:numId w:val="2"/>
        </w:numPr>
        <w:spacing w:line="360" w:lineRule="auto"/>
        <w:rPr>
          <w:rFonts w:ascii="Arial" w:hAnsi="Arial" w:cs="Arial"/>
          <w:b/>
          <w:bCs/>
          <w:color w:val="156082" w:themeColor="accent1"/>
          <w:sz w:val="24"/>
          <w:szCs w:val="24"/>
        </w:rPr>
      </w:pPr>
      <w:r w:rsidRPr="0027472C">
        <w:rPr>
          <w:rFonts w:ascii="Arial" w:hAnsi="Arial" w:cs="Arial"/>
          <w:b/>
          <w:bCs/>
          <w:color w:val="156082" w:themeColor="accent1"/>
          <w:sz w:val="24"/>
          <w:szCs w:val="24"/>
        </w:rPr>
        <w:t>Offer ongoing, accessible self-management education</w:t>
      </w:r>
    </w:p>
    <w:p w14:paraId="67027CCD" w14:textId="77777777" w:rsidR="00684FA5" w:rsidRPr="00684FA5" w:rsidRDefault="00684FA5" w:rsidP="00684FA5">
      <w:pPr>
        <w:spacing w:line="360" w:lineRule="auto"/>
        <w:rPr>
          <w:rFonts w:ascii="Arial" w:hAnsi="Arial" w:cs="Arial"/>
          <w:sz w:val="24"/>
          <w:szCs w:val="24"/>
        </w:rPr>
      </w:pPr>
      <w:r w:rsidRPr="00684FA5">
        <w:rPr>
          <w:rFonts w:ascii="Arial" w:hAnsi="Arial" w:cs="Arial"/>
          <w:sz w:val="24"/>
          <w:szCs w:val="24"/>
        </w:rPr>
        <w:t xml:space="preserve">Interpreters, easily readable or translated materials, flexible appointment schedules, and in-person alternatives to digital support should all be used to provide education at the time of diagnosis and at subsequent transition points. In order to assess health literacy, confidence, and practical barriers, professionals should use teach-back to check understanding without embarrassment. Education should be sensitive to cultural differences and refrain from presuming that a person's dietary preferences, family dynamics, or worldview align with a predetermined curriculum. Structured education is supported by evidence, but continued assistance is required because knowledge by itself does not eliminate social or financial constraints (Davies et al., 2008; Davies et al., 2022). </w:t>
      </w:r>
    </w:p>
    <w:p w14:paraId="714FFC57" w14:textId="2FCAAB56" w:rsidR="0026415A" w:rsidRPr="0027472C" w:rsidRDefault="00082623" w:rsidP="00082623">
      <w:pPr>
        <w:pStyle w:val="ListParagraph"/>
        <w:numPr>
          <w:ilvl w:val="1"/>
          <w:numId w:val="2"/>
        </w:numPr>
        <w:spacing w:line="360" w:lineRule="auto"/>
        <w:rPr>
          <w:rFonts w:ascii="Arial" w:hAnsi="Arial" w:cs="Arial"/>
          <w:b/>
          <w:bCs/>
          <w:color w:val="156082" w:themeColor="accent1"/>
          <w:sz w:val="24"/>
          <w:szCs w:val="24"/>
        </w:rPr>
      </w:pPr>
      <w:r w:rsidRPr="0027472C">
        <w:rPr>
          <w:rFonts w:ascii="Arial" w:hAnsi="Arial" w:cs="Arial"/>
          <w:b/>
          <w:bCs/>
          <w:color w:val="156082" w:themeColor="accent1"/>
          <w:sz w:val="24"/>
          <w:szCs w:val="24"/>
        </w:rPr>
        <w:t xml:space="preserve">Integrate psychological and social assessment </w:t>
      </w:r>
    </w:p>
    <w:p w14:paraId="7F8C1056" w14:textId="466588BE" w:rsidR="0027472C" w:rsidRDefault="0027472C" w:rsidP="0027472C">
      <w:pPr>
        <w:spacing w:line="360" w:lineRule="auto"/>
        <w:rPr>
          <w:rFonts w:ascii="Arial" w:hAnsi="Arial" w:cs="Arial"/>
          <w:sz w:val="24"/>
          <w:szCs w:val="24"/>
        </w:rPr>
      </w:pPr>
      <w:r w:rsidRPr="0027472C">
        <w:rPr>
          <w:rFonts w:ascii="Arial" w:hAnsi="Arial" w:cs="Arial"/>
          <w:sz w:val="24"/>
          <w:szCs w:val="24"/>
        </w:rPr>
        <w:t xml:space="preserve">A chance to talk about distress, mood, food insecurity, fear of complications, housing or financial pressure, and support at home should be part of routine reviews. Clinicians should refer patients to community organizations, welfare </w:t>
      </w:r>
      <w:r w:rsidRPr="0027472C">
        <w:rPr>
          <w:rFonts w:ascii="Arial" w:hAnsi="Arial" w:cs="Arial"/>
          <w:sz w:val="24"/>
          <w:szCs w:val="24"/>
        </w:rPr>
        <w:t>counselling</w:t>
      </w:r>
      <w:r w:rsidRPr="0027472C">
        <w:rPr>
          <w:rFonts w:ascii="Arial" w:hAnsi="Arial" w:cs="Arial"/>
          <w:sz w:val="24"/>
          <w:szCs w:val="24"/>
        </w:rPr>
        <w:t xml:space="preserve">, social prescribing, psychological services, and dietetic support when necessary. With the person's permission, family members may participate, and caregivers should receive information and assistance relevant to their position (NICE, 2020). This will probably make care more practical and lessen the possibility of classifying structural obstacles as personal failures. </w:t>
      </w:r>
    </w:p>
    <w:p w14:paraId="79E14109" w14:textId="777102F3" w:rsidR="0027472C" w:rsidRPr="00C33735" w:rsidRDefault="00AA3266" w:rsidP="00AA3266">
      <w:pPr>
        <w:pStyle w:val="ListParagraph"/>
        <w:numPr>
          <w:ilvl w:val="1"/>
          <w:numId w:val="2"/>
        </w:numPr>
        <w:spacing w:line="360" w:lineRule="auto"/>
        <w:rPr>
          <w:rFonts w:ascii="Arial" w:hAnsi="Arial" w:cs="Arial"/>
          <w:b/>
          <w:bCs/>
          <w:color w:val="156082" w:themeColor="accent1"/>
          <w:sz w:val="24"/>
          <w:szCs w:val="24"/>
        </w:rPr>
      </w:pPr>
      <w:r w:rsidRPr="00C33735">
        <w:rPr>
          <w:rFonts w:ascii="Arial" w:hAnsi="Arial" w:cs="Arial"/>
          <w:b/>
          <w:bCs/>
          <w:color w:val="156082" w:themeColor="accent1"/>
          <w:sz w:val="24"/>
          <w:szCs w:val="24"/>
        </w:rPr>
        <w:t>Reduce gaps in routine monitoring and follow-up</w:t>
      </w:r>
    </w:p>
    <w:p w14:paraId="3CA7DBCF" w14:textId="77777777" w:rsidR="007E53D8" w:rsidRPr="007E53D8" w:rsidRDefault="007E53D8" w:rsidP="007E53D8">
      <w:pPr>
        <w:spacing w:line="360" w:lineRule="auto"/>
        <w:rPr>
          <w:rFonts w:ascii="Arial" w:hAnsi="Arial" w:cs="Arial"/>
          <w:sz w:val="24"/>
          <w:szCs w:val="24"/>
        </w:rPr>
      </w:pPr>
      <w:r w:rsidRPr="007E53D8">
        <w:rPr>
          <w:rFonts w:ascii="Arial" w:hAnsi="Arial" w:cs="Arial"/>
          <w:sz w:val="24"/>
          <w:szCs w:val="24"/>
        </w:rPr>
        <w:t xml:space="preserve">Audit data should be used by primary care and integrated care systems to find gaps in blood pressure, kidney tests, HbA1c, foot evaluation, and retinal screening. Proactive contact, flexible scheduling, and easily accessible communication should be added to recall systems. Teams should look into whether capacity, coding, transportation, language, digital access, or reluctance brought on by bad experiences are the reasons behind missed checks. When feasible, local improvement plans should break down completion and results by geography, deprivation, ethnicity, and disability (NHS England, 2026a; NHS England, 2021). </w:t>
      </w:r>
    </w:p>
    <w:p w14:paraId="0A7CF934" w14:textId="083EF48E" w:rsidR="00AA3266" w:rsidRPr="00C33735" w:rsidRDefault="0062763C" w:rsidP="0062763C">
      <w:pPr>
        <w:pStyle w:val="ListParagraph"/>
        <w:numPr>
          <w:ilvl w:val="1"/>
          <w:numId w:val="2"/>
        </w:numPr>
        <w:spacing w:line="360" w:lineRule="auto"/>
        <w:rPr>
          <w:rFonts w:ascii="Arial" w:hAnsi="Arial" w:cs="Arial"/>
          <w:b/>
          <w:bCs/>
          <w:color w:val="156082" w:themeColor="accent1"/>
          <w:sz w:val="24"/>
          <w:szCs w:val="24"/>
        </w:rPr>
      </w:pPr>
      <w:r w:rsidRPr="00C33735">
        <w:rPr>
          <w:rFonts w:ascii="Arial" w:hAnsi="Arial" w:cs="Arial"/>
          <w:b/>
          <w:bCs/>
          <w:color w:val="156082" w:themeColor="accent1"/>
          <w:sz w:val="24"/>
          <w:szCs w:val="24"/>
        </w:rPr>
        <w:lastRenderedPageBreak/>
        <w:t>Individualise medicines and plan for changing needs</w:t>
      </w:r>
    </w:p>
    <w:p w14:paraId="55ED360A" w14:textId="5345DCC6" w:rsidR="0062763C" w:rsidRDefault="00130A6C" w:rsidP="0062763C">
      <w:pPr>
        <w:spacing w:line="360" w:lineRule="auto"/>
        <w:rPr>
          <w:rFonts w:ascii="Arial" w:hAnsi="Arial" w:cs="Arial"/>
          <w:sz w:val="24"/>
          <w:szCs w:val="24"/>
        </w:rPr>
      </w:pPr>
      <w:r w:rsidRPr="00130A6C">
        <w:rPr>
          <w:rFonts w:ascii="Arial" w:hAnsi="Arial" w:cs="Arial"/>
          <w:sz w:val="24"/>
          <w:szCs w:val="24"/>
        </w:rPr>
        <w:t xml:space="preserve">Benefits, side effects, treatment burden, kidney function, cardiovascular risk, frailty, the patient's preferences, and the possibility that treatment will improve outcomes should all be </w:t>
      </w:r>
      <w:r w:rsidRPr="00130A6C">
        <w:rPr>
          <w:rFonts w:ascii="Arial" w:hAnsi="Arial" w:cs="Arial"/>
          <w:sz w:val="24"/>
          <w:szCs w:val="24"/>
        </w:rPr>
        <w:t>considered</w:t>
      </w:r>
      <w:r w:rsidRPr="00130A6C">
        <w:rPr>
          <w:rFonts w:ascii="Arial" w:hAnsi="Arial" w:cs="Arial"/>
          <w:sz w:val="24"/>
          <w:szCs w:val="24"/>
        </w:rPr>
        <w:t xml:space="preserve"> when reviewing medications. Clear explanations of anticipated benefits and safety recommendations should be part of shared decision-making. For older people or those with multimorbidity, treatment intensity should be reassessed as health status changes rather than continued automatically. This follows NICE's individualised approach and contemporary consensus guidance (NICE, 2026; Davies et al., 2022)</w:t>
      </w:r>
      <w:r w:rsidR="00664100">
        <w:rPr>
          <w:rFonts w:ascii="Arial" w:hAnsi="Arial" w:cs="Arial"/>
          <w:sz w:val="24"/>
          <w:szCs w:val="24"/>
        </w:rPr>
        <w:t>.</w:t>
      </w:r>
    </w:p>
    <w:p w14:paraId="654C8575" w14:textId="37011FAD" w:rsidR="00664100" w:rsidRPr="001D03B7" w:rsidRDefault="00563BC4" w:rsidP="00563BC4">
      <w:pPr>
        <w:pStyle w:val="ListParagraph"/>
        <w:numPr>
          <w:ilvl w:val="1"/>
          <w:numId w:val="2"/>
        </w:numPr>
        <w:spacing w:line="360" w:lineRule="auto"/>
        <w:rPr>
          <w:rFonts w:ascii="Arial" w:hAnsi="Arial" w:cs="Arial"/>
          <w:b/>
          <w:bCs/>
          <w:color w:val="156082" w:themeColor="accent1"/>
          <w:sz w:val="24"/>
          <w:szCs w:val="24"/>
        </w:rPr>
      </w:pPr>
      <w:r w:rsidRPr="001D03B7">
        <w:rPr>
          <w:rFonts w:ascii="Arial" w:hAnsi="Arial" w:cs="Arial"/>
          <w:b/>
          <w:bCs/>
          <w:color w:val="156082" w:themeColor="accent1"/>
          <w:sz w:val="24"/>
          <w:szCs w:val="24"/>
        </w:rPr>
        <w:t>Include future planning and end of life care where appropriate</w:t>
      </w:r>
    </w:p>
    <w:p w14:paraId="21CC55B7" w14:textId="0FBED774" w:rsidR="00563BC4" w:rsidRDefault="001D03B7" w:rsidP="00563BC4">
      <w:pPr>
        <w:spacing w:line="360" w:lineRule="auto"/>
        <w:rPr>
          <w:rFonts w:ascii="Arial" w:hAnsi="Arial" w:cs="Arial"/>
          <w:sz w:val="24"/>
          <w:szCs w:val="24"/>
        </w:rPr>
      </w:pPr>
      <w:r w:rsidRPr="001D03B7">
        <w:rPr>
          <w:rFonts w:ascii="Arial" w:hAnsi="Arial" w:cs="Arial"/>
          <w:sz w:val="24"/>
          <w:szCs w:val="24"/>
        </w:rPr>
        <w:t xml:space="preserve">T2DM does not itself mean that a person is approaching the end of life. However, advance care planning and treatment burden review may be beneficial for those with advanced frailty, multiple conditions, or short life expectancy. Long-term risk reduction may give way to comfort, preventing </w:t>
      </w:r>
      <w:r w:rsidRPr="001D03B7">
        <w:rPr>
          <w:rFonts w:ascii="Arial" w:hAnsi="Arial" w:cs="Arial"/>
          <w:sz w:val="24"/>
          <w:szCs w:val="24"/>
        </w:rPr>
        <w:t>hypoglycaemia</w:t>
      </w:r>
      <w:r w:rsidRPr="001D03B7">
        <w:rPr>
          <w:rFonts w:ascii="Arial" w:hAnsi="Arial" w:cs="Arial"/>
          <w:sz w:val="24"/>
          <w:szCs w:val="24"/>
        </w:rPr>
        <w:t>, simplifying complicated regimens, and preserving dignity. Plans should be carefully created with the individual and, if they agree, their family or caregivers. NICE's end-of-life care guidelines place a strong emphasis on coordination, communication, and personalized planning (NICE, 2019a).</w:t>
      </w:r>
    </w:p>
    <w:p w14:paraId="3AEFC788" w14:textId="77777777" w:rsidR="004A3BE2" w:rsidRPr="004A3BE2" w:rsidRDefault="004A3BE2" w:rsidP="004A3BE2">
      <w:pPr>
        <w:spacing w:line="360" w:lineRule="auto"/>
        <w:rPr>
          <w:rFonts w:ascii="Arial" w:hAnsi="Arial" w:cs="Arial"/>
          <w:sz w:val="24"/>
          <w:szCs w:val="24"/>
        </w:rPr>
      </w:pPr>
    </w:p>
    <w:p w14:paraId="571D5575" w14:textId="77777777" w:rsidR="00A40EF0" w:rsidRDefault="00A40EF0" w:rsidP="0062763C">
      <w:pPr>
        <w:spacing w:line="360" w:lineRule="auto"/>
        <w:rPr>
          <w:rFonts w:ascii="Arial" w:hAnsi="Arial" w:cs="Arial"/>
          <w:sz w:val="24"/>
          <w:szCs w:val="24"/>
        </w:rPr>
      </w:pPr>
    </w:p>
    <w:p w14:paraId="7449ACAB" w14:textId="11502160" w:rsidR="00A40EF0" w:rsidRPr="00067843" w:rsidRDefault="00A40EF0" w:rsidP="00A40EF0">
      <w:pPr>
        <w:pStyle w:val="ListParagraph"/>
        <w:numPr>
          <w:ilvl w:val="0"/>
          <w:numId w:val="2"/>
        </w:numPr>
        <w:spacing w:line="360" w:lineRule="auto"/>
        <w:rPr>
          <w:rFonts w:ascii="Arial" w:hAnsi="Arial" w:cs="Arial"/>
          <w:b/>
          <w:bCs/>
          <w:color w:val="156082" w:themeColor="accent1"/>
          <w:sz w:val="24"/>
          <w:szCs w:val="24"/>
          <w:u w:val="single"/>
        </w:rPr>
      </w:pPr>
      <w:r w:rsidRPr="00067843">
        <w:rPr>
          <w:rFonts w:ascii="Arial" w:hAnsi="Arial" w:cs="Arial"/>
          <w:b/>
          <w:bCs/>
          <w:color w:val="156082" w:themeColor="accent1"/>
          <w:sz w:val="24"/>
          <w:szCs w:val="24"/>
          <w:u w:val="single"/>
        </w:rPr>
        <w:t>Conclusion</w:t>
      </w:r>
    </w:p>
    <w:p w14:paraId="5AC69AFC" w14:textId="71CA3972" w:rsidR="00A40EF0" w:rsidRPr="00A40EF0" w:rsidRDefault="00724AC0" w:rsidP="00A40EF0">
      <w:pPr>
        <w:spacing w:line="360" w:lineRule="auto"/>
        <w:rPr>
          <w:rFonts w:ascii="Arial" w:hAnsi="Arial" w:cs="Arial"/>
          <w:sz w:val="24"/>
          <w:szCs w:val="24"/>
        </w:rPr>
      </w:pPr>
      <w:r w:rsidRPr="00724AC0">
        <w:rPr>
          <w:rFonts w:ascii="Arial" w:hAnsi="Arial" w:cs="Arial"/>
          <w:sz w:val="24"/>
          <w:szCs w:val="24"/>
        </w:rPr>
        <w:t xml:space="preserve">T2DM is a common and complex long-term condition whose consequences extend across physical health, psychological wellbeing, family life and social participation. Evidence-based medicines and monitoring can reduce complications, but effective management also depends on accessible education, collaborative decisions and action on social determinants. The House of Care and Chronic Care Model offer complementary approaches to partnership and service organisation, although their impact depends on implementation and resources. The variation reported in England's National Diabetes Audit highlights the need to translate national guidance into equitable local practice. Person-centred diabetes care should combine clinical </w:t>
      </w:r>
      <w:r w:rsidRPr="00724AC0">
        <w:rPr>
          <w:rFonts w:ascii="Arial" w:hAnsi="Arial" w:cs="Arial"/>
          <w:sz w:val="24"/>
          <w:szCs w:val="24"/>
        </w:rPr>
        <w:lastRenderedPageBreak/>
        <w:t>effectiveness with respect, continuity, psychological support and measurable action to reduce inequalities.</w:t>
      </w:r>
    </w:p>
    <w:p w14:paraId="3C01E568" w14:textId="77777777" w:rsidR="00082623" w:rsidRPr="00082623" w:rsidRDefault="00082623" w:rsidP="00082623">
      <w:pPr>
        <w:spacing w:line="360" w:lineRule="auto"/>
        <w:rPr>
          <w:rFonts w:ascii="Arial" w:hAnsi="Arial" w:cs="Arial"/>
          <w:sz w:val="24"/>
          <w:szCs w:val="24"/>
        </w:rPr>
      </w:pPr>
    </w:p>
    <w:p w14:paraId="1CD13F3F" w14:textId="77777777" w:rsidR="004828BB" w:rsidRPr="004828BB" w:rsidRDefault="004828BB" w:rsidP="004828BB">
      <w:pPr>
        <w:spacing w:line="360" w:lineRule="auto"/>
        <w:rPr>
          <w:rFonts w:ascii="Arial" w:hAnsi="Arial" w:cs="Arial"/>
          <w:sz w:val="24"/>
          <w:szCs w:val="24"/>
        </w:rPr>
      </w:pPr>
    </w:p>
    <w:p w14:paraId="2D5F9C7C" w14:textId="1A71F6A0" w:rsidR="003E1859" w:rsidRDefault="00147A6E" w:rsidP="00147A6E">
      <w:pPr>
        <w:pStyle w:val="ListParagraph"/>
        <w:numPr>
          <w:ilvl w:val="0"/>
          <w:numId w:val="2"/>
        </w:numPr>
        <w:spacing w:line="360" w:lineRule="auto"/>
        <w:rPr>
          <w:rFonts w:ascii="Arial" w:hAnsi="Arial" w:cs="Arial"/>
          <w:sz w:val="24"/>
          <w:szCs w:val="24"/>
        </w:rPr>
      </w:pPr>
      <w:r>
        <w:rPr>
          <w:rFonts w:ascii="Arial" w:hAnsi="Arial" w:cs="Arial"/>
          <w:sz w:val="24"/>
          <w:szCs w:val="24"/>
        </w:rPr>
        <w:t>Reference</w:t>
      </w:r>
      <w:r w:rsidR="008317C9">
        <w:rPr>
          <w:rFonts w:ascii="Arial" w:hAnsi="Arial" w:cs="Arial"/>
          <w:sz w:val="24"/>
          <w:szCs w:val="24"/>
        </w:rPr>
        <w:t xml:space="preserve"> List</w:t>
      </w:r>
    </w:p>
    <w:p w14:paraId="6AE4994F" w14:textId="77777777" w:rsidR="00957204" w:rsidRPr="00062F6A" w:rsidRDefault="00957204" w:rsidP="00062F6A">
      <w:pPr>
        <w:spacing w:line="360" w:lineRule="auto"/>
        <w:ind w:left="360"/>
        <w:rPr>
          <w:rFonts w:ascii="Arial" w:hAnsi="Arial" w:cs="Arial"/>
          <w:sz w:val="24"/>
          <w:szCs w:val="24"/>
        </w:rPr>
      </w:pPr>
      <w:r w:rsidRPr="00062F6A">
        <w:rPr>
          <w:rFonts w:ascii="Arial" w:hAnsi="Arial" w:cs="Arial"/>
          <w:sz w:val="24"/>
          <w:szCs w:val="24"/>
        </w:rPr>
        <w:t>American Diabetes Association and European Association for the Study of Diabetes (ADA/EASD) (2022) ‘</w:t>
      </w:r>
      <w:r w:rsidRPr="0053241E">
        <w:rPr>
          <w:rFonts w:ascii="Arial" w:hAnsi="Arial" w:cs="Arial"/>
          <w:i/>
          <w:iCs/>
          <w:sz w:val="24"/>
          <w:szCs w:val="24"/>
        </w:rPr>
        <w:t>Management of hyperglycemia in type 2 diabetes, 2022. A consensus report by the American Diabetes Association (ADA) and the European Association for the Study of Diabetes (EASD)</w:t>
      </w:r>
      <w:r w:rsidRPr="00062F6A">
        <w:rPr>
          <w:rFonts w:ascii="Arial" w:hAnsi="Arial" w:cs="Arial"/>
          <w:sz w:val="24"/>
          <w:szCs w:val="24"/>
        </w:rPr>
        <w:t>’, Diabetes Care, 45(11), pp. 2753–2786. Available at: https://doi.org/10.2337/dci22-0034 (Accessed: 22 October 2026).</w:t>
      </w:r>
    </w:p>
    <w:p w14:paraId="77EF6230" w14:textId="77777777" w:rsidR="00957204" w:rsidRPr="00062F6A" w:rsidRDefault="00957204" w:rsidP="00062F6A">
      <w:pPr>
        <w:spacing w:line="360" w:lineRule="auto"/>
        <w:ind w:left="360"/>
        <w:rPr>
          <w:rFonts w:ascii="Arial" w:hAnsi="Arial" w:cs="Arial"/>
          <w:sz w:val="24"/>
          <w:szCs w:val="24"/>
        </w:rPr>
      </w:pPr>
      <w:r w:rsidRPr="00062F6A">
        <w:rPr>
          <w:rFonts w:ascii="Arial" w:hAnsi="Arial" w:cs="Arial"/>
          <w:sz w:val="24"/>
          <w:szCs w:val="24"/>
        </w:rPr>
        <w:t>Bodenheimer, T., Lorig, K., Holman, H. and Grumbach, K. (2002) ‘</w:t>
      </w:r>
      <w:r w:rsidRPr="0053241E">
        <w:rPr>
          <w:rFonts w:ascii="Arial" w:hAnsi="Arial" w:cs="Arial"/>
          <w:i/>
          <w:iCs/>
          <w:sz w:val="24"/>
          <w:szCs w:val="24"/>
        </w:rPr>
        <w:t>Patient self-management of chronic disease in primary care’</w:t>
      </w:r>
      <w:r w:rsidRPr="00062F6A">
        <w:rPr>
          <w:rFonts w:ascii="Arial" w:hAnsi="Arial" w:cs="Arial"/>
          <w:sz w:val="24"/>
          <w:szCs w:val="24"/>
        </w:rPr>
        <w:t>, JAMA, 288(19), pp. 2469–2475. Available at: https://doi.org/10.1001/jama.288.19.2469 (Accessed: 22 October 2026).</w:t>
      </w:r>
    </w:p>
    <w:p w14:paraId="7431CE5B" w14:textId="77777777" w:rsidR="00957204" w:rsidRPr="00062F6A" w:rsidRDefault="00957204" w:rsidP="00062F6A">
      <w:pPr>
        <w:spacing w:line="360" w:lineRule="auto"/>
        <w:ind w:left="360"/>
        <w:rPr>
          <w:rFonts w:ascii="Arial" w:hAnsi="Arial" w:cs="Arial"/>
          <w:sz w:val="24"/>
          <w:szCs w:val="24"/>
        </w:rPr>
      </w:pPr>
      <w:r w:rsidRPr="00062F6A">
        <w:rPr>
          <w:rFonts w:ascii="Arial" w:hAnsi="Arial" w:cs="Arial"/>
          <w:sz w:val="24"/>
          <w:szCs w:val="24"/>
        </w:rPr>
        <w:t>Bodenheimer, T., Wagner, E.H. and Grumbach, K. (2002a) ‘</w:t>
      </w:r>
      <w:r w:rsidRPr="0053241E">
        <w:rPr>
          <w:rFonts w:ascii="Arial" w:hAnsi="Arial" w:cs="Arial"/>
          <w:i/>
          <w:iCs/>
          <w:sz w:val="24"/>
          <w:szCs w:val="24"/>
        </w:rPr>
        <w:t>Improving primary care for patients with chronic illness: the chronic care model, Part 2’</w:t>
      </w:r>
      <w:r w:rsidRPr="00062F6A">
        <w:rPr>
          <w:rFonts w:ascii="Arial" w:hAnsi="Arial" w:cs="Arial"/>
          <w:sz w:val="24"/>
          <w:szCs w:val="24"/>
        </w:rPr>
        <w:t>, JAMA, 288(15), pp. 1909–1914. Available at: https://doi.org/10.1001/jama.288.15.1909 (Accessed: 22 October 2026).</w:t>
      </w:r>
    </w:p>
    <w:p w14:paraId="17FC0A20" w14:textId="77777777" w:rsidR="00957204" w:rsidRPr="00062F6A" w:rsidRDefault="00957204" w:rsidP="00062F6A">
      <w:pPr>
        <w:spacing w:line="360" w:lineRule="auto"/>
        <w:ind w:left="360"/>
        <w:rPr>
          <w:rFonts w:ascii="Arial" w:hAnsi="Arial" w:cs="Arial"/>
          <w:sz w:val="24"/>
          <w:szCs w:val="24"/>
        </w:rPr>
      </w:pPr>
      <w:r w:rsidRPr="00062F6A">
        <w:rPr>
          <w:rFonts w:ascii="Arial" w:hAnsi="Arial" w:cs="Arial"/>
          <w:sz w:val="24"/>
          <w:szCs w:val="24"/>
        </w:rPr>
        <w:t>Bodenheimer, T., Wagner, E.H. and Grumbach, K. (2002b) ‘</w:t>
      </w:r>
      <w:r w:rsidRPr="0053241E">
        <w:rPr>
          <w:rFonts w:ascii="Arial" w:hAnsi="Arial" w:cs="Arial"/>
          <w:i/>
          <w:iCs/>
          <w:sz w:val="24"/>
          <w:szCs w:val="24"/>
        </w:rPr>
        <w:t>Improving primary care for patients with chronic illness</w:t>
      </w:r>
      <w:r w:rsidRPr="00062F6A">
        <w:rPr>
          <w:rFonts w:ascii="Arial" w:hAnsi="Arial" w:cs="Arial"/>
          <w:sz w:val="24"/>
          <w:szCs w:val="24"/>
        </w:rPr>
        <w:t>’, JAMA, 288(14), pp. 1775–1779. Available at: https://doi.org/10.1001/jama.288.14.1775 (Accessed: 22 October 2026).</w:t>
      </w:r>
    </w:p>
    <w:p w14:paraId="68074E8E" w14:textId="264E4571" w:rsidR="00957204" w:rsidRPr="00062F6A" w:rsidRDefault="00957204" w:rsidP="00062F6A">
      <w:pPr>
        <w:spacing w:line="360" w:lineRule="auto"/>
        <w:ind w:left="360"/>
        <w:rPr>
          <w:rFonts w:ascii="Arial" w:hAnsi="Arial" w:cs="Arial"/>
          <w:sz w:val="24"/>
          <w:szCs w:val="24"/>
        </w:rPr>
      </w:pPr>
      <w:r w:rsidRPr="00062F6A">
        <w:rPr>
          <w:rFonts w:ascii="Arial" w:hAnsi="Arial" w:cs="Arial"/>
          <w:sz w:val="24"/>
          <w:szCs w:val="24"/>
        </w:rPr>
        <w:t>Davies, M.J. et al. (2008) ‘</w:t>
      </w:r>
      <w:r w:rsidRPr="0053241E">
        <w:rPr>
          <w:rFonts w:ascii="Arial" w:hAnsi="Arial" w:cs="Arial"/>
          <w:i/>
          <w:iCs/>
          <w:sz w:val="24"/>
          <w:szCs w:val="24"/>
        </w:rPr>
        <w:t xml:space="preserve">Effectiveness of the diabetes education and </w:t>
      </w:r>
      <w:r w:rsidRPr="0053241E">
        <w:rPr>
          <w:rFonts w:ascii="Arial" w:hAnsi="Arial" w:cs="Arial"/>
          <w:i/>
          <w:iCs/>
          <w:sz w:val="24"/>
          <w:szCs w:val="24"/>
        </w:rPr>
        <w:t>self-management</w:t>
      </w:r>
      <w:r w:rsidRPr="0053241E">
        <w:rPr>
          <w:rFonts w:ascii="Arial" w:hAnsi="Arial" w:cs="Arial"/>
          <w:i/>
          <w:iCs/>
          <w:sz w:val="24"/>
          <w:szCs w:val="24"/>
        </w:rPr>
        <w:t xml:space="preserve"> for ongoing and newly diagnosed (DESMOND) programme for people with newly diagnosed type 2 diabetes: cluster randomised controlled trial’</w:t>
      </w:r>
      <w:r w:rsidRPr="00062F6A">
        <w:rPr>
          <w:rFonts w:ascii="Arial" w:hAnsi="Arial" w:cs="Arial"/>
          <w:sz w:val="24"/>
          <w:szCs w:val="24"/>
        </w:rPr>
        <w:t>, BMJ, 336, p. 491. Available at: https://doi.org/10.1136/bmj.39474.922025.BE (Accessed: 22 October 2026).</w:t>
      </w:r>
    </w:p>
    <w:p w14:paraId="4DDAA9D4" w14:textId="632EAF3A" w:rsidR="00957204" w:rsidRPr="00062F6A" w:rsidRDefault="00957204" w:rsidP="00062F6A">
      <w:pPr>
        <w:spacing w:line="360" w:lineRule="auto"/>
        <w:ind w:left="360"/>
        <w:rPr>
          <w:rFonts w:ascii="Arial" w:hAnsi="Arial" w:cs="Arial"/>
          <w:sz w:val="24"/>
          <w:szCs w:val="24"/>
        </w:rPr>
      </w:pPr>
      <w:r w:rsidRPr="00062F6A">
        <w:rPr>
          <w:rFonts w:ascii="Arial" w:hAnsi="Arial" w:cs="Arial"/>
          <w:sz w:val="24"/>
          <w:szCs w:val="24"/>
        </w:rPr>
        <w:t>Davies, M.J. et al. (2022) ‘</w:t>
      </w:r>
      <w:r w:rsidRPr="0053241E">
        <w:rPr>
          <w:rFonts w:ascii="Arial" w:hAnsi="Arial" w:cs="Arial"/>
          <w:i/>
          <w:iCs/>
          <w:sz w:val="24"/>
          <w:szCs w:val="24"/>
        </w:rPr>
        <w:t xml:space="preserve">Management of </w:t>
      </w:r>
      <w:r w:rsidRPr="0053241E">
        <w:rPr>
          <w:rFonts w:ascii="Arial" w:hAnsi="Arial" w:cs="Arial"/>
          <w:i/>
          <w:iCs/>
          <w:sz w:val="24"/>
          <w:szCs w:val="24"/>
        </w:rPr>
        <w:t>hyperglycaemia</w:t>
      </w:r>
      <w:r w:rsidRPr="0053241E">
        <w:rPr>
          <w:rFonts w:ascii="Arial" w:hAnsi="Arial" w:cs="Arial"/>
          <w:i/>
          <w:iCs/>
          <w:sz w:val="24"/>
          <w:szCs w:val="24"/>
        </w:rPr>
        <w:t xml:space="preserve"> in type 2 diabetes, 2022. A consensus report by the American Diabetes Association (ADA) and the European Association for the Study of Diabetes (EASD</w:t>
      </w:r>
      <w:r w:rsidRPr="00062F6A">
        <w:rPr>
          <w:rFonts w:ascii="Arial" w:hAnsi="Arial" w:cs="Arial"/>
          <w:sz w:val="24"/>
          <w:szCs w:val="24"/>
        </w:rPr>
        <w:t xml:space="preserve">)’, </w:t>
      </w:r>
      <w:r w:rsidRPr="00062F6A">
        <w:rPr>
          <w:rFonts w:ascii="Arial" w:hAnsi="Arial" w:cs="Arial"/>
          <w:sz w:val="24"/>
          <w:szCs w:val="24"/>
        </w:rPr>
        <w:t>Diabetology</w:t>
      </w:r>
      <w:r w:rsidRPr="00062F6A">
        <w:rPr>
          <w:rFonts w:ascii="Arial" w:hAnsi="Arial" w:cs="Arial"/>
          <w:sz w:val="24"/>
          <w:szCs w:val="24"/>
        </w:rPr>
        <w:t xml:space="preserve">, 65, pp. </w:t>
      </w:r>
      <w:r w:rsidRPr="00062F6A">
        <w:rPr>
          <w:rFonts w:ascii="Arial" w:hAnsi="Arial" w:cs="Arial"/>
          <w:sz w:val="24"/>
          <w:szCs w:val="24"/>
        </w:rPr>
        <w:lastRenderedPageBreak/>
        <w:t>1925–1966. Available at: https://doi.org/10.1007/s00125-022-05787-2 (Accessed: 22 October 2026).</w:t>
      </w:r>
    </w:p>
    <w:p w14:paraId="58B1F7DD" w14:textId="77777777" w:rsidR="00957204" w:rsidRPr="00957204" w:rsidRDefault="00957204" w:rsidP="00062F6A">
      <w:pPr>
        <w:spacing w:line="360" w:lineRule="auto"/>
        <w:rPr>
          <w:rFonts w:ascii="Arial" w:hAnsi="Arial" w:cs="Arial"/>
          <w:sz w:val="24"/>
          <w:szCs w:val="24"/>
        </w:rPr>
      </w:pPr>
    </w:p>
    <w:p w14:paraId="3E7ECEEC" w14:textId="10E29112" w:rsidR="00957204" w:rsidRPr="00062F6A" w:rsidRDefault="00957204" w:rsidP="00062F6A">
      <w:pPr>
        <w:spacing w:line="360" w:lineRule="auto"/>
        <w:ind w:left="360"/>
        <w:rPr>
          <w:rFonts w:ascii="Arial" w:hAnsi="Arial" w:cs="Arial"/>
          <w:sz w:val="24"/>
          <w:szCs w:val="24"/>
        </w:rPr>
      </w:pPr>
      <w:r w:rsidRPr="00062F6A">
        <w:rPr>
          <w:rFonts w:ascii="Arial" w:hAnsi="Arial" w:cs="Arial"/>
          <w:sz w:val="24"/>
          <w:szCs w:val="24"/>
        </w:rPr>
        <w:t>Diabetes UK (2025) ‘</w:t>
      </w:r>
      <w:r w:rsidRPr="0053241E">
        <w:rPr>
          <w:rFonts w:ascii="Arial" w:hAnsi="Arial" w:cs="Arial"/>
          <w:i/>
          <w:iCs/>
          <w:sz w:val="24"/>
          <w:szCs w:val="24"/>
        </w:rPr>
        <w:t xml:space="preserve">Diabetes </w:t>
      </w:r>
      <w:r w:rsidRPr="0053241E">
        <w:rPr>
          <w:rFonts w:ascii="Arial" w:hAnsi="Arial" w:cs="Arial"/>
          <w:i/>
          <w:iCs/>
          <w:sz w:val="24"/>
          <w:szCs w:val="24"/>
        </w:rPr>
        <w:t>statistics</w:t>
      </w:r>
      <w:r w:rsidRPr="00062F6A">
        <w:rPr>
          <w:rFonts w:ascii="Arial" w:hAnsi="Arial" w:cs="Arial"/>
          <w:sz w:val="24"/>
          <w:szCs w:val="24"/>
        </w:rPr>
        <w:t>. Available at: https://www.diabetes.org.uk/about-us/about-the-charity/our-strategy/statistics (Accessed: 22 October 2026).</w:t>
      </w:r>
    </w:p>
    <w:p w14:paraId="06794670" w14:textId="77777777" w:rsidR="00957204" w:rsidRPr="008222B8" w:rsidRDefault="00957204" w:rsidP="00062F6A">
      <w:pPr>
        <w:spacing w:line="360" w:lineRule="auto"/>
        <w:ind w:left="360"/>
        <w:rPr>
          <w:rFonts w:ascii="Arial" w:hAnsi="Arial" w:cs="Arial"/>
          <w:i/>
          <w:iCs/>
          <w:sz w:val="24"/>
          <w:szCs w:val="24"/>
        </w:rPr>
      </w:pPr>
      <w:r w:rsidRPr="00062F6A">
        <w:rPr>
          <w:rFonts w:ascii="Arial" w:hAnsi="Arial" w:cs="Arial"/>
          <w:sz w:val="24"/>
          <w:szCs w:val="24"/>
        </w:rPr>
        <w:t>Genitsaridi, I. et al. (2026) ‘</w:t>
      </w:r>
      <w:r w:rsidRPr="008222B8">
        <w:rPr>
          <w:rFonts w:ascii="Arial" w:hAnsi="Arial" w:cs="Arial"/>
          <w:i/>
          <w:iCs/>
          <w:sz w:val="24"/>
          <w:szCs w:val="24"/>
        </w:rPr>
        <w:t>11th edition of the IDF Diabetes Atlas: global, regional, and national diabetes prevalence estimates for 2024 and projections for 2050’</w:t>
      </w:r>
      <w:r w:rsidRPr="00062F6A">
        <w:rPr>
          <w:rFonts w:ascii="Arial" w:hAnsi="Arial" w:cs="Arial"/>
          <w:sz w:val="24"/>
          <w:szCs w:val="24"/>
        </w:rPr>
        <w:t>, The Lancet Diabetes &amp; Endocrinology, 14(2), pp. 149–156. Available at: https://doi.org/10.1016/</w:t>
      </w:r>
      <w:r w:rsidRPr="008222B8">
        <w:rPr>
          <w:rFonts w:ascii="Arial" w:hAnsi="Arial" w:cs="Arial"/>
          <w:i/>
          <w:iCs/>
          <w:sz w:val="24"/>
          <w:szCs w:val="24"/>
        </w:rPr>
        <w:t>S2213-8587(25)00299-2 (Accessed: 22 October 2026).</w:t>
      </w:r>
    </w:p>
    <w:p w14:paraId="2EEE89B9" w14:textId="77777777" w:rsidR="00957204" w:rsidRPr="00062F6A" w:rsidRDefault="00957204" w:rsidP="00062F6A">
      <w:pPr>
        <w:spacing w:line="360" w:lineRule="auto"/>
        <w:ind w:left="360"/>
        <w:rPr>
          <w:rFonts w:ascii="Arial" w:hAnsi="Arial" w:cs="Arial"/>
          <w:sz w:val="24"/>
          <w:szCs w:val="24"/>
        </w:rPr>
      </w:pPr>
      <w:r w:rsidRPr="008222B8">
        <w:rPr>
          <w:rFonts w:ascii="Arial" w:hAnsi="Arial" w:cs="Arial"/>
          <w:i/>
          <w:iCs/>
          <w:sz w:val="24"/>
          <w:szCs w:val="24"/>
        </w:rPr>
        <w:t>Hill-Briggs, F. et al. (2021) ‘Social determinants of health and diabetes: a scientific review’</w:t>
      </w:r>
      <w:r w:rsidRPr="00062F6A">
        <w:rPr>
          <w:rFonts w:ascii="Arial" w:hAnsi="Arial" w:cs="Arial"/>
          <w:sz w:val="24"/>
          <w:szCs w:val="24"/>
        </w:rPr>
        <w:t>, Diabetes Care, 44(1), pp. 258–279. Available at: https://doi.org/10.2337/dci20-0053 (Accessed: 22 October 2026).</w:t>
      </w:r>
    </w:p>
    <w:p w14:paraId="2674BF6B" w14:textId="77777777" w:rsidR="00957204" w:rsidRPr="00062F6A" w:rsidRDefault="00957204" w:rsidP="00062F6A">
      <w:pPr>
        <w:spacing w:line="360" w:lineRule="auto"/>
        <w:ind w:left="360"/>
        <w:rPr>
          <w:rFonts w:ascii="Arial" w:hAnsi="Arial" w:cs="Arial"/>
          <w:sz w:val="24"/>
          <w:szCs w:val="24"/>
        </w:rPr>
      </w:pPr>
      <w:r w:rsidRPr="00062F6A">
        <w:rPr>
          <w:rFonts w:ascii="Arial" w:hAnsi="Arial" w:cs="Arial"/>
          <w:sz w:val="24"/>
          <w:szCs w:val="24"/>
        </w:rPr>
        <w:t>Lean, M.E.J. et al. (2018) ‘</w:t>
      </w:r>
      <w:r w:rsidRPr="008222B8">
        <w:rPr>
          <w:rFonts w:ascii="Arial" w:hAnsi="Arial" w:cs="Arial"/>
          <w:i/>
          <w:iCs/>
          <w:sz w:val="24"/>
          <w:szCs w:val="24"/>
        </w:rPr>
        <w:t>Primary care-led weight management for remission of type 2 diabetes (DiRECT): an open-label, cluster-randomised trial’</w:t>
      </w:r>
      <w:r w:rsidRPr="00062F6A">
        <w:rPr>
          <w:rFonts w:ascii="Arial" w:hAnsi="Arial" w:cs="Arial"/>
          <w:sz w:val="24"/>
          <w:szCs w:val="24"/>
        </w:rPr>
        <w:t>, The Lancet, 391(10120), pp. 541–551. Available at: https://doi.org/10.1016/S0140-6736(17)33102-1 (Accessed: 22 October 2026).</w:t>
      </w:r>
    </w:p>
    <w:p w14:paraId="1E3612F4" w14:textId="77777777" w:rsidR="00957204" w:rsidRPr="00062F6A" w:rsidRDefault="00957204" w:rsidP="00062F6A">
      <w:pPr>
        <w:spacing w:line="360" w:lineRule="auto"/>
        <w:ind w:left="360"/>
        <w:rPr>
          <w:rFonts w:ascii="Arial" w:hAnsi="Arial" w:cs="Arial"/>
          <w:sz w:val="24"/>
          <w:szCs w:val="24"/>
        </w:rPr>
      </w:pPr>
      <w:r w:rsidRPr="00062F6A">
        <w:rPr>
          <w:rFonts w:ascii="Arial" w:hAnsi="Arial" w:cs="Arial"/>
          <w:sz w:val="24"/>
          <w:szCs w:val="24"/>
        </w:rPr>
        <w:t xml:space="preserve">Marmot, M. et al. (2020) </w:t>
      </w:r>
      <w:r w:rsidRPr="008222B8">
        <w:rPr>
          <w:rFonts w:ascii="Arial" w:hAnsi="Arial" w:cs="Arial"/>
          <w:i/>
          <w:iCs/>
          <w:sz w:val="24"/>
          <w:szCs w:val="24"/>
        </w:rPr>
        <w:t>Health equity in England: the Marmot review 10 years on. London: Institute of Health Equity.</w:t>
      </w:r>
      <w:r w:rsidRPr="00062F6A">
        <w:rPr>
          <w:rFonts w:ascii="Arial" w:hAnsi="Arial" w:cs="Arial"/>
          <w:sz w:val="24"/>
          <w:szCs w:val="24"/>
        </w:rPr>
        <w:t xml:space="preserve"> Available at: https://www.instituteofhealthequity.org/resources-reports/marmot-review-10-years-on (Accessed: 22 October 2026).</w:t>
      </w:r>
    </w:p>
    <w:p w14:paraId="5DD8A60D" w14:textId="77777777" w:rsidR="00957204" w:rsidRPr="00062F6A" w:rsidRDefault="00957204" w:rsidP="00062F6A">
      <w:pPr>
        <w:spacing w:line="360" w:lineRule="auto"/>
        <w:ind w:left="360"/>
        <w:rPr>
          <w:rFonts w:ascii="Arial" w:hAnsi="Arial" w:cs="Arial"/>
          <w:sz w:val="24"/>
          <w:szCs w:val="24"/>
        </w:rPr>
      </w:pPr>
      <w:r w:rsidRPr="00062F6A">
        <w:rPr>
          <w:rFonts w:ascii="Arial" w:hAnsi="Arial" w:cs="Arial"/>
          <w:sz w:val="24"/>
          <w:szCs w:val="24"/>
        </w:rPr>
        <w:t xml:space="preserve">National Institute for Health and Care Excellence (NICE) (2012) </w:t>
      </w:r>
      <w:r w:rsidRPr="008222B8">
        <w:rPr>
          <w:rFonts w:ascii="Arial" w:hAnsi="Arial" w:cs="Arial"/>
          <w:i/>
          <w:iCs/>
          <w:sz w:val="24"/>
          <w:szCs w:val="24"/>
        </w:rPr>
        <w:t>Type 2 diabetes: prevention in people at high risk (PH38</w:t>
      </w:r>
      <w:r w:rsidRPr="00062F6A">
        <w:rPr>
          <w:rFonts w:ascii="Arial" w:hAnsi="Arial" w:cs="Arial"/>
          <w:sz w:val="24"/>
          <w:szCs w:val="24"/>
        </w:rPr>
        <w:t>). Available at: https://www.nice.org.uk/guidance/ph38 (Accessed: 22 October 2026).</w:t>
      </w:r>
    </w:p>
    <w:p w14:paraId="20A8F300" w14:textId="77777777" w:rsidR="00957204" w:rsidRPr="00062F6A" w:rsidRDefault="00957204" w:rsidP="00062F6A">
      <w:pPr>
        <w:spacing w:line="360" w:lineRule="auto"/>
        <w:ind w:left="360"/>
        <w:rPr>
          <w:rFonts w:ascii="Arial" w:hAnsi="Arial" w:cs="Arial"/>
          <w:sz w:val="24"/>
          <w:szCs w:val="24"/>
        </w:rPr>
      </w:pPr>
      <w:r w:rsidRPr="00062F6A">
        <w:rPr>
          <w:rFonts w:ascii="Arial" w:hAnsi="Arial" w:cs="Arial"/>
          <w:sz w:val="24"/>
          <w:szCs w:val="24"/>
        </w:rPr>
        <w:t xml:space="preserve">National Institute for Health and Care Excellence (NICE) (2019a) </w:t>
      </w:r>
      <w:r w:rsidRPr="008222B8">
        <w:rPr>
          <w:rFonts w:ascii="Arial" w:hAnsi="Arial" w:cs="Arial"/>
          <w:i/>
          <w:iCs/>
          <w:sz w:val="24"/>
          <w:szCs w:val="24"/>
        </w:rPr>
        <w:t>End of life care for adults: service delivery (NG142).</w:t>
      </w:r>
      <w:r w:rsidRPr="00062F6A">
        <w:rPr>
          <w:rFonts w:ascii="Arial" w:hAnsi="Arial" w:cs="Arial"/>
          <w:sz w:val="24"/>
          <w:szCs w:val="24"/>
        </w:rPr>
        <w:t xml:space="preserve"> Available at: https://www.nice.org.uk/guidance/ng142 (Accessed: 22 October 2026).</w:t>
      </w:r>
    </w:p>
    <w:p w14:paraId="7FE2DA66" w14:textId="77777777" w:rsidR="00957204" w:rsidRPr="00062F6A" w:rsidRDefault="00957204" w:rsidP="00062F6A">
      <w:pPr>
        <w:spacing w:line="360" w:lineRule="auto"/>
        <w:ind w:left="360"/>
        <w:rPr>
          <w:rFonts w:ascii="Arial" w:hAnsi="Arial" w:cs="Arial"/>
          <w:sz w:val="24"/>
          <w:szCs w:val="24"/>
        </w:rPr>
      </w:pPr>
      <w:r w:rsidRPr="00062F6A">
        <w:rPr>
          <w:rFonts w:ascii="Arial" w:hAnsi="Arial" w:cs="Arial"/>
          <w:sz w:val="24"/>
          <w:szCs w:val="24"/>
        </w:rPr>
        <w:t xml:space="preserve">National Institute for Health and Care Excellence (NICE) (2019b) </w:t>
      </w:r>
      <w:r w:rsidRPr="008222B8">
        <w:rPr>
          <w:rFonts w:ascii="Arial" w:hAnsi="Arial" w:cs="Arial"/>
          <w:i/>
          <w:iCs/>
          <w:sz w:val="24"/>
          <w:szCs w:val="24"/>
        </w:rPr>
        <w:t>Hypertension in adults: diagnosis and management (NG136)</w:t>
      </w:r>
      <w:r w:rsidRPr="00062F6A">
        <w:rPr>
          <w:rFonts w:ascii="Arial" w:hAnsi="Arial" w:cs="Arial"/>
          <w:sz w:val="24"/>
          <w:szCs w:val="24"/>
        </w:rPr>
        <w:t>. Available at: https://www.nice.org.uk/guidance/ng136 (Accessed: 22 October 2026).</w:t>
      </w:r>
    </w:p>
    <w:p w14:paraId="3CE189CB" w14:textId="77777777" w:rsidR="00957204" w:rsidRPr="00957204" w:rsidRDefault="00957204" w:rsidP="00062F6A">
      <w:pPr>
        <w:spacing w:line="360" w:lineRule="auto"/>
        <w:rPr>
          <w:rFonts w:ascii="Arial" w:hAnsi="Arial" w:cs="Arial"/>
          <w:sz w:val="24"/>
          <w:szCs w:val="24"/>
        </w:rPr>
      </w:pPr>
    </w:p>
    <w:p w14:paraId="33700BA3" w14:textId="77777777" w:rsidR="00957204" w:rsidRPr="00062F6A" w:rsidRDefault="00957204" w:rsidP="00062F6A">
      <w:pPr>
        <w:spacing w:line="360" w:lineRule="auto"/>
        <w:ind w:left="360"/>
        <w:rPr>
          <w:rFonts w:ascii="Arial" w:hAnsi="Arial" w:cs="Arial"/>
          <w:sz w:val="24"/>
          <w:szCs w:val="24"/>
        </w:rPr>
      </w:pPr>
      <w:r w:rsidRPr="00062F6A">
        <w:rPr>
          <w:rFonts w:ascii="Arial" w:hAnsi="Arial" w:cs="Arial"/>
          <w:sz w:val="24"/>
          <w:szCs w:val="24"/>
        </w:rPr>
        <w:t xml:space="preserve">National Institute for Health and Care Excellence (NICE) (2020) </w:t>
      </w:r>
      <w:r w:rsidRPr="008222B8">
        <w:rPr>
          <w:rFonts w:ascii="Arial" w:hAnsi="Arial" w:cs="Arial"/>
          <w:i/>
          <w:iCs/>
          <w:sz w:val="24"/>
          <w:szCs w:val="24"/>
        </w:rPr>
        <w:t>Supporting adult carers (NG150</w:t>
      </w:r>
      <w:r w:rsidRPr="00062F6A">
        <w:rPr>
          <w:rFonts w:ascii="Arial" w:hAnsi="Arial" w:cs="Arial"/>
          <w:sz w:val="24"/>
          <w:szCs w:val="24"/>
        </w:rPr>
        <w:t>). Available at: https://www.nice.org.uk/guidance/ng150 (Accessed: 22 October 2026).</w:t>
      </w:r>
    </w:p>
    <w:p w14:paraId="4C61651E" w14:textId="77777777" w:rsidR="00957204" w:rsidRPr="00062F6A" w:rsidRDefault="00957204" w:rsidP="00062F6A">
      <w:pPr>
        <w:spacing w:line="360" w:lineRule="auto"/>
        <w:ind w:left="360"/>
        <w:rPr>
          <w:rFonts w:ascii="Arial" w:hAnsi="Arial" w:cs="Arial"/>
          <w:sz w:val="24"/>
          <w:szCs w:val="24"/>
        </w:rPr>
      </w:pPr>
      <w:r w:rsidRPr="00062F6A">
        <w:rPr>
          <w:rFonts w:ascii="Arial" w:hAnsi="Arial" w:cs="Arial"/>
          <w:sz w:val="24"/>
          <w:szCs w:val="24"/>
        </w:rPr>
        <w:t xml:space="preserve">National Institute for Health and Care Excellence (NICE) (2021) </w:t>
      </w:r>
      <w:r w:rsidRPr="008222B8">
        <w:rPr>
          <w:rFonts w:ascii="Arial" w:hAnsi="Arial" w:cs="Arial"/>
          <w:i/>
          <w:iCs/>
          <w:sz w:val="24"/>
          <w:szCs w:val="24"/>
        </w:rPr>
        <w:t>Shared decision making (NG197).</w:t>
      </w:r>
      <w:r w:rsidRPr="00062F6A">
        <w:rPr>
          <w:rFonts w:ascii="Arial" w:hAnsi="Arial" w:cs="Arial"/>
          <w:sz w:val="24"/>
          <w:szCs w:val="24"/>
        </w:rPr>
        <w:t xml:space="preserve"> Available at: https://www.nice.org.uk/guidance/ng197 (Accessed: 22 October 2026).</w:t>
      </w:r>
    </w:p>
    <w:p w14:paraId="3D9DF432" w14:textId="77777777" w:rsidR="00957204" w:rsidRPr="00062F6A" w:rsidRDefault="00957204" w:rsidP="00062F6A">
      <w:pPr>
        <w:spacing w:line="360" w:lineRule="auto"/>
        <w:ind w:left="360"/>
        <w:rPr>
          <w:rFonts w:ascii="Arial" w:hAnsi="Arial" w:cs="Arial"/>
          <w:sz w:val="24"/>
          <w:szCs w:val="24"/>
        </w:rPr>
      </w:pPr>
      <w:r w:rsidRPr="00062F6A">
        <w:rPr>
          <w:rFonts w:ascii="Arial" w:hAnsi="Arial" w:cs="Arial"/>
          <w:sz w:val="24"/>
          <w:szCs w:val="24"/>
        </w:rPr>
        <w:t xml:space="preserve">National Institute for Health and Care Excellence (NICE) (2023) </w:t>
      </w:r>
      <w:r w:rsidRPr="008222B8">
        <w:rPr>
          <w:rFonts w:ascii="Arial" w:hAnsi="Arial" w:cs="Arial"/>
          <w:i/>
          <w:iCs/>
          <w:sz w:val="24"/>
          <w:szCs w:val="24"/>
        </w:rPr>
        <w:t>Diabetic foot problems: prevention and management (NG19).</w:t>
      </w:r>
      <w:r w:rsidRPr="00062F6A">
        <w:rPr>
          <w:rFonts w:ascii="Arial" w:hAnsi="Arial" w:cs="Arial"/>
          <w:sz w:val="24"/>
          <w:szCs w:val="24"/>
        </w:rPr>
        <w:t xml:space="preserve"> Available at: https://www.nice.org.uk/guidance/ng19 (Accessed: 22 October 2026).</w:t>
      </w:r>
    </w:p>
    <w:p w14:paraId="00BAC343" w14:textId="77777777" w:rsidR="00957204" w:rsidRPr="00062F6A" w:rsidRDefault="00957204" w:rsidP="00062F6A">
      <w:pPr>
        <w:spacing w:line="360" w:lineRule="auto"/>
        <w:ind w:left="360"/>
        <w:rPr>
          <w:rFonts w:ascii="Arial" w:hAnsi="Arial" w:cs="Arial"/>
          <w:sz w:val="24"/>
          <w:szCs w:val="24"/>
        </w:rPr>
      </w:pPr>
      <w:r w:rsidRPr="00062F6A">
        <w:rPr>
          <w:rFonts w:ascii="Arial" w:hAnsi="Arial" w:cs="Arial"/>
          <w:sz w:val="24"/>
          <w:szCs w:val="24"/>
        </w:rPr>
        <w:t xml:space="preserve">National Institute for Health and Care Excellence (NICE) (2026) </w:t>
      </w:r>
      <w:r w:rsidRPr="008222B8">
        <w:rPr>
          <w:rFonts w:ascii="Arial" w:hAnsi="Arial" w:cs="Arial"/>
          <w:i/>
          <w:iCs/>
          <w:sz w:val="24"/>
          <w:szCs w:val="24"/>
        </w:rPr>
        <w:t>Type 2 diabetes in adults: management (NG28).</w:t>
      </w:r>
      <w:r w:rsidRPr="00062F6A">
        <w:rPr>
          <w:rFonts w:ascii="Arial" w:hAnsi="Arial" w:cs="Arial"/>
          <w:sz w:val="24"/>
          <w:szCs w:val="24"/>
        </w:rPr>
        <w:t xml:space="preserve"> Updated 18 February 2026. Available at: https://www.nice.org.uk/guidance/ng28 (Accessed: 22 October 2026).</w:t>
      </w:r>
    </w:p>
    <w:p w14:paraId="4610D0D6" w14:textId="77777777" w:rsidR="00957204" w:rsidRPr="00062F6A" w:rsidRDefault="00957204" w:rsidP="00062F6A">
      <w:pPr>
        <w:spacing w:line="360" w:lineRule="auto"/>
        <w:ind w:left="360"/>
        <w:rPr>
          <w:rFonts w:ascii="Arial" w:hAnsi="Arial" w:cs="Arial"/>
          <w:sz w:val="24"/>
          <w:szCs w:val="24"/>
        </w:rPr>
      </w:pPr>
      <w:r w:rsidRPr="00062F6A">
        <w:rPr>
          <w:rFonts w:ascii="Arial" w:hAnsi="Arial" w:cs="Arial"/>
          <w:sz w:val="24"/>
          <w:szCs w:val="24"/>
        </w:rPr>
        <w:t xml:space="preserve">NHS (2023) </w:t>
      </w:r>
      <w:r w:rsidRPr="008222B8">
        <w:rPr>
          <w:rFonts w:ascii="Arial" w:hAnsi="Arial" w:cs="Arial"/>
          <w:i/>
          <w:iCs/>
          <w:sz w:val="24"/>
          <w:szCs w:val="24"/>
        </w:rPr>
        <w:t>Type 2 diabetes</w:t>
      </w:r>
      <w:r w:rsidRPr="00062F6A">
        <w:rPr>
          <w:rFonts w:ascii="Arial" w:hAnsi="Arial" w:cs="Arial"/>
          <w:sz w:val="24"/>
          <w:szCs w:val="24"/>
        </w:rPr>
        <w:t>. Available at: https://www.nhs.uk/conditions/type-2-diabetes/ (Accessed: 22 October 2026).</w:t>
      </w:r>
    </w:p>
    <w:p w14:paraId="444BCB8E" w14:textId="77777777" w:rsidR="00957204" w:rsidRPr="00062F6A" w:rsidRDefault="00957204" w:rsidP="00062F6A">
      <w:pPr>
        <w:spacing w:line="360" w:lineRule="auto"/>
        <w:ind w:left="360"/>
        <w:rPr>
          <w:rFonts w:ascii="Arial" w:hAnsi="Arial" w:cs="Arial"/>
          <w:sz w:val="24"/>
          <w:szCs w:val="24"/>
        </w:rPr>
      </w:pPr>
      <w:r w:rsidRPr="00062F6A">
        <w:rPr>
          <w:rFonts w:ascii="Arial" w:hAnsi="Arial" w:cs="Arial"/>
          <w:sz w:val="24"/>
          <w:szCs w:val="24"/>
        </w:rPr>
        <w:t xml:space="preserve">NHS (2024) </w:t>
      </w:r>
      <w:r w:rsidRPr="008222B8">
        <w:rPr>
          <w:rFonts w:ascii="Arial" w:hAnsi="Arial" w:cs="Arial"/>
          <w:i/>
          <w:iCs/>
          <w:sz w:val="24"/>
          <w:szCs w:val="24"/>
        </w:rPr>
        <w:t>Diabetic eye screening</w:t>
      </w:r>
      <w:r w:rsidRPr="00062F6A">
        <w:rPr>
          <w:rFonts w:ascii="Arial" w:hAnsi="Arial" w:cs="Arial"/>
          <w:sz w:val="24"/>
          <w:szCs w:val="24"/>
        </w:rPr>
        <w:t>. Available at: https://www.nhs.uk/conditions/diabetic-eye-screening/ (Accessed: 22 October 2026).</w:t>
      </w:r>
    </w:p>
    <w:p w14:paraId="113D821A" w14:textId="77777777" w:rsidR="00957204" w:rsidRPr="00062F6A" w:rsidRDefault="00957204" w:rsidP="00062F6A">
      <w:pPr>
        <w:spacing w:line="360" w:lineRule="auto"/>
        <w:ind w:left="360"/>
        <w:rPr>
          <w:rFonts w:ascii="Arial" w:hAnsi="Arial" w:cs="Arial"/>
          <w:sz w:val="24"/>
          <w:szCs w:val="24"/>
        </w:rPr>
      </w:pPr>
      <w:r w:rsidRPr="00062F6A">
        <w:rPr>
          <w:rFonts w:ascii="Arial" w:hAnsi="Arial" w:cs="Arial"/>
          <w:sz w:val="24"/>
          <w:szCs w:val="24"/>
        </w:rPr>
        <w:t xml:space="preserve">NHS England (2016) </w:t>
      </w:r>
      <w:r w:rsidRPr="008222B8">
        <w:rPr>
          <w:rFonts w:ascii="Arial" w:hAnsi="Arial" w:cs="Arial"/>
          <w:i/>
          <w:iCs/>
          <w:sz w:val="24"/>
          <w:szCs w:val="24"/>
        </w:rPr>
        <w:t>House of Care</w:t>
      </w:r>
      <w:r w:rsidRPr="00062F6A">
        <w:rPr>
          <w:rFonts w:ascii="Arial" w:hAnsi="Arial" w:cs="Arial"/>
          <w:sz w:val="24"/>
          <w:szCs w:val="24"/>
        </w:rPr>
        <w:t>. Available at: https://www.england.nhs.uk/ourwork/clinical-policy/house-of-care/ (Accessed: 22 October 2026).</w:t>
      </w:r>
    </w:p>
    <w:p w14:paraId="55464DD7" w14:textId="77777777" w:rsidR="00957204" w:rsidRPr="00062F6A" w:rsidRDefault="00957204" w:rsidP="00062F6A">
      <w:pPr>
        <w:spacing w:line="360" w:lineRule="auto"/>
        <w:ind w:left="360"/>
        <w:rPr>
          <w:rFonts w:ascii="Arial" w:hAnsi="Arial" w:cs="Arial"/>
          <w:sz w:val="24"/>
          <w:szCs w:val="24"/>
        </w:rPr>
      </w:pPr>
      <w:r w:rsidRPr="00062F6A">
        <w:rPr>
          <w:rFonts w:ascii="Arial" w:hAnsi="Arial" w:cs="Arial"/>
          <w:sz w:val="24"/>
          <w:szCs w:val="24"/>
        </w:rPr>
        <w:t xml:space="preserve">NHS England (2019) </w:t>
      </w:r>
      <w:r w:rsidRPr="004F763E">
        <w:rPr>
          <w:rFonts w:ascii="Arial" w:hAnsi="Arial" w:cs="Arial"/>
          <w:i/>
          <w:iCs/>
          <w:sz w:val="24"/>
          <w:szCs w:val="24"/>
        </w:rPr>
        <w:t>The NHS Long Term Plan</w:t>
      </w:r>
      <w:r w:rsidRPr="00062F6A">
        <w:rPr>
          <w:rFonts w:ascii="Arial" w:hAnsi="Arial" w:cs="Arial"/>
          <w:sz w:val="24"/>
          <w:szCs w:val="24"/>
        </w:rPr>
        <w:t>. Available at: https://www.longtermplan.nhs.uk/ (Accessed: 22 October 2026).</w:t>
      </w:r>
    </w:p>
    <w:p w14:paraId="78E83A2B" w14:textId="77777777" w:rsidR="00957204" w:rsidRPr="00062F6A" w:rsidRDefault="00957204" w:rsidP="00062F6A">
      <w:pPr>
        <w:spacing w:line="360" w:lineRule="auto"/>
        <w:ind w:left="360"/>
        <w:rPr>
          <w:rFonts w:ascii="Arial" w:hAnsi="Arial" w:cs="Arial"/>
          <w:sz w:val="24"/>
          <w:szCs w:val="24"/>
        </w:rPr>
      </w:pPr>
      <w:r w:rsidRPr="00062F6A">
        <w:rPr>
          <w:rFonts w:ascii="Arial" w:hAnsi="Arial" w:cs="Arial"/>
          <w:sz w:val="24"/>
          <w:szCs w:val="24"/>
        </w:rPr>
        <w:t xml:space="preserve">NHS England (2021) </w:t>
      </w:r>
      <w:r w:rsidRPr="004F763E">
        <w:rPr>
          <w:rFonts w:ascii="Arial" w:hAnsi="Arial" w:cs="Arial"/>
          <w:i/>
          <w:iCs/>
          <w:sz w:val="24"/>
          <w:szCs w:val="24"/>
        </w:rPr>
        <w:t>Core20PLUS5: an approach to reducing health inequalities</w:t>
      </w:r>
      <w:r w:rsidRPr="00062F6A">
        <w:rPr>
          <w:rFonts w:ascii="Arial" w:hAnsi="Arial" w:cs="Arial"/>
          <w:sz w:val="24"/>
          <w:szCs w:val="24"/>
        </w:rPr>
        <w:t>. Available at: https://www.england.nhs.uk/about/equality/equality-hub/national-healthcare-inequalities-improvement-programme/core20plus5/ (Accessed: 22 October 2026).</w:t>
      </w:r>
    </w:p>
    <w:p w14:paraId="7BF33E58" w14:textId="77777777" w:rsidR="00957204" w:rsidRPr="00062F6A" w:rsidRDefault="00957204" w:rsidP="00062F6A">
      <w:pPr>
        <w:spacing w:line="360" w:lineRule="auto"/>
        <w:ind w:left="360"/>
        <w:rPr>
          <w:rFonts w:ascii="Arial" w:hAnsi="Arial" w:cs="Arial"/>
          <w:sz w:val="24"/>
          <w:szCs w:val="24"/>
        </w:rPr>
      </w:pPr>
      <w:r w:rsidRPr="00062F6A">
        <w:rPr>
          <w:rFonts w:ascii="Arial" w:hAnsi="Arial" w:cs="Arial"/>
          <w:sz w:val="24"/>
          <w:szCs w:val="24"/>
        </w:rPr>
        <w:t xml:space="preserve">NHS England (2026a) </w:t>
      </w:r>
      <w:r w:rsidRPr="004F763E">
        <w:rPr>
          <w:rFonts w:ascii="Arial" w:hAnsi="Arial" w:cs="Arial"/>
          <w:i/>
          <w:iCs/>
          <w:sz w:val="24"/>
          <w:szCs w:val="24"/>
        </w:rPr>
        <w:t>National Diabetes Audit: Core Report 1, Care Processes and Treatment Targets 2024–25</w:t>
      </w:r>
      <w:r w:rsidRPr="00062F6A">
        <w:rPr>
          <w:rFonts w:ascii="Arial" w:hAnsi="Arial" w:cs="Arial"/>
          <w:sz w:val="24"/>
          <w:szCs w:val="24"/>
        </w:rPr>
        <w:t>. Available at: https://digital.nhs.uk/data-and-information/publications/statistical/national-diabetes-audit/report-1-cp-and-tt-data-</w:t>
      </w:r>
      <w:r w:rsidRPr="00062F6A">
        <w:rPr>
          <w:rFonts w:ascii="Arial" w:hAnsi="Arial" w:cs="Arial"/>
          <w:sz w:val="24"/>
          <w:szCs w:val="24"/>
        </w:rPr>
        <w:lastRenderedPageBreak/>
        <w:t>release-2024-25/nda-report-1-cp-and-tt-data-release-2024-25 (Accessed: 22 October 2026).</w:t>
      </w:r>
    </w:p>
    <w:p w14:paraId="5B0771A6" w14:textId="77777777" w:rsidR="00957204" w:rsidRPr="00062F6A" w:rsidRDefault="00957204" w:rsidP="00062F6A">
      <w:pPr>
        <w:spacing w:line="360" w:lineRule="auto"/>
        <w:ind w:left="360"/>
        <w:rPr>
          <w:rFonts w:ascii="Arial" w:hAnsi="Arial" w:cs="Arial"/>
          <w:sz w:val="24"/>
          <w:szCs w:val="24"/>
        </w:rPr>
      </w:pPr>
      <w:r w:rsidRPr="00062F6A">
        <w:rPr>
          <w:rFonts w:ascii="Arial" w:hAnsi="Arial" w:cs="Arial"/>
          <w:sz w:val="24"/>
          <w:szCs w:val="24"/>
        </w:rPr>
        <w:t xml:space="preserve">NHS England (2026b) </w:t>
      </w:r>
      <w:r w:rsidRPr="004F763E">
        <w:rPr>
          <w:rFonts w:ascii="Arial" w:hAnsi="Arial" w:cs="Arial"/>
          <w:i/>
          <w:iCs/>
          <w:sz w:val="24"/>
          <w:szCs w:val="24"/>
        </w:rPr>
        <w:t>NHS Type 2 Diabetes Path to Remission Programme</w:t>
      </w:r>
      <w:r w:rsidRPr="00062F6A">
        <w:rPr>
          <w:rFonts w:ascii="Arial" w:hAnsi="Arial" w:cs="Arial"/>
          <w:sz w:val="24"/>
          <w:szCs w:val="24"/>
        </w:rPr>
        <w:t>. Available at: https://www.england.nhs.uk/diabetes/treatment-care/diabetes-remission/ (Accessed: 22 October 2026).</w:t>
      </w:r>
    </w:p>
    <w:p w14:paraId="5B5E3232" w14:textId="5FDDCCD2" w:rsidR="00957204" w:rsidRPr="00062F6A" w:rsidRDefault="00957204" w:rsidP="00062F6A">
      <w:pPr>
        <w:spacing w:line="360" w:lineRule="auto"/>
        <w:ind w:left="360"/>
        <w:rPr>
          <w:rFonts w:ascii="Arial" w:hAnsi="Arial" w:cs="Arial"/>
          <w:sz w:val="24"/>
          <w:szCs w:val="24"/>
        </w:rPr>
      </w:pPr>
      <w:r w:rsidRPr="00062F6A">
        <w:rPr>
          <w:rFonts w:ascii="Arial" w:hAnsi="Arial" w:cs="Arial"/>
          <w:sz w:val="24"/>
          <w:szCs w:val="24"/>
        </w:rPr>
        <w:t>NHS England (2026c</w:t>
      </w:r>
      <w:r w:rsidRPr="004F763E">
        <w:rPr>
          <w:rFonts w:ascii="Arial" w:hAnsi="Arial" w:cs="Arial"/>
          <w:i/>
          <w:iCs/>
          <w:sz w:val="24"/>
          <w:szCs w:val="24"/>
        </w:rPr>
        <w:t>) NHS Diabetes Prevention Programme</w:t>
      </w:r>
      <w:r w:rsidRPr="00062F6A">
        <w:rPr>
          <w:rFonts w:ascii="Arial" w:hAnsi="Arial" w:cs="Arial"/>
          <w:sz w:val="24"/>
          <w:szCs w:val="24"/>
        </w:rPr>
        <w:t>. Available at: https://www.england.nhs.uk/diabetes/diabetes-prevention/ (Accessed: 22 October 2026).</w:t>
      </w:r>
    </w:p>
    <w:p w14:paraId="0DAAC32B" w14:textId="77777777" w:rsidR="00957204" w:rsidRPr="00062F6A" w:rsidRDefault="00957204" w:rsidP="00062F6A">
      <w:pPr>
        <w:spacing w:line="360" w:lineRule="auto"/>
        <w:ind w:left="360"/>
        <w:rPr>
          <w:rFonts w:ascii="Arial" w:hAnsi="Arial" w:cs="Arial"/>
          <w:sz w:val="24"/>
          <w:szCs w:val="24"/>
        </w:rPr>
      </w:pPr>
      <w:r w:rsidRPr="00062F6A">
        <w:rPr>
          <w:rFonts w:ascii="Arial" w:hAnsi="Arial" w:cs="Arial"/>
          <w:sz w:val="24"/>
          <w:szCs w:val="24"/>
        </w:rPr>
        <w:t>Riddle, M.C. et al. (2021) ‘</w:t>
      </w:r>
      <w:r w:rsidRPr="004F763E">
        <w:rPr>
          <w:rFonts w:ascii="Arial" w:hAnsi="Arial" w:cs="Arial"/>
          <w:i/>
          <w:iCs/>
          <w:sz w:val="24"/>
          <w:szCs w:val="24"/>
        </w:rPr>
        <w:t>Consensus report: definition and interpretation of remission in type 2 diabetes’</w:t>
      </w:r>
      <w:r w:rsidRPr="00062F6A">
        <w:rPr>
          <w:rFonts w:ascii="Arial" w:hAnsi="Arial" w:cs="Arial"/>
          <w:sz w:val="24"/>
          <w:szCs w:val="24"/>
        </w:rPr>
        <w:t>, Diabetes Care, 44(10), pp. 2438–2444. Available at: https://doi.org/10.2337/dci21-0034 (Accessed: 22 October 2026).</w:t>
      </w:r>
    </w:p>
    <w:p w14:paraId="107394F1" w14:textId="77777777" w:rsidR="00957204" w:rsidRPr="00062F6A" w:rsidRDefault="00957204" w:rsidP="00062F6A">
      <w:pPr>
        <w:spacing w:line="360" w:lineRule="auto"/>
        <w:ind w:left="360"/>
        <w:rPr>
          <w:rFonts w:ascii="Arial" w:hAnsi="Arial" w:cs="Arial"/>
          <w:sz w:val="24"/>
          <w:szCs w:val="24"/>
        </w:rPr>
      </w:pPr>
      <w:r w:rsidRPr="00062F6A">
        <w:rPr>
          <w:rFonts w:ascii="Arial" w:hAnsi="Arial" w:cs="Arial"/>
          <w:sz w:val="24"/>
          <w:szCs w:val="24"/>
        </w:rPr>
        <w:t>UK Prospective Diabetes Study (UKPDS) Group (1998) ‘</w:t>
      </w:r>
      <w:r w:rsidRPr="004F763E">
        <w:rPr>
          <w:rFonts w:ascii="Arial" w:hAnsi="Arial" w:cs="Arial"/>
          <w:i/>
          <w:iCs/>
          <w:sz w:val="24"/>
          <w:szCs w:val="24"/>
        </w:rPr>
        <w:t>Intensive blood-glucose control with sulphonylureas or insulin compared with conventional treatment and risk of complications in patients with type 2 diabetes (UKPDS 33)</w:t>
      </w:r>
      <w:r w:rsidRPr="00062F6A">
        <w:rPr>
          <w:rFonts w:ascii="Arial" w:hAnsi="Arial" w:cs="Arial"/>
          <w:sz w:val="24"/>
          <w:szCs w:val="24"/>
        </w:rPr>
        <w:t>’, The Lancet, 352(9131), pp. 837–853. Available at: https://doi.org/10.1016/S0140-6736(98)07019-6 (Accessed: 22 October 2026).</w:t>
      </w:r>
    </w:p>
    <w:p w14:paraId="6645FA0A" w14:textId="77777777" w:rsidR="00957204" w:rsidRPr="00062F6A" w:rsidRDefault="00957204" w:rsidP="00062F6A">
      <w:pPr>
        <w:spacing w:line="360" w:lineRule="auto"/>
        <w:ind w:left="360"/>
        <w:rPr>
          <w:rFonts w:ascii="Arial" w:hAnsi="Arial" w:cs="Arial"/>
          <w:sz w:val="24"/>
          <w:szCs w:val="24"/>
        </w:rPr>
      </w:pPr>
      <w:r w:rsidRPr="00062F6A">
        <w:rPr>
          <w:rFonts w:ascii="Arial" w:hAnsi="Arial" w:cs="Arial"/>
          <w:sz w:val="24"/>
          <w:szCs w:val="24"/>
        </w:rPr>
        <w:t>Wagner, E.H., Austin, B.T. and Von Korff, M. (1996) ‘</w:t>
      </w:r>
      <w:r w:rsidRPr="004F763E">
        <w:rPr>
          <w:rFonts w:ascii="Arial" w:hAnsi="Arial" w:cs="Arial"/>
          <w:i/>
          <w:iCs/>
          <w:sz w:val="24"/>
          <w:szCs w:val="24"/>
        </w:rPr>
        <w:t>Organizing care for patients with chronic illness</w:t>
      </w:r>
      <w:r w:rsidRPr="00062F6A">
        <w:rPr>
          <w:rFonts w:ascii="Arial" w:hAnsi="Arial" w:cs="Arial"/>
          <w:sz w:val="24"/>
          <w:szCs w:val="24"/>
        </w:rPr>
        <w:t>’, The Milbank Quarterly, 74(4), pp. 511–544. Available at: https://doi.org/10.2307/3350391 (Accessed: 22 October 2026).</w:t>
      </w:r>
    </w:p>
    <w:p w14:paraId="110824DA" w14:textId="299C7DCF" w:rsidR="00957204" w:rsidRPr="00062F6A" w:rsidRDefault="00957204" w:rsidP="00062F6A">
      <w:pPr>
        <w:spacing w:line="360" w:lineRule="auto"/>
        <w:ind w:left="360"/>
        <w:rPr>
          <w:rFonts w:ascii="Arial" w:hAnsi="Arial" w:cs="Arial"/>
          <w:sz w:val="24"/>
          <w:szCs w:val="24"/>
        </w:rPr>
      </w:pPr>
      <w:r w:rsidRPr="00062F6A">
        <w:rPr>
          <w:rFonts w:ascii="Arial" w:hAnsi="Arial" w:cs="Arial"/>
          <w:sz w:val="24"/>
          <w:szCs w:val="24"/>
        </w:rPr>
        <w:t xml:space="preserve">World Health </w:t>
      </w:r>
      <w:r w:rsidR="00062F6A" w:rsidRPr="00062F6A">
        <w:rPr>
          <w:rFonts w:ascii="Arial" w:hAnsi="Arial" w:cs="Arial"/>
          <w:sz w:val="24"/>
          <w:szCs w:val="24"/>
        </w:rPr>
        <w:t>Organisation</w:t>
      </w:r>
      <w:r w:rsidRPr="00062F6A">
        <w:rPr>
          <w:rFonts w:ascii="Arial" w:hAnsi="Arial" w:cs="Arial"/>
          <w:sz w:val="24"/>
          <w:szCs w:val="24"/>
        </w:rPr>
        <w:t xml:space="preserve"> (WHO) (2024) ‘</w:t>
      </w:r>
      <w:r w:rsidRPr="004F763E">
        <w:rPr>
          <w:rFonts w:ascii="Arial" w:hAnsi="Arial" w:cs="Arial"/>
          <w:i/>
          <w:iCs/>
          <w:sz w:val="24"/>
          <w:szCs w:val="24"/>
        </w:rPr>
        <w:t>Diabetes’</w:t>
      </w:r>
      <w:r w:rsidRPr="00062F6A">
        <w:rPr>
          <w:rFonts w:ascii="Arial" w:hAnsi="Arial" w:cs="Arial"/>
          <w:sz w:val="24"/>
          <w:szCs w:val="24"/>
        </w:rPr>
        <w:t>. Available at: https://www.who.int/news-room/fact-sheets/detail/diabetes (Accessed: 22 October 2026).</w:t>
      </w:r>
    </w:p>
    <w:p w14:paraId="6D865EC2" w14:textId="77777777" w:rsidR="00147A6E" w:rsidRPr="00147A6E" w:rsidRDefault="00147A6E" w:rsidP="00147A6E">
      <w:pPr>
        <w:spacing w:line="360" w:lineRule="auto"/>
        <w:rPr>
          <w:rFonts w:ascii="Arial" w:hAnsi="Arial" w:cs="Arial"/>
          <w:sz w:val="24"/>
          <w:szCs w:val="24"/>
        </w:rPr>
      </w:pPr>
    </w:p>
    <w:p w14:paraId="16D89E13" w14:textId="77777777" w:rsidR="00F948C1" w:rsidRPr="00F948C1" w:rsidRDefault="00F948C1" w:rsidP="00F948C1">
      <w:pPr>
        <w:spacing w:line="360" w:lineRule="auto"/>
        <w:rPr>
          <w:rFonts w:ascii="Arial" w:hAnsi="Arial" w:cs="Arial"/>
          <w:sz w:val="24"/>
          <w:szCs w:val="24"/>
        </w:rPr>
      </w:pPr>
    </w:p>
    <w:p w14:paraId="671026B7" w14:textId="77777777" w:rsidR="004E41AE" w:rsidRPr="004E41AE" w:rsidRDefault="004E41AE" w:rsidP="004E41AE">
      <w:pPr>
        <w:spacing w:line="360" w:lineRule="auto"/>
        <w:rPr>
          <w:rFonts w:ascii="Arial" w:hAnsi="Arial" w:cs="Arial"/>
          <w:sz w:val="24"/>
          <w:szCs w:val="24"/>
        </w:rPr>
      </w:pPr>
    </w:p>
    <w:p w14:paraId="597D6890" w14:textId="1DB4B1BA" w:rsidR="005956F9" w:rsidRPr="005956F9" w:rsidRDefault="005956F9" w:rsidP="005956F9">
      <w:pPr>
        <w:spacing w:line="360" w:lineRule="auto"/>
        <w:rPr>
          <w:rFonts w:ascii="Arial" w:hAnsi="Arial" w:cs="Arial"/>
          <w:sz w:val="24"/>
          <w:szCs w:val="24"/>
        </w:rPr>
      </w:pPr>
    </w:p>
    <w:p w14:paraId="1916FB46" w14:textId="3B214058" w:rsidR="00D939A7" w:rsidRPr="00D939A7" w:rsidRDefault="00D939A7" w:rsidP="00D939A7">
      <w:pPr>
        <w:spacing w:line="360" w:lineRule="auto"/>
        <w:rPr>
          <w:rFonts w:ascii="Arial" w:hAnsi="Arial" w:cs="Arial"/>
          <w:sz w:val="24"/>
          <w:szCs w:val="24"/>
        </w:rPr>
      </w:pPr>
    </w:p>
    <w:sectPr w:rsidR="00D939A7" w:rsidRPr="00D939A7">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400FE9" w14:textId="77777777" w:rsidR="00F77906" w:rsidRDefault="00F77906" w:rsidP="004D6DF3">
      <w:pPr>
        <w:spacing w:after="0" w:line="240" w:lineRule="auto"/>
      </w:pPr>
      <w:r>
        <w:separator/>
      </w:r>
    </w:p>
  </w:endnote>
  <w:endnote w:type="continuationSeparator" w:id="0">
    <w:p w14:paraId="4AF6787B" w14:textId="77777777" w:rsidR="00F77906" w:rsidRDefault="00F77906" w:rsidP="004D6D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LArial">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24284299"/>
      <w:docPartObj>
        <w:docPartGallery w:val="Page Numbers (Bottom of Page)"/>
        <w:docPartUnique/>
      </w:docPartObj>
    </w:sdtPr>
    <w:sdtContent>
      <w:p w14:paraId="199FA585" w14:textId="6884B455" w:rsidR="00D21E26" w:rsidRDefault="00D21E26">
        <w:pPr>
          <w:pStyle w:val="Footer"/>
          <w:jc w:val="right"/>
        </w:pPr>
        <w:r>
          <w:fldChar w:fldCharType="begin"/>
        </w:r>
        <w:r>
          <w:instrText>PAGE   \* MERGEFORMAT</w:instrText>
        </w:r>
        <w:r>
          <w:fldChar w:fldCharType="separate"/>
        </w:r>
        <w:r>
          <w:t>2</w:t>
        </w:r>
        <w:r>
          <w:fldChar w:fldCharType="end"/>
        </w:r>
      </w:p>
    </w:sdtContent>
  </w:sdt>
  <w:p w14:paraId="3AA0E113" w14:textId="77777777" w:rsidR="00D21E26" w:rsidRDefault="00D21E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68A044" w14:textId="77777777" w:rsidR="00F77906" w:rsidRDefault="00F77906" w:rsidP="004D6DF3">
      <w:pPr>
        <w:spacing w:after="0" w:line="240" w:lineRule="auto"/>
      </w:pPr>
      <w:r>
        <w:separator/>
      </w:r>
    </w:p>
  </w:footnote>
  <w:footnote w:type="continuationSeparator" w:id="0">
    <w:p w14:paraId="435CA08E" w14:textId="77777777" w:rsidR="00F77906" w:rsidRDefault="00F77906" w:rsidP="004D6DF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F6FC88" w14:textId="00F88B82" w:rsidR="004D6DF3" w:rsidRPr="004D6DF3" w:rsidRDefault="004D6DF3" w:rsidP="004D6DF3">
    <w:pPr>
      <w:pStyle w:val="Header"/>
      <w:jc w:val="center"/>
      <w:rPr>
        <w:i/>
        <w:iCs/>
        <w:sz w:val="18"/>
        <w:szCs w:val="18"/>
      </w:rPr>
    </w:pPr>
    <w:r w:rsidRPr="004D6DF3">
      <w:rPr>
        <w:i/>
        <w:iCs/>
        <w:sz w:val="18"/>
        <w:szCs w:val="18"/>
      </w:rPr>
      <w:t>LCHS7003: Community Care and Management of Long-term Conditions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1B5862"/>
    <w:multiLevelType w:val="multilevel"/>
    <w:tmpl w:val="330EFDB4"/>
    <w:lvl w:ilvl="0">
      <w:start w:val="1"/>
      <w:numFmt w:val="decimal"/>
      <w:lvlText w:val="%1."/>
      <w:lvlJc w:val="left"/>
      <w:pPr>
        <w:ind w:left="720" w:hanging="360"/>
      </w:pPr>
      <w:rPr>
        <w:rFonts w:hint="default"/>
        <w:color w:val="156082" w:themeColor="accent1"/>
      </w:rPr>
    </w:lvl>
    <w:lvl w:ilvl="1">
      <w:start w:va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6E8A7224"/>
    <w:multiLevelType w:val="multilevel"/>
    <w:tmpl w:val="57F48842"/>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2160" w:hanging="1080"/>
      </w:pPr>
      <w:rPr>
        <w:rFonts w:hint="default"/>
      </w:rPr>
    </w:lvl>
    <w:lvl w:ilvl="3">
      <w:start w:val="1"/>
      <w:numFmt w:val="decimal"/>
      <w:isLgl/>
      <w:lvlText w:val="%1.%2.%3.%4."/>
      <w:lvlJc w:val="left"/>
      <w:pPr>
        <w:ind w:left="2880" w:hanging="1440"/>
      </w:pPr>
      <w:rPr>
        <w:rFonts w:hint="default"/>
      </w:rPr>
    </w:lvl>
    <w:lvl w:ilvl="4">
      <w:start w:val="1"/>
      <w:numFmt w:val="decimal"/>
      <w:isLgl/>
      <w:lvlText w:val="%1.%2.%3.%4.%5."/>
      <w:lvlJc w:val="left"/>
      <w:pPr>
        <w:ind w:left="3600" w:hanging="1800"/>
      </w:pPr>
      <w:rPr>
        <w:rFonts w:hint="default"/>
      </w:rPr>
    </w:lvl>
    <w:lvl w:ilvl="5">
      <w:start w:val="1"/>
      <w:numFmt w:val="decimal"/>
      <w:isLgl/>
      <w:lvlText w:val="%1.%2.%3.%4.%5.%6."/>
      <w:lvlJc w:val="left"/>
      <w:pPr>
        <w:ind w:left="3960" w:hanging="1800"/>
      </w:pPr>
      <w:rPr>
        <w:rFonts w:hint="default"/>
      </w:rPr>
    </w:lvl>
    <w:lvl w:ilvl="6">
      <w:start w:val="1"/>
      <w:numFmt w:val="decimal"/>
      <w:isLgl/>
      <w:lvlText w:val="%1.%2.%3.%4.%5.%6.%7."/>
      <w:lvlJc w:val="left"/>
      <w:pPr>
        <w:ind w:left="4680" w:hanging="2160"/>
      </w:pPr>
      <w:rPr>
        <w:rFonts w:hint="default"/>
      </w:rPr>
    </w:lvl>
    <w:lvl w:ilvl="7">
      <w:start w:val="1"/>
      <w:numFmt w:val="decimal"/>
      <w:isLgl/>
      <w:lvlText w:val="%1.%2.%3.%4.%5.%6.%7.%8."/>
      <w:lvlJc w:val="left"/>
      <w:pPr>
        <w:ind w:left="5400" w:hanging="2520"/>
      </w:pPr>
      <w:rPr>
        <w:rFonts w:hint="default"/>
      </w:rPr>
    </w:lvl>
    <w:lvl w:ilvl="8">
      <w:start w:val="1"/>
      <w:numFmt w:val="decimal"/>
      <w:isLgl/>
      <w:lvlText w:val="%1.%2.%3.%4.%5.%6.%7.%8.%9."/>
      <w:lvlJc w:val="left"/>
      <w:pPr>
        <w:ind w:left="6120" w:hanging="2880"/>
      </w:pPr>
      <w:rPr>
        <w:rFonts w:hint="default"/>
      </w:rPr>
    </w:lvl>
  </w:abstractNum>
  <w:num w:numId="1" w16cid:durableId="90858767">
    <w:abstractNumId w:val="1"/>
  </w:num>
  <w:num w:numId="2" w16cid:durableId="11154386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6DF3"/>
    <w:rsid w:val="00062F6A"/>
    <w:rsid w:val="000677C3"/>
    <w:rsid w:val="00067843"/>
    <w:rsid w:val="00082623"/>
    <w:rsid w:val="000900EA"/>
    <w:rsid w:val="000A1008"/>
    <w:rsid w:val="00101DBF"/>
    <w:rsid w:val="001162FF"/>
    <w:rsid w:val="00130A6C"/>
    <w:rsid w:val="00147A6E"/>
    <w:rsid w:val="0016530A"/>
    <w:rsid w:val="00167D21"/>
    <w:rsid w:val="00182E5D"/>
    <w:rsid w:val="0018607E"/>
    <w:rsid w:val="001D03B7"/>
    <w:rsid w:val="001D05C2"/>
    <w:rsid w:val="00204045"/>
    <w:rsid w:val="00207899"/>
    <w:rsid w:val="00214EFA"/>
    <w:rsid w:val="00221C78"/>
    <w:rsid w:val="00250FA8"/>
    <w:rsid w:val="0026415A"/>
    <w:rsid w:val="0027472C"/>
    <w:rsid w:val="002D76FC"/>
    <w:rsid w:val="00394F0E"/>
    <w:rsid w:val="003B59D0"/>
    <w:rsid w:val="003C44CD"/>
    <w:rsid w:val="003E1859"/>
    <w:rsid w:val="003E6037"/>
    <w:rsid w:val="004168E7"/>
    <w:rsid w:val="004271CF"/>
    <w:rsid w:val="004314D1"/>
    <w:rsid w:val="00460122"/>
    <w:rsid w:val="004641D6"/>
    <w:rsid w:val="004828BB"/>
    <w:rsid w:val="004A3BE2"/>
    <w:rsid w:val="004A474F"/>
    <w:rsid w:val="004A5467"/>
    <w:rsid w:val="004C10C6"/>
    <w:rsid w:val="004D394E"/>
    <w:rsid w:val="004D6DF3"/>
    <w:rsid w:val="004E41AE"/>
    <w:rsid w:val="004F763E"/>
    <w:rsid w:val="0053121E"/>
    <w:rsid w:val="0053241E"/>
    <w:rsid w:val="00545156"/>
    <w:rsid w:val="00563BC4"/>
    <w:rsid w:val="005956F9"/>
    <w:rsid w:val="005C4FB5"/>
    <w:rsid w:val="005C7F44"/>
    <w:rsid w:val="00615D8A"/>
    <w:rsid w:val="0062763C"/>
    <w:rsid w:val="0064131C"/>
    <w:rsid w:val="00664100"/>
    <w:rsid w:val="00671AB1"/>
    <w:rsid w:val="00684FA5"/>
    <w:rsid w:val="006933F5"/>
    <w:rsid w:val="006A66B0"/>
    <w:rsid w:val="006F2614"/>
    <w:rsid w:val="00702118"/>
    <w:rsid w:val="00724AC0"/>
    <w:rsid w:val="00735A17"/>
    <w:rsid w:val="00771CAE"/>
    <w:rsid w:val="0077788C"/>
    <w:rsid w:val="007A76C5"/>
    <w:rsid w:val="007B2434"/>
    <w:rsid w:val="007B6CEE"/>
    <w:rsid w:val="007E53D8"/>
    <w:rsid w:val="007E5E7F"/>
    <w:rsid w:val="008222B8"/>
    <w:rsid w:val="008317C9"/>
    <w:rsid w:val="008352B1"/>
    <w:rsid w:val="00843724"/>
    <w:rsid w:val="008449D4"/>
    <w:rsid w:val="00861AE0"/>
    <w:rsid w:val="00865212"/>
    <w:rsid w:val="008A5E7A"/>
    <w:rsid w:val="008B3261"/>
    <w:rsid w:val="008C5DA7"/>
    <w:rsid w:val="0092366C"/>
    <w:rsid w:val="009268B7"/>
    <w:rsid w:val="00957204"/>
    <w:rsid w:val="0097629D"/>
    <w:rsid w:val="00993F7E"/>
    <w:rsid w:val="00A40EF0"/>
    <w:rsid w:val="00AA3266"/>
    <w:rsid w:val="00AA4033"/>
    <w:rsid w:val="00AA49C5"/>
    <w:rsid w:val="00B04B86"/>
    <w:rsid w:val="00B26413"/>
    <w:rsid w:val="00B6068F"/>
    <w:rsid w:val="00BB5D34"/>
    <w:rsid w:val="00BD3E38"/>
    <w:rsid w:val="00BD6488"/>
    <w:rsid w:val="00BE19AA"/>
    <w:rsid w:val="00BE78D4"/>
    <w:rsid w:val="00C17AC0"/>
    <w:rsid w:val="00C256AB"/>
    <w:rsid w:val="00C33735"/>
    <w:rsid w:val="00C50A11"/>
    <w:rsid w:val="00C7435F"/>
    <w:rsid w:val="00CA639A"/>
    <w:rsid w:val="00D21E26"/>
    <w:rsid w:val="00D435B8"/>
    <w:rsid w:val="00D53AA1"/>
    <w:rsid w:val="00D5655D"/>
    <w:rsid w:val="00D66B14"/>
    <w:rsid w:val="00D70657"/>
    <w:rsid w:val="00D73A0F"/>
    <w:rsid w:val="00D74BFA"/>
    <w:rsid w:val="00D8694E"/>
    <w:rsid w:val="00D90F25"/>
    <w:rsid w:val="00D939A7"/>
    <w:rsid w:val="00DA0245"/>
    <w:rsid w:val="00DC7133"/>
    <w:rsid w:val="00DD6D91"/>
    <w:rsid w:val="00E86521"/>
    <w:rsid w:val="00E96BDC"/>
    <w:rsid w:val="00F77906"/>
    <w:rsid w:val="00F924F0"/>
    <w:rsid w:val="00F948C1"/>
    <w:rsid w:val="00FE00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0C1891"/>
  <w15:chartTrackingRefBased/>
  <w15:docId w15:val="{A8F019CD-F061-4343-B3E3-A251818DB2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6DF3"/>
  </w:style>
  <w:style w:type="paragraph" w:styleId="Heading1">
    <w:name w:val="heading 1"/>
    <w:basedOn w:val="Normal"/>
    <w:next w:val="Normal"/>
    <w:link w:val="Heading1Char"/>
    <w:uiPriority w:val="9"/>
    <w:qFormat/>
    <w:rsid w:val="004D6DF3"/>
    <w:pPr>
      <w:keepNext/>
      <w:keepLines/>
      <w:spacing w:before="320" w:after="80" w:line="240" w:lineRule="auto"/>
      <w:jc w:val="center"/>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D6DF3"/>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4D6DF3"/>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4D6DF3"/>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4D6DF3"/>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4D6DF3"/>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4D6DF3"/>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4D6DF3"/>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4D6DF3"/>
    <w:pPr>
      <w:keepNext/>
      <w:keepLines/>
      <w:spacing w:before="40" w:after="0"/>
      <w:outlineLvl w:val="8"/>
    </w:pPr>
    <w:rPr>
      <w:b/>
      <w:bCs/>
      <w:i/>
      <w:i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6DF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D6DF3"/>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4D6DF3"/>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4D6DF3"/>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4D6DF3"/>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4D6DF3"/>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4D6DF3"/>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4D6DF3"/>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4D6DF3"/>
    <w:rPr>
      <w:b/>
      <w:bCs/>
      <w:i/>
      <w:iCs/>
    </w:rPr>
  </w:style>
  <w:style w:type="paragraph" w:styleId="Title">
    <w:name w:val="Title"/>
    <w:basedOn w:val="Normal"/>
    <w:next w:val="Normal"/>
    <w:link w:val="TitleChar"/>
    <w:uiPriority w:val="10"/>
    <w:qFormat/>
    <w:rsid w:val="004D6DF3"/>
    <w:pPr>
      <w:pBdr>
        <w:top w:val="single" w:sz="6" w:space="8" w:color="196B24" w:themeColor="accent3"/>
        <w:bottom w:val="single" w:sz="6" w:space="8" w:color="196B24" w:themeColor="accent3"/>
      </w:pBdr>
      <w:spacing w:after="400" w:line="240" w:lineRule="auto"/>
      <w:contextualSpacing/>
      <w:jc w:val="center"/>
    </w:pPr>
    <w:rPr>
      <w:rFonts w:asciiTheme="majorHAnsi" w:eastAsiaTheme="majorEastAsia" w:hAnsiTheme="majorHAnsi" w:cstheme="majorBidi"/>
      <w:caps/>
      <w:color w:val="0E2841" w:themeColor="text2"/>
      <w:spacing w:val="30"/>
      <w:sz w:val="72"/>
      <w:szCs w:val="72"/>
    </w:rPr>
  </w:style>
  <w:style w:type="character" w:customStyle="1" w:styleId="TitleChar">
    <w:name w:val="Title Char"/>
    <w:basedOn w:val="DefaultParagraphFont"/>
    <w:link w:val="Title"/>
    <w:uiPriority w:val="10"/>
    <w:rsid w:val="004D6DF3"/>
    <w:rPr>
      <w:rFonts w:asciiTheme="majorHAnsi" w:eastAsiaTheme="majorEastAsia" w:hAnsiTheme="majorHAnsi" w:cstheme="majorBidi"/>
      <w:caps/>
      <w:color w:val="0E2841" w:themeColor="text2"/>
      <w:spacing w:val="30"/>
      <w:sz w:val="72"/>
      <w:szCs w:val="72"/>
    </w:rPr>
  </w:style>
  <w:style w:type="paragraph" w:styleId="Subtitle">
    <w:name w:val="Subtitle"/>
    <w:basedOn w:val="Normal"/>
    <w:next w:val="Normal"/>
    <w:link w:val="SubtitleChar"/>
    <w:uiPriority w:val="11"/>
    <w:qFormat/>
    <w:rsid w:val="004D6DF3"/>
    <w:pPr>
      <w:numPr>
        <w:ilvl w:val="1"/>
      </w:numPr>
      <w:jc w:val="center"/>
    </w:pPr>
    <w:rPr>
      <w:color w:val="0E2841" w:themeColor="text2"/>
      <w:sz w:val="28"/>
      <w:szCs w:val="28"/>
    </w:rPr>
  </w:style>
  <w:style w:type="character" w:customStyle="1" w:styleId="SubtitleChar">
    <w:name w:val="Subtitle Char"/>
    <w:basedOn w:val="DefaultParagraphFont"/>
    <w:link w:val="Subtitle"/>
    <w:uiPriority w:val="11"/>
    <w:rsid w:val="004D6DF3"/>
    <w:rPr>
      <w:color w:val="0E2841" w:themeColor="text2"/>
      <w:sz w:val="28"/>
      <w:szCs w:val="28"/>
    </w:rPr>
  </w:style>
  <w:style w:type="paragraph" w:styleId="Quote">
    <w:name w:val="Quote"/>
    <w:basedOn w:val="Normal"/>
    <w:next w:val="Normal"/>
    <w:link w:val="QuoteChar"/>
    <w:uiPriority w:val="29"/>
    <w:qFormat/>
    <w:rsid w:val="004D6DF3"/>
    <w:pPr>
      <w:spacing w:before="160"/>
      <w:ind w:left="720" w:right="720"/>
      <w:jc w:val="center"/>
    </w:pPr>
    <w:rPr>
      <w:i/>
      <w:iCs/>
      <w:color w:val="124F1A" w:themeColor="accent3" w:themeShade="BF"/>
      <w:sz w:val="24"/>
      <w:szCs w:val="24"/>
    </w:rPr>
  </w:style>
  <w:style w:type="character" w:customStyle="1" w:styleId="QuoteChar">
    <w:name w:val="Quote Char"/>
    <w:basedOn w:val="DefaultParagraphFont"/>
    <w:link w:val="Quote"/>
    <w:uiPriority w:val="29"/>
    <w:rsid w:val="004D6DF3"/>
    <w:rPr>
      <w:i/>
      <w:iCs/>
      <w:color w:val="124F1A" w:themeColor="accent3" w:themeShade="BF"/>
      <w:sz w:val="24"/>
      <w:szCs w:val="24"/>
    </w:rPr>
  </w:style>
  <w:style w:type="paragraph" w:styleId="ListParagraph">
    <w:name w:val="List Paragraph"/>
    <w:basedOn w:val="Normal"/>
    <w:uiPriority w:val="34"/>
    <w:qFormat/>
    <w:rsid w:val="004D6DF3"/>
    <w:pPr>
      <w:ind w:left="720"/>
      <w:contextualSpacing/>
    </w:pPr>
  </w:style>
  <w:style w:type="character" w:styleId="IntenseEmphasis">
    <w:name w:val="Intense Emphasis"/>
    <w:basedOn w:val="DefaultParagraphFont"/>
    <w:uiPriority w:val="21"/>
    <w:qFormat/>
    <w:rsid w:val="004D6DF3"/>
    <w:rPr>
      <w:b/>
      <w:bCs/>
      <w:i/>
      <w:iCs/>
      <w:color w:val="auto"/>
    </w:rPr>
  </w:style>
  <w:style w:type="paragraph" w:styleId="IntenseQuote">
    <w:name w:val="Intense Quote"/>
    <w:basedOn w:val="Normal"/>
    <w:next w:val="Normal"/>
    <w:link w:val="IntenseQuoteChar"/>
    <w:uiPriority w:val="30"/>
    <w:qFormat/>
    <w:rsid w:val="004D6DF3"/>
    <w:pPr>
      <w:spacing w:before="160" w:line="276" w:lineRule="auto"/>
      <w:ind w:left="936" w:right="936"/>
      <w:jc w:val="center"/>
    </w:pPr>
    <w:rPr>
      <w:rFonts w:asciiTheme="majorHAnsi" w:eastAsiaTheme="majorEastAsia" w:hAnsiTheme="majorHAnsi" w:cstheme="majorBidi"/>
      <w:caps/>
      <w:color w:val="0F4761" w:themeColor="accent1" w:themeShade="BF"/>
      <w:sz w:val="28"/>
      <w:szCs w:val="28"/>
    </w:rPr>
  </w:style>
  <w:style w:type="character" w:customStyle="1" w:styleId="IntenseQuoteChar">
    <w:name w:val="Intense Quote Char"/>
    <w:basedOn w:val="DefaultParagraphFont"/>
    <w:link w:val="IntenseQuote"/>
    <w:uiPriority w:val="30"/>
    <w:rsid w:val="004D6DF3"/>
    <w:rPr>
      <w:rFonts w:asciiTheme="majorHAnsi" w:eastAsiaTheme="majorEastAsia" w:hAnsiTheme="majorHAnsi" w:cstheme="majorBidi"/>
      <w:caps/>
      <w:color w:val="0F4761" w:themeColor="accent1" w:themeShade="BF"/>
      <w:sz w:val="28"/>
      <w:szCs w:val="28"/>
    </w:rPr>
  </w:style>
  <w:style w:type="character" w:styleId="IntenseReference">
    <w:name w:val="Intense Reference"/>
    <w:basedOn w:val="DefaultParagraphFont"/>
    <w:uiPriority w:val="32"/>
    <w:qFormat/>
    <w:rsid w:val="004D6DF3"/>
    <w:rPr>
      <w:b/>
      <w:bCs/>
      <w:caps w:val="0"/>
      <w:smallCaps/>
      <w:color w:val="auto"/>
      <w:spacing w:val="0"/>
      <w:u w:val="single"/>
    </w:rPr>
  </w:style>
  <w:style w:type="paragraph" w:styleId="Header">
    <w:name w:val="header"/>
    <w:basedOn w:val="Normal"/>
    <w:link w:val="HeaderChar"/>
    <w:uiPriority w:val="99"/>
    <w:unhideWhenUsed/>
    <w:rsid w:val="004D6D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6DF3"/>
  </w:style>
  <w:style w:type="paragraph" w:styleId="Footer">
    <w:name w:val="footer"/>
    <w:basedOn w:val="Normal"/>
    <w:link w:val="FooterChar"/>
    <w:uiPriority w:val="99"/>
    <w:unhideWhenUsed/>
    <w:rsid w:val="004D6D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6DF3"/>
  </w:style>
  <w:style w:type="paragraph" w:styleId="Caption">
    <w:name w:val="caption"/>
    <w:basedOn w:val="Normal"/>
    <w:next w:val="Normal"/>
    <w:uiPriority w:val="35"/>
    <w:semiHidden/>
    <w:unhideWhenUsed/>
    <w:qFormat/>
    <w:rsid w:val="004D6DF3"/>
    <w:pPr>
      <w:spacing w:line="240" w:lineRule="auto"/>
    </w:pPr>
    <w:rPr>
      <w:b/>
      <w:bCs/>
      <w:color w:val="404040" w:themeColor="text1" w:themeTint="BF"/>
      <w:sz w:val="16"/>
      <w:szCs w:val="16"/>
    </w:rPr>
  </w:style>
  <w:style w:type="character" w:styleId="Strong">
    <w:name w:val="Strong"/>
    <w:basedOn w:val="DefaultParagraphFont"/>
    <w:uiPriority w:val="22"/>
    <w:qFormat/>
    <w:rsid w:val="004D6DF3"/>
    <w:rPr>
      <w:b/>
      <w:bCs/>
    </w:rPr>
  </w:style>
  <w:style w:type="character" w:styleId="Emphasis">
    <w:name w:val="Emphasis"/>
    <w:basedOn w:val="DefaultParagraphFont"/>
    <w:uiPriority w:val="20"/>
    <w:qFormat/>
    <w:rsid w:val="004D6DF3"/>
    <w:rPr>
      <w:i/>
      <w:iCs/>
      <w:color w:val="000000" w:themeColor="text1"/>
    </w:rPr>
  </w:style>
  <w:style w:type="paragraph" w:styleId="NoSpacing">
    <w:name w:val="No Spacing"/>
    <w:uiPriority w:val="1"/>
    <w:qFormat/>
    <w:rsid w:val="004D6DF3"/>
    <w:pPr>
      <w:spacing w:after="0" w:line="240" w:lineRule="auto"/>
    </w:pPr>
  </w:style>
  <w:style w:type="character" w:styleId="SubtleEmphasis">
    <w:name w:val="Subtle Emphasis"/>
    <w:basedOn w:val="DefaultParagraphFont"/>
    <w:uiPriority w:val="19"/>
    <w:qFormat/>
    <w:rsid w:val="004D6DF3"/>
    <w:rPr>
      <w:i/>
      <w:iCs/>
      <w:color w:val="595959" w:themeColor="text1" w:themeTint="A6"/>
    </w:rPr>
  </w:style>
  <w:style w:type="character" w:styleId="SubtleReference">
    <w:name w:val="Subtle Reference"/>
    <w:basedOn w:val="DefaultParagraphFont"/>
    <w:uiPriority w:val="31"/>
    <w:qFormat/>
    <w:rsid w:val="004D6DF3"/>
    <w:rPr>
      <w:caps w:val="0"/>
      <w:smallCaps/>
      <w:color w:val="404040" w:themeColor="text1" w:themeTint="BF"/>
      <w:spacing w:val="0"/>
      <w:u w:val="single" w:color="7F7F7F" w:themeColor="text1" w:themeTint="80"/>
    </w:rPr>
  </w:style>
  <w:style w:type="character" w:styleId="BookTitle">
    <w:name w:val="Book Title"/>
    <w:basedOn w:val="DefaultParagraphFont"/>
    <w:uiPriority w:val="33"/>
    <w:qFormat/>
    <w:rsid w:val="004D6DF3"/>
    <w:rPr>
      <w:b/>
      <w:bCs/>
      <w:caps w:val="0"/>
      <w:smallCaps/>
      <w:spacing w:val="0"/>
    </w:rPr>
  </w:style>
  <w:style w:type="paragraph" w:styleId="TOCHeading">
    <w:name w:val="TOC Heading"/>
    <w:basedOn w:val="Heading1"/>
    <w:next w:val="Normal"/>
    <w:uiPriority w:val="39"/>
    <w:unhideWhenUsed/>
    <w:qFormat/>
    <w:rsid w:val="004D6DF3"/>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2020BA-D5A3-4186-AE4E-4C05665736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2751</TotalTime>
  <Pages>16</Pages>
  <Words>4658</Words>
  <Characters>26557</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K</dc:creator>
  <cp:keywords/>
  <dc:description/>
  <cp:lastModifiedBy>Louise K</cp:lastModifiedBy>
  <cp:revision>117</cp:revision>
  <dcterms:created xsi:type="dcterms:W3CDTF">2026-10-21T10:49:00Z</dcterms:created>
  <dcterms:modified xsi:type="dcterms:W3CDTF">2026-10-23T12:10:00Z</dcterms:modified>
</cp:coreProperties>
</file>