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10879" w14:textId="77777777" w:rsidR="001A2399" w:rsidRDefault="001A2399" w:rsidP="001A2399">
      <w:pPr>
        <w:spacing w:line="256" w:lineRule="auto"/>
        <w:jc w:val="center"/>
        <w:rPr>
          <w:b/>
          <w:sz w:val="40"/>
          <w:szCs w:val="40"/>
        </w:rPr>
      </w:pPr>
      <w:r>
        <w:rPr>
          <w:b/>
          <w:sz w:val="40"/>
          <w:szCs w:val="40"/>
        </w:rPr>
        <w:t xml:space="preserve">Community Engagement (LCBB4002) </w:t>
      </w:r>
    </w:p>
    <w:p w14:paraId="365ED244" w14:textId="77777777" w:rsidR="001A2399" w:rsidRDefault="001A2399" w:rsidP="001A2399">
      <w:pPr>
        <w:spacing w:line="256" w:lineRule="auto"/>
        <w:jc w:val="center"/>
        <w:rPr>
          <w:b/>
          <w:sz w:val="40"/>
          <w:szCs w:val="40"/>
        </w:rPr>
      </w:pPr>
      <w:r>
        <w:rPr>
          <w:b/>
          <w:sz w:val="40"/>
          <w:szCs w:val="40"/>
        </w:rPr>
        <w:t>Assessment 2</w:t>
      </w:r>
    </w:p>
    <w:p w14:paraId="6EB5390A" w14:textId="77777777" w:rsidR="001A2399" w:rsidRDefault="001A2399" w:rsidP="001A2399">
      <w:pPr>
        <w:spacing w:line="256" w:lineRule="auto"/>
        <w:jc w:val="center"/>
      </w:pPr>
    </w:p>
    <w:p w14:paraId="395A39A2" w14:textId="77777777" w:rsidR="001A2399" w:rsidRDefault="001A2399" w:rsidP="001A2399">
      <w:pPr>
        <w:spacing w:line="256" w:lineRule="auto"/>
        <w:jc w:val="center"/>
        <w:rPr>
          <w:b/>
          <w:sz w:val="28"/>
          <w:szCs w:val="28"/>
        </w:rPr>
      </w:pPr>
      <w:r>
        <w:rPr>
          <w:b/>
          <w:sz w:val="28"/>
          <w:szCs w:val="28"/>
        </w:rPr>
        <w:t>Analysis Of the Organization Along with Reflective Evaluation</w:t>
      </w:r>
    </w:p>
    <w:p w14:paraId="5561BF36" w14:textId="77777777" w:rsidR="001A2399" w:rsidRDefault="001A2399" w:rsidP="001A2399">
      <w:pPr>
        <w:spacing w:line="256" w:lineRule="auto"/>
        <w:jc w:val="center"/>
      </w:pPr>
    </w:p>
    <w:p w14:paraId="21F15FC6" w14:textId="77777777" w:rsidR="001A2399" w:rsidRDefault="001A2399" w:rsidP="001A2399">
      <w:pPr>
        <w:spacing w:line="256" w:lineRule="auto"/>
        <w:jc w:val="center"/>
      </w:pPr>
    </w:p>
    <w:p w14:paraId="43F3EAA6" w14:textId="77777777" w:rsidR="001A2399" w:rsidRDefault="001A2399" w:rsidP="001A2399">
      <w:pPr>
        <w:spacing w:line="256" w:lineRule="auto"/>
        <w:jc w:val="center"/>
        <w:rPr>
          <w:b/>
          <w:sz w:val="32"/>
          <w:szCs w:val="32"/>
        </w:rPr>
      </w:pPr>
      <w:r>
        <w:rPr>
          <w:b/>
          <w:sz w:val="32"/>
          <w:szCs w:val="32"/>
        </w:rPr>
        <w:t>Student Id: 2027510</w:t>
      </w:r>
    </w:p>
    <w:p w14:paraId="7F7DB339" w14:textId="77777777" w:rsidR="001A2399" w:rsidRDefault="001A2399" w:rsidP="001A2399">
      <w:pPr>
        <w:spacing w:line="256" w:lineRule="auto"/>
        <w:jc w:val="center"/>
      </w:pPr>
    </w:p>
    <w:p w14:paraId="14519882" w14:textId="77777777" w:rsidR="001A2399" w:rsidRDefault="001A2399" w:rsidP="001A2399">
      <w:pPr>
        <w:spacing w:line="256" w:lineRule="auto"/>
        <w:jc w:val="center"/>
      </w:pPr>
    </w:p>
    <w:p w14:paraId="19545E03" w14:textId="77777777" w:rsidR="001A2399" w:rsidRDefault="001A2399" w:rsidP="001A2399">
      <w:pPr>
        <w:spacing w:line="256" w:lineRule="auto"/>
        <w:jc w:val="center"/>
        <w:rPr>
          <w:rFonts w:eastAsiaTheme="majorEastAsia" w:cstheme="majorBidi"/>
          <w:b/>
          <w:szCs w:val="32"/>
        </w:rPr>
      </w:pPr>
      <w:r>
        <w:t>Word Count: 2032</w:t>
      </w:r>
    </w:p>
    <w:p w14:paraId="54A76810" w14:textId="77777777" w:rsidR="001A2399" w:rsidRDefault="001A2399" w:rsidP="001A2399">
      <w:pPr>
        <w:spacing w:line="256" w:lineRule="auto"/>
        <w:jc w:val="left"/>
        <w:rPr>
          <w:rFonts w:eastAsiaTheme="majorEastAsia" w:cstheme="majorBidi"/>
          <w:b/>
          <w:szCs w:val="32"/>
        </w:rPr>
      </w:pPr>
      <w:r>
        <w:br w:type="page"/>
      </w:r>
    </w:p>
    <w:p w14:paraId="355018E3" w14:textId="77777777" w:rsidR="001A2399" w:rsidRDefault="001A2399" w:rsidP="001A2399">
      <w:pPr>
        <w:spacing w:line="256" w:lineRule="auto"/>
        <w:jc w:val="left"/>
        <w:rPr>
          <w:rFonts w:eastAsiaTheme="majorEastAsia" w:cstheme="majorBidi"/>
          <w:b/>
          <w:szCs w:val="32"/>
        </w:rPr>
      </w:pPr>
    </w:p>
    <w:sdt>
      <w:sdtPr>
        <w:rPr>
          <w:rFonts w:ascii="Times New Roman" w:eastAsiaTheme="minorHAnsi" w:hAnsi="Times New Roman" w:cstheme="minorBidi"/>
          <w:color w:val="000000" w:themeColor="text1"/>
          <w:sz w:val="24"/>
          <w:szCs w:val="22"/>
        </w:rPr>
        <w:id w:val="-749505647"/>
        <w:docPartObj>
          <w:docPartGallery w:val="Table of Contents"/>
          <w:docPartUnique/>
        </w:docPartObj>
      </w:sdtPr>
      <w:sdtContent>
        <w:p w14:paraId="5CD78598" w14:textId="77777777" w:rsidR="001A2399" w:rsidRDefault="001A2399" w:rsidP="001A2399">
          <w:pPr>
            <w:pStyle w:val="TOCHeading"/>
            <w:jc w:val="center"/>
            <w:rPr>
              <w:b/>
              <w:bCs/>
              <w:color w:val="auto"/>
            </w:rPr>
          </w:pPr>
          <w:r>
            <w:rPr>
              <w:b/>
              <w:bCs/>
              <w:color w:val="auto"/>
            </w:rPr>
            <w:t>Table of Contents</w:t>
          </w:r>
        </w:p>
        <w:p w14:paraId="532CFCD9" w14:textId="77777777" w:rsidR="001A2399" w:rsidRDefault="001A2399" w:rsidP="001A2399">
          <w:pPr>
            <w:pStyle w:val="TOC1"/>
            <w:tabs>
              <w:tab w:val="right" w:leader="dot" w:pos="9350"/>
            </w:tabs>
            <w:rPr>
              <w:noProof/>
            </w:rPr>
          </w:pPr>
          <w:r>
            <w:fldChar w:fldCharType="begin"/>
          </w:r>
          <w:r>
            <w:instrText xml:space="preserve"> TOC \o "1-3" \h \z \u </w:instrText>
          </w:r>
          <w:r>
            <w:fldChar w:fldCharType="separate"/>
          </w:r>
          <w:hyperlink r:id="rId4" w:anchor="_Toc87797818"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_Toc87797818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7FECE87F" w14:textId="77777777" w:rsidR="001A2399" w:rsidRDefault="001A2399" w:rsidP="001A2399">
          <w:pPr>
            <w:pStyle w:val="TOC1"/>
            <w:tabs>
              <w:tab w:val="right" w:leader="dot" w:pos="9350"/>
            </w:tabs>
            <w:rPr>
              <w:noProof/>
            </w:rPr>
          </w:pPr>
          <w:hyperlink r:id="rId5" w:anchor="_Toc87797819" w:history="1">
            <w:r>
              <w:rPr>
                <w:rStyle w:val="Hyperlink"/>
                <w:noProof/>
              </w:rPr>
              <w:t>Engagement with Literature Skills</w:t>
            </w:r>
            <w:r>
              <w:rPr>
                <w:rStyle w:val="Hyperlink"/>
                <w:noProof/>
                <w:webHidden/>
              </w:rPr>
              <w:tab/>
            </w:r>
            <w:r>
              <w:rPr>
                <w:rStyle w:val="Hyperlink"/>
                <w:noProof/>
                <w:webHidden/>
              </w:rPr>
              <w:fldChar w:fldCharType="begin"/>
            </w:r>
            <w:r>
              <w:rPr>
                <w:rStyle w:val="Hyperlink"/>
                <w:noProof/>
                <w:webHidden/>
              </w:rPr>
              <w:instrText xml:space="preserve"> PAGEREF _Toc87797819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3EA03DE8" w14:textId="77777777" w:rsidR="001A2399" w:rsidRDefault="001A2399" w:rsidP="001A2399">
          <w:pPr>
            <w:pStyle w:val="TOC1"/>
            <w:tabs>
              <w:tab w:val="right" w:leader="dot" w:pos="9350"/>
            </w:tabs>
            <w:rPr>
              <w:noProof/>
            </w:rPr>
          </w:pPr>
          <w:hyperlink r:id="rId6" w:anchor="_Toc87797820" w:history="1">
            <w:r>
              <w:rPr>
                <w:rStyle w:val="Hyperlink"/>
                <w:noProof/>
              </w:rPr>
              <w:t>Adaptation</w:t>
            </w:r>
            <w:r>
              <w:rPr>
                <w:rStyle w:val="Hyperlink"/>
                <w:noProof/>
                <w:webHidden/>
              </w:rPr>
              <w:tab/>
            </w:r>
            <w:r>
              <w:rPr>
                <w:rStyle w:val="Hyperlink"/>
                <w:noProof/>
                <w:webHidden/>
              </w:rPr>
              <w:fldChar w:fldCharType="begin"/>
            </w:r>
            <w:r>
              <w:rPr>
                <w:rStyle w:val="Hyperlink"/>
                <w:noProof/>
                <w:webHidden/>
              </w:rPr>
              <w:instrText xml:space="preserve"> PAGEREF _Toc87797820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2473CB2B" w14:textId="77777777" w:rsidR="001A2399" w:rsidRDefault="001A2399" w:rsidP="001A2399">
          <w:pPr>
            <w:pStyle w:val="TOC1"/>
            <w:tabs>
              <w:tab w:val="right" w:leader="dot" w:pos="9350"/>
            </w:tabs>
            <w:rPr>
              <w:noProof/>
            </w:rPr>
          </w:pPr>
          <w:hyperlink r:id="rId7" w:anchor="_Toc87797821" w:history="1">
            <w:r>
              <w:rPr>
                <w:rStyle w:val="Hyperlink"/>
                <w:noProof/>
              </w:rPr>
              <w:t>Knowledge and Understanding Skills</w:t>
            </w:r>
            <w:r>
              <w:rPr>
                <w:rStyle w:val="Hyperlink"/>
                <w:noProof/>
                <w:webHidden/>
              </w:rPr>
              <w:tab/>
            </w:r>
            <w:r>
              <w:rPr>
                <w:rStyle w:val="Hyperlink"/>
                <w:noProof/>
                <w:webHidden/>
              </w:rPr>
              <w:fldChar w:fldCharType="begin"/>
            </w:r>
            <w:r>
              <w:rPr>
                <w:rStyle w:val="Hyperlink"/>
                <w:noProof/>
                <w:webHidden/>
              </w:rPr>
              <w:instrText xml:space="preserve"> PAGEREF _Toc87797821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0945FAF4" w14:textId="77777777" w:rsidR="001A2399" w:rsidRDefault="001A2399" w:rsidP="001A2399">
          <w:pPr>
            <w:pStyle w:val="TOC1"/>
            <w:tabs>
              <w:tab w:val="right" w:leader="dot" w:pos="9350"/>
            </w:tabs>
            <w:rPr>
              <w:noProof/>
            </w:rPr>
          </w:pPr>
          <w:hyperlink r:id="rId8" w:anchor="_Toc87797822" w:history="1">
            <w:r>
              <w:rPr>
                <w:rStyle w:val="Hyperlink"/>
                <w:noProof/>
              </w:rPr>
              <w:t>Community And of Personal Development</w:t>
            </w:r>
            <w:r>
              <w:rPr>
                <w:rStyle w:val="Hyperlink"/>
                <w:noProof/>
                <w:webHidden/>
              </w:rPr>
              <w:tab/>
            </w:r>
            <w:r>
              <w:rPr>
                <w:rStyle w:val="Hyperlink"/>
                <w:noProof/>
                <w:webHidden/>
              </w:rPr>
              <w:fldChar w:fldCharType="begin"/>
            </w:r>
            <w:r>
              <w:rPr>
                <w:rStyle w:val="Hyperlink"/>
                <w:noProof/>
                <w:webHidden/>
              </w:rPr>
              <w:instrText xml:space="preserve"> PAGEREF _Toc87797822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5CB91D4F" w14:textId="77777777" w:rsidR="001A2399" w:rsidRDefault="001A2399" w:rsidP="001A2399">
          <w:pPr>
            <w:pStyle w:val="TOC1"/>
            <w:tabs>
              <w:tab w:val="right" w:leader="dot" w:pos="9350"/>
            </w:tabs>
            <w:rPr>
              <w:noProof/>
            </w:rPr>
          </w:pPr>
          <w:hyperlink r:id="rId9" w:anchor="_Toc87797823" w:history="1">
            <w:r>
              <w:rPr>
                <w:rStyle w:val="Hyperlink"/>
                <w:noProof/>
              </w:rPr>
              <w:t>Reviewing And Extending Interpersonal Skills</w:t>
            </w:r>
            <w:r>
              <w:rPr>
                <w:rStyle w:val="Hyperlink"/>
                <w:noProof/>
                <w:webHidden/>
              </w:rPr>
              <w:tab/>
            </w:r>
            <w:r>
              <w:rPr>
                <w:rStyle w:val="Hyperlink"/>
                <w:noProof/>
                <w:webHidden/>
              </w:rPr>
              <w:fldChar w:fldCharType="begin"/>
            </w:r>
            <w:r>
              <w:rPr>
                <w:rStyle w:val="Hyperlink"/>
                <w:noProof/>
                <w:webHidden/>
              </w:rPr>
              <w:instrText xml:space="preserve"> PAGEREF _Toc87797823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44A64228" w14:textId="77777777" w:rsidR="001A2399" w:rsidRDefault="001A2399" w:rsidP="001A2399">
          <w:pPr>
            <w:pStyle w:val="TOC1"/>
            <w:tabs>
              <w:tab w:val="right" w:leader="dot" w:pos="9350"/>
            </w:tabs>
            <w:rPr>
              <w:noProof/>
            </w:rPr>
          </w:pPr>
          <w:hyperlink r:id="rId10" w:anchor="_Toc87797824" w:history="1">
            <w:r>
              <w:rPr>
                <w:rStyle w:val="Hyperlink"/>
                <w:noProof/>
              </w:rPr>
              <w:t>Applying Theoretical Concepts</w:t>
            </w:r>
            <w:r>
              <w:rPr>
                <w:rStyle w:val="Hyperlink"/>
                <w:noProof/>
                <w:webHidden/>
              </w:rPr>
              <w:tab/>
            </w:r>
            <w:r>
              <w:rPr>
                <w:rStyle w:val="Hyperlink"/>
                <w:noProof/>
                <w:webHidden/>
              </w:rPr>
              <w:fldChar w:fldCharType="begin"/>
            </w:r>
            <w:r>
              <w:rPr>
                <w:rStyle w:val="Hyperlink"/>
                <w:noProof/>
                <w:webHidden/>
              </w:rPr>
              <w:instrText xml:space="preserve"> PAGEREF _Toc87797824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3944C5EF" w14:textId="77777777" w:rsidR="001A2399" w:rsidRDefault="001A2399" w:rsidP="001A2399">
          <w:pPr>
            <w:pStyle w:val="TOC1"/>
            <w:tabs>
              <w:tab w:val="right" w:leader="dot" w:pos="9350"/>
            </w:tabs>
            <w:rPr>
              <w:noProof/>
            </w:rPr>
          </w:pPr>
          <w:hyperlink r:id="rId11" w:anchor="_Toc87797825"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_Toc87797825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1E6A2DA7" w14:textId="77777777" w:rsidR="001A2399" w:rsidRDefault="001A2399" w:rsidP="001A2399">
          <w:pPr>
            <w:pStyle w:val="TOC1"/>
            <w:tabs>
              <w:tab w:val="right" w:leader="dot" w:pos="9350"/>
            </w:tabs>
            <w:rPr>
              <w:noProof/>
            </w:rPr>
          </w:pPr>
          <w:hyperlink r:id="rId12" w:anchor="_Toc87797826"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_Toc87797826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6A66329C" w14:textId="77777777" w:rsidR="001A2399" w:rsidRDefault="001A2399" w:rsidP="001A2399">
          <w:r>
            <w:rPr>
              <w:b/>
              <w:bCs/>
              <w:noProof/>
            </w:rPr>
            <w:fldChar w:fldCharType="end"/>
          </w:r>
        </w:p>
      </w:sdtContent>
    </w:sdt>
    <w:p w14:paraId="6DB08DCB" w14:textId="77777777" w:rsidR="001A2399" w:rsidRDefault="001A2399" w:rsidP="001A2399">
      <w:pPr>
        <w:spacing w:line="256" w:lineRule="auto"/>
        <w:jc w:val="left"/>
        <w:rPr>
          <w:rFonts w:eastAsiaTheme="majorEastAsia" w:cstheme="majorBidi"/>
          <w:b/>
          <w:szCs w:val="32"/>
        </w:rPr>
      </w:pPr>
      <w:r>
        <w:rPr>
          <w:rFonts w:eastAsiaTheme="majorEastAsia" w:cstheme="majorBidi"/>
          <w:b/>
          <w:szCs w:val="32"/>
        </w:rPr>
        <w:br w:type="page"/>
      </w:r>
    </w:p>
    <w:p w14:paraId="293CA001" w14:textId="77777777" w:rsidR="001A2399" w:rsidRDefault="001A2399" w:rsidP="001A2399">
      <w:pPr>
        <w:spacing w:line="256" w:lineRule="auto"/>
        <w:jc w:val="left"/>
        <w:rPr>
          <w:rFonts w:eastAsiaTheme="majorEastAsia" w:cstheme="majorBidi"/>
          <w:b/>
          <w:szCs w:val="32"/>
        </w:rPr>
      </w:pPr>
    </w:p>
    <w:p w14:paraId="15D31890" w14:textId="77777777" w:rsidR="001A2399" w:rsidRDefault="001A2399" w:rsidP="001A2399">
      <w:pPr>
        <w:pStyle w:val="Heading1"/>
      </w:pPr>
      <w:bookmarkStart w:id="0" w:name="_Toc87797818"/>
      <w:r>
        <w:t>Introduction</w:t>
      </w:r>
      <w:bookmarkEnd w:id="0"/>
    </w:p>
    <w:p w14:paraId="5E6209C1" w14:textId="77777777" w:rsidR="001A2399" w:rsidRDefault="001A2399" w:rsidP="001A2399">
      <w:r>
        <w:t>Reflection offers an effective means to gain viably from changes prompted by the working environment. The writers inspected status to change and business-related self-determination as preconditions for reflection at work and expected individual drive characterized as self-beginning and proactive behavior to have an intervening impact. The learning system is occurring in one’s day-by-day business associates indistinguishably to the method involved with working. Taking in persistently develops from the association between the individual and the circumstance. Thus, one’s everyday business-related encounters emphatically impact learning, established by the student’s commitment to the learning circumstance, the student’s goal to learn, and the student’s impression of what befalls that person. Here we understand the concept of transferable skills, community, personal development, ways of reviewing, and how to adapt them. Through different theories analysis, the aim will be achieved.</w:t>
      </w:r>
    </w:p>
    <w:p w14:paraId="721D08DA" w14:textId="77777777" w:rsidR="001A2399" w:rsidRDefault="001A2399" w:rsidP="001A2399">
      <w:pPr>
        <w:pStyle w:val="Heading1"/>
      </w:pPr>
      <w:bookmarkStart w:id="1" w:name="_Toc87797819"/>
      <w:r>
        <w:t>Engagement with Literature Skills</w:t>
      </w:r>
      <w:bookmarkEnd w:id="1"/>
    </w:p>
    <w:p w14:paraId="5EE987EF" w14:textId="77777777" w:rsidR="001A2399" w:rsidRDefault="001A2399" w:rsidP="001A2399">
      <w:r>
        <w:t>Reflective practice is a course of interfacing a current encounter to past learnings. Reflection is a method of following up on and handling data about the past, lastly orchestrating and investigating the information. It can likewise be interpreted as meaning utilizing one encounter to circumstances past the first ones that have added as far as anyone is concerned. Reflection gives importance to encounters and thus the chance to make individual and gathering assumptions (Adeyemi and Salami, 2018). Through reflection, an individual can foster a sensation of achievement that upgrades the morals of administration. Fundamentally, reflective is a method of inspecting individual considerations and activities for learning and improvement purposes, and it helps human connections in the work environment.</w:t>
      </w:r>
    </w:p>
    <w:p w14:paraId="4010B5AA" w14:textId="77777777" w:rsidR="001A2399" w:rsidRDefault="001A2399" w:rsidP="001A2399">
      <w:r>
        <w:t xml:space="preserve">Gibbs' reflective cycle is one of the hypotheses of all things being equal. The theory affirms that individual sentiments influence the circumstance and how one decides to ponder it (Fook, 2020). The story is created from </w:t>
      </w:r>
      <w:proofErr w:type="spellStart"/>
      <w:r>
        <w:t>Bouds</w:t>
      </w:r>
      <w:proofErr w:type="spellEnd"/>
      <w:r>
        <w:t xml:space="preserve"> theory as it separates its appearance parts into assessment and investigation of occasions, showing a reasonable association between learning acquired through experience. Although the model is comprised of a further breakdown of </w:t>
      </w:r>
      <w:proofErr w:type="spellStart"/>
      <w:r>
        <w:t>Boud's</w:t>
      </w:r>
      <w:proofErr w:type="spellEnd"/>
      <w:r>
        <w:t xml:space="preserve"> theory, it gives a genuinely shallow reflection since it did not depend on any essential examination. Atkins and Murphy (1993) fostered a model that improves a more profound type of reflection that is not capable when utilizing different models. In reflection, the theory </w:t>
      </w:r>
      <w:r>
        <w:lastRenderedPageBreak/>
        <w:t>stresses the need to stay away from shallow criticism, breaking down the pertinence and effect of the experience; and featuring picking up occurring because of the training.</w:t>
      </w:r>
    </w:p>
    <w:p w14:paraId="5C160C6E" w14:textId="77777777" w:rsidR="001A2399" w:rsidRDefault="001A2399" w:rsidP="001A2399">
      <w:r>
        <w:t>Atkins and Murphy's model includes the accompanying components:</w:t>
      </w:r>
    </w:p>
    <w:p w14:paraId="54E7B159" w14:textId="77777777" w:rsidR="001A2399" w:rsidRDefault="001A2399" w:rsidP="001A2399">
      <w:r>
        <w:t>1. Depict the circumstance - What occurred?</w:t>
      </w:r>
    </w:p>
    <w:p w14:paraId="578B97EB" w14:textId="77777777" w:rsidR="001A2399" w:rsidRDefault="001A2399" w:rsidP="001A2399">
      <w:r>
        <w:t>2. Investigate the sentiments - What were your sentiments concerning the circumstance?</w:t>
      </w:r>
    </w:p>
    <w:p w14:paraId="2150047D" w14:textId="77777777" w:rsidR="001A2399" w:rsidRDefault="001A2399" w:rsidP="001A2399">
      <w:r>
        <w:t>3. Assess the significance of the experience - What was the acceptable and terrible side of the</w:t>
      </w:r>
    </w:p>
    <w:p w14:paraId="15C8FB64" w14:textId="77777777" w:rsidR="001A2399" w:rsidRDefault="001A2399" w:rsidP="001A2399">
      <w:r>
        <w:t>experience</w:t>
      </w:r>
    </w:p>
    <w:p w14:paraId="5A60E5D9" w14:textId="77777777" w:rsidR="001A2399" w:rsidRDefault="001A2399" w:rsidP="001A2399">
      <w:r>
        <w:t>4. Distinguish any learning procured. Is there any realizing which has happened?</w:t>
      </w:r>
    </w:p>
    <w:p w14:paraId="525E8A5A" w14:textId="77777777" w:rsidR="001A2399" w:rsidRDefault="001A2399" w:rsidP="001A2399">
      <w:r>
        <w:t>5. Mindfulness - Was there any distress or activity/experience</w:t>
      </w:r>
    </w:p>
    <w:p w14:paraId="0FEE7457" w14:textId="77777777" w:rsidR="001A2399" w:rsidRDefault="001A2399" w:rsidP="001A2399">
      <w:r>
        <w:t>One instance of applying the above model in reflective practice is that having a sensation of compassion can help one look past our necessities, sentiments, and activities and envision how another person may feel for sure their various insights and thoughts may be and how these components can impact the circumstance. It is typically more straightforward, or there is a characteristic inclination for people to move the fault of issues to others rather than thinking they should act with a specific goal in mind when gone up against a circumstance. Likewise, note that one can apply changes in a controllable circumstance. Atkins and Murphy's model underlines the use of direct reflection (Gibb, 2018). It gives a fantastic beginning stage to simple learning of individuals utilizing it for new ones to reflective practice. It helps in the transformation of new experiences and learning into change and activity. The cycle requires looking past the outer layer of a circumstance and experience to secure other types of learning and acquiring experience.</w:t>
      </w:r>
    </w:p>
    <w:p w14:paraId="49F1F8AF" w14:textId="77777777" w:rsidR="001A2399" w:rsidRDefault="001A2399" w:rsidP="001A2399">
      <w:pPr>
        <w:pStyle w:val="Heading1"/>
      </w:pPr>
      <w:bookmarkStart w:id="2" w:name="_Toc87797820"/>
      <w:r>
        <w:t>Adaptation</w:t>
      </w:r>
      <w:bookmarkEnd w:id="2"/>
    </w:p>
    <w:p w14:paraId="62DE2B90" w14:textId="77777777" w:rsidR="001A2399" w:rsidRDefault="001A2399" w:rsidP="001A2399">
      <w:r>
        <w:t xml:space="preserve">One instance of applying the above model in reflective practice is that having a sensation of compassion can help one look past our necessities, sentiments, and activities and envision how another person may feel for sure their various insights and thoughts may be and how these components can impact the circumstance. It is typically more straightforward, or there is a characteristic inclination for people to move the fault of issues to others rather than thinking they should act with a specific goal in mind when gone up against a circumstance. Likewise, note that one can apply changes in a controllable circumstance. Atkins and Murphy's model underlines the use of essential reflection. It gives a fantastic beginning stage to simple learning </w:t>
      </w:r>
      <w:r>
        <w:lastRenderedPageBreak/>
        <w:t>of individuals utilizing it for new ones to reflective practice (Adeyemi and Salami, 2018). It helps in the transformation of new experiences and learning into change and activity. The cycle requires looking past the outer layer of a circumstance and experience to secure other types of learning and acquiring experience.</w:t>
      </w:r>
    </w:p>
    <w:p w14:paraId="003A12ED" w14:textId="77777777" w:rsidR="001A2399" w:rsidRDefault="001A2399" w:rsidP="001A2399">
      <w:pPr>
        <w:pStyle w:val="Heading1"/>
      </w:pPr>
      <w:bookmarkStart w:id="3" w:name="_Toc87797821"/>
      <w:r>
        <w:t>Knowledge and Understanding Skills</w:t>
      </w:r>
      <w:bookmarkEnd w:id="3"/>
    </w:p>
    <w:p w14:paraId="4EF4B8E2" w14:textId="77777777" w:rsidR="001A2399" w:rsidRDefault="001A2399" w:rsidP="001A2399">
      <w:r>
        <w:t>During this period, I discovered that input from clients is a fundamental piece of the organization's exercises. The input data can be used to alter the items as per the clients' necessities, thus giving the heading of the organization as far as creation and deals. Clients are the column to accomplishing authoritative objectives as the clients' preferences and requirements to decide generally exciting items (Gibb, 2018). Note that the business job requires dealing with and conversing with clients to set up close contacts, convince them to purchase the organization's items, and be faithful to the organization. The business head of our group consistently underlined the need to utilize successful relational abilities and having ideal information about the organization's item as the critical characteristics of a salesman. In this way, in the initial segment of our chipping-in meeting, we were given the organization's indexes to study to guarantee a careful comprehension of the organization's image, just as the objectives and qualities. I learned that hard work and responsibility were the most fundamental worth of any representative. Every one of the representatives at Coca-Cola Company focuses on these qualities and works together to maintain the hierarchical culture and accept the qualities (Fook, 2020). The representatives' inspiration at the organization provided them with a feeling of worth and urged them to invest more energy into accomplishing the association's vision. My involvement with the Coca-Cola Company was both invigorating and fulfilling as I procured abilities that vocational abilities as well as fundamental abilities.</w:t>
      </w:r>
    </w:p>
    <w:p w14:paraId="1D658514" w14:textId="77777777" w:rsidR="001A2399" w:rsidRDefault="001A2399" w:rsidP="001A2399">
      <w:pPr>
        <w:pStyle w:val="Heading1"/>
      </w:pPr>
      <w:bookmarkStart w:id="4" w:name="_Toc87797822"/>
      <w:r>
        <w:t>Community And of Personal Development</w:t>
      </w:r>
      <w:bookmarkEnd w:id="4"/>
    </w:p>
    <w:p w14:paraId="5AAF235C" w14:textId="77777777" w:rsidR="001A2399" w:rsidRDefault="001A2399" w:rsidP="001A2399">
      <w:r>
        <w:t xml:space="preserve">My openness to self-administration abilities as pivotal in becoming helpful workers was a magnificent encounter in the initial term. Self-administration abilities incorporate those abilities that can assist a representative with discussing adequately with the associates, relating great with the administration and clients, arranging their time well, settling on the ideal decisions, and staying in shape and sound. I discovered that self-administration abilities are the capacities that make a worker more useful regardless of their workplace. The board's abilities can be improved by offering to prepare freedoms for the workers. It permits them to get improved abilities and is more pertinent to hierarchical jobs (Adeyemi and Salami, 2018). </w:t>
      </w:r>
      <w:r>
        <w:lastRenderedPageBreak/>
        <w:t>Correspondence and relational abilities are those essential for a representative to convey adequately and relate well with colleagues. It involves verbal and non-verbal relational abilities, just as great as listening abilities. In the working environment, a few people may have a test in identifying with a broad scope of colleagues, and the capacity to apply relational abilities can give a distinction. Essentially, the outreach group in an association cannot successfully direct their business obligations without relational abilities that guide the advancement of close contact with clients. The capacity of a salesman to create deals relies upon the kind of relationship with the client and the capacity to convince the client to purchase the items by utilization of successful relational abilities. Self-administration, correspondence, and relational abilities are fundamental for representatives to have valuable professions.</w:t>
      </w:r>
    </w:p>
    <w:p w14:paraId="0BEC6B20" w14:textId="77777777" w:rsidR="001A2399" w:rsidRDefault="001A2399" w:rsidP="001A2399">
      <w:pPr>
        <w:pStyle w:val="Heading1"/>
      </w:pPr>
      <w:bookmarkStart w:id="5" w:name="_Toc87797823"/>
      <w:r>
        <w:t>Reviewing And Extending Interpersonal Skills</w:t>
      </w:r>
      <w:bookmarkEnd w:id="5"/>
    </w:p>
    <w:p w14:paraId="07D650EB" w14:textId="77777777" w:rsidR="001A2399" w:rsidRDefault="001A2399" w:rsidP="001A2399">
      <w:r>
        <w:t>A reflection on the connection between Gibb's reflective cycle theory and experience is a delightful kind of reflection. Gibb's model on reflection demonstrates a nearby association with experience by portraying a people's gain of involvement. The theory starts with the depiction of the circumstance, which is the wellspring of a person's experience. The experience of a circumstance lights specific passionate sentiments as one response to the circumstance. The sentiments may incorporate compassion, satisfaction, dread, and joy as a portion of the sentiments that are touched off in various circumstances, including individual encounters. As indicated by the theory, the sentiments from encountering a specific circumstance are then assessed to decide whether the experience was awful or decent (Fook, 2020). It is valid for genuine circumstances as individuals decide whether an encounter was fortunate or unfortunate through their reference to the sentiments lighted by the experience. Gibbs' theory demonstrates that the investigation trails the assessment of a circumstance. It involves procuring inside and out information about the circumstance to get it and the tissues encompassing it. In the wake of encountering a circumstance, people will often ponder it and endeavor to figure out the circumstance prior to closing (Gibb, 2018). The end is made relying upon individual assessment and investigation of the experience. If an individual is satisfied with the experience, they consider encountering the circumstance over and over. Unexpectedly, the circumstance with adverse consequences will cause a person to consider staying away from it however much as could reasonably be expected.</w:t>
      </w:r>
    </w:p>
    <w:p w14:paraId="43EAF3E1" w14:textId="77777777" w:rsidR="001A2399" w:rsidRDefault="001A2399" w:rsidP="001A2399">
      <w:pPr>
        <w:pStyle w:val="Heading1"/>
      </w:pPr>
      <w:bookmarkStart w:id="6" w:name="_Toc87797824"/>
      <w:r>
        <w:lastRenderedPageBreak/>
        <w:t>Applying Theoretical Concepts</w:t>
      </w:r>
      <w:bookmarkEnd w:id="6"/>
    </w:p>
    <w:p w14:paraId="279AD488" w14:textId="77777777" w:rsidR="001A2399" w:rsidRDefault="001A2399" w:rsidP="001A2399">
      <w:r>
        <w:t>The ends, given the theory, typically rely upon individual judgment about the circumstance, just as the inspiration in the impacts of the circumstance. The last piece of Gibb's model is improving an activity plan dependent on the ends made. It is an application to encounter as people will arrange future activities. It made incorporates taking on an alternate way to deal with the circumstance. For instance, during my volunteer movement at the Coca-Cola organization inside the outreach group, I encountered a circumstance where we varied with the client concerning one of the items presented by the organization. It was trailed by a progression of unbeneficial discussion where the client felt disturbed and offended (Adeyemi and Salami, 2018). I was so worried and frustrated by this experience and started contemplating everything started and the advancement of the discussion. I discovered that possibly I turned out badly about asking a client a closer to the home inquiry that I should not inquire. Through my examination, the underlying talk with the client was more amiable and open, which may have caused me to pose her an individual inquiry. I reasoned that the client was not a social butterfly kind of individual, as I suspected toward the start. At the finish of my examination, I arranged that individual questions ought to be stayed away from however much as could reasonably be expected anyway open and well-disposed the client appears. I chose to act to relate expertly with the client and apply more expert procedures in procuring data about the client. Notwithstanding, the circumstance was the best learning experience procured during the chipping in action. I accepted that the strategies learned would be helpful even in my future job as a salesman.</w:t>
      </w:r>
    </w:p>
    <w:p w14:paraId="79D83E6B" w14:textId="77777777" w:rsidR="001A2399" w:rsidRDefault="001A2399" w:rsidP="001A2399">
      <w:pPr>
        <w:pStyle w:val="Heading1"/>
      </w:pPr>
      <w:bookmarkStart w:id="7" w:name="_Toc87797825"/>
      <w:r>
        <w:t>Conclusion</w:t>
      </w:r>
      <w:bookmarkEnd w:id="7"/>
    </w:p>
    <w:p w14:paraId="77DF86FA" w14:textId="77777777" w:rsidR="001A2399" w:rsidRDefault="001A2399" w:rsidP="001A2399">
      <w:r>
        <w:t xml:space="preserve">Reflective assessment is a significant cycle for learning purposes particularly dependent on one's experience with various circumstances. It is likewise huge for representatives at different work environments to direct a reflective assessment on various work circumstances to further develop information and, consequently, their work execution. There are numerous hypotheses identified with the interaction between experiencing a circumstance and making a significant end. To accomplish a more extensive and itemized reflection, people need to base their reflective assessment on the given speculations. The volunteer action at the </w:t>
      </w:r>
      <w:proofErr w:type="spellStart"/>
      <w:r>
        <w:t>coca-cola</w:t>
      </w:r>
      <w:proofErr w:type="spellEnd"/>
      <w:r>
        <w:t xml:space="preserve"> organization was a significant encounter that involved gaining considerable abilities in the business job. The abilities acquired will prompt further developed execution in later obligations identified with the field of deals. Moreover, the initial term learning was critical in ingraining the significance of self-administration, correspondence, and relational abilities, particularly in </w:t>
      </w:r>
      <w:r>
        <w:lastRenderedPageBreak/>
        <w:t xml:space="preserve">my job as a sales rep. The connection between Gibb's theory and the experience is the most significant theory relating to acquiring experience from a </w:t>
      </w:r>
      <w:proofErr w:type="gramStart"/>
      <w:r>
        <w:t>circumstance, in actuality</w:t>
      </w:r>
      <w:proofErr w:type="gramEnd"/>
      <w:r>
        <w:t>. The above conversation demonstrates the need for learning by thinking about past encounters and gaining from how one methodology the circumstance.</w:t>
      </w:r>
    </w:p>
    <w:p w14:paraId="554A2B9E" w14:textId="77777777" w:rsidR="001A2399" w:rsidRDefault="001A2399" w:rsidP="001A2399">
      <w:pPr>
        <w:pStyle w:val="Heading1"/>
      </w:pPr>
      <w:bookmarkStart w:id="8" w:name="_Toc87797826"/>
      <w:r>
        <w:t>References</w:t>
      </w:r>
      <w:bookmarkEnd w:id="8"/>
    </w:p>
    <w:p w14:paraId="19781D8C" w14:textId="77777777" w:rsidR="001A2399" w:rsidRDefault="001A2399" w:rsidP="001A2399">
      <w:r>
        <w:t>Adeyemi, S.L. and Salami, A.O., (2018) Inventory management: A tool of optimizing resources in a manufacturing industry a case study of Coca-Cola Bottling Company, Ilorin plant. </w:t>
      </w:r>
      <w:r>
        <w:rPr>
          <w:i/>
          <w:iCs/>
        </w:rPr>
        <w:t>Journal of social Sciences</w:t>
      </w:r>
      <w:r>
        <w:t>, </w:t>
      </w:r>
      <w:r>
        <w:rPr>
          <w:i/>
          <w:iCs/>
        </w:rPr>
        <w:t>23</w:t>
      </w:r>
      <w:r>
        <w:t>(2), pp.135-142.</w:t>
      </w:r>
    </w:p>
    <w:p w14:paraId="301252D6" w14:textId="77777777" w:rsidR="001A2399" w:rsidRDefault="001A2399" w:rsidP="001A2399">
      <w:proofErr w:type="spellStart"/>
      <w:r>
        <w:t>Artto</w:t>
      </w:r>
      <w:proofErr w:type="spellEnd"/>
      <w:r>
        <w:t>, K.A. and Dietrich, P.H., (2019) Strategic business management through multiple projects. </w:t>
      </w:r>
      <w:r>
        <w:rPr>
          <w:i/>
          <w:iCs/>
        </w:rPr>
        <w:t>MORRIS, P WG; PINTO, Jeffrey K. The Wiley guide to project program &amp; portfolio management. New Jersey: John Wiley &amp; Sons Inc</w:t>
      </w:r>
      <w:r>
        <w:t>, pp.1-33.</w:t>
      </w:r>
    </w:p>
    <w:p w14:paraId="4A00A073" w14:textId="77777777" w:rsidR="001A2399" w:rsidRDefault="001A2399" w:rsidP="001A2399">
      <w:proofErr w:type="spellStart"/>
      <w:r>
        <w:t>Barkay</w:t>
      </w:r>
      <w:proofErr w:type="spellEnd"/>
      <w:r>
        <w:t>, T., (2018</w:t>
      </w:r>
      <w:proofErr w:type="gramStart"/>
      <w:r>
        <w:t>)  When</w:t>
      </w:r>
      <w:proofErr w:type="gramEnd"/>
      <w:r>
        <w:t xml:space="preserve"> business and community meet: A case study of Coca-Cola. </w:t>
      </w:r>
      <w:r>
        <w:rPr>
          <w:i/>
          <w:iCs/>
        </w:rPr>
        <w:t>Critical Sociology</w:t>
      </w:r>
      <w:r>
        <w:t>, </w:t>
      </w:r>
      <w:r>
        <w:rPr>
          <w:i/>
          <w:iCs/>
        </w:rPr>
        <w:t>39</w:t>
      </w:r>
      <w:r>
        <w:t>(2), pp.277-293.</w:t>
      </w:r>
    </w:p>
    <w:p w14:paraId="15184B46" w14:textId="77777777" w:rsidR="001A2399" w:rsidRDefault="001A2399" w:rsidP="001A2399">
      <w:r>
        <w:t>Bray, D.W. and Grant, D.L., (2019</w:t>
      </w:r>
      <w:proofErr w:type="gramStart"/>
      <w:r>
        <w:t>)  The</w:t>
      </w:r>
      <w:proofErr w:type="gramEnd"/>
      <w:r>
        <w:t xml:space="preserve"> assessment center in the measurement of potential for business management. </w:t>
      </w:r>
      <w:r>
        <w:rPr>
          <w:i/>
          <w:iCs/>
        </w:rPr>
        <w:t>Psychological Monographs: General and Applied</w:t>
      </w:r>
      <w:r>
        <w:t>, </w:t>
      </w:r>
      <w:r>
        <w:rPr>
          <w:i/>
          <w:iCs/>
        </w:rPr>
        <w:t>80</w:t>
      </w:r>
      <w:r>
        <w:t>(17), p.1.</w:t>
      </w:r>
    </w:p>
    <w:p w14:paraId="600C7AB2" w14:textId="77777777" w:rsidR="001A2399" w:rsidRDefault="001A2399" w:rsidP="001A2399">
      <w:r>
        <w:t>Bridges, D., (2020) Transferable skills: a philosophical perspective. </w:t>
      </w:r>
      <w:r>
        <w:rPr>
          <w:i/>
          <w:iCs/>
        </w:rPr>
        <w:t>Studies in Higher Education</w:t>
      </w:r>
      <w:r>
        <w:t>, </w:t>
      </w:r>
      <w:r>
        <w:rPr>
          <w:i/>
          <w:iCs/>
        </w:rPr>
        <w:t>18</w:t>
      </w:r>
      <w:r>
        <w:t>(1), pp.43-51.</w:t>
      </w:r>
    </w:p>
    <w:p w14:paraId="59CBD654" w14:textId="77777777" w:rsidR="001A2399" w:rsidRDefault="001A2399" w:rsidP="001A2399">
      <w:r>
        <w:t>Dumas, C., (2017) Integrating the daughter into family business management. </w:t>
      </w:r>
      <w:r>
        <w:rPr>
          <w:i/>
          <w:iCs/>
        </w:rPr>
        <w:t>Entrepreneurship theory and practice</w:t>
      </w:r>
      <w:r>
        <w:t>, </w:t>
      </w:r>
      <w:r>
        <w:rPr>
          <w:i/>
          <w:iCs/>
        </w:rPr>
        <w:t>16</w:t>
      </w:r>
      <w:r>
        <w:t>(4), pp.41-56.</w:t>
      </w:r>
    </w:p>
    <w:p w14:paraId="7BEA4248" w14:textId="77777777" w:rsidR="001A2399" w:rsidRDefault="001A2399" w:rsidP="001A2399">
      <w:r>
        <w:t>Fook, J., (2019</w:t>
      </w:r>
      <w:proofErr w:type="gramStart"/>
      <w:r>
        <w:t>)  Critical</w:t>
      </w:r>
      <w:proofErr w:type="gramEnd"/>
      <w:r>
        <w:t xml:space="preserve"> reflection and </w:t>
      </w:r>
      <w:proofErr w:type="spellStart"/>
      <w:r>
        <w:t>organisational</w:t>
      </w:r>
      <w:proofErr w:type="spellEnd"/>
      <w:r>
        <w:t xml:space="preserve"> learning and change: A case study. </w:t>
      </w:r>
      <w:r>
        <w:rPr>
          <w:i/>
          <w:iCs/>
        </w:rPr>
        <w:t xml:space="preserve">Social work, critical reflection and the learning </w:t>
      </w:r>
      <w:proofErr w:type="spellStart"/>
      <w:r>
        <w:rPr>
          <w:i/>
          <w:iCs/>
        </w:rPr>
        <w:t>organisation</w:t>
      </w:r>
      <w:proofErr w:type="spellEnd"/>
      <w:r>
        <w:t>, pp.57-73.</w:t>
      </w:r>
    </w:p>
    <w:p w14:paraId="64FDC854" w14:textId="77777777" w:rsidR="001A2399" w:rsidRDefault="001A2399" w:rsidP="001A2399">
      <w:r>
        <w:t xml:space="preserve">Fries, L., Son, J.Y., </w:t>
      </w:r>
      <w:proofErr w:type="spellStart"/>
      <w:r>
        <w:t>Givvin</w:t>
      </w:r>
      <w:proofErr w:type="spellEnd"/>
      <w:r>
        <w:t>, K.B. and Stigler, J.W., (2021) Practicing connections: A framework to guide instructional design for developing understanding in complex domains. </w:t>
      </w:r>
      <w:r>
        <w:rPr>
          <w:i/>
          <w:iCs/>
        </w:rPr>
        <w:t>Educational Psychology Review</w:t>
      </w:r>
      <w:r>
        <w:t>, </w:t>
      </w:r>
      <w:r>
        <w:rPr>
          <w:i/>
          <w:iCs/>
        </w:rPr>
        <w:t>33</w:t>
      </w:r>
      <w:r>
        <w:t>(2), pp.739-762.</w:t>
      </w:r>
    </w:p>
    <w:p w14:paraId="76FB283D" w14:textId="77777777" w:rsidR="001A2399" w:rsidRDefault="001A2399" w:rsidP="001A2399">
      <w:r>
        <w:t xml:space="preserve">Gibb, A.A., (2018) Entrepreneurship and small business management: can we afford to neglect them in the twenty‐first century business </w:t>
      </w:r>
      <w:proofErr w:type="gramStart"/>
      <w:r>
        <w:t>school?.</w:t>
      </w:r>
      <w:proofErr w:type="gramEnd"/>
      <w:r>
        <w:t> </w:t>
      </w:r>
      <w:r>
        <w:rPr>
          <w:i/>
          <w:iCs/>
        </w:rPr>
        <w:t>British Journal of management</w:t>
      </w:r>
      <w:r>
        <w:t>, </w:t>
      </w:r>
      <w:r>
        <w:rPr>
          <w:i/>
          <w:iCs/>
        </w:rPr>
        <w:t>7</w:t>
      </w:r>
      <w:r>
        <w:t>(4), pp.309-321.</w:t>
      </w:r>
    </w:p>
    <w:p w14:paraId="1C439151" w14:textId="77777777" w:rsidR="001A2399" w:rsidRDefault="001A2399" w:rsidP="001A2399">
      <w:proofErr w:type="spellStart"/>
      <w:r>
        <w:t>Hanel</w:t>
      </w:r>
      <w:proofErr w:type="spellEnd"/>
      <w:r>
        <w:t>, P., (2019</w:t>
      </w:r>
      <w:proofErr w:type="gramStart"/>
      <w:r>
        <w:t>)  Intellectual</w:t>
      </w:r>
      <w:proofErr w:type="gramEnd"/>
      <w:r>
        <w:t xml:space="preserve"> property rights business management practices: A survey of the literature. </w:t>
      </w:r>
      <w:proofErr w:type="spellStart"/>
      <w:r>
        <w:rPr>
          <w:i/>
          <w:iCs/>
        </w:rPr>
        <w:t>Technovation</w:t>
      </w:r>
      <w:proofErr w:type="spellEnd"/>
      <w:r>
        <w:t>, </w:t>
      </w:r>
      <w:r>
        <w:rPr>
          <w:i/>
          <w:iCs/>
        </w:rPr>
        <w:t>26</w:t>
      </w:r>
      <w:r>
        <w:t>(8), pp.895-931.</w:t>
      </w:r>
    </w:p>
    <w:p w14:paraId="672A8C4B" w14:textId="77777777" w:rsidR="001A2399" w:rsidRDefault="001A2399" w:rsidP="001A2399">
      <w:proofErr w:type="spellStart"/>
      <w:r>
        <w:lastRenderedPageBreak/>
        <w:t>Inauen</w:t>
      </w:r>
      <w:proofErr w:type="spellEnd"/>
      <w:r>
        <w:t xml:space="preserve">, A., Jenny, G.J. and Bauer, G.F., (2020) Design principles for data-and change-oriented </w:t>
      </w:r>
      <w:proofErr w:type="spellStart"/>
      <w:r>
        <w:t>organisational</w:t>
      </w:r>
      <w:proofErr w:type="spellEnd"/>
      <w:r>
        <w:t xml:space="preserve"> analysis in workplace health promotion. </w:t>
      </w:r>
      <w:r>
        <w:rPr>
          <w:i/>
          <w:iCs/>
        </w:rPr>
        <w:t>Health Promotion International</w:t>
      </w:r>
      <w:r>
        <w:t>, </w:t>
      </w:r>
      <w:r>
        <w:rPr>
          <w:i/>
          <w:iCs/>
        </w:rPr>
        <w:t>27</w:t>
      </w:r>
      <w:r>
        <w:t>(2), pp.275-283.</w:t>
      </w:r>
    </w:p>
    <w:p w14:paraId="6654F81A" w14:textId="77777777" w:rsidR="001A2399" w:rsidRDefault="001A2399" w:rsidP="001A2399">
      <w:r>
        <w:t>Irani, Z., Love, P.E. and Jones, S., (2018) Learning lessons from evaluating eGovernment: Reflective case experiences that support transformational government. </w:t>
      </w:r>
      <w:r>
        <w:rPr>
          <w:i/>
          <w:iCs/>
        </w:rPr>
        <w:t>The Journal of Strategic Information Systems</w:t>
      </w:r>
      <w:r>
        <w:t>, </w:t>
      </w:r>
      <w:r>
        <w:rPr>
          <w:i/>
          <w:iCs/>
        </w:rPr>
        <w:t>17</w:t>
      </w:r>
      <w:r>
        <w:t>(2), pp.155-164.</w:t>
      </w:r>
    </w:p>
    <w:p w14:paraId="64BEFBFF" w14:textId="77777777" w:rsidR="001A2399" w:rsidRDefault="001A2399" w:rsidP="001A2399">
      <w:proofErr w:type="spellStart"/>
      <w:r>
        <w:t>Irefin</w:t>
      </w:r>
      <w:proofErr w:type="spellEnd"/>
      <w:r>
        <w:t>, P. and Mechanic, M.A., (2019</w:t>
      </w:r>
      <w:proofErr w:type="gramStart"/>
      <w:r>
        <w:t>)  Effect</w:t>
      </w:r>
      <w:proofErr w:type="gramEnd"/>
      <w:r>
        <w:t xml:space="preserve"> of employee commitment on organizational performance in Coca Cola Nigeria Limited Maiduguri, </w:t>
      </w:r>
      <w:proofErr w:type="spellStart"/>
      <w:r>
        <w:t>Borno</w:t>
      </w:r>
      <w:proofErr w:type="spellEnd"/>
      <w:r>
        <w:t xml:space="preserve"> state. </w:t>
      </w:r>
      <w:r>
        <w:rPr>
          <w:i/>
          <w:iCs/>
        </w:rPr>
        <w:t>Journal of Humanities and Social Science</w:t>
      </w:r>
      <w:r>
        <w:t>, </w:t>
      </w:r>
      <w:r>
        <w:rPr>
          <w:i/>
          <w:iCs/>
        </w:rPr>
        <w:t>19</w:t>
      </w:r>
      <w:r>
        <w:t>(3), pp.33-41.</w:t>
      </w:r>
    </w:p>
    <w:p w14:paraId="0DD65DD3" w14:textId="77777777" w:rsidR="001A2399" w:rsidRDefault="001A2399" w:rsidP="001A2399">
      <w:r>
        <w:t xml:space="preserve">Jones, D. and </w:t>
      </w:r>
      <w:proofErr w:type="spellStart"/>
      <w:r>
        <w:t>Stubbe</w:t>
      </w:r>
      <w:proofErr w:type="spellEnd"/>
      <w:r>
        <w:t>, M., (2020</w:t>
      </w:r>
      <w:proofErr w:type="gramStart"/>
      <w:r>
        <w:t>)  Communication</w:t>
      </w:r>
      <w:proofErr w:type="gramEnd"/>
      <w:r>
        <w:t xml:space="preserve"> and the reflective practitioner: A shared perspective from sociolinguistics and </w:t>
      </w:r>
      <w:proofErr w:type="spellStart"/>
      <w:r>
        <w:t>organisational</w:t>
      </w:r>
      <w:proofErr w:type="spellEnd"/>
      <w:r>
        <w:t xml:space="preserve"> communication. </w:t>
      </w:r>
      <w:r>
        <w:rPr>
          <w:i/>
          <w:iCs/>
        </w:rPr>
        <w:t>International Journal of Applied Linguistics</w:t>
      </w:r>
      <w:r>
        <w:t>, </w:t>
      </w:r>
      <w:r>
        <w:rPr>
          <w:i/>
          <w:iCs/>
        </w:rPr>
        <w:t>14</w:t>
      </w:r>
      <w:r>
        <w:t>(2), pp.185-211.</w:t>
      </w:r>
    </w:p>
    <w:p w14:paraId="73DA289D" w14:textId="77777777" w:rsidR="001A2399" w:rsidRDefault="001A2399" w:rsidP="001A2399">
      <w:proofErr w:type="spellStart"/>
      <w:r>
        <w:t>Mottershead</w:t>
      </w:r>
      <w:proofErr w:type="spellEnd"/>
      <w:r>
        <w:t>, D. and Suggitt, S., (2020</w:t>
      </w:r>
      <w:proofErr w:type="gramStart"/>
      <w:r>
        <w:t>)  Developing</w:t>
      </w:r>
      <w:proofErr w:type="gramEnd"/>
      <w:r>
        <w:t xml:space="preserve"> transferable skills: some examples from geomorphology teaching. </w:t>
      </w:r>
      <w:r>
        <w:rPr>
          <w:i/>
          <w:iCs/>
        </w:rPr>
        <w:t>Journal of Geography in Higher Education</w:t>
      </w:r>
      <w:r>
        <w:t>, </w:t>
      </w:r>
      <w:r>
        <w:rPr>
          <w:i/>
          <w:iCs/>
        </w:rPr>
        <w:t>20</w:t>
      </w:r>
      <w:r>
        <w:t>(1), pp.75-82.</w:t>
      </w:r>
    </w:p>
    <w:p w14:paraId="1354FB62" w14:textId="77777777" w:rsidR="001A2399" w:rsidRDefault="001A2399" w:rsidP="001A2399">
      <w:proofErr w:type="spellStart"/>
      <w:r>
        <w:t>Rittle</w:t>
      </w:r>
      <w:proofErr w:type="spellEnd"/>
      <w:r>
        <w:t xml:space="preserve">-Johnson, B. and </w:t>
      </w:r>
      <w:proofErr w:type="spellStart"/>
      <w:r>
        <w:t>Alibali</w:t>
      </w:r>
      <w:proofErr w:type="spellEnd"/>
      <w:r>
        <w:t>, M.W., (2019</w:t>
      </w:r>
      <w:proofErr w:type="gramStart"/>
      <w:r>
        <w:t>)  Conceptual</w:t>
      </w:r>
      <w:proofErr w:type="gramEnd"/>
      <w:r>
        <w:t xml:space="preserve"> and procedural knowledge of mathematics: Does one lead to the other?. </w:t>
      </w:r>
      <w:r>
        <w:rPr>
          <w:i/>
          <w:iCs/>
        </w:rPr>
        <w:t>Journal of educational psychology</w:t>
      </w:r>
      <w:r>
        <w:t>, </w:t>
      </w:r>
      <w:r>
        <w:rPr>
          <w:i/>
          <w:iCs/>
        </w:rPr>
        <w:t>91</w:t>
      </w:r>
      <w:r>
        <w:t>(1), p.175.</w:t>
      </w:r>
    </w:p>
    <w:p w14:paraId="3E3CAB41" w14:textId="77777777" w:rsidR="001A2399" w:rsidRDefault="001A2399" w:rsidP="001A2399">
      <w:proofErr w:type="spellStart"/>
      <w:r>
        <w:t>Xue</w:t>
      </w:r>
      <w:proofErr w:type="spellEnd"/>
      <w:r>
        <w:t>, M. and Harker, P.T., (2018) Customer efficiency: Concept and its impact on e-business management. </w:t>
      </w:r>
      <w:r>
        <w:rPr>
          <w:i/>
          <w:iCs/>
        </w:rPr>
        <w:t>Journal of Service Research</w:t>
      </w:r>
      <w:r>
        <w:t>, </w:t>
      </w:r>
      <w:r>
        <w:rPr>
          <w:i/>
          <w:iCs/>
        </w:rPr>
        <w:t>4</w:t>
      </w:r>
      <w:r>
        <w:t>(4), pp.253-267.</w:t>
      </w:r>
    </w:p>
    <w:p w14:paraId="3882AF7C" w14:textId="77777777" w:rsidR="001A2399" w:rsidRDefault="001A2399" w:rsidP="001A2399">
      <w:proofErr w:type="spellStart"/>
      <w:r>
        <w:t>Gatarik</w:t>
      </w:r>
      <w:proofErr w:type="spellEnd"/>
      <w:r>
        <w:t>, E., (2019</w:t>
      </w:r>
      <w:proofErr w:type="gramStart"/>
      <w:r>
        <w:t>)  The</w:t>
      </w:r>
      <w:proofErr w:type="gramEnd"/>
      <w:r>
        <w:t xml:space="preserve"> value of knowledge sharing in decision-making and </w:t>
      </w:r>
      <w:proofErr w:type="spellStart"/>
      <w:r>
        <w:t>organisational</w:t>
      </w:r>
      <w:proofErr w:type="spellEnd"/>
      <w:r>
        <w:t xml:space="preserve"> development: a model-theoretic systemic analysis of an intervention in an Austrian SME. </w:t>
      </w:r>
      <w:r>
        <w:rPr>
          <w:i/>
          <w:iCs/>
        </w:rPr>
        <w:t>Economic research-</w:t>
      </w:r>
      <w:proofErr w:type="spellStart"/>
      <w:r>
        <w:rPr>
          <w:i/>
          <w:iCs/>
        </w:rPr>
        <w:t>Ekonomska</w:t>
      </w:r>
      <w:proofErr w:type="spellEnd"/>
      <w:r>
        <w:rPr>
          <w:i/>
          <w:iCs/>
        </w:rPr>
        <w:t xml:space="preserve"> </w:t>
      </w:r>
      <w:proofErr w:type="spellStart"/>
      <w:r>
        <w:rPr>
          <w:i/>
          <w:iCs/>
        </w:rPr>
        <w:t>istraživanja</w:t>
      </w:r>
      <w:proofErr w:type="spellEnd"/>
      <w:r>
        <w:t>, </w:t>
      </w:r>
      <w:r>
        <w:rPr>
          <w:i/>
          <w:iCs/>
        </w:rPr>
        <w:t>32</w:t>
      </w:r>
      <w:r>
        <w:t>(1), pp.148-167.</w:t>
      </w:r>
    </w:p>
    <w:p w14:paraId="0892FDD8" w14:textId="77777777" w:rsidR="001A2399" w:rsidRDefault="001A2399" w:rsidP="001A2399">
      <w:r>
        <w:t xml:space="preserve">Fook, J., (2020) Critical reflection and </w:t>
      </w:r>
      <w:proofErr w:type="spellStart"/>
      <w:r>
        <w:t>organisational</w:t>
      </w:r>
      <w:proofErr w:type="spellEnd"/>
      <w:r>
        <w:t xml:space="preserve"> learning and change: A case study. </w:t>
      </w:r>
      <w:r>
        <w:rPr>
          <w:i/>
          <w:iCs/>
        </w:rPr>
        <w:t xml:space="preserve">Social work, critical reflection and the learning </w:t>
      </w:r>
      <w:proofErr w:type="spellStart"/>
      <w:r>
        <w:rPr>
          <w:i/>
          <w:iCs/>
        </w:rPr>
        <w:t>organisation</w:t>
      </w:r>
      <w:proofErr w:type="spellEnd"/>
      <w:r>
        <w:t>, pp.57-73.</w:t>
      </w:r>
    </w:p>
    <w:p w14:paraId="0A20FA20" w14:textId="77777777" w:rsidR="001A2399" w:rsidRDefault="001A2399" w:rsidP="001A2399">
      <w:r>
        <w:t xml:space="preserve">Waddell, A. and Pio, E., (2018) The influence of senior leaders on </w:t>
      </w:r>
      <w:proofErr w:type="spellStart"/>
      <w:r>
        <w:t>organisational</w:t>
      </w:r>
      <w:proofErr w:type="spellEnd"/>
      <w:r>
        <w:t xml:space="preserve"> learning: Insights from the employees’ perspective. </w:t>
      </w:r>
      <w:r>
        <w:rPr>
          <w:i/>
          <w:iCs/>
        </w:rPr>
        <w:t>Management Learning</w:t>
      </w:r>
      <w:r>
        <w:t>, </w:t>
      </w:r>
      <w:r>
        <w:rPr>
          <w:i/>
          <w:iCs/>
        </w:rPr>
        <w:t>46</w:t>
      </w:r>
      <w:r>
        <w:t>(4), pp.461-478.</w:t>
      </w:r>
    </w:p>
    <w:p w14:paraId="2E284903" w14:textId="77777777" w:rsidR="001A2399" w:rsidRDefault="001A2399" w:rsidP="001A2399"/>
    <w:p w14:paraId="77DB98B8" w14:textId="77777777" w:rsidR="007D1102" w:rsidRDefault="007D1102"/>
    <w:sectPr w:rsidR="007D11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DE7"/>
    <w:rsid w:val="001A2399"/>
    <w:rsid w:val="007D1102"/>
    <w:rsid w:val="007E1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B223AF-6AF6-4947-849D-2D5091F76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399"/>
    <w:pPr>
      <w:spacing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1A2399"/>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399"/>
    <w:rPr>
      <w:rFonts w:ascii="Times New Roman" w:eastAsiaTheme="majorEastAsia" w:hAnsi="Times New Roman" w:cstheme="majorBidi"/>
      <w:b/>
      <w:color w:val="000000" w:themeColor="text1"/>
      <w:sz w:val="24"/>
      <w:szCs w:val="32"/>
      <w:lang w:val="en-US"/>
    </w:rPr>
  </w:style>
  <w:style w:type="character" w:styleId="Hyperlink">
    <w:name w:val="Hyperlink"/>
    <w:basedOn w:val="DefaultParagraphFont"/>
    <w:uiPriority w:val="99"/>
    <w:semiHidden/>
    <w:unhideWhenUsed/>
    <w:rsid w:val="001A2399"/>
    <w:rPr>
      <w:color w:val="0563C1" w:themeColor="hyperlink"/>
      <w:u w:val="single"/>
    </w:rPr>
  </w:style>
  <w:style w:type="paragraph" w:styleId="TOC1">
    <w:name w:val="toc 1"/>
    <w:basedOn w:val="Normal"/>
    <w:next w:val="Normal"/>
    <w:autoRedefine/>
    <w:uiPriority w:val="39"/>
    <w:semiHidden/>
    <w:unhideWhenUsed/>
    <w:rsid w:val="001A2399"/>
    <w:pPr>
      <w:spacing w:after="100"/>
    </w:pPr>
  </w:style>
  <w:style w:type="paragraph" w:styleId="TOCHeading">
    <w:name w:val="TOC Heading"/>
    <w:basedOn w:val="Heading1"/>
    <w:next w:val="Normal"/>
    <w:uiPriority w:val="39"/>
    <w:semiHidden/>
    <w:unhideWhenUsed/>
    <w:qFormat/>
    <w:rsid w:val="001A2399"/>
    <w:pPr>
      <w:spacing w:line="256" w:lineRule="auto"/>
      <w:jc w:val="left"/>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05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esev\Downloads\Community%20Engagement%20(LCBB4002)%20Assessment%202%20Iva%20(1).doc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desev\Downloads\Community%20Engagement%20(LCBB4002)%20Assessment%202%20Iva%20(1).docx" TargetMode="External"/><Relationship Id="rId12" Type="http://schemas.openxmlformats.org/officeDocument/2006/relationships/hyperlink" Target="file:///C:\Users\desev\Downloads\Community%20Engagement%20(LCBB4002)%20Assessment%202%20Iva%20(1).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desev\Downloads\Community%20Engagement%20(LCBB4002)%20Assessment%202%20Iva%20(1).docx" TargetMode="External"/><Relationship Id="rId11" Type="http://schemas.openxmlformats.org/officeDocument/2006/relationships/hyperlink" Target="file:///C:\Users\desev\Downloads\Community%20Engagement%20(LCBB4002)%20Assessment%202%20Iva%20(1).docx" TargetMode="External"/><Relationship Id="rId5" Type="http://schemas.openxmlformats.org/officeDocument/2006/relationships/hyperlink" Target="file:///C:\Users\desev\Downloads\Community%20Engagement%20(LCBB4002)%20Assessment%202%20Iva%20(1).docx" TargetMode="External"/><Relationship Id="rId10" Type="http://schemas.openxmlformats.org/officeDocument/2006/relationships/hyperlink" Target="file:///C:\Users\desev\Downloads\Community%20Engagement%20(LCBB4002)%20Assessment%202%20Iva%20(1).docx" TargetMode="External"/><Relationship Id="rId4" Type="http://schemas.openxmlformats.org/officeDocument/2006/relationships/hyperlink" Target="file:///C:\Users\desev\Downloads\Community%20Engagement%20(LCBB4002)%20Assessment%202%20Iva%20(1).docx" TargetMode="External"/><Relationship Id="rId9" Type="http://schemas.openxmlformats.org/officeDocument/2006/relationships/hyperlink" Target="file:///C:\Users\desev\Downloads\Community%20Engagement%20(LCBB4002)%20Assessment%202%20Iva%20(1).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Desevova (2027510)</dc:creator>
  <cp:keywords/>
  <dc:description/>
  <cp:lastModifiedBy>Ivana Desevova (2027510)</cp:lastModifiedBy>
  <cp:revision>2</cp:revision>
  <dcterms:created xsi:type="dcterms:W3CDTF">2021-11-24T20:47:00Z</dcterms:created>
  <dcterms:modified xsi:type="dcterms:W3CDTF">2021-11-24T20:48:00Z</dcterms:modified>
</cp:coreProperties>
</file>