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90210" w14:textId="77777777" w:rsidR="008E5D39" w:rsidRDefault="008E5D39"/>
    <w:p w14:paraId="1AF0FEE6" w14:textId="77777777" w:rsidR="008E6CD1" w:rsidRDefault="008E6CD1"/>
    <w:p w14:paraId="2A6F844A" w14:textId="77777777" w:rsidR="008E6CD1" w:rsidRDefault="008E6CD1"/>
    <w:p w14:paraId="1332D058" w14:textId="77777777" w:rsidR="008E6CD1" w:rsidRDefault="008E6CD1"/>
    <w:p w14:paraId="1F6F820F" w14:textId="77777777" w:rsidR="008E6CD1" w:rsidRDefault="008E6CD1"/>
    <w:p w14:paraId="13DD34DF" w14:textId="77777777" w:rsidR="008E6CD1" w:rsidRDefault="008E6CD1"/>
    <w:p w14:paraId="28420410" w14:textId="77777777" w:rsidR="008E6CD1" w:rsidRDefault="008E6CD1"/>
    <w:p w14:paraId="7AA58BC2" w14:textId="16D17D24" w:rsidR="008E6CD1" w:rsidRDefault="000F10DF" w:rsidP="000F10DF">
      <w:pPr>
        <w:rPr>
          <w:rFonts w:ascii="Times New Roman" w:hAnsi="Times New Roman" w:cs="Times New Roman"/>
          <w:b/>
          <w:sz w:val="56"/>
          <w:szCs w:val="56"/>
        </w:rPr>
      </w:pPr>
      <w:r>
        <w:rPr>
          <w:rFonts w:ascii="Times New Roman" w:hAnsi="Times New Roman" w:cs="Times New Roman"/>
          <w:b/>
          <w:sz w:val="56"/>
          <w:szCs w:val="56"/>
        </w:rPr>
        <w:t xml:space="preserve">           </w:t>
      </w:r>
      <w:r w:rsidR="009D6962" w:rsidRPr="008E6CD1">
        <w:rPr>
          <w:rFonts w:ascii="Times New Roman" w:hAnsi="Times New Roman" w:cs="Times New Roman"/>
          <w:b/>
          <w:sz w:val="56"/>
          <w:szCs w:val="56"/>
        </w:rPr>
        <w:t>Criminal Litigation.</w:t>
      </w:r>
    </w:p>
    <w:p w14:paraId="0716D010" w14:textId="3BDFAA08" w:rsidR="000F10DF" w:rsidRDefault="000F10DF" w:rsidP="000F10DF">
      <w:pPr>
        <w:rPr>
          <w:rFonts w:ascii="Times New Roman" w:hAnsi="Times New Roman" w:cs="Times New Roman"/>
          <w:b/>
          <w:sz w:val="56"/>
          <w:szCs w:val="56"/>
        </w:rPr>
      </w:pPr>
      <w:r>
        <w:rPr>
          <w:rFonts w:ascii="Times New Roman" w:hAnsi="Times New Roman" w:cs="Times New Roman"/>
          <w:b/>
          <w:sz w:val="56"/>
          <w:szCs w:val="56"/>
        </w:rPr>
        <w:t xml:space="preserve">           </w:t>
      </w:r>
    </w:p>
    <w:p w14:paraId="1EB4E479" w14:textId="700F99A3" w:rsidR="00DA5B41" w:rsidRPr="00DA5B41" w:rsidRDefault="000F10DF" w:rsidP="00DA5B41">
      <w:pPr>
        <w:rPr>
          <w:rFonts w:ascii="Arial" w:eastAsia="Times New Roman" w:hAnsi="Arial" w:cs="Arial"/>
          <w:b/>
          <w:bCs/>
          <w:sz w:val="24"/>
          <w:szCs w:val="24"/>
          <w:lang w:val="en-GB" w:eastAsia="en-GB"/>
        </w:rPr>
      </w:pPr>
      <w:r>
        <w:rPr>
          <w:rFonts w:ascii="Times New Roman" w:hAnsi="Times New Roman" w:cs="Times New Roman"/>
          <w:b/>
          <w:sz w:val="24"/>
          <w:szCs w:val="24"/>
        </w:rPr>
        <w:t xml:space="preserve">        </w:t>
      </w:r>
      <w:r w:rsidR="00DA5B41">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DA5B41" w:rsidRPr="00DA5B41">
        <w:rPr>
          <w:rFonts w:ascii="Arial" w:eastAsia="Times New Roman" w:hAnsi="Arial" w:cs="Arial"/>
          <w:b/>
          <w:bCs/>
          <w:sz w:val="24"/>
          <w:szCs w:val="24"/>
          <w:lang w:val="en-GB" w:eastAsia="en-GB"/>
        </w:rPr>
        <w:t>TO: Thomas Trinity</w:t>
      </w:r>
    </w:p>
    <w:p w14:paraId="1CADB0A1" w14:textId="77777777" w:rsidR="00DA5B41" w:rsidRPr="00DA5B41" w:rsidRDefault="00DA5B41" w:rsidP="00DA5B41">
      <w:pPr>
        <w:spacing w:after="0" w:line="240" w:lineRule="auto"/>
        <w:rPr>
          <w:rFonts w:ascii="Arial" w:eastAsia="Times New Roman" w:hAnsi="Arial" w:cs="Arial"/>
          <w:b/>
          <w:bCs/>
          <w:sz w:val="24"/>
          <w:szCs w:val="24"/>
          <w:lang w:val="en-GB" w:eastAsia="en-GB"/>
        </w:rPr>
      </w:pPr>
    </w:p>
    <w:p w14:paraId="4E5DCC95" w14:textId="4101FA79" w:rsidR="00DA5B41" w:rsidRPr="00DA5B41" w:rsidRDefault="00DA5B41" w:rsidP="00DA5B41">
      <w:pPr>
        <w:spacing w:after="0" w:line="240" w:lineRule="auto"/>
        <w:rPr>
          <w:rFonts w:ascii="Arial" w:eastAsia="Times New Roman" w:hAnsi="Arial" w:cs="Arial"/>
          <w:b/>
          <w:bCs/>
          <w:sz w:val="24"/>
          <w:szCs w:val="24"/>
          <w:lang w:val="en-GB" w:eastAsia="en-GB"/>
        </w:rPr>
      </w:pPr>
      <w:r w:rsidRPr="00DA5B41">
        <w:rPr>
          <w:rFonts w:ascii="Arial" w:eastAsia="Times New Roman" w:hAnsi="Arial" w:cs="Arial"/>
          <w:b/>
          <w:bCs/>
          <w:sz w:val="24"/>
          <w:szCs w:val="24"/>
          <w:lang w:val="en-GB" w:eastAsia="en-GB"/>
        </w:rPr>
        <w:t xml:space="preserve">FROM: </w:t>
      </w:r>
      <w:r>
        <w:rPr>
          <w:rFonts w:ascii="Arial" w:eastAsia="Times New Roman" w:hAnsi="Arial" w:cs="Arial"/>
          <w:b/>
          <w:bCs/>
          <w:sz w:val="24"/>
          <w:szCs w:val="24"/>
          <w:lang w:val="en-GB" w:eastAsia="en-GB"/>
        </w:rPr>
        <w:t>Carmen Elena Ciobanu</w:t>
      </w:r>
    </w:p>
    <w:p w14:paraId="7F7E3D87" w14:textId="22BF1075" w:rsidR="00DA5B41" w:rsidRPr="00DA5B41" w:rsidRDefault="00DA5B41" w:rsidP="00DA5B41">
      <w:pPr>
        <w:spacing w:after="0" w:line="240" w:lineRule="auto"/>
        <w:rPr>
          <w:rFonts w:ascii="Arial" w:eastAsia="Times New Roman" w:hAnsi="Arial" w:cs="Arial"/>
          <w:b/>
          <w:bCs/>
          <w:sz w:val="24"/>
          <w:szCs w:val="24"/>
          <w:lang w:val="en-GB" w:eastAsia="en-GB"/>
        </w:rPr>
      </w:pPr>
      <w:r>
        <w:rPr>
          <w:rFonts w:ascii="Arial" w:eastAsia="Times New Roman" w:hAnsi="Arial" w:cs="Arial"/>
          <w:b/>
          <w:bCs/>
          <w:sz w:val="24"/>
          <w:szCs w:val="24"/>
          <w:lang w:val="en-GB" w:eastAsia="en-GB"/>
        </w:rPr>
        <w:t>Student ID:2217115</w:t>
      </w:r>
    </w:p>
    <w:p w14:paraId="290B563C" w14:textId="77777777" w:rsidR="00DA5B41" w:rsidRPr="00DA5B41" w:rsidRDefault="00DA5B41" w:rsidP="00DA5B41">
      <w:pPr>
        <w:spacing w:after="0" w:line="240" w:lineRule="auto"/>
        <w:rPr>
          <w:rFonts w:ascii="Arial" w:eastAsia="Times New Roman" w:hAnsi="Arial" w:cs="Arial"/>
          <w:b/>
          <w:bCs/>
          <w:sz w:val="24"/>
          <w:szCs w:val="24"/>
          <w:lang w:val="en-GB" w:eastAsia="en-GB"/>
        </w:rPr>
      </w:pPr>
      <w:r w:rsidRPr="00DA5B41">
        <w:rPr>
          <w:rFonts w:ascii="Arial" w:eastAsia="Times New Roman" w:hAnsi="Arial" w:cs="Arial"/>
          <w:b/>
          <w:bCs/>
          <w:sz w:val="24"/>
          <w:szCs w:val="24"/>
          <w:lang w:val="en-GB" w:eastAsia="en-GB"/>
        </w:rPr>
        <w:t>MATTER: The case of SARAH JONES</w:t>
      </w:r>
    </w:p>
    <w:p w14:paraId="32F80EBE" w14:textId="77777777" w:rsidR="00DA5B41" w:rsidRPr="00DA5B41" w:rsidRDefault="00DA5B41" w:rsidP="00DA5B41">
      <w:pPr>
        <w:spacing w:after="0" w:line="240" w:lineRule="auto"/>
        <w:rPr>
          <w:rFonts w:ascii="Arial" w:eastAsia="Times New Roman" w:hAnsi="Arial" w:cs="Arial"/>
          <w:b/>
          <w:bCs/>
          <w:sz w:val="24"/>
          <w:szCs w:val="24"/>
          <w:lang w:val="en-GB" w:eastAsia="en-GB"/>
        </w:rPr>
      </w:pPr>
    </w:p>
    <w:p w14:paraId="715A6BC8" w14:textId="6D8AB266" w:rsidR="00DA5B41" w:rsidRPr="00DA5B41" w:rsidRDefault="00DA5B41" w:rsidP="00DA5B41">
      <w:pPr>
        <w:spacing w:after="0" w:line="240" w:lineRule="auto"/>
        <w:rPr>
          <w:rFonts w:ascii="Arial" w:eastAsia="Times New Roman" w:hAnsi="Arial" w:cs="Arial"/>
          <w:b/>
          <w:bCs/>
          <w:sz w:val="24"/>
          <w:szCs w:val="24"/>
          <w:lang w:val="en-GB" w:eastAsia="en-GB"/>
        </w:rPr>
      </w:pPr>
      <w:r w:rsidRPr="00DA5B41">
        <w:rPr>
          <w:rFonts w:ascii="Arial" w:eastAsia="Times New Roman" w:hAnsi="Arial" w:cs="Arial"/>
          <w:b/>
          <w:bCs/>
          <w:sz w:val="24"/>
          <w:szCs w:val="24"/>
          <w:lang w:val="en-GB" w:eastAsia="en-GB"/>
        </w:rPr>
        <w:t xml:space="preserve">DATE: </w:t>
      </w:r>
      <w:r>
        <w:rPr>
          <w:rFonts w:ascii="Arial" w:eastAsia="Times New Roman" w:hAnsi="Arial" w:cs="Arial"/>
          <w:b/>
          <w:bCs/>
          <w:sz w:val="24"/>
          <w:szCs w:val="24"/>
          <w:lang w:val="en-GB" w:eastAsia="en-GB"/>
        </w:rPr>
        <w:t>11.11.2022</w:t>
      </w:r>
    </w:p>
    <w:p w14:paraId="34E5D2EA" w14:textId="77777777" w:rsidR="00DA5B41" w:rsidRPr="00DA5B41" w:rsidRDefault="00DA5B41" w:rsidP="00DA5B41">
      <w:pPr>
        <w:spacing w:after="0" w:line="240" w:lineRule="auto"/>
        <w:rPr>
          <w:rFonts w:ascii="Arial" w:eastAsia="Times New Roman" w:hAnsi="Arial" w:cs="Arial"/>
          <w:b/>
          <w:bCs/>
          <w:sz w:val="24"/>
          <w:szCs w:val="24"/>
          <w:lang w:val="en-GB" w:eastAsia="en-GB"/>
        </w:rPr>
      </w:pPr>
    </w:p>
    <w:p w14:paraId="6FD92D34" w14:textId="77777777" w:rsidR="00DA5B41" w:rsidRPr="00DA5B41" w:rsidRDefault="00DA5B41" w:rsidP="00DA5B41">
      <w:pPr>
        <w:spacing w:after="0" w:line="240" w:lineRule="auto"/>
        <w:rPr>
          <w:rFonts w:ascii="Arial" w:eastAsia="Times New Roman" w:hAnsi="Arial" w:cs="Arial"/>
          <w:b/>
          <w:bCs/>
          <w:sz w:val="24"/>
          <w:szCs w:val="24"/>
          <w:lang w:val="en-GB" w:eastAsia="en-GB"/>
        </w:rPr>
      </w:pPr>
    </w:p>
    <w:p w14:paraId="79A807B1" w14:textId="77777777" w:rsidR="00DA5B41" w:rsidRPr="00DA5B41" w:rsidRDefault="00DA5B41" w:rsidP="00DA5B41">
      <w:pPr>
        <w:spacing w:after="0" w:line="240" w:lineRule="auto"/>
        <w:rPr>
          <w:rFonts w:ascii="Arial" w:eastAsia="Times New Roman" w:hAnsi="Arial" w:cs="Arial"/>
          <w:b/>
          <w:bCs/>
          <w:sz w:val="24"/>
          <w:szCs w:val="24"/>
          <w:lang w:val="en-GB" w:eastAsia="en-GB"/>
        </w:rPr>
      </w:pPr>
      <w:r w:rsidRPr="00DA5B41">
        <w:rPr>
          <w:rFonts w:ascii="Arial" w:eastAsia="Times New Roman" w:hAnsi="Arial" w:cs="Arial"/>
          <w:b/>
          <w:bCs/>
          <w:sz w:val="24"/>
          <w:szCs w:val="24"/>
          <w:lang w:val="en-GB" w:eastAsia="en-GB"/>
        </w:rPr>
        <w:t xml:space="preserve">This is the case of Miss Sarah Jones. </w:t>
      </w:r>
    </w:p>
    <w:p w14:paraId="3E3C0F68" w14:textId="77777777" w:rsidR="00DA5B41" w:rsidRPr="00DA5B41" w:rsidRDefault="00DA5B41" w:rsidP="00DA5B41">
      <w:pPr>
        <w:spacing w:after="0" w:line="240" w:lineRule="auto"/>
        <w:rPr>
          <w:rFonts w:ascii="Arial" w:eastAsia="Times New Roman" w:hAnsi="Arial" w:cs="Arial"/>
          <w:b/>
          <w:bCs/>
          <w:sz w:val="24"/>
          <w:szCs w:val="24"/>
          <w:lang w:val="en-GB" w:eastAsia="en-GB"/>
        </w:rPr>
      </w:pPr>
      <w:r w:rsidRPr="00DA5B41">
        <w:rPr>
          <w:rFonts w:ascii="Arial" w:eastAsia="Times New Roman" w:hAnsi="Arial" w:cs="Arial"/>
          <w:b/>
          <w:bCs/>
          <w:sz w:val="24"/>
          <w:szCs w:val="24"/>
          <w:lang w:val="en-GB" w:eastAsia="en-GB"/>
        </w:rPr>
        <w:t>I will set out below the following….</w:t>
      </w:r>
    </w:p>
    <w:p w14:paraId="2127D73C" w14:textId="77777777" w:rsidR="00DA5B41" w:rsidRPr="00DA5B41" w:rsidRDefault="00DA5B41" w:rsidP="00DA5B41">
      <w:pPr>
        <w:spacing w:after="0" w:line="240" w:lineRule="auto"/>
        <w:ind w:left="720"/>
        <w:rPr>
          <w:rFonts w:ascii="Arial" w:eastAsia="Times New Roman" w:hAnsi="Arial" w:cs="Arial"/>
          <w:sz w:val="24"/>
          <w:szCs w:val="24"/>
          <w:lang w:val="en-GB" w:eastAsia="en-GB"/>
        </w:rPr>
      </w:pPr>
    </w:p>
    <w:p w14:paraId="3BEF99B2" w14:textId="1078D318" w:rsidR="008E6CD1" w:rsidRPr="000F10DF" w:rsidRDefault="000F10DF" w:rsidP="008E6CD1">
      <w:pPr>
        <w:jc w:val="both"/>
        <w:rPr>
          <w:rFonts w:ascii="Times New Roman" w:hAnsi="Times New Roman" w:cs="Times New Roman"/>
          <w:b/>
          <w:sz w:val="36"/>
          <w:szCs w:val="36"/>
        </w:rPr>
      </w:pPr>
      <w:r>
        <w:rPr>
          <w:rFonts w:ascii="Times New Roman" w:hAnsi="Times New Roman" w:cs="Times New Roman"/>
          <w:b/>
          <w:sz w:val="24"/>
          <w:szCs w:val="24"/>
        </w:rPr>
        <w:t xml:space="preserve">           </w:t>
      </w:r>
    </w:p>
    <w:p w14:paraId="71E82431" w14:textId="77777777" w:rsidR="008E6CD1" w:rsidRDefault="008E6CD1" w:rsidP="008E6CD1">
      <w:pPr>
        <w:jc w:val="both"/>
        <w:rPr>
          <w:rFonts w:ascii="Times New Roman" w:hAnsi="Times New Roman" w:cs="Times New Roman"/>
          <w:b/>
          <w:sz w:val="24"/>
          <w:szCs w:val="24"/>
        </w:rPr>
      </w:pPr>
    </w:p>
    <w:p w14:paraId="71C16688" w14:textId="77777777" w:rsidR="008E6CD1" w:rsidRDefault="008E6CD1" w:rsidP="008E6CD1">
      <w:pPr>
        <w:jc w:val="both"/>
        <w:rPr>
          <w:rFonts w:ascii="Times New Roman" w:hAnsi="Times New Roman" w:cs="Times New Roman"/>
          <w:b/>
          <w:sz w:val="24"/>
          <w:szCs w:val="24"/>
        </w:rPr>
      </w:pPr>
    </w:p>
    <w:p w14:paraId="23875DA1" w14:textId="77777777" w:rsidR="008E6CD1" w:rsidRDefault="008E6CD1" w:rsidP="008E6CD1">
      <w:pPr>
        <w:jc w:val="both"/>
        <w:rPr>
          <w:rFonts w:ascii="Times New Roman" w:hAnsi="Times New Roman" w:cs="Times New Roman"/>
          <w:b/>
          <w:sz w:val="24"/>
          <w:szCs w:val="24"/>
        </w:rPr>
      </w:pPr>
    </w:p>
    <w:p w14:paraId="1B1FA476" w14:textId="77777777" w:rsidR="008E6CD1" w:rsidRDefault="008E6CD1" w:rsidP="008E6CD1">
      <w:pPr>
        <w:jc w:val="both"/>
        <w:rPr>
          <w:rFonts w:ascii="Times New Roman" w:hAnsi="Times New Roman" w:cs="Times New Roman"/>
          <w:b/>
          <w:sz w:val="24"/>
          <w:szCs w:val="24"/>
        </w:rPr>
      </w:pPr>
    </w:p>
    <w:p w14:paraId="27F4F479" w14:textId="77777777" w:rsidR="008E6CD1" w:rsidRDefault="008E6CD1" w:rsidP="008E6CD1">
      <w:pPr>
        <w:jc w:val="both"/>
        <w:rPr>
          <w:rFonts w:ascii="Times New Roman" w:hAnsi="Times New Roman" w:cs="Times New Roman"/>
          <w:b/>
          <w:sz w:val="24"/>
          <w:szCs w:val="24"/>
        </w:rPr>
      </w:pPr>
    </w:p>
    <w:p w14:paraId="7B5382DF" w14:textId="77777777" w:rsidR="008E6CD1" w:rsidRDefault="008E6CD1" w:rsidP="008E6CD1">
      <w:pPr>
        <w:jc w:val="both"/>
        <w:rPr>
          <w:rFonts w:ascii="Times New Roman" w:hAnsi="Times New Roman" w:cs="Times New Roman"/>
          <w:b/>
          <w:sz w:val="24"/>
          <w:szCs w:val="24"/>
        </w:rPr>
      </w:pPr>
    </w:p>
    <w:p w14:paraId="4DD098B3" w14:textId="77777777" w:rsidR="008E6CD1" w:rsidRDefault="008E6CD1" w:rsidP="008E6CD1">
      <w:pPr>
        <w:jc w:val="both"/>
        <w:rPr>
          <w:rFonts w:ascii="Times New Roman" w:hAnsi="Times New Roman" w:cs="Times New Roman"/>
          <w:b/>
          <w:sz w:val="24"/>
          <w:szCs w:val="24"/>
        </w:rPr>
      </w:pPr>
    </w:p>
    <w:p w14:paraId="567EF640" w14:textId="77777777" w:rsidR="008E6CD1" w:rsidRDefault="008E6CD1" w:rsidP="008E6CD1">
      <w:pPr>
        <w:jc w:val="both"/>
        <w:rPr>
          <w:rFonts w:ascii="Times New Roman" w:hAnsi="Times New Roman" w:cs="Times New Roman"/>
          <w:b/>
          <w:sz w:val="24"/>
          <w:szCs w:val="24"/>
        </w:rPr>
      </w:pPr>
    </w:p>
    <w:p w14:paraId="5FB9CC51" w14:textId="77777777" w:rsidR="008E6CD1" w:rsidRDefault="008E6CD1" w:rsidP="008E6CD1">
      <w:pPr>
        <w:jc w:val="both"/>
        <w:rPr>
          <w:rFonts w:ascii="Times New Roman" w:hAnsi="Times New Roman" w:cs="Times New Roman"/>
          <w:b/>
          <w:sz w:val="24"/>
          <w:szCs w:val="24"/>
        </w:rPr>
      </w:pPr>
    </w:p>
    <w:p w14:paraId="75E01BCF" w14:textId="77777777" w:rsidR="008E6CD1" w:rsidRDefault="008E6CD1" w:rsidP="008E6CD1">
      <w:pPr>
        <w:jc w:val="both"/>
        <w:rPr>
          <w:rFonts w:ascii="Times New Roman" w:hAnsi="Times New Roman" w:cs="Times New Roman"/>
          <w:b/>
          <w:sz w:val="24"/>
          <w:szCs w:val="24"/>
        </w:rPr>
      </w:pPr>
    </w:p>
    <w:p w14:paraId="3197D2FB" w14:textId="77777777" w:rsidR="008E6CD1" w:rsidRDefault="008E6CD1" w:rsidP="008E6CD1">
      <w:pPr>
        <w:jc w:val="both"/>
        <w:rPr>
          <w:rFonts w:ascii="Times New Roman" w:hAnsi="Times New Roman" w:cs="Times New Roman"/>
          <w:b/>
          <w:sz w:val="24"/>
          <w:szCs w:val="24"/>
        </w:rPr>
      </w:pPr>
    </w:p>
    <w:p w14:paraId="2885A78C" w14:textId="77777777" w:rsidR="008E6CD1" w:rsidRDefault="008E6CD1" w:rsidP="008E6CD1">
      <w:pPr>
        <w:jc w:val="both"/>
        <w:rPr>
          <w:rFonts w:ascii="Times New Roman" w:hAnsi="Times New Roman" w:cs="Times New Roman"/>
          <w:b/>
          <w:sz w:val="24"/>
          <w:szCs w:val="24"/>
        </w:rPr>
      </w:pPr>
    </w:p>
    <w:p w14:paraId="2A7980D3" w14:textId="77777777" w:rsidR="008E6CD1" w:rsidRDefault="008E6CD1" w:rsidP="008E6CD1">
      <w:pPr>
        <w:jc w:val="both"/>
        <w:rPr>
          <w:rFonts w:ascii="Times New Roman" w:hAnsi="Times New Roman" w:cs="Times New Roman"/>
          <w:b/>
          <w:sz w:val="24"/>
          <w:szCs w:val="24"/>
        </w:rPr>
      </w:pPr>
    </w:p>
    <w:p w14:paraId="124FE5C3" w14:textId="77777777" w:rsidR="008E6CD1" w:rsidRDefault="009D6962" w:rsidP="008E6CD1">
      <w:pPr>
        <w:pStyle w:val="Heading1"/>
        <w:spacing w:line="360" w:lineRule="auto"/>
        <w:jc w:val="both"/>
        <w:rPr>
          <w:rFonts w:ascii="Times New Roman" w:hAnsi="Times New Roman" w:cs="Times New Roman"/>
        </w:rPr>
      </w:pPr>
      <w:r w:rsidRPr="008E6CD1">
        <w:rPr>
          <w:rFonts w:ascii="Times New Roman" w:hAnsi="Times New Roman" w:cs="Times New Roman"/>
        </w:rPr>
        <w:t>Preparing a comprehensive internal memorandum to advise the client regarding this criminal litigation:</w:t>
      </w:r>
    </w:p>
    <w:p w14:paraId="1E2E2BC7" w14:textId="77777777" w:rsidR="008E6CD1" w:rsidRPr="00415230" w:rsidRDefault="009D6962" w:rsidP="00415230">
      <w:pPr>
        <w:spacing w:line="360" w:lineRule="auto"/>
        <w:jc w:val="both"/>
        <w:rPr>
          <w:rFonts w:ascii="Times New Roman" w:hAnsi="Times New Roman" w:cs="Times New Roman"/>
          <w:sz w:val="24"/>
          <w:szCs w:val="24"/>
        </w:rPr>
      </w:pPr>
      <w:r w:rsidRPr="00415230">
        <w:rPr>
          <w:rFonts w:ascii="Times New Roman" w:hAnsi="Times New Roman" w:cs="Times New Roman"/>
          <w:sz w:val="24"/>
          <w:szCs w:val="24"/>
        </w:rPr>
        <w:t>According to the law, a person regarding his/her position will be punished for committing a crime where a third party will be injured for his/her action or will incur a loss. So, every country has its own codes of laws and regulations to punish the culprit or solve any critical situation that may arise from criminal activity</w:t>
      </w:r>
      <w:r w:rsidR="00442774" w:rsidRPr="00415230">
        <w:rPr>
          <w:rFonts w:ascii="Times New Roman" w:hAnsi="Times New Roman" w:cs="Times New Roman"/>
          <w:sz w:val="24"/>
          <w:szCs w:val="24"/>
        </w:rPr>
        <w:t xml:space="preserve"> (Rainer, 2018)</w:t>
      </w:r>
      <w:r w:rsidRPr="00415230">
        <w:rPr>
          <w:rFonts w:ascii="Times New Roman" w:hAnsi="Times New Roman" w:cs="Times New Roman"/>
          <w:sz w:val="24"/>
          <w:szCs w:val="24"/>
        </w:rPr>
        <w:t>. Here, the criminal act 1953 is described to explain the set of laws related to the given case. Here, Miss Sarah Jones was charged with stealing a Gucci handbag valued at £5000 where she claimed that she wasn't stealing that bag rather Miss Nora Davies imposed this false litigation upon her. Here, the codes of law are explained.</w:t>
      </w:r>
    </w:p>
    <w:p w14:paraId="6C524523" w14:textId="77777777" w:rsidR="00274E0A" w:rsidRPr="00415230" w:rsidRDefault="009D6962" w:rsidP="00415230">
      <w:pPr>
        <w:spacing w:line="360" w:lineRule="auto"/>
        <w:jc w:val="both"/>
        <w:rPr>
          <w:rFonts w:ascii="Times New Roman" w:hAnsi="Times New Roman" w:cs="Times New Roman"/>
          <w:sz w:val="24"/>
          <w:szCs w:val="24"/>
          <w:shd w:val="clear" w:color="auto" w:fill="FFFFFF"/>
        </w:rPr>
      </w:pPr>
      <w:r w:rsidRPr="00415230">
        <w:rPr>
          <w:rFonts w:ascii="Times New Roman" w:hAnsi="Times New Roman" w:cs="Times New Roman"/>
          <w:sz w:val="24"/>
          <w:szCs w:val="24"/>
        </w:rPr>
        <w:t>A person is defined as theft or criminal if he/she dishonestly committed a criminal activity and steal that appropriate property belonging to another with the dishonest intention to deprive the owner of getting benefits of that property. Moreover, criminal activity should have occurred with the intention of getting benefits or ownership of the property</w:t>
      </w:r>
      <w:r w:rsidR="00442774" w:rsidRPr="00415230">
        <w:rPr>
          <w:rFonts w:ascii="Times New Roman" w:hAnsi="Times New Roman" w:cs="Times New Roman"/>
          <w:sz w:val="24"/>
          <w:szCs w:val="24"/>
        </w:rPr>
        <w:t xml:space="preserve"> (Patrão Neves, 2021)</w:t>
      </w:r>
      <w:r w:rsidRPr="00415230">
        <w:rPr>
          <w:rFonts w:ascii="Times New Roman" w:hAnsi="Times New Roman" w:cs="Times New Roman"/>
          <w:sz w:val="24"/>
          <w:szCs w:val="24"/>
        </w:rPr>
        <w:t>. On the eve, the full meaning of this above sentence is explained here to give the proper meaning of the laws. Here, the appropriation of property belonging to the tired party will not be regarded as dishonesty if the person appropriates the property on the behalf of that third person or with the belief that he/she has the legal right to deprive other parties of the proper</w:t>
      </w:r>
      <w:r w:rsidR="00442774" w:rsidRPr="00415230">
        <w:rPr>
          <w:rFonts w:ascii="Times New Roman" w:hAnsi="Times New Roman" w:cs="Times New Roman"/>
          <w:sz w:val="24"/>
          <w:szCs w:val="24"/>
        </w:rPr>
        <w:t xml:space="preserve"> (Ten Have, 2021)</w:t>
      </w:r>
      <w:r w:rsidRPr="00415230">
        <w:rPr>
          <w:rFonts w:ascii="Times New Roman" w:hAnsi="Times New Roman" w:cs="Times New Roman"/>
          <w:sz w:val="24"/>
          <w:szCs w:val="24"/>
        </w:rPr>
        <w:t>.  The above case doesn't fall in both of these sections because neither Miss Sarah Jones has a legal right to the handbag nor she appropriated the handbag in the belief that she has the right to deprive the other party or the owner of the bag. Next, the "Appropriates" is the act of transferring any property to another person with the belief that it will generate value for the person who has an interest in the property</w:t>
      </w:r>
      <w:r w:rsidR="00442774" w:rsidRPr="00415230">
        <w:rPr>
          <w:rFonts w:ascii="Times New Roman" w:hAnsi="Times New Roman" w:cs="Times New Roman"/>
          <w:sz w:val="24"/>
          <w:szCs w:val="24"/>
        </w:rPr>
        <w:t xml:space="preserve"> (Macedo, 2020)</w:t>
      </w:r>
      <w:r w:rsidRPr="00415230">
        <w:rPr>
          <w:rFonts w:ascii="Times New Roman" w:hAnsi="Times New Roman" w:cs="Times New Roman"/>
          <w:sz w:val="24"/>
          <w:szCs w:val="24"/>
        </w:rPr>
        <w:t>. Here the assumption is that</w:t>
      </w:r>
      <w:r w:rsidRPr="00415230">
        <w:rPr>
          <w:rFonts w:ascii="Times New Roman" w:hAnsi="Times New Roman" w:cs="Times New Roman"/>
          <w:sz w:val="24"/>
          <w:szCs w:val="24"/>
          <w:shd w:val="clear" w:color="auto" w:fill="FFFFFF"/>
        </w:rPr>
        <w:t xml:space="preserve"> she believed herself to be acquiring shall, by reason of any defect in the transferor’s title, amount to theft of the property. So, </w:t>
      </w:r>
      <w:r w:rsidRPr="00415230">
        <w:rPr>
          <w:rFonts w:ascii="Times New Roman" w:hAnsi="Times New Roman" w:cs="Times New Roman"/>
          <w:sz w:val="24"/>
          <w:szCs w:val="24"/>
        </w:rPr>
        <w:t xml:space="preserve">Miss Sarah Jones was not in the legal entity of the handbag and even she took the bag with the bad intention of depriving the owner of the bag or retaining the bag life-long. She just picked up the bag when </w:t>
      </w:r>
      <w:r w:rsidRPr="00415230">
        <w:rPr>
          <w:rFonts w:ascii="Times New Roman" w:hAnsi="Times New Roman" w:cs="Times New Roman"/>
          <w:sz w:val="24"/>
          <w:szCs w:val="24"/>
        </w:rPr>
        <w:lastRenderedPageBreak/>
        <w:t>Miss Nora Davies attacked her from behind and snatched the Handbag from Miss Sarah Jones's grasp shouting "Oi, that's my Gucci handbag with the intention of illegally imposing legal rights upon the handbag. Next, "Property" includes any form of an asset such as cash, real or physical assets here the handbag is the property</w:t>
      </w:r>
      <w:r w:rsidR="00442774" w:rsidRPr="00415230">
        <w:rPr>
          <w:rFonts w:ascii="Times New Roman" w:hAnsi="Times New Roman" w:cs="Times New Roman"/>
          <w:sz w:val="24"/>
          <w:szCs w:val="24"/>
        </w:rPr>
        <w:t xml:space="preserve"> (Hefferan, 2020)</w:t>
      </w:r>
      <w:r w:rsidRPr="00415230">
        <w:rPr>
          <w:rFonts w:ascii="Times New Roman" w:hAnsi="Times New Roman" w:cs="Times New Roman"/>
          <w:sz w:val="24"/>
          <w:szCs w:val="24"/>
        </w:rPr>
        <w:t xml:space="preserve">. Here, any person won't be classified as theft if she is the personal representative of the property on the behalf of her owner that required to hold the property personally. </w:t>
      </w:r>
      <w:r w:rsidR="005D5F0C" w:rsidRPr="00415230">
        <w:rPr>
          <w:rFonts w:ascii="Times New Roman" w:hAnsi="Times New Roman" w:cs="Times New Roman"/>
          <w:sz w:val="24"/>
          <w:szCs w:val="24"/>
        </w:rPr>
        <w:t xml:space="preserve">When she won't be in the position of possession of the property but hold the property as trustee or serving the owner. </w:t>
      </w:r>
      <w:r w:rsidR="005D5F0C" w:rsidRPr="00415230">
        <w:rPr>
          <w:rFonts w:ascii="Times New Roman" w:hAnsi="Times New Roman" w:cs="Times New Roman"/>
          <w:sz w:val="24"/>
          <w:szCs w:val="24"/>
          <w:shd w:val="clear" w:color="auto" w:fill="FFFFFF"/>
        </w:rPr>
        <w:t xml:space="preserve">When she is in the possession of the land under a tenancy, she appropriates the whole or part of any fixture or structure let to be used with the land. Here, any of these situations don't match the given case as </w:t>
      </w:r>
      <w:r w:rsidR="005D5F0C" w:rsidRPr="00415230">
        <w:rPr>
          <w:rFonts w:ascii="Times New Roman" w:hAnsi="Times New Roman" w:cs="Times New Roman"/>
          <w:sz w:val="24"/>
          <w:szCs w:val="24"/>
        </w:rPr>
        <w:t>Miss Sarah Jones found the bag in the street and just pick the bag without knowing the owner of the bag or without knowing the possession who possesses the right to the property</w:t>
      </w:r>
      <w:r w:rsidR="005803D7" w:rsidRPr="00415230">
        <w:rPr>
          <w:rFonts w:ascii="Times New Roman" w:hAnsi="Times New Roman" w:cs="Times New Roman"/>
          <w:sz w:val="24"/>
          <w:szCs w:val="24"/>
        </w:rPr>
        <w:t xml:space="preserve"> (David, 2016)</w:t>
      </w:r>
      <w:r w:rsidR="005D5F0C" w:rsidRPr="00415230">
        <w:rPr>
          <w:rFonts w:ascii="Times New Roman" w:hAnsi="Times New Roman" w:cs="Times New Roman"/>
          <w:sz w:val="24"/>
          <w:szCs w:val="24"/>
        </w:rPr>
        <w:t xml:space="preserve">. </w:t>
      </w:r>
      <w:r w:rsidR="005D5F0C" w:rsidRPr="00415230">
        <w:rPr>
          <w:rFonts w:ascii="Times New Roman" w:hAnsi="Times New Roman" w:cs="Times New Roman"/>
          <w:sz w:val="24"/>
          <w:szCs w:val="24"/>
          <w:shd w:val="clear" w:color="auto" w:fill="FFFFFF"/>
        </w:rPr>
        <w:t xml:space="preserve">Where the core property is subject to a trustee under the trust agreement, the persons to whom it belongs shall be regarded as including any person having a right to enforce the trust and won't be regarded as theft. </w:t>
      </w:r>
    </w:p>
    <w:p w14:paraId="2B33335F" w14:textId="77777777" w:rsidR="005D5F0C" w:rsidRPr="00415230" w:rsidRDefault="009D6962" w:rsidP="00415230">
      <w:pPr>
        <w:spacing w:line="360" w:lineRule="auto"/>
        <w:jc w:val="both"/>
        <w:rPr>
          <w:rFonts w:ascii="Times New Roman" w:hAnsi="Times New Roman" w:cs="Times New Roman"/>
          <w:sz w:val="24"/>
          <w:szCs w:val="24"/>
          <w:shd w:val="clear" w:color="auto" w:fill="FFFFFF"/>
        </w:rPr>
      </w:pPr>
      <w:r w:rsidRPr="00415230">
        <w:rPr>
          <w:rFonts w:ascii="Times New Roman" w:hAnsi="Times New Roman" w:cs="Times New Roman"/>
          <w:sz w:val="24"/>
          <w:szCs w:val="24"/>
          <w:shd w:val="clear" w:color="auto" w:fill="FFFFFF"/>
        </w:rPr>
        <w:t>According to the Theft Act, 1968 and the Theft 1978</w:t>
      </w:r>
      <w:r w:rsidR="0012017B" w:rsidRPr="00415230">
        <w:rPr>
          <w:rFonts w:ascii="Times New Roman" w:hAnsi="Times New Roman" w:cs="Times New Roman"/>
          <w:sz w:val="24"/>
          <w:szCs w:val="24"/>
          <w:shd w:val="clear" w:color="auto" w:fill="FFFFFF"/>
        </w:rPr>
        <w:t>, the person found under the Fraud Act 2006 and proceeds of criminal legal guidance will be punished for such an attempt. Before determining the punishment of the criminal the court first needs to categorize the culpability of the criminal to determine the degree of the offenses. Here, the "A" category includes the criminal who is engaged in a group activity in the leading role</w:t>
      </w:r>
      <w:r w:rsidR="005803D7" w:rsidRPr="00415230">
        <w:rPr>
          <w:rFonts w:ascii="Times New Roman" w:hAnsi="Times New Roman" w:cs="Times New Roman"/>
          <w:sz w:val="24"/>
          <w:szCs w:val="24"/>
          <w:shd w:val="clear" w:color="auto" w:fill="FFFFFF"/>
        </w:rPr>
        <w:t xml:space="preserve"> </w:t>
      </w:r>
      <w:r w:rsidR="005803D7" w:rsidRPr="00415230">
        <w:rPr>
          <w:rFonts w:ascii="Times New Roman" w:hAnsi="Times New Roman" w:cs="Times New Roman"/>
          <w:sz w:val="24"/>
          <w:szCs w:val="24"/>
        </w:rPr>
        <w:t>(Criminal Law, 2019)</w:t>
      </w:r>
      <w:r w:rsidR="0012017B" w:rsidRPr="00415230">
        <w:rPr>
          <w:rFonts w:ascii="Times New Roman" w:hAnsi="Times New Roman" w:cs="Times New Roman"/>
          <w:sz w:val="24"/>
          <w:szCs w:val="24"/>
          <w:shd w:val="clear" w:color="auto" w:fill="FFFFFF"/>
        </w:rPr>
        <w:t xml:space="preserve">. And, theft including intimidation and the use of force to harm others. The "B" category includes the criminal who engages </w:t>
      </w:r>
      <w:r w:rsidR="00F033D7" w:rsidRPr="00415230">
        <w:rPr>
          <w:rFonts w:ascii="Times New Roman" w:hAnsi="Times New Roman" w:cs="Times New Roman"/>
          <w:sz w:val="24"/>
          <w:szCs w:val="24"/>
          <w:shd w:val="clear" w:color="auto" w:fill="FFFFFF"/>
        </w:rPr>
        <w:t xml:space="preserve">in </w:t>
      </w:r>
      <w:r w:rsidR="0012017B" w:rsidRPr="00415230">
        <w:rPr>
          <w:rFonts w:ascii="Times New Roman" w:hAnsi="Times New Roman" w:cs="Times New Roman"/>
          <w:sz w:val="24"/>
          <w:szCs w:val="24"/>
          <w:shd w:val="clear" w:color="auto" w:fill="FFFFFF"/>
        </w:rPr>
        <w:t xml:space="preserve">the significant role of planning activity or breaches the trust or responsibility of others. The last category is the "C" category which performs coercion or exploitation activity o harm </w:t>
      </w:r>
      <w:r w:rsidR="005803D7" w:rsidRPr="00415230">
        <w:rPr>
          <w:rFonts w:ascii="Times New Roman" w:hAnsi="Times New Roman" w:cs="Times New Roman"/>
          <w:sz w:val="24"/>
          <w:szCs w:val="24"/>
          <w:shd w:val="clear" w:color="auto" w:fill="FFFFFF"/>
        </w:rPr>
        <w:t>others (</w:t>
      </w:r>
      <w:r w:rsidR="005803D7" w:rsidRPr="00415230">
        <w:rPr>
          <w:rFonts w:ascii="Times New Roman" w:hAnsi="Times New Roman" w:cs="Times New Roman"/>
          <w:sz w:val="24"/>
          <w:szCs w:val="24"/>
        </w:rPr>
        <w:t>Criminal Law, 2019)</w:t>
      </w:r>
      <w:r w:rsidR="0012017B" w:rsidRPr="00415230">
        <w:rPr>
          <w:rFonts w:ascii="Times New Roman" w:hAnsi="Times New Roman" w:cs="Times New Roman"/>
          <w:sz w:val="24"/>
          <w:szCs w:val="24"/>
          <w:shd w:val="clear" w:color="auto" w:fill="FFFFFF"/>
        </w:rPr>
        <w:t xml:space="preserve">. But, none of the above categories can't define the degree of crime of </w:t>
      </w:r>
      <w:r w:rsidR="0012017B" w:rsidRPr="00415230">
        <w:rPr>
          <w:rFonts w:ascii="Times New Roman" w:hAnsi="Times New Roman" w:cs="Times New Roman"/>
          <w:sz w:val="24"/>
          <w:szCs w:val="24"/>
        </w:rPr>
        <w:t xml:space="preserve">Miss Sarah Jones. But still, under the general act, </w:t>
      </w:r>
      <w:r w:rsidR="0012017B" w:rsidRPr="00415230">
        <w:rPr>
          <w:rFonts w:ascii="Times New Roman" w:hAnsi="Times New Roman" w:cs="Times New Roman"/>
          <w:sz w:val="24"/>
          <w:szCs w:val="24"/>
          <w:shd w:val="clear" w:color="auto" w:fill="FFFFFF"/>
        </w:rPr>
        <w:t>the maximum penalty for the theft offense is 14 years imprisonment for conviction in the Crown Court</w:t>
      </w:r>
      <w:r w:rsidR="005803D7" w:rsidRPr="00415230">
        <w:rPr>
          <w:rFonts w:ascii="Times New Roman" w:hAnsi="Times New Roman" w:cs="Times New Roman"/>
          <w:sz w:val="24"/>
          <w:szCs w:val="24"/>
          <w:shd w:val="clear" w:color="auto" w:fill="FFFFFF"/>
        </w:rPr>
        <w:t xml:space="preserve"> </w:t>
      </w:r>
      <w:r w:rsidR="005803D7" w:rsidRPr="00415230">
        <w:rPr>
          <w:rFonts w:ascii="Times New Roman" w:hAnsi="Times New Roman" w:cs="Times New Roman"/>
          <w:sz w:val="24"/>
          <w:szCs w:val="24"/>
        </w:rPr>
        <w:t>(Theft act offences, 2022)</w:t>
      </w:r>
      <w:r w:rsidR="0012017B" w:rsidRPr="00415230">
        <w:rPr>
          <w:rFonts w:ascii="Times New Roman" w:hAnsi="Times New Roman" w:cs="Times New Roman"/>
          <w:sz w:val="24"/>
          <w:szCs w:val="24"/>
          <w:shd w:val="clear" w:color="auto" w:fill="FFFFFF"/>
        </w:rPr>
        <w:t>. On the other hand, the maximum penalty is about 12 months imprisonment in the magistrates' court or an unlimited fine. Where an offense was committed in England and Wales before 2 May 2022, the maximum custodial sentence following summary conviction is six months.</w:t>
      </w:r>
    </w:p>
    <w:p w14:paraId="66468D77" w14:textId="77777777" w:rsidR="00F033D7" w:rsidRPr="00415230" w:rsidRDefault="009D6962" w:rsidP="00415230">
      <w:pPr>
        <w:spacing w:line="360" w:lineRule="auto"/>
        <w:jc w:val="both"/>
        <w:rPr>
          <w:rFonts w:ascii="Times New Roman" w:hAnsi="Times New Roman" w:cs="Times New Roman"/>
          <w:sz w:val="24"/>
          <w:szCs w:val="24"/>
        </w:rPr>
      </w:pPr>
      <w:r w:rsidRPr="00415230">
        <w:rPr>
          <w:rFonts w:ascii="Times New Roman" w:hAnsi="Times New Roman" w:cs="Times New Roman"/>
          <w:sz w:val="24"/>
          <w:szCs w:val="24"/>
          <w:shd w:val="clear" w:color="auto" w:fill="FFFFFF"/>
        </w:rPr>
        <w:t xml:space="preserve">Here, the evidence against </w:t>
      </w:r>
      <w:r w:rsidRPr="00415230">
        <w:rPr>
          <w:rFonts w:ascii="Times New Roman" w:hAnsi="Times New Roman" w:cs="Times New Roman"/>
          <w:sz w:val="24"/>
          <w:szCs w:val="24"/>
        </w:rPr>
        <w:t xml:space="preserve">Miss Sarah Jones is explained. Here, Miss Sarah Jones was charged for her attempt to steal a Gucci Handbag worth $5000. For her crime, she was sentenced to 4 years in prison 5 years before but due to her good behavior and well manner, she was released 2 years after </w:t>
      </w:r>
      <w:r w:rsidRPr="00415230">
        <w:rPr>
          <w:rFonts w:ascii="Times New Roman" w:hAnsi="Times New Roman" w:cs="Times New Roman"/>
          <w:sz w:val="24"/>
          <w:szCs w:val="24"/>
        </w:rPr>
        <w:lastRenderedPageBreak/>
        <w:t xml:space="preserve">his punishment. This means her </w:t>
      </w:r>
      <w:r w:rsidR="000C335D" w:rsidRPr="00415230">
        <w:rPr>
          <w:rFonts w:ascii="Times New Roman" w:hAnsi="Times New Roman" w:cs="Times New Roman"/>
          <w:sz w:val="24"/>
          <w:szCs w:val="24"/>
        </w:rPr>
        <w:t xml:space="preserve">remaining </w:t>
      </w:r>
      <w:r w:rsidRPr="00415230">
        <w:rPr>
          <w:rFonts w:ascii="Times New Roman" w:hAnsi="Times New Roman" w:cs="Times New Roman"/>
          <w:sz w:val="24"/>
          <w:szCs w:val="24"/>
        </w:rPr>
        <w:t xml:space="preserve">2 years' punishment was </w:t>
      </w:r>
      <w:r w:rsidR="000C335D" w:rsidRPr="00415230">
        <w:rPr>
          <w:rFonts w:ascii="Times New Roman" w:hAnsi="Times New Roman" w:cs="Times New Roman"/>
          <w:sz w:val="24"/>
          <w:szCs w:val="24"/>
        </w:rPr>
        <w:t>cut off as she is a well-behaved person. Here, before explaining the whole case, the definition of the theft crime is already explained above where it was concluded that above this definition of thrift offense, Miss Sarah Jones doesn't fall in any of this category and even the categories of culpable action won't define her degree of crime. Because her activity can't be described as theft that attempts to harm their party or deprive the third person</w:t>
      </w:r>
      <w:r w:rsidR="005803D7" w:rsidRPr="00415230">
        <w:rPr>
          <w:rFonts w:ascii="Times New Roman" w:hAnsi="Times New Roman" w:cs="Times New Roman"/>
          <w:sz w:val="24"/>
          <w:szCs w:val="24"/>
        </w:rPr>
        <w:t xml:space="preserve"> (Post-Office Law, 2013)</w:t>
      </w:r>
      <w:r w:rsidR="000C335D" w:rsidRPr="00415230">
        <w:rPr>
          <w:rFonts w:ascii="Times New Roman" w:hAnsi="Times New Roman" w:cs="Times New Roman"/>
          <w:sz w:val="24"/>
          <w:szCs w:val="24"/>
        </w:rPr>
        <w:t>. She didn't pick the bag with the intention of grasping the property for her own benefit. So, there is no such strong evidence that can define Miss Sarah Jones as theft that handbag</w:t>
      </w:r>
      <w:r w:rsidR="005803D7" w:rsidRPr="00415230">
        <w:rPr>
          <w:rFonts w:ascii="Times New Roman" w:hAnsi="Times New Roman" w:cs="Times New Roman"/>
          <w:sz w:val="24"/>
          <w:szCs w:val="24"/>
        </w:rPr>
        <w:t>. Moreover, there is no such</w:t>
      </w:r>
      <w:r w:rsidR="000C335D" w:rsidRPr="00415230">
        <w:rPr>
          <w:rFonts w:ascii="Times New Roman" w:hAnsi="Times New Roman" w:cs="Times New Roman"/>
          <w:sz w:val="24"/>
          <w:szCs w:val="24"/>
        </w:rPr>
        <w:t xml:space="preserve"> evidence of the ownership of the bag that the owner can sue Miss Sarah Jones for such activity. </w:t>
      </w:r>
    </w:p>
    <w:p w14:paraId="3BADF2C9" w14:textId="77777777" w:rsidR="000C335D" w:rsidRPr="00415230" w:rsidRDefault="009D6962" w:rsidP="00415230">
      <w:pPr>
        <w:spacing w:line="360" w:lineRule="auto"/>
        <w:jc w:val="both"/>
        <w:rPr>
          <w:rFonts w:ascii="Times New Roman" w:hAnsi="Times New Roman" w:cs="Times New Roman"/>
          <w:sz w:val="24"/>
          <w:szCs w:val="24"/>
          <w:shd w:val="clear" w:color="auto" w:fill="FFFFFF"/>
        </w:rPr>
      </w:pPr>
      <w:r w:rsidRPr="00415230">
        <w:rPr>
          <w:rFonts w:ascii="Times New Roman" w:hAnsi="Times New Roman" w:cs="Times New Roman"/>
          <w:sz w:val="24"/>
          <w:szCs w:val="24"/>
          <w:shd w:val="clear" w:color="auto" w:fill="FFFFFF"/>
        </w:rPr>
        <w:t>On the eve, frankly speaking, the claims of Miss Device are not that much strong because claiming property without the proper evidence of ownership is not legally binding. Here, Miss Devies claimed that the Gucci handbag was her and gifted by her grandfather who is no more. Even, Miss Devies doesn't have the receipt of the handbag that can present the ownership of the bag</w:t>
      </w:r>
      <w:r w:rsidR="005803D7" w:rsidRPr="00415230">
        <w:rPr>
          <w:rFonts w:ascii="Times New Roman" w:hAnsi="Times New Roman" w:cs="Times New Roman"/>
          <w:sz w:val="24"/>
          <w:szCs w:val="24"/>
          <w:shd w:val="clear" w:color="auto" w:fill="FFFFFF"/>
        </w:rPr>
        <w:t xml:space="preserve"> </w:t>
      </w:r>
      <w:r w:rsidR="005803D7" w:rsidRPr="00415230">
        <w:rPr>
          <w:rFonts w:ascii="Times New Roman" w:hAnsi="Times New Roman" w:cs="Times New Roman"/>
          <w:sz w:val="24"/>
          <w:szCs w:val="24"/>
        </w:rPr>
        <w:t>(Havely, 2014)</w:t>
      </w:r>
      <w:r w:rsidRPr="00415230">
        <w:rPr>
          <w:rFonts w:ascii="Times New Roman" w:hAnsi="Times New Roman" w:cs="Times New Roman"/>
          <w:sz w:val="24"/>
          <w:szCs w:val="24"/>
          <w:shd w:val="clear" w:color="auto" w:fill="FFFFFF"/>
        </w:rPr>
        <w:t>. Here, examining closely it can be concluded that Miss Devies just tried to hold the property for her benefit because she failed to present her ownership. Here, Miss Devies also shares not so well background information</w:t>
      </w:r>
      <w:r w:rsidR="002470B5" w:rsidRPr="00415230">
        <w:rPr>
          <w:rFonts w:ascii="Times New Roman" w:hAnsi="Times New Roman" w:cs="Times New Roman"/>
          <w:sz w:val="24"/>
          <w:szCs w:val="24"/>
          <w:shd w:val="clear" w:color="auto" w:fill="FFFFFF"/>
        </w:rPr>
        <w:t xml:space="preserve">. Miss Devies is from a bad neighborhood and she is unemployed, and as she is unemployed it is impossible for her to afford the bag.  And, it is obvious that her financial position also reflects that she can't buy this bag that too Gucci brand worth $5000. On the other hand, </w:t>
      </w:r>
      <w:r w:rsidR="002470B5" w:rsidRPr="00415230">
        <w:rPr>
          <w:rFonts w:ascii="Times New Roman" w:hAnsi="Times New Roman" w:cs="Times New Roman"/>
          <w:sz w:val="24"/>
          <w:szCs w:val="24"/>
        </w:rPr>
        <w:t xml:space="preserve">Miss Sarah Jones is currently unemployed but volunteers at the local Catholic Church and </w:t>
      </w:r>
      <w:r w:rsidR="005803D7" w:rsidRPr="00415230">
        <w:rPr>
          <w:rFonts w:ascii="Times New Roman" w:hAnsi="Times New Roman" w:cs="Times New Roman"/>
          <w:sz w:val="24"/>
          <w:szCs w:val="24"/>
        </w:rPr>
        <w:t xml:space="preserve">found religion a few years ago. </w:t>
      </w:r>
      <w:r w:rsidR="002470B5" w:rsidRPr="00415230">
        <w:rPr>
          <w:rFonts w:ascii="Times New Roman" w:hAnsi="Times New Roman" w:cs="Times New Roman"/>
          <w:sz w:val="24"/>
          <w:szCs w:val="24"/>
        </w:rPr>
        <w:t xml:space="preserve">So, </w:t>
      </w:r>
      <w:r w:rsidR="002470B5" w:rsidRPr="00415230">
        <w:rPr>
          <w:rFonts w:ascii="Times New Roman" w:hAnsi="Times New Roman" w:cs="Times New Roman"/>
          <w:sz w:val="24"/>
          <w:szCs w:val="24"/>
          <w:shd w:val="clear" w:color="auto" w:fill="FFFFFF"/>
        </w:rPr>
        <w:t>Miss Devies and who provided evidence is currently seen as false. Because she is not in the legal position to be entitled as the owner of the bag</w:t>
      </w:r>
      <w:r w:rsidR="005803D7" w:rsidRPr="00415230">
        <w:rPr>
          <w:rFonts w:ascii="Times New Roman" w:hAnsi="Times New Roman" w:cs="Times New Roman"/>
          <w:sz w:val="24"/>
          <w:szCs w:val="24"/>
          <w:shd w:val="clear" w:color="auto" w:fill="FFFFFF"/>
        </w:rPr>
        <w:t xml:space="preserve"> </w:t>
      </w:r>
      <w:r w:rsidR="005803D7" w:rsidRPr="00415230">
        <w:rPr>
          <w:rFonts w:ascii="Times New Roman" w:hAnsi="Times New Roman" w:cs="Times New Roman"/>
          <w:sz w:val="24"/>
          <w:szCs w:val="24"/>
        </w:rPr>
        <w:t>(</w:t>
      </w:r>
      <w:r w:rsidRPr="00415230">
        <w:rPr>
          <w:rFonts w:ascii="Times New Roman" w:hAnsi="Times New Roman" w:cs="Times New Roman"/>
          <w:sz w:val="24"/>
          <w:szCs w:val="24"/>
        </w:rPr>
        <w:t xml:space="preserve">Rainer, </w:t>
      </w:r>
      <w:r w:rsidR="005803D7" w:rsidRPr="00415230">
        <w:rPr>
          <w:rFonts w:ascii="Times New Roman" w:hAnsi="Times New Roman" w:cs="Times New Roman"/>
          <w:sz w:val="24"/>
          <w:szCs w:val="24"/>
        </w:rPr>
        <w:t>2016)</w:t>
      </w:r>
      <w:r w:rsidR="002470B5" w:rsidRPr="00415230">
        <w:rPr>
          <w:rFonts w:ascii="Times New Roman" w:hAnsi="Times New Roman" w:cs="Times New Roman"/>
          <w:sz w:val="24"/>
          <w:szCs w:val="24"/>
          <w:shd w:val="clear" w:color="auto" w:fill="FFFFFF"/>
        </w:rPr>
        <w:t xml:space="preserve">. </w:t>
      </w:r>
    </w:p>
    <w:p w14:paraId="1B47D9B8" w14:textId="77777777" w:rsidR="002470B5" w:rsidRPr="00415230" w:rsidRDefault="009D6962" w:rsidP="00415230">
      <w:pPr>
        <w:spacing w:line="360" w:lineRule="auto"/>
        <w:jc w:val="both"/>
        <w:rPr>
          <w:rFonts w:ascii="Times New Roman" w:hAnsi="Times New Roman" w:cs="Times New Roman"/>
          <w:sz w:val="24"/>
          <w:szCs w:val="24"/>
        </w:rPr>
      </w:pPr>
      <w:r w:rsidRPr="00415230">
        <w:rPr>
          <w:rFonts w:ascii="Times New Roman" w:hAnsi="Times New Roman" w:cs="Times New Roman"/>
          <w:sz w:val="24"/>
          <w:szCs w:val="24"/>
          <w:shd w:val="clear" w:color="auto" w:fill="FFFFFF"/>
        </w:rPr>
        <w:t xml:space="preserve">Here, the advantages and disadvantages of keeping silent during the police interview will be explained to show why the alleged party needs to keep a claim during </w:t>
      </w:r>
      <w:r w:rsidR="00A60EFD" w:rsidRPr="00415230">
        <w:rPr>
          <w:rFonts w:ascii="Times New Roman" w:hAnsi="Times New Roman" w:cs="Times New Roman"/>
          <w:sz w:val="24"/>
          <w:szCs w:val="24"/>
          <w:shd w:val="clear" w:color="auto" w:fill="FFFFFF"/>
        </w:rPr>
        <w:t>the</w:t>
      </w:r>
      <w:r w:rsidRPr="00415230">
        <w:rPr>
          <w:rFonts w:ascii="Times New Roman" w:hAnsi="Times New Roman" w:cs="Times New Roman"/>
          <w:sz w:val="24"/>
          <w:szCs w:val="24"/>
          <w:shd w:val="clear" w:color="auto" w:fill="FFFFFF"/>
        </w:rPr>
        <w:t xml:space="preserve"> case. Here, </w:t>
      </w:r>
      <w:r w:rsidRPr="00415230">
        <w:rPr>
          <w:rFonts w:ascii="Times New Roman" w:hAnsi="Times New Roman" w:cs="Times New Roman"/>
          <w:sz w:val="24"/>
          <w:szCs w:val="24"/>
        </w:rPr>
        <w:t xml:space="preserve">Miss Sarah Jones is charged with theft offenses as alleged by </w:t>
      </w:r>
      <w:r w:rsidRPr="00415230">
        <w:rPr>
          <w:rFonts w:ascii="Times New Roman" w:hAnsi="Times New Roman" w:cs="Times New Roman"/>
          <w:sz w:val="24"/>
          <w:szCs w:val="24"/>
          <w:shd w:val="clear" w:color="auto" w:fill="FFFFFF"/>
        </w:rPr>
        <w:t xml:space="preserve">Miss Devies that it was her handbag. As already mentioned before that the provided evidence of Miss Devies </w:t>
      </w:r>
      <w:r w:rsidR="00E16ECA" w:rsidRPr="00415230">
        <w:rPr>
          <w:rFonts w:ascii="Times New Roman" w:hAnsi="Times New Roman" w:cs="Times New Roman"/>
          <w:sz w:val="24"/>
          <w:szCs w:val="24"/>
          <w:shd w:val="clear" w:color="auto" w:fill="FFFFFF"/>
        </w:rPr>
        <w:t>is not</w:t>
      </w:r>
      <w:r w:rsidRPr="00415230">
        <w:rPr>
          <w:rFonts w:ascii="Times New Roman" w:hAnsi="Times New Roman" w:cs="Times New Roman"/>
          <w:sz w:val="24"/>
          <w:szCs w:val="24"/>
          <w:shd w:val="clear" w:color="auto" w:fill="FFFFFF"/>
        </w:rPr>
        <w:t xml:space="preserve"> so strong that </w:t>
      </w:r>
      <w:r w:rsidR="00E16ECA" w:rsidRPr="00415230">
        <w:rPr>
          <w:rFonts w:ascii="Times New Roman" w:hAnsi="Times New Roman" w:cs="Times New Roman"/>
          <w:sz w:val="24"/>
          <w:szCs w:val="24"/>
          <w:shd w:val="clear" w:color="auto" w:fill="FFFFFF"/>
        </w:rPr>
        <w:t>can</w:t>
      </w:r>
      <w:r w:rsidRPr="00415230">
        <w:rPr>
          <w:rFonts w:ascii="Times New Roman" w:hAnsi="Times New Roman" w:cs="Times New Roman"/>
          <w:sz w:val="24"/>
          <w:szCs w:val="24"/>
          <w:shd w:val="clear" w:color="auto" w:fill="FFFFFF"/>
        </w:rPr>
        <w:t xml:space="preserve"> conclude </w:t>
      </w:r>
      <w:r w:rsidRPr="00415230">
        <w:rPr>
          <w:rFonts w:ascii="Times New Roman" w:hAnsi="Times New Roman" w:cs="Times New Roman"/>
          <w:sz w:val="24"/>
          <w:szCs w:val="24"/>
        </w:rPr>
        <w:t xml:space="preserve">Miss Sarah Jones as a criminal. Miss Sarah Jones needs to keep </w:t>
      </w:r>
      <w:r w:rsidR="00E16ECA" w:rsidRPr="00415230">
        <w:rPr>
          <w:rFonts w:ascii="Times New Roman" w:hAnsi="Times New Roman" w:cs="Times New Roman"/>
          <w:sz w:val="24"/>
          <w:szCs w:val="24"/>
        </w:rPr>
        <w:t>silent d</w:t>
      </w:r>
      <w:r w:rsidRPr="00415230">
        <w:rPr>
          <w:rFonts w:ascii="Times New Roman" w:hAnsi="Times New Roman" w:cs="Times New Roman"/>
          <w:sz w:val="24"/>
          <w:szCs w:val="24"/>
        </w:rPr>
        <w:t xml:space="preserve">uring the police </w:t>
      </w:r>
      <w:r w:rsidR="00E16ECA" w:rsidRPr="00415230">
        <w:rPr>
          <w:rFonts w:ascii="Times New Roman" w:hAnsi="Times New Roman" w:cs="Times New Roman"/>
          <w:sz w:val="24"/>
          <w:szCs w:val="24"/>
        </w:rPr>
        <w:t>i</w:t>
      </w:r>
      <w:r w:rsidR="00E16ECA" w:rsidRPr="00415230">
        <w:rPr>
          <w:rFonts w:ascii="Times New Roman" w:hAnsi="Times New Roman" w:cs="Times New Roman"/>
          <w:sz w:val="24"/>
          <w:szCs w:val="24"/>
          <w:shd w:val="clear" w:color="auto" w:fill="FFFFFF"/>
        </w:rPr>
        <w:t>nterview because the general perception is that criminals don't remain silent</w:t>
      </w:r>
      <w:r w:rsidRPr="00415230">
        <w:rPr>
          <w:rFonts w:ascii="Times New Roman" w:hAnsi="Times New Roman" w:cs="Times New Roman"/>
          <w:sz w:val="24"/>
          <w:szCs w:val="24"/>
          <w:shd w:val="clear" w:color="auto" w:fill="FFFFFF"/>
        </w:rPr>
        <w:t xml:space="preserve"> </w:t>
      </w:r>
      <w:r w:rsidRPr="00415230">
        <w:rPr>
          <w:rFonts w:ascii="Times New Roman" w:hAnsi="Times New Roman" w:cs="Times New Roman"/>
          <w:sz w:val="24"/>
          <w:szCs w:val="24"/>
        </w:rPr>
        <w:t>(Arcaya, 2015)</w:t>
      </w:r>
      <w:r w:rsidR="00E16ECA" w:rsidRPr="00415230">
        <w:rPr>
          <w:rFonts w:ascii="Times New Roman" w:hAnsi="Times New Roman" w:cs="Times New Roman"/>
          <w:sz w:val="24"/>
          <w:szCs w:val="24"/>
          <w:shd w:val="clear" w:color="auto" w:fill="FFFFFF"/>
        </w:rPr>
        <w:t xml:space="preserve">. This means, these serious criminals try to defend themselves and deny any kind of litigation. And, as the police will try to twist words with the criminal to rattle the criminal and innocent persona as criminal that </w:t>
      </w:r>
      <w:r w:rsidR="00E16ECA" w:rsidRPr="00415230">
        <w:rPr>
          <w:rFonts w:ascii="Times New Roman" w:hAnsi="Times New Roman" w:cs="Times New Roman"/>
          <w:sz w:val="24"/>
          <w:szCs w:val="24"/>
          <w:shd w:val="clear" w:color="auto" w:fill="FFFFFF"/>
        </w:rPr>
        <w:lastRenderedPageBreak/>
        <w:t>will discourage the innocent to defend themselves</w:t>
      </w:r>
      <w:r w:rsidRPr="00415230">
        <w:rPr>
          <w:rFonts w:ascii="Times New Roman" w:hAnsi="Times New Roman" w:cs="Times New Roman"/>
          <w:sz w:val="24"/>
          <w:szCs w:val="24"/>
          <w:shd w:val="clear" w:color="auto" w:fill="FFFFFF"/>
        </w:rPr>
        <w:t xml:space="preserve"> (</w:t>
      </w:r>
      <w:r w:rsidRPr="00415230">
        <w:rPr>
          <w:rFonts w:ascii="Times New Roman" w:hAnsi="Times New Roman" w:cs="Times New Roman"/>
          <w:sz w:val="24"/>
          <w:szCs w:val="24"/>
        </w:rPr>
        <w:t>J Neethling, 2017)</w:t>
      </w:r>
      <w:r w:rsidR="00E16ECA" w:rsidRPr="00415230">
        <w:rPr>
          <w:rFonts w:ascii="Times New Roman" w:hAnsi="Times New Roman" w:cs="Times New Roman"/>
          <w:sz w:val="24"/>
          <w:szCs w:val="24"/>
          <w:shd w:val="clear" w:color="auto" w:fill="FFFFFF"/>
        </w:rPr>
        <w:t>. Moreover, the innocent are asked to say no more by the lawyer and to request the lawyer to present her statements to the court</w:t>
      </w:r>
      <w:r w:rsidRPr="00415230">
        <w:rPr>
          <w:rFonts w:ascii="Times New Roman" w:hAnsi="Times New Roman" w:cs="Times New Roman"/>
          <w:sz w:val="24"/>
          <w:szCs w:val="24"/>
          <w:shd w:val="clear" w:color="auto" w:fill="FFFFFF"/>
        </w:rPr>
        <w:t xml:space="preserve"> </w:t>
      </w:r>
      <w:r w:rsidRPr="00415230">
        <w:rPr>
          <w:rFonts w:ascii="Times New Roman" w:hAnsi="Times New Roman" w:cs="Times New Roman"/>
          <w:sz w:val="24"/>
          <w:szCs w:val="24"/>
        </w:rPr>
        <w:t>(Anna, 2021)</w:t>
      </w:r>
      <w:r w:rsidR="00E16ECA" w:rsidRPr="00415230">
        <w:rPr>
          <w:rFonts w:ascii="Times New Roman" w:hAnsi="Times New Roman" w:cs="Times New Roman"/>
          <w:sz w:val="24"/>
          <w:szCs w:val="24"/>
          <w:shd w:val="clear" w:color="auto" w:fill="FFFFFF"/>
        </w:rPr>
        <w:t xml:space="preserve">. But, the core disadvantage is that keeping remain silent will be counted as a positive reaction to any case. So, </w:t>
      </w:r>
      <w:r w:rsidR="00E16ECA" w:rsidRPr="00415230">
        <w:rPr>
          <w:rFonts w:ascii="Times New Roman" w:hAnsi="Times New Roman" w:cs="Times New Roman"/>
          <w:sz w:val="24"/>
          <w:szCs w:val="24"/>
        </w:rPr>
        <w:t>Miss Sarah Jones needs to take precautions steps before doing and giving any statements before the police during the interview period.</w:t>
      </w:r>
    </w:p>
    <w:p w14:paraId="2E78335F" w14:textId="77777777" w:rsidR="00E16ECA" w:rsidRPr="00415230" w:rsidRDefault="009D6962" w:rsidP="00415230">
      <w:pPr>
        <w:spacing w:line="360" w:lineRule="auto"/>
        <w:jc w:val="both"/>
        <w:rPr>
          <w:rFonts w:ascii="Times New Roman" w:hAnsi="Times New Roman" w:cs="Times New Roman"/>
          <w:sz w:val="24"/>
          <w:szCs w:val="24"/>
          <w:shd w:val="clear" w:color="auto" w:fill="FFFFFF"/>
        </w:rPr>
      </w:pPr>
      <w:r w:rsidRPr="00415230">
        <w:rPr>
          <w:rFonts w:ascii="Times New Roman" w:hAnsi="Times New Roman" w:cs="Times New Roman"/>
          <w:sz w:val="24"/>
          <w:szCs w:val="24"/>
          <w:shd w:val="clear" w:color="auto" w:fill="FFFFFF"/>
        </w:rPr>
        <w:t xml:space="preserve">The law binds the court and other legal administrative bodies to perform certain activities and take some significant steps before taking any decisions. Here, before sending </w:t>
      </w:r>
      <w:r w:rsidRPr="00415230">
        <w:rPr>
          <w:rFonts w:ascii="Times New Roman" w:hAnsi="Times New Roman" w:cs="Times New Roman"/>
          <w:sz w:val="24"/>
          <w:szCs w:val="24"/>
        </w:rPr>
        <w:t>Miss Sarah Jones to the court for trial, the court will examine some factors to determine the exact facts. First, is “Arraignment” where Miss Sarah Jones</w:t>
      </w:r>
      <w:r w:rsidRPr="00415230">
        <w:rPr>
          <w:rFonts w:ascii="Times New Roman" w:hAnsi="Times New Roman" w:cs="Times New Roman"/>
          <w:sz w:val="24"/>
          <w:szCs w:val="24"/>
          <w:shd w:val="clear" w:color="auto" w:fill="FFFFFF"/>
        </w:rPr>
        <w:t xml:space="preserve"> appears before a judge and is formally notified of the charge(s) filed against her and will ask to enter a plea </w:t>
      </w:r>
      <w:r w:rsidRPr="00415230">
        <w:rPr>
          <w:rFonts w:ascii="Times New Roman" w:hAnsi="Times New Roman" w:cs="Times New Roman"/>
          <w:sz w:val="24"/>
          <w:szCs w:val="24"/>
        </w:rPr>
        <w:t>(Dyer, 2012)</w:t>
      </w:r>
      <w:r w:rsidRPr="00415230">
        <w:rPr>
          <w:rFonts w:ascii="Times New Roman" w:hAnsi="Times New Roman" w:cs="Times New Roman"/>
          <w:sz w:val="24"/>
          <w:szCs w:val="24"/>
          <w:shd w:val="clear" w:color="auto" w:fill="FFFFFF"/>
        </w:rPr>
        <w:t xml:space="preserve">. Next is pretrial, a pre-trial hearing can be defended as the schedule to allow the court to monitor the </w:t>
      </w:r>
      <w:r w:rsidR="00B22C60" w:rsidRPr="00415230">
        <w:rPr>
          <w:rFonts w:ascii="Times New Roman" w:hAnsi="Times New Roman" w:cs="Times New Roman"/>
          <w:sz w:val="24"/>
          <w:szCs w:val="24"/>
          <w:shd w:val="clear" w:color="auto" w:fill="FFFFFF"/>
        </w:rPr>
        <w:t xml:space="preserve">whole case and progress to </w:t>
      </w:r>
      <w:r w:rsidRPr="00415230">
        <w:rPr>
          <w:rFonts w:ascii="Times New Roman" w:hAnsi="Times New Roman" w:cs="Times New Roman"/>
          <w:sz w:val="24"/>
          <w:szCs w:val="24"/>
          <w:shd w:val="clear" w:color="auto" w:fill="FFFFFF"/>
        </w:rPr>
        <w:t xml:space="preserve">resolve </w:t>
      </w:r>
      <w:r w:rsidR="00B22C60" w:rsidRPr="00415230">
        <w:rPr>
          <w:rFonts w:ascii="Times New Roman" w:hAnsi="Times New Roman" w:cs="Times New Roman"/>
          <w:sz w:val="24"/>
          <w:szCs w:val="24"/>
          <w:shd w:val="clear" w:color="auto" w:fill="FFFFFF"/>
        </w:rPr>
        <w:t>issues that might notice while the</w:t>
      </w:r>
      <w:r w:rsidRPr="00415230">
        <w:rPr>
          <w:rFonts w:ascii="Times New Roman" w:hAnsi="Times New Roman" w:cs="Times New Roman"/>
          <w:sz w:val="24"/>
          <w:szCs w:val="24"/>
          <w:shd w:val="clear" w:color="auto" w:fill="FFFFFF"/>
        </w:rPr>
        <w:t xml:space="preserve"> case is pending</w:t>
      </w:r>
      <w:r w:rsidR="00B22C60" w:rsidRPr="00415230">
        <w:rPr>
          <w:rFonts w:ascii="Times New Roman" w:hAnsi="Times New Roman" w:cs="Times New Roman"/>
          <w:sz w:val="24"/>
          <w:szCs w:val="24"/>
          <w:shd w:val="clear" w:color="auto" w:fill="FFFFFF"/>
        </w:rPr>
        <w:t>. In Motion Hearings, it is required to dismiss care for any unlawful detention</w:t>
      </w:r>
      <w:r w:rsidRPr="00415230">
        <w:rPr>
          <w:rFonts w:ascii="Times New Roman" w:hAnsi="Times New Roman" w:cs="Times New Roman"/>
          <w:sz w:val="24"/>
          <w:szCs w:val="24"/>
          <w:shd w:val="clear" w:color="auto" w:fill="FFFFFF"/>
        </w:rPr>
        <w:t xml:space="preserve"> </w:t>
      </w:r>
      <w:r w:rsidRPr="00415230">
        <w:rPr>
          <w:rFonts w:ascii="Times New Roman" w:hAnsi="Times New Roman" w:cs="Times New Roman"/>
          <w:sz w:val="24"/>
          <w:szCs w:val="24"/>
        </w:rPr>
        <w:t>(JM Potgieter, 2021)</w:t>
      </w:r>
      <w:r w:rsidR="00B22C60" w:rsidRPr="00415230">
        <w:rPr>
          <w:rFonts w:ascii="Times New Roman" w:hAnsi="Times New Roman" w:cs="Times New Roman"/>
          <w:sz w:val="24"/>
          <w:szCs w:val="24"/>
          <w:shd w:val="clear" w:color="auto" w:fill="FFFFFF"/>
        </w:rPr>
        <w:t xml:space="preserve">. Readiness Hearings are the steps where the lawyer of </w:t>
      </w:r>
      <w:r w:rsidR="00B22C60" w:rsidRPr="00415230">
        <w:rPr>
          <w:rFonts w:ascii="Times New Roman" w:hAnsi="Times New Roman" w:cs="Times New Roman"/>
          <w:sz w:val="24"/>
          <w:szCs w:val="24"/>
        </w:rPr>
        <w:t>Miss Sarah Jones</w:t>
      </w:r>
      <w:r w:rsidR="00B22C60" w:rsidRPr="00415230">
        <w:rPr>
          <w:rFonts w:ascii="Times New Roman" w:hAnsi="Times New Roman" w:cs="Times New Roman"/>
          <w:sz w:val="24"/>
          <w:szCs w:val="24"/>
          <w:shd w:val="clear" w:color="auto" w:fill="FFFFFF"/>
        </w:rPr>
        <w:t xml:space="preserve"> informs the court that she is ready for trial. In the trial section, the prosecutor must prove any litigation charged beyond any kind of reasonable doubt</w:t>
      </w:r>
      <w:r w:rsidR="00415230" w:rsidRPr="00415230">
        <w:rPr>
          <w:rFonts w:ascii="Times New Roman" w:hAnsi="Times New Roman" w:cs="Times New Roman"/>
          <w:sz w:val="24"/>
          <w:szCs w:val="24"/>
          <w:shd w:val="clear" w:color="auto" w:fill="FFFFFF"/>
        </w:rPr>
        <w:t xml:space="preserve"> </w:t>
      </w:r>
      <w:r w:rsidR="00415230" w:rsidRPr="00415230">
        <w:rPr>
          <w:rFonts w:ascii="Times New Roman" w:hAnsi="Times New Roman" w:cs="Times New Roman"/>
          <w:sz w:val="24"/>
          <w:szCs w:val="24"/>
        </w:rPr>
        <w:t xml:space="preserve">(Ten Have, 2021). </w:t>
      </w:r>
      <w:r w:rsidR="00B22C60" w:rsidRPr="00415230">
        <w:rPr>
          <w:rFonts w:ascii="Times New Roman" w:hAnsi="Times New Roman" w:cs="Times New Roman"/>
          <w:sz w:val="24"/>
          <w:szCs w:val="24"/>
          <w:shd w:val="clear" w:color="auto" w:fill="FFFFFF"/>
        </w:rPr>
        <w:t xml:space="preserve">Based on the trial process and degree of crime the criminal will be sent for sentence. </w:t>
      </w:r>
    </w:p>
    <w:p w14:paraId="5457A0F2" w14:textId="77777777" w:rsidR="00B22C60" w:rsidRDefault="00B22C60" w:rsidP="00B22C60">
      <w:pPr>
        <w:spacing w:line="360" w:lineRule="auto"/>
        <w:jc w:val="both"/>
        <w:rPr>
          <w:rFonts w:ascii="Arial" w:hAnsi="Arial" w:cs="Arial"/>
          <w:shd w:val="clear" w:color="auto" w:fill="FFFFFF"/>
        </w:rPr>
      </w:pPr>
    </w:p>
    <w:p w14:paraId="40C65129" w14:textId="77777777" w:rsidR="00415230" w:rsidRDefault="00415230" w:rsidP="00B22C60">
      <w:pPr>
        <w:spacing w:line="360" w:lineRule="auto"/>
        <w:jc w:val="both"/>
        <w:rPr>
          <w:rFonts w:ascii="Arial" w:hAnsi="Arial" w:cs="Arial"/>
          <w:shd w:val="clear" w:color="auto" w:fill="FFFFFF"/>
        </w:rPr>
      </w:pPr>
    </w:p>
    <w:p w14:paraId="1324654B" w14:textId="77777777" w:rsidR="00415230" w:rsidRDefault="00415230" w:rsidP="00B22C60">
      <w:pPr>
        <w:spacing w:line="360" w:lineRule="auto"/>
        <w:jc w:val="both"/>
        <w:rPr>
          <w:rFonts w:ascii="Arial" w:hAnsi="Arial" w:cs="Arial"/>
          <w:shd w:val="clear" w:color="auto" w:fill="FFFFFF"/>
        </w:rPr>
      </w:pPr>
    </w:p>
    <w:p w14:paraId="764EA816" w14:textId="77777777" w:rsidR="00415230" w:rsidRDefault="00415230" w:rsidP="00B22C60">
      <w:pPr>
        <w:spacing w:line="360" w:lineRule="auto"/>
        <w:jc w:val="both"/>
        <w:rPr>
          <w:rFonts w:ascii="Arial" w:hAnsi="Arial" w:cs="Arial"/>
          <w:shd w:val="clear" w:color="auto" w:fill="FFFFFF"/>
        </w:rPr>
      </w:pPr>
    </w:p>
    <w:p w14:paraId="42935CE3" w14:textId="77777777" w:rsidR="00415230" w:rsidRDefault="00415230" w:rsidP="00B22C60">
      <w:pPr>
        <w:spacing w:line="360" w:lineRule="auto"/>
        <w:jc w:val="both"/>
        <w:rPr>
          <w:rFonts w:ascii="Arial" w:hAnsi="Arial" w:cs="Arial"/>
          <w:shd w:val="clear" w:color="auto" w:fill="FFFFFF"/>
        </w:rPr>
      </w:pPr>
    </w:p>
    <w:p w14:paraId="2A5F44E9" w14:textId="77777777" w:rsidR="00415230" w:rsidRDefault="00415230" w:rsidP="00B22C60">
      <w:pPr>
        <w:spacing w:line="360" w:lineRule="auto"/>
        <w:jc w:val="both"/>
        <w:rPr>
          <w:rFonts w:ascii="Arial" w:hAnsi="Arial" w:cs="Arial"/>
          <w:shd w:val="clear" w:color="auto" w:fill="FFFFFF"/>
        </w:rPr>
      </w:pPr>
    </w:p>
    <w:p w14:paraId="23E36D52" w14:textId="77777777" w:rsidR="00415230" w:rsidRDefault="00415230" w:rsidP="00B22C60">
      <w:pPr>
        <w:spacing w:line="360" w:lineRule="auto"/>
        <w:jc w:val="both"/>
        <w:rPr>
          <w:rFonts w:ascii="Arial" w:hAnsi="Arial" w:cs="Arial"/>
          <w:shd w:val="clear" w:color="auto" w:fill="FFFFFF"/>
        </w:rPr>
      </w:pPr>
    </w:p>
    <w:p w14:paraId="66E5B1FC" w14:textId="77777777" w:rsidR="00415230" w:rsidRDefault="00415230" w:rsidP="00B22C60">
      <w:pPr>
        <w:spacing w:line="360" w:lineRule="auto"/>
        <w:jc w:val="both"/>
        <w:rPr>
          <w:rFonts w:ascii="Arial" w:hAnsi="Arial" w:cs="Arial"/>
          <w:shd w:val="clear" w:color="auto" w:fill="FFFFFF"/>
        </w:rPr>
      </w:pPr>
    </w:p>
    <w:p w14:paraId="14EA1087" w14:textId="77777777" w:rsidR="00415230" w:rsidRDefault="00415230" w:rsidP="00B22C60">
      <w:pPr>
        <w:spacing w:line="360" w:lineRule="auto"/>
        <w:jc w:val="both"/>
        <w:rPr>
          <w:rFonts w:ascii="Arial" w:hAnsi="Arial" w:cs="Arial"/>
          <w:shd w:val="clear" w:color="auto" w:fill="FFFFFF"/>
        </w:rPr>
      </w:pPr>
    </w:p>
    <w:p w14:paraId="7288C7CF" w14:textId="77777777" w:rsidR="00415230" w:rsidRDefault="00415230" w:rsidP="00B22C60">
      <w:pPr>
        <w:spacing w:line="360" w:lineRule="auto"/>
        <w:jc w:val="both"/>
        <w:rPr>
          <w:rFonts w:ascii="Arial" w:hAnsi="Arial" w:cs="Arial"/>
          <w:shd w:val="clear" w:color="auto" w:fill="FFFFFF"/>
        </w:rPr>
      </w:pPr>
    </w:p>
    <w:p w14:paraId="046635F5" w14:textId="77777777" w:rsidR="00415230" w:rsidRDefault="00415230" w:rsidP="00B22C60">
      <w:pPr>
        <w:spacing w:line="360" w:lineRule="auto"/>
        <w:jc w:val="both"/>
        <w:rPr>
          <w:rFonts w:ascii="Arial" w:hAnsi="Arial" w:cs="Arial"/>
          <w:shd w:val="clear" w:color="auto" w:fill="FFFFFF"/>
        </w:rPr>
      </w:pPr>
    </w:p>
    <w:p w14:paraId="60309EE4" w14:textId="77777777" w:rsidR="00415230" w:rsidRDefault="00415230" w:rsidP="00B22C60">
      <w:pPr>
        <w:spacing w:line="360" w:lineRule="auto"/>
        <w:jc w:val="both"/>
        <w:rPr>
          <w:rFonts w:ascii="Arial" w:hAnsi="Arial" w:cs="Arial"/>
          <w:shd w:val="clear" w:color="auto" w:fill="FFFFFF"/>
        </w:rPr>
      </w:pPr>
    </w:p>
    <w:p w14:paraId="444C7515" w14:textId="77777777" w:rsidR="00415230" w:rsidRDefault="00415230" w:rsidP="00B22C60">
      <w:pPr>
        <w:spacing w:line="360" w:lineRule="auto"/>
        <w:jc w:val="both"/>
        <w:rPr>
          <w:rFonts w:ascii="Arial" w:hAnsi="Arial" w:cs="Arial"/>
          <w:shd w:val="clear" w:color="auto" w:fill="FFFFFF"/>
        </w:rPr>
      </w:pPr>
    </w:p>
    <w:p w14:paraId="443481D1" w14:textId="77777777" w:rsidR="00415230" w:rsidRDefault="00415230" w:rsidP="00B22C60">
      <w:pPr>
        <w:spacing w:line="360" w:lineRule="auto"/>
        <w:jc w:val="both"/>
        <w:rPr>
          <w:rFonts w:ascii="Arial" w:hAnsi="Arial" w:cs="Arial"/>
          <w:shd w:val="clear" w:color="auto" w:fill="FFFFFF"/>
        </w:rPr>
      </w:pPr>
    </w:p>
    <w:p w14:paraId="2D650AF0" w14:textId="77777777" w:rsidR="00415230" w:rsidRPr="00415230" w:rsidRDefault="009D6962" w:rsidP="00415230">
      <w:pPr>
        <w:pStyle w:val="Heading1"/>
        <w:rPr>
          <w:rFonts w:ascii="Times New Roman" w:hAnsi="Times New Roman" w:cs="Times New Roman"/>
          <w:shd w:val="clear" w:color="auto" w:fill="FFFFFF"/>
        </w:rPr>
      </w:pPr>
      <w:r w:rsidRPr="00B22C60">
        <w:rPr>
          <w:rFonts w:ascii="Times New Roman" w:hAnsi="Times New Roman" w:cs="Times New Roman"/>
          <w:shd w:val="clear" w:color="auto" w:fill="FFFFFF"/>
        </w:rPr>
        <w:t>References:</w:t>
      </w:r>
    </w:p>
    <w:p w14:paraId="18617521" w14:textId="77777777" w:rsidR="00D75FC5" w:rsidRPr="00D75FC5" w:rsidRDefault="00D75FC5" w:rsidP="00D75FC5">
      <w:pPr>
        <w:pStyle w:val="NormalWeb"/>
        <w:spacing w:line="360" w:lineRule="auto"/>
        <w:ind w:left="567" w:hanging="567"/>
        <w:jc w:val="both"/>
      </w:pPr>
      <w:r w:rsidRPr="00D75FC5">
        <w:t xml:space="preserve">“1. the trial jury and the evolution of the doctrine of ‘Beyond reasonable doubt’” (2019) </w:t>
      </w:r>
      <w:r w:rsidRPr="00D75FC5">
        <w:rPr>
          <w:iCs/>
        </w:rPr>
        <w:t>“Beyond Reasonable” Doubt and “Probable Cause,”</w:t>
      </w:r>
      <w:r w:rsidRPr="00D75FC5">
        <w:t xml:space="preserve"> pp. 1–41. Available at: https://doi.org/10.1525/9780520313408-003. </w:t>
      </w:r>
    </w:p>
    <w:p w14:paraId="6DD72197" w14:textId="77777777" w:rsidR="00D75FC5" w:rsidRPr="00D75FC5" w:rsidRDefault="00D75FC5" w:rsidP="00D75FC5">
      <w:pPr>
        <w:pStyle w:val="NormalWeb"/>
        <w:spacing w:line="360" w:lineRule="auto"/>
        <w:ind w:left="567" w:hanging="567"/>
        <w:jc w:val="both"/>
      </w:pPr>
      <w:r w:rsidRPr="00D75FC5">
        <w:t xml:space="preserve">“Criminal law, punishment, and Desert” (2019) </w:t>
      </w:r>
      <w:r w:rsidRPr="00D75FC5">
        <w:rPr>
          <w:iCs/>
        </w:rPr>
        <w:t>Crime and Culpability</w:t>
      </w:r>
      <w:r w:rsidRPr="00D75FC5">
        <w:t xml:space="preserve">, pp. 3–20. Available at: https://doi.org/10.1017/cbo9780511804595.001. </w:t>
      </w:r>
    </w:p>
    <w:p w14:paraId="71309D4E" w14:textId="77777777" w:rsidR="00D75FC5" w:rsidRPr="00D75FC5" w:rsidRDefault="00D75FC5" w:rsidP="00D75FC5">
      <w:pPr>
        <w:pStyle w:val="NormalWeb"/>
        <w:spacing w:line="360" w:lineRule="auto"/>
        <w:ind w:left="567" w:hanging="567"/>
        <w:jc w:val="both"/>
      </w:pPr>
      <w:r w:rsidRPr="00D75FC5">
        <w:t xml:space="preserve">“Post-office. Whether government can sue as bailee of owner for conversion of mail. Effect of owner's fraud” (2013) </w:t>
      </w:r>
      <w:r w:rsidRPr="00D75FC5">
        <w:rPr>
          <w:iCs/>
        </w:rPr>
        <w:t>Harvard Law Review</w:t>
      </w:r>
      <w:r w:rsidRPr="00D75FC5">
        <w:t xml:space="preserve">, 27(2), p. 185. Available at: https://doi.org/10.2307/1325906. </w:t>
      </w:r>
    </w:p>
    <w:p w14:paraId="710FB87D" w14:textId="77777777" w:rsidR="00D75FC5" w:rsidRPr="00D75FC5" w:rsidRDefault="00D75FC5" w:rsidP="00D75FC5">
      <w:pPr>
        <w:pStyle w:val="NormalWeb"/>
        <w:spacing w:line="360" w:lineRule="auto"/>
        <w:ind w:left="567" w:hanging="567"/>
        <w:jc w:val="both"/>
      </w:pPr>
      <w:r w:rsidRPr="00D75FC5">
        <w:t xml:space="preserve">“Secretary loses claim because she didn't directly inform administration” (2016) </w:t>
      </w:r>
      <w:r w:rsidRPr="00D75FC5">
        <w:rPr>
          <w:iCs/>
        </w:rPr>
        <w:t>Campus Legal Advisor</w:t>
      </w:r>
      <w:r w:rsidRPr="00D75FC5">
        <w:t xml:space="preserve">, 16(6), pp. 9–9. Available at: https://doi.org/10.1002/cala.30272. </w:t>
      </w:r>
    </w:p>
    <w:p w14:paraId="032576B2" w14:textId="77777777" w:rsidR="00D75FC5" w:rsidRPr="00D75FC5" w:rsidRDefault="00D75FC5" w:rsidP="00D75FC5">
      <w:pPr>
        <w:tabs>
          <w:tab w:val="left" w:pos="8505"/>
        </w:tabs>
        <w:spacing w:line="360" w:lineRule="auto"/>
        <w:jc w:val="both"/>
        <w:rPr>
          <w:rFonts w:ascii="Times New Roman" w:hAnsi="Times New Roman" w:cs="Times New Roman"/>
          <w:sz w:val="24"/>
          <w:szCs w:val="24"/>
          <w:lang w:val="en-GB"/>
        </w:rPr>
      </w:pPr>
      <w:r w:rsidRPr="00D75FC5">
        <w:rPr>
          <w:rFonts w:ascii="Times New Roman" w:hAnsi="Times New Roman" w:cs="Times New Roman"/>
          <w:sz w:val="24"/>
          <w:szCs w:val="24"/>
          <w:lang w:val="en-GB"/>
        </w:rPr>
        <w:t>Advanced Criminal Litigation in Practice 2010 The City Law School 9</w:t>
      </w:r>
      <w:r w:rsidRPr="00D75FC5">
        <w:rPr>
          <w:rFonts w:ascii="Times New Roman" w:hAnsi="Times New Roman" w:cs="Times New Roman"/>
          <w:sz w:val="24"/>
          <w:szCs w:val="24"/>
          <w:vertAlign w:val="superscript"/>
          <w:lang w:val="en-GB"/>
        </w:rPr>
        <w:t>th</w:t>
      </w:r>
      <w:r w:rsidRPr="00D75FC5">
        <w:rPr>
          <w:rFonts w:ascii="Times New Roman" w:hAnsi="Times New Roman" w:cs="Times New Roman"/>
          <w:sz w:val="24"/>
          <w:szCs w:val="24"/>
          <w:lang w:val="en-GB"/>
        </w:rPr>
        <w:t xml:space="preserve"> Ed OUP.</w:t>
      </w:r>
    </w:p>
    <w:p w14:paraId="4F4731B3" w14:textId="77777777" w:rsidR="00D75FC5" w:rsidRPr="00D75FC5" w:rsidRDefault="00D75FC5" w:rsidP="00D75FC5">
      <w:pPr>
        <w:pStyle w:val="NormalWeb"/>
        <w:spacing w:line="360" w:lineRule="auto"/>
        <w:ind w:left="567" w:hanging="567"/>
        <w:jc w:val="both"/>
      </w:pPr>
      <w:r w:rsidRPr="00D75FC5">
        <w:t xml:space="preserve">Anna (2021) “Advantages and disadvantages of Home Office in Polish banking sector during the Coronavirus Pandemic,” </w:t>
      </w:r>
      <w:r w:rsidRPr="00D75FC5">
        <w:rPr>
          <w:iCs/>
        </w:rPr>
        <w:t>EUROPEAN RESEARCH STUDIES JOURNAL</w:t>
      </w:r>
      <w:r w:rsidRPr="00D75FC5">
        <w:t xml:space="preserve">, XXIV (Issue 3), pp. 957–969. Available at: https://doi.org/10.35808/ersj/2394. </w:t>
      </w:r>
    </w:p>
    <w:p w14:paraId="794A9238" w14:textId="77777777" w:rsidR="00D75FC5" w:rsidRPr="00D75FC5" w:rsidRDefault="00D75FC5" w:rsidP="00D75FC5">
      <w:pPr>
        <w:pStyle w:val="NormalWeb"/>
        <w:spacing w:line="360" w:lineRule="auto"/>
        <w:ind w:left="567" w:hanging="567"/>
        <w:jc w:val="both"/>
      </w:pPr>
      <w:r w:rsidRPr="00D75FC5">
        <w:t xml:space="preserve">Arcaya, J.M. (2015) “Challenging the police de-selection process during the psychological interview,” </w:t>
      </w:r>
      <w:r w:rsidRPr="00D75FC5">
        <w:rPr>
          <w:iCs/>
        </w:rPr>
        <w:t>Handbook of Police Psychology</w:t>
      </w:r>
      <w:r w:rsidRPr="00D75FC5">
        <w:t xml:space="preserve"> [Preprint]. Available at: https://doi.org/10.4324/9780203836170.ch11. </w:t>
      </w:r>
    </w:p>
    <w:p w14:paraId="3CD8584B" w14:textId="77777777" w:rsidR="00D75FC5" w:rsidRPr="00D75FC5" w:rsidRDefault="00D75FC5" w:rsidP="00D75FC5">
      <w:pPr>
        <w:tabs>
          <w:tab w:val="left" w:pos="8505"/>
        </w:tabs>
        <w:spacing w:line="360" w:lineRule="auto"/>
        <w:jc w:val="both"/>
        <w:rPr>
          <w:rFonts w:ascii="Times New Roman" w:hAnsi="Times New Roman" w:cs="Times New Roman"/>
          <w:sz w:val="24"/>
          <w:szCs w:val="24"/>
          <w:lang w:val="en-GB"/>
        </w:rPr>
      </w:pPr>
      <w:r w:rsidRPr="00D75FC5">
        <w:rPr>
          <w:rFonts w:ascii="Times New Roman" w:hAnsi="Times New Roman" w:cs="Times New Roman"/>
          <w:sz w:val="24"/>
          <w:szCs w:val="24"/>
          <w:lang w:val="en-GB"/>
        </w:rPr>
        <w:t>Criminal Litigation 2018-2019 2018 M. Hannibal and L. Mountford 14</w:t>
      </w:r>
      <w:r w:rsidRPr="00D75FC5">
        <w:rPr>
          <w:rFonts w:ascii="Times New Roman" w:hAnsi="Times New Roman" w:cs="Times New Roman"/>
          <w:sz w:val="24"/>
          <w:szCs w:val="24"/>
          <w:vertAlign w:val="superscript"/>
          <w:lang w:val="en-GB"/>
        </w:rPr>
        <w:t>th</w:t>
      </w:r>
      <w:r w:rsidRPr="00D75FC5">
        <w:rPr>
          <w:rFonts w:ascii="Times New Roman" w:hAnsi="Times New Roman" w:cs="Times New Roman"/>
          <w:sz w:val="24"/>
          <w:szCs w:val="24"/>
          <w:lang w:val="en-GB"/>
        </w:rPr>
        <w:t xml:space="preserve"> Ed OUP.</w:t>
      </w:r>
      <w:r w:rsidRPr="00D75FC5">
        <w:rPr>
          <w:rFonts w:ascii="Times New Roman" w:hAnsi="Times New Roman" w:cs="Times New Roman"/>
          <w:sz w:val="24"/>
          <w:szCs w:val="24"/>
          <w:lang w:val="en-GB"/>
        </w:rPr>
        <w:tab/>
      </w:r>
    </w:p>
    <w:p w14:paraId="52C00917" w14:textId="77777777" w:rsidR="00D75FC5" w:rsidRPr="00D75FC5" w:rsidRDefault="00D75FC5" w:rsidP="00D75FC5">
      <w:pPr>
        <w:spacing w:line="360" w:lineRule="auto"/>
        <w:jc w:val="both"/>
        <w:rPr>
          <w:rFonts w:ascii="Times New Roman" w:hAnsi="Times New Roman" w:cs="Times New Roman"/>
          <w:sz w:val="24"/>
          <w:szCs w:val="24"/>
          <w:lang w:val="en-GB"/>
        </w:rPr>
      </w:pPr>
      <w:r w:rsidRPr="00D75FC5">
        <w:rPr>
          <w:rFonts w:ascii="Times New Roman" w:hAnsi="Times New Roman" w:cs="Times New Roman"/>
          <w:sz w:val="24"/>
          <w:szCs w:val="24"/>
          <w:lang w:val="en-GB"/>
        </w:rPr>
        <w:t>Criminal Litigation and Sentencing 2018 29</w:t>
      </w:r>
      <w:r w:rsidRPr="00D75FC5">
        <w:rPr>
          <w:rFonts w:ascii="Times New Roman" w:hAnsi="Times New Roman" w:cs="Times New Roman"/>
          <w:sz w:val="24"/>
          <w:szCs w:val="24"/>
          <w:vertAlign w:val="superscript"/>
          <w:lang w:val="en-GB"/>
        </w:rPr>
        <w:t>th</w:t>
      </w:r>
      <w:r w:rsidRPr="00D75FC5">
        <w:rPr>
          <w:rFonts w:ascii="Times New Roman" w:hAnsi="Times New Roman" w:cs="Times New Roman"/>
          <w:sz w:val="24"/>
          <w:szCs w:val="24"/>
          <w:lang w:val="en-GB"/>
        </w:rPr>
        <w:t xml:space="preserve"> Ed the City Law school OUP.</w:t>
      </w:r>
    </w:p>
    <w:p w14:paraId="2C299B03" w14:textId="77777777" w:rsidR="00D75FC5" w:rsidRPr="00D75FC5" w:rsidRDefault="00D75FC5" w:rsidP="00D75FC5">
      <w:pPr>
        <w:pStyle w:val="NormalWeb"/>
        <w:spacing w:line="360" w:lineRule="auto"/>
        <w:ind w:left="567" w:hanging="567"/>
        <w:jc w:val="both"/>
      </w:pPr>
      <w:r w:rsidRPr="00D75FC5">
        <w:lastRenderedPageBreak/>
        <w:t xml:space="preserve">David, B. (2016) “III Trust Arbitration as a matter of national law, 13 arbitration of trust disputes under the Bahamas Trustee act 1998,” </w:t>
      </w:r>
      <w:r w:rsidRPr="00D75FC5">
        <w:rPr>
          <w:iCs/>
        </w:rPr>
        <w:t>Arbitration of Trust Disputes</w:t>
      </w:r>
      <w:r w:rsidRPr="00D75FC5">
        <w:t xml:space="preserve"> [Preprint]. Available at: https://doi.org/10.1093/law/9780198759829.003.0013. </w:t>
      </w:r>
    </w:p>
    <w:p w14:paraId="532C8BE5" w14:textId="77777777" w:rsidR="00D75FC5" w:rsidRPr="00D75FC5" w:rsidRDefault="00D75FC5" w:rsidP="00D75FC5">
      <w:pPr>
        <w:pStyle w:val="NormalWeb"/>
        <w:spacing w:line="360" w:lineRule="auto"/>
        <w:ind w:left="567" w:hanging="567"/>
        <w:jc w:val="both"/>
      </w:pPr>
      <w:r w:rsidRPr="00D75FC5">
        <w:t xml:space="preserve">Dyer, C. (2012) “Hysterectomy can be performed on woman with schizophrenia against her will, judge rules,” </w:t>
      </w:r>
      <w:r w:rsidRPr="00D75FC5">
        <w:rPr>
          <w:iCs/>
        </w:rPr>
        <w:t>BMJ</w:t>
      </w:r>
      <w:r w:rsidRPr="00D75FC5">
        <w:t xml:space="preserve">, 345(oct16 2). Available at: https://doi.org/10.1136/bmj.e7006. </w:t>
      </w:r>
    </w:p>
    <w:p w14:paraId="6EFFA6CE" w14:textId="77777777" w:rsidR="00D75FC5" w:rsidRPr="00D75FC5" w:rsidRDefault="00D75FC5" w:rsidP="00D75FC5">
      <w:pPr>
        <w:pStyle w:val="NormalWeb"/>
        <w:spacing w:line="360" w:lineRule="auto"/>
        <w:ind w:left="567" w:hanging="567"/>
        <w:jc w:val="both"/>
      </w:pPr>
      <w:r w:rsidRPr="00D75FC5">
        <w:t xml:space="preserve">Havely, N. (2014) “‘few can understand him’: Reputation, ownership, reading, c.1600–c.1800,” </w:t>
      </w:r>
      <w:r w:rsidRPr="00D75FC5">
        <w:rPr>
          <w:iCs/>
        </w:rPr>
        <w:t>Dante’s British Public</w:t>
      </w:r>
      <w:r w:rsidRPr="00D75FC5">
        <w:t xml:space="preserve">, pp. 68–127. Available at: https://doi.org/10.1093/acprof:oso/9780199212446.003.0005. </w:t>
      </w:r>
    </w:p>
    <w:p w14:paraId="60AF2C23" w14:textId="77777777" w:rsidR="00D75FC5" w:rsidRPr="00D75FC5" w:rsidRDefault="00D75FC5" w:rsidP="00D75FC5">
      <w:pPr>
        <w:pStyle w:val="NormalWeb"/>
        <w:spacing w:line="360" w:lineRule="auto"/>
        <w:ind w:left="567" w:hanging="567"/>
        <w:jc w:val="both"/>
      </w:pPr>
      <w:r w:rsidRPr="00D75FC5">
        <w:t xml:space="preserve">Hefferan, M.J. (2020) “Taxation and real property assets,” </w:t>
      </w:r>
      <w:r w:rsidRPr="00D75FC5">
        <w:rPr>
          <w:iCs/>
        </w:rPr>
        <w:t>Real Property in Australia</w:t>
      </w:r>
      <w:r w:rsidRPr="00D75FC5">
        <w:t xml:space="preserve">, pp. 279–289. Available at: https://doi.org/10.1201/9781003041788-14. </w:t>
      </w:r>
    </w:p>
    <w:p w14:paraId="3B3D2BEF" w14:textId="77777777" w:rsidR="00D75FC5" w:rsidRPr="00D75FC5" w:rsidRDefault="00D75FC5" w:rsidP="00D75FC5">
      <w:pPr>
        <w:pStyle w:val="NormalWeb"/>
        <w:spacing w:line="360" w:lineRule="auto"/>
        <w:ind w:left="567" w:hanging="567"/>
        <w:jc w:val="both"/>
      </w:pPr>
      <w:r w:rsidRPr="00D75FC5">
        <w:t xml:space="preserve">J Neethling and JM Potgieter (2021) “Unlawful arrest and unlawful detention: Separate grounds of action and punitive damages MVU v minister of safety and security 2009 6 SA 82 (GSJ),” </w:t>
      </w:r>
      <w:r w:rsidRPr="00D75FC5">
        <w:rPr>
          <w:iCs/>
        </w:rPr>
        <w:t>Obiter</w:t>
      </w:r>
      <w:r w:rsidRPr="00D75FC5">
        <w:t xml:space="preserve">, 31(2). Available at: https://doi.org/10.17159/obiter.v31i2.12370. </w:t>
      </w:r>
    </w:p>
    <w:p w14:paraId="34CB34E9" w14:textId="77777777" w:rsidR="00D75FC5" w:rsidRPr="00D75FC5" w:rsidRDefault="00D75FC5" w:rsidP="00D75FC5">
      <w:pPr>
        <w:pStyle w:val="NormalWeb"/>
        <w:spacing w:line="360" w:lineRule="auto"/>
        <w:ind w:left="567" w:hanging="567"/>
        <w:jc w:val="both"/>
      </w:pPr>
      <w:r w:rsidRPr="00D75FC5">
        <w:t xml:space="preserve">Macedo, C.R. (2020) “'any' person has standing for false marking claim in use,” </w:t>
      </w:r>
      <w:r w:rsidRPr="00D75FC5">
        <w:rPr>
          <w:iCs/>
        </w:rPr>
        <w:t>Journal of Intellectual Property Law &amp; Practice</w:t>
      </w:r>
      <w:r w:rsidRPr="00D75FC5">
        <w:t xml:space="preserve">, 6(1), pp. 12–14. Available at: https://doi.org/10.1093/jiplp/jpq161. </w:t>
      </w:r>
    </w:p>
    <w:p w14:paraId="72B99440" w14:textId="77777777" w:rsidR="00D75FC5" w:rsidRPr="00D75FC5" w:rsidRDefault="00D75FC5" w:rsidP="00D75FC5">
      <w:pPr>
        <w:pStyle w:val="NormalWeb"/>
        <w:spacing w:line="360" w:lineRule="auto"/>
        <w:ind w:left="567" w:hanging="567"/>
        <w:jc w:val="both"/>
      </w:pPr>
      <w:r w:rsidRPr="00D75FC5">
        <w:t xml:space="preserve">Rainer, G. (2018) “Definition of constitutions,” </w:t>
      </w:r>
      <w:r w:rsidRPr="00D75FC5">
        <w:rPr>
          <w:iCs/>
        </w:rPr>
        <w:t>Max Planck Encyclopedia of Comparative Constitutional Law</w:t>
      </w:r>
      <w:r w:rsidRPr="00D75FC5">
        <w:t xml:space="preserve"> [Preprint]. Available at: https://doi.org/10.1093/law-mpeccol/e2.013.2. </w:t>
      </w:r>
    </w:p>
    <w:p w14:paraId="547951A3" w14:textId="77777777" w:rsidR="00D75FC5" w:rsidRPr="00D75FC5" w:rsidRDefault="00D75FC5" w:rsidP="00D75FC5">
      <w:pPr>
        <w:pStyle w:val="NormalWeb"/>
        <w:spacing w:line="360" w:lineRule="auto"/>
        <w:ind w:left="567" w:hanging="567"/>
        <w:jc w:val="both"/>
      </w:pPr>
      <w:r w:rsidRPr="00D75FC5">
        <w:t xml:space="preserve">Ten Have, H. and Patrão Neves, M.do (2021) “Ownership (see patenting; property rights),” </w:t>
      </w:r>
      <w:r w:rsidRPr="00D75FC5">
        <w:rPr>
          <w:iCs/>
        </w:rPr>
        <w:t>Dictionary of Global Bioethics</w:t>
      </w:r>
      <w:r w:rsidRPr="00D75FC5">
        <w:t xml:space="preserve">, pp. 795–795. Available at: https://doi.org/10.1007/978-3-030-54161-3_391. </w:t>
      </w:r>
    </w:p>
    <w:p w14:paraId="4D3DB3C1" w14:textId="77777777" w:rsidR="00D75FC5" w:rsidRPr="00D75FC5" w:rsidRDefault="00D75FC5" w:rsidP="00D75FC5">
      <w:pPr>
        <w:spacing w:line="360" w:lineRule="auto"/>
        <w:jc w:val="both"/>
        <w:rPr>
          <w:rFonts w:ascii="Times New Roman" w:hAnsi="Times New Roman" w:cs="Times New Roman"/>
          <w:sz w:val="24"/>
          <w:szCs w:val="24"/>
        </w:rPr>
      </w:pPr>
      <w:r w:rsidRPr="00D75FC5">
        <w:rPr>
          <w:rFonts w:ascii="Times New Roman" w:hAnsi="Times New Roman" w:cs="Times New Roman"/>
          <w:iCs/>
          <w:sz w:val="24"/>
          <w:szCs w:val="24"/>
        </w:rPr>
        <w:t>Theft act offences</w:t>
      </w:r>
      <w:r w:rsidRPr="00D75FC5">
        <w:rPr>
          <w:rFonts w:ascii="Times New Roman" w:hAnsi="Times New Roman" w:cs="Times New Roman"/>
          <w:sz w:val="24"/>
          <w:szCs w:val="24"/>
        </w:rPr>
        <w:t xml:space="preserve"> (2022) </w:t>
      </w:r>
      <w:r w:rsidRPr="00D75FC5">
        <w:rPr>
          <w:rFonts w:ascii="Times New Roman" w:hAnsi="Times New Roman" w:cs="Times New Roman"/>
          <w:iCs/>
          <w:sz w:val="24"/>
          <w:szCs w:val="24"/>
        </w:rPr>
        <w:t>Theft Act Offences | The Crown Prosecution Service</w:t>
      </w:r>
      <w:r w:rsidRPr="00D75FC5">
        <w:rPr>
          <w:rFonts w:ascii="Times New Roman" w:hAnsi="Times New Roman" w:cs="Times New Roman"/>
          <w:sz w:val="24"/>
          <w:szCs w:val="24"/>
        </w:rPr>
        <w:t xml:space="preserve">. Available at: </w:t>
      </w:r>
      <w:hyperlink r:id="rId6" w:history="1">
        <w:r w:rsidRPr="00D75FC5">
          <w:rPr>
            <w:rStyle w:val="Hyperlink"/>
            <w:rFonts w:ascii="Times New Roman" w:hAnsi="Times New Roman" w:cs="Times New Roman"/>
            <w:sz w:val="24"/>
            <w:szCs w:val="24"/>
          </w:rPr>
          <w:t>https://www.cps.gov.uk/legal-guidance/theft-act-offences</w:t>
        </w:r>
      </w:hyperlink>
      <w:r w:rsidRPr="00D75FC5">
        <w:rPr>
          <w:rFonts w:ascii="Times New Roman" w:hAnsi="Times New Roman" w:cs="Times New Roman"/>
          <w:sz w:val="24"/>
          <w:szCs w:val="24"/>
        </w:rPr>
        <w:t xml:space="preserve"> (Accessed: November 7, 2022). </w:t>
      </w:r>
    </w:p>
    <w:p w14:paraId="5325CF46" w14:textId="77777777" w:rsidR="00D75FC5" w:rsidRDefault="00D75FC5" w:rsidP="00D75FC5">
      <w:pPr>
        <w:tabs>
          <w:tab w:val="left" w:pos="8505"/>
        </w:tabs>
        <w:spacing w:line="360" w:lineRule="auto"/>
        <w:jc w:val="both"/>
        <w:rPr>
          <w:rFonts w:ascii="Arial" w:hAnsi="Arial" w:cs="Arial"/>
          <w:lang w:val="en-GB"/>
        </w:rPr>
      </w:pPr>
    </w:p>
    <w:p w14:paraId="6C8D9A4D" w14:textId="77777777" w:rsidR="00D75FC5" w:rsidRPr="00415230" w:rsidRDefault="00D75FC5" w:rsidP="00415230">
      <w:pPr>
        <w:spacing w:line="360" w:lineRule="auto"/>
        <w:jc w:val="both"/>
        <w:rPr>
          <w:rFonts w:ascii="Times New Roman" w:hAnsi="Times New Roman" w:cs="Times New Roman"/>
          <w:sz w:val="24"/>
          <w:szCs w:val="24"/>
        </w:rPr>
      </w:pPr>
    </w:p>
    <w:sectPr w:rsidR="00D75FC5" w:rsidRPr="0041523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CE42B" w14:textId="77777777" w:rsidR="002A1329" w:rsidRDefault="002A1329">
      <w:pPr>
        <w:spacing w:after="0" w:line="240" w:lineRule="auto"/>
      </w:pPr>
      <w:r>
        <w:separator/>
      </w:r>
    </w:p>
  </w:endnote>
  <w:endnote w:type="continuationSeparator" w:id="0">
    <w:p w14:paraId="70B7F55E" w14:textId="77777777" w:rsidR="002A1329" w:rsidRDefault="002A1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226615"/>
      <w:docPartObj>
        <w:docPartGallery w:val="Page Numbers (Bottom of Page)"/>
        <w:docPartUnique/>
      </w:docPartObj>
    </w:sdtPr>
    <w:sdtEndPr>
      <w:rPr>
        <w:noProof/>
      </w:rPr>
    </w:sdtEndPr>
    <w:sdtContent>
      <w:p w14:paraId="3B6B7558" w14:textId="77777777" w:rsidR="009D6962" w:rsidRDefault="009D6962">
        <w:pPr>
          <w:pStyle w:val="Footer"/>
          <w:jc w:val="right"/>
        </w:pPr>
        <w:r>
          <w:fldChar w:fldCharType="begin"/>
        </w:r>
        <w:r>
          <w:instrText xml:space="preserve"> PAGE   \* MERGEFORMAT </w:instrText>
        </w:r>
        <w:r>
          <w:fldChar w:fldCharType="separate"/>
        </w:r>
        <w:r w:rsidR="00D75FC5">
          <w:rPr>
            <w:noProof/>
          </w:rPr>
          <w:t>1</w:t>
        </w:r>
        <w:r>
          <w:rPr>
            <w:noProof/>
          </w:rPr>
          <w:fldChar w:fldCharType="end"/>
        </w:r>
      </w:p>
    </w:sdtContent>
  </w:sdt>
  <w:p w14:paraId="24819467" w14:textId="77777777" w:rsidR="009D6962" w:rsidRDefault="009D6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A16EB" w14:textId="77777777" w:rsidR="002A1329" w:rsidRDefault="002A1329">
      <w:pPr>
        <w:spacing w:after="0" w:line="240" w:lineRule="auto"/>
      </w:pPr>
      <w:r>
        <w:separator/>
      </w:r>
    </w:p>
  </w:footnote>
  <w:footnote w:type="continuationSeparator" w:id="0">
    <w:p w14:paraId="0AD352ED" w14:textId="77777777" w:rsidR="002A1329" w:rsidRDefault="002A13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CD1"/>
    <w:rsid w:val="000C335D"/>
    <w:rsid w:val="000E1A9E"/>
    <w:rsid w:val="000E70F4"/>
    <w:rsid w:val="000F10DF"/>
    <w:rsid w:val="0012017B"/>
    <w:rsid w:val="002363C0"/>
    <w:rsid w:val="002470B5"/>
    <w:rsid w:val="00274E0A"/>
    <w:rsid w:val="00297903"/>
    <w:rsid w:val="002A1329"/>
    <w:rsid w:val="00393E19"/>
    <w:rsid w:val="00415230"/>
    <w:rsid w:val="00442774"/>
    <w:rsid w:val="004716F5"/>
    <w:rsid w:val="005803D7"/>
    <w:rsid w:val="005D5F0C"/>
    <w:rsid w:val="008730C5"/>
    <w:rsid w:val="008E5D39"/>
    <w:rsid w:val="008E6CD1"/>
    <w:rsid w:val="009D6962"/>
    <w:rsid w:val="00A60EFD"/>
    <w:rsid w:val="00B22C60"/>
    <w:rsid w:val="00D54A1B"/>
    <w:rsid w:val="00D75FC5"/>
    <w:rsid w:val="00DA5B41"/>
    <w:rsid w:val="00DC335E"/>
    <w:rsid w:val="00E16ECA"/>
    <w:rsid w:val="00F03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B99EE"/>
  <w15:chartTrackingRefBased/>
  <w15:docId w15:val="{9B0ECE05-E2F2-4185-B773-881763FFC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6CD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6CD1"/>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8E6C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6CD1"/>
  </w:style>
  <w:style w:type="paragraph" w:styleId="Footer">
    <w:name w:val="footer"/>
    <w:basedOn w:val="Normal"/>
    <w:link w:val="FooterChar"/>
    <w:uiPriority w:val="99"/>
    <w:unhideWhenUsed/>
    <w:rsid w:val="008E6C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6CD1"/>
  </w:style>
  <w:style w:type="character" w:styleId="Hyperlink">
    <w:name w:val="Hyperlink"/>
    <w:basedOn w:val="DefaultParagraphFont"/>
    <w:uiPriority w:val="99"/>
    <w:unhideWhenUsed/>
    <w:rsid w:val="005803D7"/>
    <w:rPr>
      <w:color w:val="0563C1" w:themeColor="hyperlink"/>
      <w:u w:val="single"/>
    </w:rPr>
  </w:style>
  <w:style w:type="paragraph" w:styleId="NormalWeb">
    <w:name w:val="Normal (Web)"/>
    <w:basedOn w:val="Normal"/>
    <w:uiPriority w:val="99"/>
    <w:semiHidden/>
    <w:unhideWhenUsed/>
    <w:rsid w:val="005803D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2">
    <w:name w:val="Table Grid2"/>
    <w:basedOn w:val="TableNormal"/>
    <w:next w:val="TableGrid"/>
    <w:uiPriority w:val="59"/>
    <w:rsid w:val="00D75FC5"/>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75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742447">
      <w:bodyDiv w:val="1"/>
      <w:marLeft w:val="0"/>
      <w:marRight w:val="0"/>
      <w:marTop w:val="0"/>
      <w:marBottom w:val="0"/>
      <w:divBdr>
        <w:top w:val="none" w:sz="0" w:space="0" w:color="auto"/>
        <w:left w:val="none" w:sz="0" w:space="0" w:color="auto"/>
        <w:bottom w:val="none" w:sz="0" w:space="0" w:color="auto"/>
        <w:right w:val="none" w:sz="0" w:space="0" w:color="auto"/>
      </w:divBdr>
    </w:div>
    <w:div w:id="447554556">
      <w:bodyDiv w:val="1"/>
      <w:marLeft w:val="0"/>
      <w:marRight w:val="0"/>
      <w:marTop w:val="0"/>
      <w:marBottom w:val="0"/>
      <w:divBdr>
        <w:top w:val="none" w:sz="0" w:space="0" w:color="auto"/>
        <w:left w:val="none" w:sz="0" w:space="0" w:color="auto"/>
        <w:bottom w:val="none" w:sz="0" w:space="0" w:color="auto"/>
        <w:right w:val="none" w:sz="0" w:space="0" w:color="auto"/>
      </w:divBdr>
    </w:div>
    <w:div w:id="497116536">
      <w:bodyDiv w:val="1"/>
      <w:marLeft w:val="0"/>
      <w:marRight w:val="0"/>
      <w:marTop w:val="0"/>
      <w:marBottom w:val="0"/>
      <w:divBdr>
        <w:top w:val="none" w:sz="0" w:space="0" w:color="auto"/>
        <w:left w:val="none" w:sz="0" w:space="0" w:color="auto"/>
        <w:bottom w:val="none" w:sz="0" w:space="0" w:color="auto"/>
        <w:right w:val="none" w:sz="0" w:space="0" w:color="auto"/>
      </w:divBdr>
    </w:div>
    <w:div w:id="592470585">
      <w:bodyDiv w:val="1"/>
      <w:marLeft w:val="0"/>
      <w:marRight w:val="0"/>
      <w:marTop w:val="0"/>
      <w:marBottom w:val="0"/>
      <w:divBdr>
        <w:top w:val="none" w:sz="0" w:space="0" w:color="auto"/>
        <w:left w:val="none" w:sz="0" w:space="0" w:color="auto"/>
        <w:bottom w:val="none" w:sz="0" w:space="0" w:color="auto"/>
        <w:right w:val="none" w:sz="0" w:space="0" w:color="auto"/>
      </w:divBdr>
    </w:div>
    <w:div w:id="715854112">
      <w:bodyDiv w:val="1"/>
      <w:marLeft w:val="0"/>
      <w:marRight w:val="0"/>
      <w:marTop w:val="0"/>
      <w:marBottom w:val="0"/>
      <w:divBdr>
        <w:top w:val="none" w:sz="0" w:space="0" w:color="auto"/>
        <w:left w:val="none" w:sz="0" w:space="0" w:color="auto"/>
        <w:bottom w:val="none" w:sz="0" w:space="0" w:color="auto"/>
        <w:right w:val="none" w:sz="0" w:space="0" w:color="auto"/>
      </w:divBdr>
    </w:div>
    <w:div w:id="716516289">
      <w:bodyDiv w:val="1"/>
      <w:marLeft w:val="0"/>
      <w:marRight w:val="0"/>
      <w:marTop w:val="0"/>
      <w:marBottom w:val="0"/>
      <w:divBdr>
        <w:top w:val="none" w:sz="0" w:space="0" w:color="auto"/>
        <w:left w:val="none" w:sz="0" w:space="0" w:color="auto"/>
        <w:bottom w:val="none" w:sz="0" w:space="0" w:color="auto"/>
        <w:right w:val="none" w:sz="0" w:space="0" w:color="auto"/>
      </w:divBdr>
    </w:div>
    <w:div w:id="1150098426">
      <w:bodyDiv w:val="1"/>
      <w:marLeft w:val="0"/>
      <w:marRight w:val="0"/>
      <w:marTop w:val="0"/>
      <w:marBottom w:val="0"/>
      <w:divBdr>
        <w:top w:val="none" w:sz="0" w:space="0" w:color="auto"/>
        <w:left w:val="none" w:sz="0" w:space="0" w:color="auto"/>
        <w:bottom w:val="none" w:sz="0" w:space="0" w:color="auto"/>
        <w:right w:val="none" w:sz="0" w:space="0" w:color="auto"/>
      </w:divBdr>
    </w:div>
    <w:div w:id="1167596001">
      <w:bodyDiv w:val="1"/>
      <w:marLeft w:val="0"/>
      <w:marRight w:val="0"/>
      <w:marTop w:val="0"/>
      <w:marBottom w:val="0"/>
      <w:divBdr>
        <w:top w:val="none" w:sz="0" w:space="0" w:color="auto"/>
        <w:left w:val="none" w:sz="0" w:space="0" w:color="auto"/>
        <w:bottom w:val="none" w:sz="0" w:space="0" w:color="auto"/>
        <w:right w:val="none" w:sz="0" w:space="0" w:color="auto"/>
      </w:divBdr>
    </w:div>
    <w:div w:id="1381327067">
      <w:bodyDiv w:val="1"/>
      <w:marLeft w:val="0"/>
      <w:marRight w:val="0"/>
      <w:marTop w:val="0"/>
      <w:marBottom w:val="0"/>
      <w:divBdr>
        <w:top w:val="none" w:sz="0" w:space="0" w:color="auto"/>
        <w:left w:val="none" w:sz="0" w:space="0" w:color="auto"/>
        <w:bottom w:val="none" w:sz="0" w:space="0" w:color="auto"/>
        <w:right w:val="none" w:sz="0" w:space="0" w:color="auto"/>
      </w:divBdr>
    </w:div>
    <w:div w:id="1403018914">
      <w:bodyDiv w:val="1"/>
      <w:marLeft w:val="0"/>
      <w:marRight w:val="0"/>
      <w:marTop w:val="0"/>
      <w:marBottom w:val="0"/>
      <w:divBdr>
        <w:top w:val="none" w:sz="0" w:space="0" w:color="auto"/>
        <w:left w:val="none" w:sz="0" w:space="0" w:color="auto"/>
        <w:bottom w:val="none" w:sz="0" w:space="0" w:color="auto"/>
        <w:right w:val="none" w:sz="0" w:space="0" w:color="auto"/>
      </w:divBdr>
    </w:div>
    <w:div w:id="1493138930">
      <w:bodyDiv w:val="1"/>
      <w:marLeft w:val="0"/>
      <w:marRight w:val="0"/>
      <w:marTop w:val="0"/>
      <w:marBottom w:val="0"/>
      <w:divBdr>
        <w:top w:val="none" w:sz="0" w:space="0" w:color="auto"/>
        <w:left w:val="none" w:sz="0" w:space="0" w:color="auto"/>
        <w:bottom w:val="none" w:sz="0" w:space="0" w:color="auto"/>
        <w:right w:val="none" w:sz="0" w:space="0" w:color="auto"/>
      </w:divBdr>
    </w:div>
    <w:div w:id="1622297438">
      <w:bodyDiv w:val="1"/>
      <w:marLeft w:val="0"/>
      <w:marRight w:val="0"/>
      <w:marTop w:val="0"/>
      <w:marBottom w:val="0"/>
      <w:divBdr>
        <w:top w:val="none" w:sz="0" w:space="0" w:color="auto"/>
        <w:left w:val="none" w:sz="0" w:space="0" w:color="auto"/>
        <w:bottom w:val="none" w:sz="0" w:space="0" w:color="auto"/>
        <w:right w:val="none" w:sz="0" w:space="0" w:color="auto"/>
      </w:divBdr>
    </w:div>
    <w:div w:id="1697658360">
      <w:bodyDiv w:val="1"/>
      <w:marLeft w:val="0"/>
      <w:marRight w:val="0"/>
      <w:marTop w:val="0"/>
      <w:marBottom w:val="0"/>
      <w:divBdr>
        <w:top w:val="none" w:sz="0" w:space="0" w:color="auto"/>
        <w:left w:val="none" w:sz="0" w:space="0" w:color="auto"/>
        <w:bottom w:val="none" w:sz="0" w:space="0" w:color="auto"/>
        <w:right w:val="none" w:sz="0" w:space="0" w:color="auto"/>
      </w:divBdr>
    </w:div>
    <w:div w:id="1786970685">
      <w:bodyDiv w:val="1"/>
      <w:marLeft w:val="0"/>
      <w:marRight w:val="0"/>
      <w:marTop w:val="0"/>
      <w:marBottom w:val="0"/>
      <w:divBdr>
        <w:top w:val="none" w:sz="0" w:space="0" w:color="auto"/>
        <w:left w:val="none" w:sz="0" w:space="0" w:color="auto"/>
        <w:bottom w:val="none" w:sz="0" w:space="0" w:color="auto"/>
        <w:right w:val="none" w:sz="0" w:space="0" w:color="auto"/>
      </w:divBdr>
    </w:div>
    <w:div w:id="1802576422">
      <w:bodyDiv w:val="1"/>
      <w:marLeft w:val="0"/>
      <w:marRight w:val="0"/>
      <w:marTop w:val="0"/>
      <w:marBottom w:val="0"/>
      <w:divBdr>
        <w:top w:val="none" w:sz="0" w:space="0" w:color="auto"/>
        <w:left w:val="none" w:sz="0" w:space="0" w:color="auto"/>
        <w:bottom w:val="none" w:sz="0" w:space="0" w:color="auto"/>
        <w:right w:val="none" w:sz="0" w:space="0" w:color="auto"/>
      </w:divBdr>
    </w:div>
    <w:div w:id="1847669546">
      <w:bodyDiv w:val="1"/>
      <w:marLeft w:val="0"/>
      <w:marRight w:val="0"/>
      <w:marTop w:val="0"/>
      <w:marBottom w:val="0"/>
      <w:divBdr>
        <w:top w:val="none" w:sz="0" w:space="0" w:color="auto"/>
        <w:left w:val="none" w:sz="0" w:space="0" w:color="auto"/>
        <w:bottom w:val="none" w:sz="0" w:space="0" w:color="auto"/>
        <w:right w:val="none" w:sz="0" w:space="0" w:color="auto"/>
      </w:divBdr>
    </w:div>
    <w:div w:id="208059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ps.gov.uk/legal-guidance/theft-act-offence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7</Pages>
  <Words>1956</Words>
  <Characters>11155</Characters>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2022-11-11T20:39:00Z</dcterms:created>
  <dcterms:modified xsi:type="dcterms:W3CDTF">2022-11-11T21:04:00Z</dcterms:modified>
</cp:coreProperties>
</file>