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B5016" w14:textId="4694C768" w:rsidR="00E0036E" w:rsidRPr="00F95CE5" w:rsidRDefault="00586126" w:rsidP="00E0036E">
      <w:pPr>
        <w:spacing w:before="240" w:after="160" w:line="360" w:lineRule="auto"/>
        <w:jc w:val="both"/>
        <w:rPr>
          <w:rFonts w:ascii="Arial" w:eastAsia="Times New Roman" w:hAnsi="Arial" w:cs="Arial"/>
          <w:b/>
          <w:bCs/>
          <w:kern w:val="2"/>
          <w:sz w:val="24"/>
          <w:szCs w:val="24"/>
          <w:lang w:val="en-GB" w:eastAsia="en-GB"/>
          <w14:ligatures w14:val="standardContextual"/>
        </w:rPr>
      </w:pPr>
      <w:r w:rsidRPr="00A406E5">
        <w:rPr>
          <w:rFonts w:ascii="Arial" w:hAnsi="Arial" w:cs="Arial"/>
          <w:noProof/>
        </w:rPr>
        <w:drawing>
          <wp:anchor distT="0" distB="0" distL="114300" distR="114300" simplePos="0" relativeHeight="251683840" behindDoc="0" locked="0" layoutInCell="1" allowOverlap="1" wp14:anchorId="54B2CBDA" wp14:editId="30A2B4A4">
            <wp:simplePos x="0" y="0"/>
            <wp:positionH relativeFrom="column">
              <wp:posOffset>-133985</wp:posOffset>
            </wp:positionH>
            <wp:positionV relativeFrom="paragraph">
              <wp:posOffset>0</wp:posOffset>
            </wp:positionV>
            <wp:extent cx="2623185" cy="1054735"/>
            <wp:effectExtent l="0" t="0" r="571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23185" cy="1054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96AD7B" w14:textId="77777777" w:rsidR="00B47997" w:rsidRDefault="00B47997" w:rsidP="008B509C">
      <w:pPr>
        <w:spacing w:before="240" w:after="160" w:line="360" w:lineRule="auto"/>
        <w:jc w:val="center"/>
        <w:rPr>
          <w:rFonts w:ascii="Arial" w:eastAsia="Times New Roman" w:hAnsi="Arial" w:cs="Arial"/>
          <w:b/>
          <w:bCs/>
          <w:kern w:val="2"/>
          <w:szCs w:val="24"/>
          <w:lang w:val="en-GB" w:eastAsia="en-GB"/>
          <w14:ligatures w14:val="standardContextual"/>
        </w:rPr>
      </w:pPr>
    </w:p>
    <w:p w14:paraId="7A325A7F" w14:textId="77777777" w:rsidR="00B47997" w:rsidRDefault="00B47997" w:rsidP="008B509C">
      <w:pPr>
        <w:spacing w:before="240" w:after="160" w:line="360" w:lineRule="auto"/>
        <w:jc w:val="center"/>
        <w:rPr>
          <w:rFonts w:ascii="Arial" w:eastAsia="Times New Roman" w:hAnsi="Arial" w:cs="Arial"/>
          <w:b/>
          <w:bCs/>
          <w:kern w:val="2"/>
          <w:szCs w:val="24"/>
          <w:lang w:val="en-GB" w:eastAsia="en-GB"/>
          <w14:ligatures w14:val="standardContextual"/>
        </w:rPr>
      </w:pPr>
    </w:p>
    <w:p w14:paraId="7C267F12" w14:textId="77777777" w:rsidR="00B47997" w:rsidRDefault="00B47997" w:rsidP="008B509C">
      <w:pPr>
        <w:spacing w:before="240" w:after="160" w:line="360" w:lineRule="auto"/>
        <w:jc w:val="center"/>
        <w:rPr>
          <w:rFonts w:ascii="Arial" w:eastAsia="Times New Roman" w:hAnsi="Arial" w:cs="Arial"/>
          <w:b/>
          <w:bCs/>
          <w:kern w:val="2"/>
          <w:szCs w:val="24"/>
          <w:lang w:val="en-GB" w:eastAsia="en-GB"/>
          <w14:ligatures w14:val="standardContextual"/>
        </w:rPr>
      </w:pPr>
    </w:p>
    <w:p w14:paraId="46E99B19" w14:textId="77777777" w:rsidR="00B47997" w:rsidRDefault="00B47997"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p>
    <w:p w14:paraId="33027EFE" w14:textId="77777777" w:rsidR="00B47997" w:rsidRDefault="00B47997"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p>
    <w:p w14:paraId="72E66D75" w14:textId="0AEFF7CF" w:rsidR="008B509C" w:rsidRPr="00B47997" w:rsidRDefault="008B509C"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Programme:</w:t>
      </w:r>
      <w:r w:rsidRPr="00B47997">
        <w:rPr>
          <w:rFonts w:ascii="Times New Roman" w:eastAsia="Calibri" w:hAnsi="Times New Roman" w:cs="Times New Roman"/>
          <w:bCs/>
          <w:kern w:val="2"/>
          <w:sz w:val="32"/>
          <w:szCs w:val="32"/>
          <w:lang w:val="en-GB"/>
          <w14:ligatures w14:val="standardContextual"/>
        </w:rPr>
        <w:t xml:space="preserve"> </w:t>
      </w:r>
      <w:r w:rsidRPr="00B47997">
        <w:rPr>
          <w:rFonts w:ascii="Arial" w:eastAsia="Times New Roman" w:hAnsi="Arial" w:cs="Arial"/>
          <w:bCs/>
          <w:kern w:val="2"/>
          <w:sz w:val="32"/>
          <w:szCs w:val="32"/>
          <w:lang w:val="en-GB" w:eastAsia="en-GB"/>
          <w14:ligatures w14:val="standardContextual"/>
        </w:rPr>
        <w:t>MSc Public Health and Social Care in Practice</w:t>
      </w:r>
    </w:p>
    <w:p w14:paraId="29476672" w14:textId="28A79FAC" w:rsidR="008B509C" w:rsidRPr="00B47997" w:rsidRDefault="008B509C"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 xml:space="preserve">Module: </w:t>
      </w:r>
      <w:r w:rsidRPr="00B47997">
        <w:rPr>
          <w:rFonts w:ascii="Arial" w:eastAsia="Times New Roman" w:hAnsi="Arial" w:cs="Arial"/>
          <w:bCs/>
          <w:kern w:val="2"/>
          <w:sz w:val="32"/>
          <w:szCs w:val="32"/>
          <w:lang w:val="en-GB" w:eastAsia="en-GB"/>
          <w14:ligatures w14:val="standardContextual"/>
        </w:rPr>
        <w:t>Health Care System Organisation and Leadership</w:t>
      </w:r>
    </w:p>
    <w:p w14:paraId="35D2E10A" w14:textId="77777777" w:rsidR="008B509C" w:rsidRPr="00B47997" w:rsidRDefault="008B509C"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Module code:</w:t>
      </w:r>
      <w:r w:rsidRPr="00B47997">
        <w:rPr>
          <w:rFonts w:ascii="Arial" w:eastAsia="Times New Roman" w:hAnsi="Arial" w:cs="Arial"/>
          <w:bCs/>
          <w:kern w:val="2"/>
          <w:sz w:val="32"/>
          <w:szCs w:val="32"/>
          <w:lang w:val="en-GB" w:eastAsia="en-GB"/>
          <w14:ligatures w14:val="standardContextual"/>
        </w:rPr>
        <w:t xml:space="preserve"> LCHS7002</w:t>
      </w:r>
    </w:p>
    <w:p w14:paraId="473259B1" w14:textId="41A547E6" w:rsidR="008B509C" w:rsidRPr="00B47997" w:rsidRDefault="008B509C"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 xml:space="preserve">Assignment Title: </w:t>
      </w:r>
      <w:r w:rsidRPr="00B47997">
        <w:rPr>
          <w:rFonts w:ascii="Arial" w:eastAsia="Times New Roman" w:hAnsi="Arial" w:cs="Arial"/>
          <w:bCs/>
          <w:kern w:val="2"/>
          <w:sz w:val="32"/>
          <w:szCs w:val="32"/>
          <w:lang w:val="en-GB" w:eastAsia="en-GB"/>
          <w14:ligatures w14:val="standardContextual"/>
        </w:rPr>
        <w:t>Case Study Analysis Report</w:t>
      </w:r>
    </w:p>
    <w:p w14:paraId="530276C6" w14:textId="71351E92" w:rsidR="008B509C" w:rsidRPr="00B47997" w:rsidRDefault="008B509C"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 xml:space="preserve">Student name: </w:t>
      </w:r>
      <w:r w:rsidRPr="00B47997">
        <w:rPr>
          <w:rFonts w:ascii="Arial" w:eastAsia="Times New Roman" w:hAnsi="Arial" w:cs="Arial"/>
          <w:bCs/>
          <w:kern w:val="2"/>
          <w:sz w:val="32"/>
          <w:szCs w:val="32"/>
          <w:lang w:val="en-GB" w:eastAsia="en-GB"/>
          <w14:ligatures w14:val="standardContextual"/>
        </w:rPr>
        <w:t>Marian</w:t>
      </w:r>
      <w:r w:rsidR="003619FB" w:rsidRPr="00B47997">
        <w:rPr>
          <w:rFonts w:ascii="Arial" w:eastAsia="Times New Roman" w:hAnsi="Arial" w:cs="Arial"/>
          <w:bCs/>
          <w:kern w:val="2"/>
          <w:sz w:val="32"/>
          <w:szCs w:val="32"/>
          <w:lang w:val="en-GB" w:eastAsia="en-GB"/>
          <w14:ligatures w14:val="standardContextual"/>
        </w:rPr>
        <w:t>n</w:t>
      </w:r>
      <w:r w:rsidRPr="00B47997">
        <w:rPr>
          <w:rFonts w:ascii="Arial" w:eastAsia="Times New Roman" w:hAnsi="Arial" w:cs="Arial"/>
          <w:bCs/>
          <w:kern w:val="2"/>
          <w:sz w:val="32"/>
          <w:szCs w:val="32"/>
          <w:lang w:val="en-GB" w:eastAsia="en-GB"/>
          <w14:ligatures w14:val="standardContextual"/>
        </w:rPr>
        <w:t>a Florea</w:t>
      </w:r>
    </w:p>
    <w:p w14:paraId="79FDF711" w14:textId="77777777" w:rsidR="008B509C" w:rsidRPr="00B47997" w:rsidRDefault="008B509C"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 xml:space="preserve">Student ID: </w:t>
      </w:r>
      <w:r w:rsidRPr="00B47997">
        <w:rPr>
          <w:rFonts w:ascii="Arial" w:eastAsia="Times New Roman" w:hAnsi="Arial" w:cs="Arial"/>
          <w:bCs/>
          <w:kern w:val="2"/>
          <w:sz w:val="32"/>
          <w:szCs w:val="32"/>
          <w:lang w:val="en-GB" w:eastAsia="en-GB"/>
          <w14:ligatures w14:val="standardContextual"/>
        </w:rPr>
        <w:t>2244840</w:t>
      </w:r>
    </w:p>
    <w:p w14:paraId="292ED70C" w14:textId="1F8F6C72" w:rsidR="007109F6" w:rsidRPr="00B47997" w:rsidRDefault="008B509C" w:rsidP="008B509C">
      <w:pPr>
        <w:spacing w:before="240" w:after="160" w:line="360" w:lineRule="auto"/>
        <w:jc w:val="center"/>
        <w:rPr>
          <w:rFonts w:ascii="Arial" w:eastAsia="Times New Roman" w:hAnsi="Arial" w:cs="Arial"/>
          <w:b/>
          <w:bCs/>
          <w:color w:val="2F5496"/>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 xml:space="preserve">Lecturer Name: </w:t>
      </w:r>
      <w:r w:rsidR="003619FB" w:rsidRPr="00B47997">
        <w:rPr>
          <w:rFonts w:ascii="Arial" w:eastAsia="Times New Roman" w:hAnsi="Arial" w:cs="Arial"/>
          <w:bCs/>
          <w:kern w:val="2"/>
          <w:sz w:val="32"/>
          <w:szCs w:val="32"/>
          <w:lang w:val="en-GB" w:eastAsia="en-GB"/>
          <w14:ligatures w14:val="standardContextual"/>
        </w:rPr>
        <w:t>Dr</w:t>
      </w:r>
      <w:r w:rsidRPr="00B47997">
        <w:rPr>
          <w:rFonts w:ascii="Arial" w:eastAsia="Times New Roman" w:hAnsi="Arial" w:cs="Arial"/>
          <w:bCs/>
          <w:kern w:val="2"/>
          <w:sz w:val="32"/>
          <w:szCs w:val="32"/>
          <w:lang w:val="en-GB" w:eastAsia="en-GB"/>
          <w14:ligatures w14:val="standardContextual"/>
        </w:rPr>
        <w:t xml:space="preserve"> Pascal Navelle</w:t>
      </w:r>
      <w:r w:rsidRPr="00B47997">
        <w:rPr>
          <w:rFonts w:ascii="Arial" w:eastAsia="Times New Roman" w:hAnsi="Arial" w:cs="Arial"/>
          <w:b/>
          <w:bCs/>
          <w:kern w:val="2"/>
          <w:sz w:val="32"/>
          <w:szCs w:val="32"/>
          <w:lang w:val="en-GB" w:eastAsia="en-GB"/>
          <w14:ligatures w14:val="standardContextual"/>
        </w:rPr>
        <w:t xml:space="preserve"> </w:t>
      </w:r>
      <w:r w:rsidR="00E0036E" w:rsidRPr="00B47997">
        <w:rPr>
          <w:rFonts w:ascii="Arial" w:eastAsia="Times New Roman" w:hAnsi="Arial" w:cs="Arial"/>
          <w:b/>
          <w:bCs/>
          <w:kern w:val="2"/>
          <w:sz w:val="32"/>
          <w:szCs w:val="32"/>
          <w:lang w:val="en-GB" w:eastAsia="en-GB"/>
          <w14:ligatures w14:val="standardContextual"/>
        </w:rPr>
        <w:br w:type="page"/>
      </w:r>
      <w:bookmarkStart w:id="0" w:name="_Toc233119316"/>
      <w:bookmarkStart w:id="1" w:name="_Toc235204118"/>
      <w:bookmarkStart w:id="2" w:name="_Toc235204370"/>
    </w:p>
    <w:sdt>
      <w:sdtPr>
        <w:rPr>
          <w:rFonts w:ascii="Arial" w:eastAsiaTheme="minorHAnsi" w:hAnsi="Arial" w:cs="Arial"/>
          <w:b w:val="0"/>
          <w:bCs w:val="0"/>
          <w:color w:val="auto"/>
          <w:sz w:val="22"/>
          <w:szCs w:val="22"/>
          <w:lang w:val="en-GB" w:eastAsia="en-US"/>
        </w:rPr>
        <w:id w:val="-748187949"/>
        <w:docPartObj>
          <w:docPartGallery w:val="Table of Contents"/>
          <w:docPartUnique/>
        </w:docPartObj>
      </w:sdtPr>
      <w:sdtEndPr>
        <w:rPr>
          <w:noProof/>
        </w:rPr>
      </w:sdtEndPr>
      <w:sdtContent>
        <w:p w14:paraId="7C4B097A" w14:textId="4ACB060F" w:rsidR="007109F6" w:rsidRPr="00F95CE5" w:rsidRDefault="007109F6" w:rsidP="00F95CE5">
          <w:pPr>
            <w:pStyle w:val="TOCHeading"/>
            <w:spacing w:line="360" w:lineRule="auto"/>
            <w:rPr>
              <w:rFonts w:ascii="Arial" w:hAnsi="Arial" w:cs="Arial"/>
              <w:b w:val="0"/>
              <w:lang w:val="en-GB"/>
            </w:rPr>
          </w:pPr>
          <w:r w:rsidRPr="00F95CE5">
            <w:rPr>
              <w:rFonts w:ascii="Arial" w:hAnsi="Arial" w:cs="Arial"/>
              <w:b w:val="0"/>
              <w:lang w:val="en-GB"/>
            </w:rPr>
            <w:t>Table of Contents</w:t>
          </w:r>
        </w:p>
        <w:p w14:paraId="4759DD55" w14:textId="563D44D6"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r w:rsidRPr="00F95CE5">
            <w:rPr>
              <w:rFonts w:ascii="Arial" w:hAnsi="Arial" w:cs="Arial"/>
              <w:lang w:val="en-GB"/>
            </w:rPr>
            <w:fldChar w:fldCharType="begin"/>
          </w:r>
          <w:r w:rsidRPr="00F95CE5">
            <w:rPr>
              <w:rFonts w:ascii="Arial" w:hAnsi="Arial" w:cs="Arial"/>
              <w:lang w:val="en-GB"/>
            </w:rPr>
            <w:instrText xml:space="preserve"> TOC \o "1-3" \h \z \u </w:instrText>
          </w:r>
          <w:r w:rsidRPr="00F95CE5">
            <w:rPr>
              <w:rFonts w:ascii="Arial" w:hAnsi="Arial" w:cs="Arial"/>
              <w:lang w:val="en-GB"/>
            </w:rPr>
            <w:fldChar w:fldCharType="separate"/>
          </w:r>
          <w:hyperlink w:anchor="_Toc235204770" w:history="1">
            <w:r w:rsidRPr="00F95CE5">
              <w:rPr>
                <w:rStyle w:val="Hyperlink"/>
                <w:rFonts w:ascii="Arial" w:eastAsia="Times New Roman" w:hAnsi="Arial" w:cs="Arial"/>
                <w:bCs/>
                <w:noProof/>
                <w:lang w:val="en-GB" w:eastAsia="en-GB"/>
              </w:rPr>
              <w:t>1.Introduction</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_Toc235204770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3</w:t>
            </w:r>
            <w:r w:rsidRPr="00F95CE5">
              <w:rPr>
                <w:rFonts w:ascii="Arial" w:hAnsi="Arial" w:cs="Arial"/>
                <w:noProof/>
                <w:webHidden/>
                <w:lang w:val="en-GB"/>
              </w:rPr>
              <w:fldChar w:fldCharType="end"/>
            </w:r>
          </w:hyperlink>
        </w:p>
        <w:p w14:paraId="5D8CD59A" w14:textId="514ED831"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1" w:history="1">
            <w:r w:rsidRPr="00F95CE5">
              <w:rPr>
                <w:rStyle w:val="Hyperlink"/>
                <w:rFonts w:ascii="Arial" w:eastAsia="Times New Roman" w:hAnsi="Arial" w:cs="Arial"/>
                <w:bCs/>
                <w:noProof/>
                <w:lang w:val="en-GB"/>
              </w:rPr>
              <w:t>2.Identifying the Problem and Setting the System Context</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_Toc235204771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4</w:t>
            </w:r>
            <w:r w:rsidRPr="00F95CE5">
              <w:rPr>
                <w:rFonts w:ascii="Arial" w:hAnsi="Arial" w:cs="Arial"/>
                <w:noProof/>
                <w:webHidden/>
                <w:lang w:val="en-GB"/>
              </w:rPr>
              <w:fldChar w:fldCharType="end"/>
            </w:r>
          </w:hyperlink>
        </w:p>
        <w:p w14:paraId="7EEB58F9" w14:textId="23D07962" w:rsidR="007109F6" w:rsidRPr="00F95CE5" w:rsidRDefault="007109F6" w:rsidP="00F95CE5">
          <w:pPr>
            <w:pStyle w:val="TOC2"/>
            <w:tabs>
              <w:tab w:val="left" w:pos="960"/>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2" w:history="1">
            <w:r w:rsidRPr="00F95CE5">
              <w:rPr>
                <w:rStyle w:val="Hyperlink"/>
                <w:rFonts w:ascii="Arial" w:eastAsia="Times New Roman" w:hAnsi="Arial" w:cs="Arial"/>
                <w:bCs/>
                <w:noProof/>
                <w:lang w:val="en-GB" w:eastAsia="en-GB"/>
              </w:rPr>
              <w:t>2.1</w:t>
            </w:r>
            <w:r w:rsidRPr="00F95CE5">
              <w:rPr>
                <w:rFonts w:ascii="Arial" w:eastAsiaTheme="minorEastAsia" w:hAnsi="Arial" w:cs="Arial"/>
                <w:noProof/>
                <w:kern w:val="2"/>
                <w:sz w:val="24"/>
                <w:szCs w:val="24"/>
                <w:lang w:val="en-GB" w:eastAsia="en-IN"/>
                <w14:ligatures w14:val="standardContextual"/>
              </w:rPr>
              <w:tab/>
            </w:r>
            <w:r w:rsidRPr="00F95CE5">
              <w:rPr>
                <w:rStyle w:val="Hyperlink"/>
                <w:rFonts w:ascii="Arial" w:eastAsia="Times New Roman" w:hAnsi="Arial" w:cs="Arial"/>
                <w:bCs/>
                <w:noProof/>
                <w:lang w:val="en-GB" w:eastAsia="en-GB"/>
              </w:rPr>
              <w:t>Problem Background.</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_Toc235204772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4</w:t>
            </w:r>
            <w:r w:rsidRPr="00F95CE5">
              <w:rPr>
                <w:rFonts w:ascii="Arial" w:hAnsi="Arial" w:cs="Arial"/>
                <w:noProof/>
                <w:webHidden/>
                <w:lang w:val="en-GB"/>
              </w:rPr>
              <w:fldChar w:fldCharType="end"/>
            </w:r>
          </w:hyperlink>
        </w:p>
        <w:p w14:paraId="25C1351B" w14:textId="56EC0414"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3" w:history="1">
            <w:r w:rsidRPr="00F95CE5">
              <w:rPr>
                <w:rStyle w:val="Hyperlink"/>
                <w:rFonts w:ascii="Arial" w:eastAsia="Times New Roman" w:hAnsi="Arial" w:cs="Arial"/>
                <w:bCs/>
                <w:noProof/>
                <w:lang w:val="en-GB" w:eastAsia="en-GB"/>
              </w:rPr>
              <w:t>2.2 International Environment of Drug Prescription.</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_Toc235204773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4</w:t>
            </w:r>
            <w:r w:rsidRPr="00F95CE5">
              <w:rPr>
                <w:rFonts w:ascii="Arial" w:hAnsi="Arial" w:cs="Arial"/>
                <w:noProof/>
                <w:webHidden/>
                <w:lang w:val="en-GB"/>
              </w:rPr>
              <w:fldChar w:fldCharType="end"/>
            </w:r>
          </w:hyperlink>
        </w:p>
        <w:p w14:paraId="001F0EF9" w14:textId="4670DDC7"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4" w:history="1">
            <w:r w:rsidRPr="00F95CE5">
              <w:rPr>
                <w:rStyle w:val="Hyperlink"/>
                <w:rFonts w:ascii="Arial" w:eastAsia="Times New Roman" w:hAnsi="Arial" w:cs="Arial"/>
                <w:bCs/>
                <w:noProof/>
                <w:lang w:val="en-GB" w:eastAsia="en-GB"/>
              </w:rPr>
              <w:t>2.3 National Context: Medicine safety in the NHS.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_Toc235204774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4</w:t>
            </w:r>
            <w:r w:rsidRPr="00F95CE5">
              <w:rPr>
                <w:rFonts w:ascii="Arial" w:hAnsi="Arial" w:cs="Arial"/>
                <w:noProof/>
                <w:webHidden/>
                <w:lang w:val="en-GB"/>
              </w:rPr>
              <w:fldChar w:fldCharType="end"/>
            </w:r>
          </w:hyperlink>
        </w:p>
        <w:p w14:paraId="428E28D8" w14:textId="5695ABDB"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5" w:history="1">
            <w:r w:rsidRPr="00F95CE5">
              <w:rPr>
                <w:rStyle w:val="Hyperlink"/>
                <w:rFonts w:ascii="Arial" w:eastAsia="Times New Roman" w:hAnsi="Arial" w:cs="Arial"/>
                <w:bCs/>
                <w:noProof/>
                <w:lang w:val="en-GB" w:eastAsia="en-GB"/>
              </w:rPr>
              <w:t>2.4 National and International Comparisons.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_Toc235204775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5</w:t>
            </w:r>
            <w:r w:rsidRPr="00F95CE5">
              <w:rPr>
                <w:rFonts w:ascii="Arial" w:hAnsi="Arial" w:cs="Arial"/>
                <w:noProof/>
                <w:webHidden/>
                <w:lang w:val="en-GB"/>
              </w:rPr>
              <w:fldChar w:fldCharType="end"/>
            </w:r>
          </w:hyperlink>
        </w:p>
        <w:p w14:paraId="62C1BDC3" w14:textId="526CF600"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6" w:history="1">
            <w:r w:rsidRPr="00F95CE5">
              <w:rPr>
                <w:rStyle w:val="Hyperlink"/>
                <w:rFonts w:ascii="Arial" w:eastAsia="Times New Roman" w:hAnsi="Arial" w:cs="Arial"/>
                <w:bCs/>
                <w:noProof/>
                <w:lang w:val="en-GB" w:eastAsia="en-GB"/>
              </w:rPr>
              <w:t>2.5 Systemic Case-Disclosed Weaknesses.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_Toc235204776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5</w:t>
            </w:r>
            <w:r w:rsidRPr="00F95CE5">
              <w:rPr>
                <w:rFonts w:ascii="Arial" w:hAnsi="Arial" w:cs="Arial"/>
                <w:noProof/>
                <w:webHidden/>
                <w:lang w:val="en-GB"/>
              </w:rPr>
              <w:fldChar w:fldCharType="end"/>
            </w:r>
          </w:hyperlink>
        </w:p>
        <w:p w14:paraId="3D99BB28" w14:textId="0C892A24"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7" w:history="1">
            <w:r w:rsidRPr="00F95CE5">
              <w:rPr>
                <w:rStyle w:val="Hyperlink"/>
                <w:rFonts w:ascii="Arial" w:eastAsia="Times New Roman" w:hAnsi="Arial" w:cs="Arial"/>
                <w:bCs/>
                <w:noProof/>
                <w:lang w:val="en-GB" w:eastAsia="en-GB"/>
              </w:rPr>
              <w:t>2.6 Governance Influences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_Toc235204777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6</w:t>
            </w:r>
            <w:r w:rsidRPr="00F95CE5">
              <w:rPr>
                <w:rFonts w:ascii="Arial" w:hAnsi="Arial" w:cs="Arial"/>
                <w:noProof/>
                <w:webHidden/>
                <w:lang w:val="en-GB"/>
              </w:rPr>
              <w:fldChar w:fldCharType="end"/>
            </w:r>
          </w:hyperlink>
        </w:p>
        <w:p w14:paraId="4DADB4CA" w14:textId="1129D493"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8" w:history="1">
            <w:r w:rsidRPr="00F95CE5">
              <w:rPr>
                <w:rStyle w:val="Hyperlink"/>
                <w:rFonts w:ascii="Arial" w:eastAsia="Times New Roman" w:hAnsi="Arial" w:cs="Arial"/>
                <w:bCs/>
                <w:noProof/>
                <w:lang w:val="en-GB" w:eastAsia="en-GB"/>
              </w:rPr>
              <w:t>2.7 Underlying Challenges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_Toc235204778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6</w:t>
            </w:r>
            <w:r w:rsidRPr="00F95CE5">
              <w:rPr>
                <w:rFonts w:ascii="Arial" w:hAnsi="Arial" w:cs="Arial"/>
                <w:noProof/>
                <w:webHidden/>
                <w:lang w:val="en-GB"/>
              </w:rPr>
              <w:fldChar w:fldCharType="end"/>
            </w:r>
          </w:hyperlink>
        </w:p>
        <w:p w14:paraId="1BFD7942" w14:textId="242B61C7"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9" w:history="1">
            <w:r w:rsidRPr="00F95CE5">
              <w:rPr>
                <w:rStyle w:val="Hyperlink"/>
                <w:rFonts w:ascii="Arial" w:eastAsia="Times New Roman" w:hAnsi="Arial" w:cs="Arial"/>
                <w:bCs/>
                <w:noProof/>
                <w:lang w:val="en-GB"/>
              </w:rPr>
              <w:t>3.Centralisation or Decentralisation</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_Toc235204779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7</w:t>
            </w:r>
            <w:r w:rsidRPr="00F95CE5">
              <w:rPr>
                <w:rFonts w:ascii="Arial" w:hAnsi="Arial" w:cs="Arial"/>
                <w:noProof/>
                <w:webHidden/>
                <w:lang w:val="en-GB"/>
              </w:rPr>
              <w:fldChar w:fldCharType="end"/>
            </w:r>
          </w:hyperlink>
        </w:p>
        <w:p w14:paraId="6621A494" w14:textId="166B4134"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0" w:history="1">
            <w:r w:rsidRPr="00F95CE5">
              <w:rPr>
                <w:rStyle w:val="Hyperlink"/>
                <w:rFonts w:ascii="Arial" w:eastAsia="Times New Roman" w:hAnsi="Arial" w:cs="Arial"/>
                <w:bCs/>
                <w:noProof/>
                <w:lang w:val="en-GB" w:eastAsia="en-GB"/>
              </w:rPr>
              <w:t>3.1 NHS has centralised Systems.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_Toc235204780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7</w:t>
            </w:r>
            <w:r w:rsidRPr="00F95CE5">
              <w:rPr>
                <w:rFonts w:ascii="Arial" w:hAnsi="Arial" w:cs="Arial"/>
                <w:noProof/>
                <w:webHidden/>
                <w:lang w:val="en-GB"/>
              </w:rPr>
              <w:fldChar w:fldCharType="end"/>
            </w:r>
          </w:hyperlink>
        </w:p>
        <w:p w14:paraId="33B3A62C" w14:textId="484ACA97"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1" w:history="1">
            <w:r w:rsidRPr="00F95CE5">
              <w:rPr>
                <w:rStyle w:val="Hyperlink"/>
                <w:rFonts w:ascii="Arial" w:eastAsia="Times New Roman" w:hAnsi="Arial" w:cs="Arial"/>
                <w:bCs/>
                <w:noProof/>
                <w:lang w:val="en-GB" w:eastAsia="en-GB"/>
              </w:rPr>
              <w:t>3.2 NHS Decentralised Systems.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_Toc235204781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7</w:t>
            </w:r>
            <w:r w:rsidRPr="00F95CE5">
              <w:rPr>
                <w:rFonts w:ascii="Arial" w:hAnsi="Arial" w:cs="Arial"/>
                <w:noProof/>
                <w:webHidden/>
                <w:lang w:val="en-GB"/>
              </w:rPr>
              <w:fldChar w:fldCharType="end"/>
            </w:r>
          </w:hyperlink>
        </w:p>
        <w:p w14:paraId="0DFAA8C0" w14:textId="6C7159C8"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2" w:history="1">
            <w:r w:rsidRPr="00F95CE5">
              <w:rPr>
                <w:rStyle w:val="Hyperlink"/>
                <w:rFonts w:ascii="Arial" w:eastAsia="Times New Roman" w:hAnsi="Arial" w:cs="Arial"/>
                <w:bCs/>
                <w:noProof/>
                <w:lang w:val="en-GB" w:eastAsia="en-GB"/>
              </w:rPr>
              <w:t>3.3 Comparison of the Essence of Centralisation and Decentralisation.</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_Toc235204782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8</w:t>
            </w:r>
            <w:r w:rsidRPr="00F95CE5">
              <w:rPr>
                <w:rFonts w:ascii="Arial" w:hAnsi="Arial" w:cs="Arial"/>
                <w:noProof/>
                <w:webHidden/>
                <w:lang w:val="en-GB"/>
              </w:rPr>
              <w:fldChar w:fldCharType="end"/>
            </w:r>
          </w:hyperlink>
        </w:p>
        <w:p w14:paraId="64287B28" w14:textId="10F274DA"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3" w:history="1">
            <w:r w:rsidRPr="00F95CE5">
              <w:rPr>
                <w:rStyle w:val="Hyperlink"/>
                <w:rFonts w:ascii="Arial" w:eastAsia="Times New Roman" w:hAnsi="Arial" w:cs="Arial"/>
                <w:bCs/>
                <w:noProof/>
                <w:lang w:val="en-GB" w:eastAsia="en-GB"/>
              </w:rPr>
              <w:t>3.4 Actions and Results.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_Toc235204783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9</w:t>
            </w:r>
            <w:r w:rsidRPr="00F95CE5">
              <w:rPr>
                <w:rFonts w:ascii="Arial" w:hAnsi="Arial" w:cs="Arial"/>
                <w:noProof/>
                <w:webHidden/>
                <w:lang w:val="en-GB"/>
              </w:rPr>
              <w:fldChar w:fldCharType="end"/>
            </w:r>
          </w:hyperlink>
        </w:p>
        <w:p w14:paraId="00098A39" w14:textId="0FB97C1E"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4" w:history="1">
            <w:r w:rsidRPr="00F95CE5">
              <w:rPr>
                <w:rStyle w:val="Hyperlink"/>
                <w:rFonts w:ascii="Arial" w:eastAsia="Times New Roman" w:hAnsi="Arial" w:cs="Arial"/>
                <w:bCs/>
                <w:noProof/>
                <w:lang w:val="en-GB" w:eastAsia="en-GB"/>
              </w:rPr>
              <w:t>4.1 Transformational Leadership</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_Toc235204784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10</w:t>
            </w:r>
            <w:r w:rsidRPr="00F95CE5">
              <w:rPr>
                <w:rFonts w:ascii="Arial" w:hAnsi="Arial" w:cs="Arial"/>
                <w:noProof/>
                <w:webHidden/>
                <w:lang w:val="en-GB"/>
              </w:rPr>
              <w:fldChar w:fldCharType="end"/>
            </w:r>
          </w:hyperlink>
        </w:p>
        <w:p w14:paraId="09085446" w14:textId="4C730959"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5" w:history="1">
            <w:r w:rsidRPr="00F95CE5">
              <w:rPr>
                <w:rStyle w:val="Hyperlink"/>
                <w:rFonts w:ascii="Arial" w:eastAsia="Times New Roman" w:hAnsi="Arial" w:cs="Arial"/>
                <w:bCs/>
                <w:noProof/>
                <w:lang w:val="en-GB" w:eastAsia="en-GB"/>
              </w:rPr>
              <w:t>4.2 Transactional Leadership</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_Toc235204785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11</w:t>
            </w:r>
            <w:r w:rsidRPr="00F95CE5">
              <w:rPr>
                <w:rFonts w:ascii="Arial" w:hAnsi="Arial" w:cs="Arial"/>
                <w:noProof/>
                <w:webHidden/>
                <w:lang w:val="en-GB"/>
              </w:rPr>
              <w:fldChar w:fldCharType="end"/>
            </w:r>
          </w:hyperlink>
        </w:p>
        <w:p w14:paraId="1F95B150" w14:textId="7FF61E71"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6" w:history="1">
            <w:r w:rsidRPr="00F95CE5">
              <w:rPr>
                <w:rStyle w:val="Hyperlink"/>
                <w:rFonts w:ascii="Arial" w:eastAsia="Times New Roman" w:hAnsi="Arial" w:cs="Arial"/>
                <w:bCs/>
                <w:noProof/>
                <w:lang w:val="en-GB" w:eastAsia="en-GB"/>
              </w:rPr>
              <w:t>4.3 Situational Leadership</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_Toc235204786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11</w:t>
            </w:r>
            <w:r w:rsidRPr="00F95CE5">
              <w:rPr>
                <w:rFonts w:ascii="Arial" w:hAnsi="Arial" w:cs="Arial"/>
                <w:noProof/>
                <w:webHidden/>
                <w:lang w:val="en-GB"/>
              </w:rPr>
              <w:fldChar w:fldCharType="end"/>
            </w:r>
          </w:hyperlink>
        </w:p>
        <w:p w14:paraId="4CC00DD1" w14:textId="7186D661"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7" w:history="1">
            <w:r w:rsidRPr="00F95CE5">
              <w:rPr>
                <w:rStyle w:val="Hyperlink"/>
                <w:rFonts w:ascii="Arial" w:eastAsia="Times New Roman" w:hAnsi="Arial" w:cs="Arial"/>
                <w:bCs/>
                <w:noProof/>
                <w:lang w:val="en-GB" w:eastAsia="en-GB"/>
              </w:rPr>
              <w:t>4.4 Effectiveness Checklist in Leadership.</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_Toc235204787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12</w:t>
            </w:r>
            <w:r w:rsidRPr="00F95CE5">
              <w:rPr>
                <w:rFonts w:ascii="Arial" w:hAnsi="Arial" w:cs="Arial"/>
                <w:noProof/>
                <w:webHidden/>
                <w:lang w:val="en-GB"/>
              </w:rPr>
              <w:fldChar w:fldCharType="end"/>
            </w:r>
          </w:hyperlink>
        </w:p>
        <w:p w14:paraId="7EDEE4B0" w14:textId="61E37C25"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8" w:history="1">
            <w:r w:rsidRPr="00F95CE5">
              <w:rPr>
                <w:rStyle w:val="Hyperlink"/>
                <w:rFonts w:ascii="Arial" w:eastAsia="Times New Roman" w:hAnsi="Arial" w:cs="Arial"/>
                <w:bCs/>
                <w:noProof/>
                <w:lang w:val="en-GB"/>
              </w:rPr>
              <w:t>5.1 Breakdown of Information and understandability by patients.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_Toc235204788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13</w:t>
            </w:r>
            <w:r w:rsidRPr="00F95CE5">
              <w:rPr>
                <w:rFonts w:ascii="Arial" w:hAnsi="Arial" w:cs="Arial"/>
                <w:noProof/>
                <w:webHidden/>
                <w:lang w:val="en-GB"/>
              </w:rPr>
              <w:fldChar w:fldCharType="end"/>
            </w:r>
          </w:hyperlink>
        </w:p>
        <w:p w14:paraId="47F82501" w14:textId="018D1F0F"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9" w:history="1">
            <w:r w:rsidRPr="00F95CE5">
              <w:rPr>
                <w:rStyle w:val="Hyperlink"/>
                <w:rFonts w:ascii="Arial" w:eastAsia="Times New Roman" w:hAnsi="Arial" w:cs="Arial"/>
                <w:bCs/>
                <w:noProof/>
                <w:lang w:val="en-GB"/>
              </w:rPr>
              <w:t>5.2 Unresponsive Leadership and Bad Safety Culture.</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_Toc235204789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14</w:t>
            </w:r>
            <w:r w:rsidRPr="00F95CE5">
              <w:rPr>
                <w:rFonts w:ascii="Arial" w:hAnsi="Arial" w:cs="Arial"/>
                <w:noProof/>
                <w:webHidden/>
                <w:lang w:val="en-GB"/>
              </w:rPr>
              <w:fldChar w:fldCharType="end"/>
            </w:r>
          </w:hyperlink>
        </w:p>
        <w:p w14:paraId="15B074F4" w14:textId="31E9C35F"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0" w:history="1">
            <w:r w:rsidRPr="00F95CE5">
              <w:rPr>
                <w:rStyle w:val="Hyperlink"/>
                <w:rFonts w:ascii="Arial" w:eastAsia="Times New Roman" w:hAnsi="Arial" w:cs="Arial"/>
                <w:bCs/>
                <w:noProof/>
                <w:lang w:val="en-GB"/>
              </w:rPr>
              <w:t>5.3 Responsibility and Lapses in Governance.</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_Toc235204790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14</w:t>
            </w:r>
            <w:r w:rsidRPr="00F95CE5">
              <w:rPr>
                <w:rFonts w:ascii="Arial" w:hAnsi="Arial" w:cs="Arial"/>
                <w:noProof/>
                <w:webHidden/>
                <w:lang w:val="en-GB"/>
              </w:rPr>
              <w:fldChar w:fldCharType="end"/>
            </w:r>
          </w:hyperlink>
        </w:p>
        <w:p w14:paraId="2D836319" w14:textId="29B16197" w:rsidR="007109F6" w:rsidRPr="00F95CE5" w:rsidRDefault="008C6262"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1" w:history="1">
            <w:r>
              <w:rPr>
                <w:rStyle w:val="Hyperlink"/>
                <w:rFonts w:ascii="Arial" w:eastAsia="Times New Roman" w:hAnsi="Arial" w:cs="Arial"/>
                <w:bCs/>
                <w:noProof/>
                <w:lang w:val="en-GB"/>
              </w:rPr>
              <w:t>5.4 Lack of Transportable Digital Systems.</w:t>
            </w:r>
            <w:r>
              <w:rPr>
                <w:rStyle w:val="Hyperlink"/>
                <w:rFonts w:ascii="Arial" w:eastAsia="Times New Roman" w:hAnsi="Arial" w:cs="Arial"/>
                <w:bCs/>
                <w:noProof/>
                <w:lang w:val="en-GB"/>
              </w:rPr>
              <w:tab/>
              <w:t>14</w:t>
            </w:r>
          </w:hyperlink>
        </w:p>
        <w:p w14:paraId="247D813D" w14:textId="3FD5A871"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2" w:history="1">
            <w:r w:rsidRPr="00F95CE5">
              <w:rPr>
                <w:rStyle w:val="Hyperlink"/>
                <w:rFonts w:ascii="Arial" w:eastAsia="Times New Roman" w:hAnsi="Arial" w:cs="Arial"/>
                <w:bCs/>
                <w:noProof/>
                <w:lang w:val="en-GB"/>
              </w:rPr>
              <w:t>5.5 Connecting the Lessons Learned and Findings.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_Toc235204792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15</w:t>
            </w:r>
            <w:r w:rsidRPr="00F95CE5">
              <w:rPr>
                <w:rFonts w:ascii="Arial" w:hAnsi="Arial" w:cs="Arial"/>
                <w:noProof/>
                <w:webHidden/>
                <w:lang w:val="en-GB"/>
              </w:rPr>
              <w:fldChar w:fldCharType="end"/>
            </w:r>
          </w:hyperlink>
        </w:p>
        <w:p w14:paraId="7DD3BBC0" w14:textId="13B6154C"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3" w:history="1">
            <w:r w:rsidRPr="00F95CE5">
              <w:rPr>
                <w:rStyle w:val="Hyperlink"/>
                <w:rFonts w:ascii="Arial" w:eastAsia="Times New Roman" w:hAnsi="Arial" w:cs="Arial"/>
                <w:bCs/>
                <w:noProof/>
                <w:lang w:val="en-GB"/>
              </w:rPr>
              <w:t>6. Recommendation</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_Toc235204793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16</w:t>
            </w:r>
            <w:r w:rsidRPr="00F95CE5">
              <w:rPr>
                <w:rFonts w:ascii="Arial" w:hAnsi="Arial" w:cs="Arial"/>
                <w:noProof/>
                <w:webHidden/>
                <w:lang w:val="en-GB"/>
              </w:rPr>
              <w:fldChar w:fldCharType="end"/>
            </w:r>
          </w:hyperlink>
        </w:p>
        <w:p w14:paraId="3ED6B69A" w14:textId="1A613945"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4" w:history="1">
            <w:r w:rsidRPr="00F95CE5">
              <w:rPr>
                <w:rStyle w:val="Hyperlink"/>
                <w:rFonts w:ascii="Arial" w:eastAsia="Calibri" w:hAnsi="Arial" w:cs="Arial"/>
                <w:bCs/>
                <w:noProof/>
                <w:lang w:val="en-GB"/>
              </w:rPr>
              <w:t>7. Conclusion</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_Toc235204794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18</w:t>
            </w:r>
            <w:r w:rsidRPr="00F95CE5">
              <w:rPr>
                <w:rFonts w:ascii="Arial" w:hAnsi="Arial" w:cs="Arial"/>
                <w:noProof/>
                <w:webHidden/>
                <w:lang w:val="en-GB"/>
              </w:rPr>
              <w:fldChar w:fldCharType="end"/>
            </w:r>
          </w:hyperlink>
        </w:p>
        <w:p w14:paraId="4E28038B" w14:textId="6612FEE0"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5" w:history="1">
            <w:r w:rsidRPr="00F95CE5">
              <w:rPr>
                <w:rStyle w:val="Hyperlink"/>
                <w:rFonts w:ascii="Arial" w:eastAsia="Times New Roman" w:hAnsi="Arial" w:cs="Arial"/>
                <w:bCs/>
                <w:noProof/>
                <w:lang w:val="en-GB"/>
              </w:rPr>
              <w:t>8. References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_Toc235204795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19</w:t>
            </w:r>
            <w:r w:rsidRPr="00F95CE5">
              <w:rPr>
                <w:rFonts w:ascii="Arial" w:hAnsi="Arial" w:cs="Arial"/>
                <w:noProof/>
                <w:webHidden/>
                <w:lang w:val="en-GB"/>
              </w:rPr>
              <w:fldChar w:fldCharType="end"/>
            </w:r>
          </w:hyperlink>
        </w:p>
        <w:p w14:paraId="701CBDEA" w14:textId="1037039F"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6" w:history="1">
            <w:r w:rsidRPr="00F95CE5">
              <w:rPr>
                <w:rStyle w:val="Hyperlink"/>
                <w:rFonts w:ascii="Arial" w:eastAsia="Times New Roman" w:hAnsi="Arial" w:cs="Arial"/>
                <w:bCs/>
                <w:noProof/>
                <w:lang w:val="en-GB"/>
              </w:rPr>
              <w:t>9. Appendix</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_Toc235204796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24</w:t>
            </w:r>
            <w:r w:rsidRPr="00F95CE5">
              <w:rPr>
                <w:rFonts w:ascii="Arial" w:hAnsi="Arial" w:cs="Arial"/>
                <w:noProof/>
                <w:webHidden/>
                <w:lang w:val="en-GB"/>
              </w:rPr>
              <w:fldChar w:fldCharType="end"/>
            </w:r>
          </w:hyperlink>
        </w:p>
        <w:p w14:paraId="3EBA3B75" w14:textId="2BE15FB7" w:rsidR="007109F6" w:rsidRPr="00F95CE5" w:rsidRDefault="007109F6" w:rsidP="00F95CE5">
          <w:pPr>
            <w:spacing w:line="360" w:lineRule="auto"/>
            <w:rPr>
              <w:lang w:val="en-GB"/>
            </w:rPr>
          </w:pPr>
          <w:r w:rsidRPr="00F95CE5">
            <w:rPr>
              <w:rFonts w:ascii="Arial" w:hAnsi="Arial" w:cs="Arial"/>
              <w:bCs/>
              <w:noProof/>
              <w:lang w:val="en-GB"/>
            </w:rPr>
            <w:fldChar w:fldCharType="end"/>
          </w:r>
        </w:p>
      </w:sdtContent>
    </w:sdt>
    <w:p w14:paraId="69875178" w14:textId="45CF59F1" w:rsidR="00E0036E" w:rsidRPr="00C6397D" w:rsidRDefault="00E0036E" w:rsidP="00E0036E">
      <w:pPr>
        <w:keepNext/>
        <w:keepLines/>
        <w:spacing w:before="240" w:after="80" w:line="360" w:lineRule="auto"/>
        <w:jc w:val="both"/>
        <w:outlineLvl w:val="0"/>
        <w:rPr>
          <w:rFonts w:ascii="Arial" w:eastAsia="Times New Roman" w:hAnsi="Arial" w:cs="Arial"/>
          <w:b/>
          <w:bCs/>
          <w:color w:val="000000" w:themeColor="text1"/>
          <w:kern w:val="2"/>
          <w:lang w:val="en-GB" w:eastAsia="en-GB"/>
          <w14:ligatures w14:val="standardContextual"/>
        </w:rPr>
      </w:pPr>
      <w:bookmarkStart w:id="3" w:name="_Toc235204770"/>
      <w:r w:rsidRPr="00C6397D">
        <w:rPr>
          <w:rFonts w:ascii="Arial" w:eastAsia="Times New Roman" w:hAnsi="Arial" w:cs="Arial"/>
          <w:b/>
          <w:bCs/>
          <w:color w:val="000000" w:themeColor="text1"/>
          <w:kern w:val="2"/>
          <w:lang w:val="en-GB" w:eastAsia="en-GB"/>
          <w14:ligatures w14:val="standardContextual"/>
        </w:rPr>
        <w:lastRenderedPageBreak/>
        <w:t>1.Introduction</w:t>
      </w:r>
      <w:bookmarkEnd w:id="0"/>
      <w:bookmarkEnd w:id="1"/>
      <w:bookmarkEnd w:id="2"/>
      <w:bookmarkEnd w:id="3"/>
    </w:p>
    <w:p w14:paraId="074D62F5" w14:textId="7229B617" w:rsidR="00E0036E" w:rsidRPr="00F95CE5" w:rsidRDefault="00CF01C3" w:rsidP="00E0036E">
      <w:pPr>
        <w:spacing w:before="240" w:after="160" w:line="360" w:lineRule="auto"/>
        <w:jc w:val="both"/>
        <w:rPr>
          <w:rFonts w:ascii="Arial" w:eastAsia="Times New Roman" w:hAnsi="Arial" w:cs="Arial"/>
          <w:lang w:val="en-GB" w:eastAsia="en-GB"/>
        </w:rPr>
      </w:pPr>
      <w:r>
        <w:rPr>
          <w:rFonts w:ascii="Arial" w:eastAsia="Times New Roman" w:hAnsi="Arial" w:cs="Arial"/>
          <w:lang w:val="en-GB" w:eastAsia="en-GB"/>
        </w:rPr>
        <w:t>Patient safety incidents remain a major challenge within health and social care systems worldwide, with many events resulting from a combination of human factors, communication failures, organisatio</w:t>
      </w:r>
      <w:r w:rsidR="004C5D6C">
        <w:rPr>
          <w:rFonts w:ascii="Arial" w:eastAsia="Times New Roman" w:hAnsi="Arial" w:cs="Arial"/>
          <w:lang w:val="en-GB" w:eastAsia="en-GB"/>
        </w:rPr>
        <w:t>nal weaknesses and ineffective leadership.</w:t>
      </w:r>
      <w:r w:rsidR="00E0036E" w:rsidRPr="00F95CE5">
        <w:rPr>
          <w:rFonts w:ascii="Arial" w:eastAsia="Times New Roman" w:hAnsi="Arial" w:cs="Arial"/>
          <w:lang w:val="en-GB" w:eastAsia="en-GB"/>
        </w:rPr>
        <w:t xml:space="preserve"> The present report is based on the case of an 89-year-old man, Len, with Charcot-Marie-Tooth (CMT), who passed away due to accidental oral morphine solution overdoses after a misunderstanding about the instructions for taking medication. The event, which the Healthcare Safety Investigation Branch (HSSIB) reports </w:t>
      </w:r>
      <w:r w:rsidR="00262143">
        <w:rPr>
          <w:rFonts w:ascii="Arial" w:eastAsia="Times New Roman" w:hAnsi="Arial" w:cs="Arial"/>
          <w:lang w:val="en-GB" w:eastAsia="en-GB"/>
        </w:rPr>
        <w:t>on</w:t>
      </w:r>
      <w:r w:rsidR="00E0036E" w:rsidRPr="00F95CE5">
        <w:rPr>
          <w:rFonts w:ascii="Arial" w:eastAsia="Times New Roman" w:hAnsi="Arial" w:cs="Arial"/>
          <w:lang w:val="en-GB" w:eastAsia="en-GB"/>
        </w:rPr>
        <w:t>, explains the key issues of medication safety, communication, governance, and leadership in the healthcare system. The overdose could be reported as a case of personal misconception, and an inquiry carried out revealed that there were more systemic faults that had brought about the bad scenario of the outcome</w:t>
      </w:r>
      <w:r w:rsidR="00E0036E" w:rsidRPr="00F95CE5">
        <w:rPr>
          <w:rFonts w:ascii="Arial" w:eastAsia="Calibri" w:hAnsi="Arial" w:cs="Arial"/>
          <w:color w:val="222222"/>
          <w:kern w:val="2"/>
          <w:shd w:val="clear" w:color="auto" w:fill="FFFFFF"/>
          <w:lang w:val="en-GB"/>
          <w14:ligatures w14:val="standardContextual"/>
        </w:rPr>
        <w:t xml:space="preserve"> (World Health </w:t>
      </w:r>
      <w:r w:rsidR="003379E3">
        <w:rPr>
          <w:rFonts w:ascii="Arial" w:eastAsia="Calibri" w:hAnsi="Arial" w:cs="Arial"/>
          <w:color w:val="222222"/>
          <w:kern w:val="2"/>
          <w:shd w:val="clear" w:color="auto" w:fill="FFFFFF"/>
          <w:lang w:val="en-GB"/>
          <w14:ligatures w14:val="standardContextual"/>
        </w:rPr>
        <w:t>Organisation</w:t>
      </w:r>
      <w:r w:rsidR="00E0036E" w:rsidRPr="00F95CE5">
        <w:rPr>
          <w:rFonts w:ascii="Arial" w:eastAsia="Calibri" w:hAnsi="Arial" w:cs="Arial"/>
          <w:color w:val="222222"/>
          <w:kern w:val="2"/>
          <w:shd w:val="clear" w:color="auto" w:fill="FFFFFF"/>
          <w:lang w:val="en-GB"/>
          <w14:ligatures w14:val="standardContextual"/>
        </w:rPr>
        <w:t>, 2021)</w:t>
      </w:r>
      <w:r w:rsidR="00E0036E" w:rsidRPr="00F95CE5">
        <w:rPr>
          <w:rFonts w:ascii="Arial" w:eastAsia="Times New Roman" w:hAnsi="Arial" w:cs="Arial"/>
          <w:lang w:val="en-GB" w:eastAsia="en-GB"/>
        </w:rPr>
        <w:t>.</w:t>
      </w:r>
      <w:r w:rsidR="004779EC">
        <w:rPr>
          <w:rFonts w:ascii="Arial" w:eastAsia="Times New Roman" w:hAnsi="Arial" w:cs="Arial"/>
          <w:lang w:val="en-GB" w:eastAsia="en-GB"/>
        </w:rPr>
        <w:t xml:space="preserve"> </w:t>
      </w:r>
    </w:p>
    <w:p w14:paraId="3ED9F5DE" w14:textId="1B6A8F0F"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Leadership i</w:t>
      </w:r>
      <w:r w:rsidR="004C5D6C">
        <w:rPr>
          <w:rFonts w:ascii="Arial" w:eastAsia="Times New Roman" w:hAnsi="Arial" w:cs="Arial"/>
          <w:lang w:val="en-GB" w:eastAsia="en-GB"/>
        </w:rPr>
        <w:t xml:space="preserve">n health and social care involves influencing individuals and multidisciplinary teams to </w:t>
      </w:r>
      <w:r w:rsidR="008944B1">
        <w:rPr>
          <w:rFonts w:ascii="Arial" w:eastAsia="Times New Roman" w:hAnsi="Arial" w:cs="Arial"/>
          <w:lang w:val="en-GB" w:eastAsia="en-GB"/>
        </w:rPr>
        <w:t>achieve</w:t>
      </w:r>
      <w:r w:rsidR="004C5D6C">
        <w:rPr>
          <w:rFonts w:ascii="Arial" w:eastAsia="Times New Roman" w:hAnsi="Arial" w:cs="Arial"/>
          <w:lang w:val="en-GB" w:eastAsia="en-GB"/>
        </w:rPr>
        <w:t xml:space="preserve"> shared goals while promoting patient safety, high-quality care and </w:t>
      </w:r>
      <w:r w:rsidR="008944B1">
        <w:rPr>
          <w:rFonts w:ascii="Arial" w:eastAsia="Times New Roman" w:hAnsi="Arial" w:cs="Arial"/>
          <w:lang w:val="en-GB" w:eastAsia="en-GB"/>
        </w:rPr>
        <w:t>continuous service improvement (</w:t>
      </w:r>
      <w:r w:rsidR="008944B1" w:rsidRPr="008944B1">
        <w:rPr>
          <w:rFonts w:ascii="Arial" w:eastAsia="Times New Roman" w:hAnsi="Arial" w:cs="Arial"/>
          <w:lang w:eastAsia="en-GB"/>
        </w:rPr>
        <w:t>Do,</w:t>
      </w:r>
      <w:r w:rsidR="008944B1">
        <w:rPr>
          <w:rFonts w:ascii="Arial" w:eastAsia="Times New Roman" w:hAnsi="Arial" w:cs="Arial"/>
          <w:lang w:eastAsia="en-GB"/>
        </w:rPr>
        <w:t xml:space="preserve"> </w:t>
      </w:r>
      <w:r w:rsidR="008944B1" w:rsidRPr="008944B1">
        <w:rPr>
          <w:rFonts w:ascii="Arial" w:eastAsia="Times New Roman" w:hAnsi="Arial" w:cs="Arial"/>
          <w:lang w:eastAsia="en-GB"/>
        </w:rPr>
        <w:t>Harvey</w:t>
      </w:r>
      <w:r w:rsidR="008944B1">
        <w:rPr>
          <w:rFonts w:ascii="Arial" w:eastAsia="Times New Roman" w:hAnsi="Arial" w:cs="Arial"/>
          <w:lang w:eastAsia="en-GB"/>
        </w:rPr>
        <w:t xml:space="preserve"> </w:t>
      </w:r>
      <w:r w:rsidR="008944B1" w:rsidRPr="008944B1">
        <w:rPr>
          <w:rFonts w:ascii="Arial" w:eastAsia="Times New Roman" w:hAnsi="Arial" w:cs="Arial"/>
          <w:lang w:eastAsia="en-GB"/>
        </w:rPr>
        <w:t xml:space="preserve">and </w:t>
      </w:r>
      <w:proofErr w:type="spellStart"/>
      <w:r w:rsidR="008944B1" w:rsidRPr="008944B1">
        <w:rPr>
          <w:rFonts w:ascii="Arial" w:eastAsia="Times New Roman" w:hAnsi="Arial" w:cs="Arial"/>
          <w:lang w:eastAsia="en-GB"/>
        </w:rPr>
        <w:t>Maniate</w:t>
      </w:r>
      <w:proofErr w:type="spellEnd"/>
      <w:r w:rsidR="008944B1" w:rsidRPr="008944B1">
        <w:rPr>
          <w:rFonts w:ascii="Arial" w:eastAsia="Times New Roman" w:hAnsi="Arial" w:cs="Arial"/>
          <w:lang w:eastAsia="en-GB"/>
        </w:rPr>
        <w:t>,</w:t>
      </w:r>
      <w:r w:rsidR="008944B1">
        <w:rPr>
          <w:rFonts w:ascii="Arial" w:eastAsia="Times New Roman" w:hAnsi="Arial" w:cs="Arial"/>
          <w:lang w:eastAsia="en-GB"/>
        </w:rPr>
        <w:t xml:space="preserve"> </w:t>
      </w:r>
      <w:r w:rsidR="008944B1" w:rsidRPr="008944B1">
        <w:rPr>
          <w:rFonts w:ascii="Arial" w:eastAsia="Times New Roman" w:hAnsi="Arial" w:cs="Arial"/>
          <w:lang w:eastAsia="en-GB"/>
        </w:rPr>
        <w:t>2026)</w:t>
      </w:r>
      <w:r w:rsidR="008944B1">
        <w:rPr>
          <w:rFonts w:ascii="Arial" w:eastAsia="Times New Roman" w:hAnsi="Arial" w:cs="Arial"/>
          <w:lang w:eastAsia="en-GB"/>
        </w:rPr>
        <w:t>. Effective leaders create a culture of learning, accountability and collaboration that supports safe clinical practice.</w:t>
      </w:r>
      <w:r w:rsidR="004C5D6C">
        <w:rPr>
          <w:rFonts w:ascii="Arial" w:eastAsia="Times New Roman" w:hAnsi="Arial" w:cs="Arial"/>
          <w:lang w:val="en-GB" w:eastAsia="en-GB"/>
        </w:rPr>
        <w:t xml:space="preserve"> </w:t>
      </w:r>
      <w:r w:rsidRPr="00F95CE5">
        <w:rPr>
          <w:rFonts w:ascii="Arial" w:eastAsia="Times New Roman" w:hAnsi="Arial" w:cs="Arial"/>
          <w:lang w:val="en-GB" w:eastAsia="en-GB"/>
        </w:rPr>
        <w:t xml:space="preserve">The answer to the enhancement of patient safety, the attainment of quality, a focus on multidisciplinary collaboration and change </w:t>
      </w:r>
      <w:r w:rsidR="003379E3">
        <w:rPr>
          <w:rFonts w:ascii="Arial" w:eastAsia="Times New Roman" w:hAnsi="Arial" w:cs="Arial"/>
          <w:lang w:val="en-GB" w:eastAsia="en-GB"/>
        </w:rPr>
        <w:t>in</w:t>
      </w:r>
      <w:r w:rsidRPr="00F95CE5">
        <w:rPr>
          <w:rFonts w:ascii="Arial" w:eastAsia="Times New Roman" w:hAnsi="Arial" w:cs="Arial"/>
          <w:lang w:val="en-GB" w:eastAsia="en-GB"/>
        </w:rPr>
        <w:t xml:space="preserve"> any organisational health and social care environment is the leadership concept. The leaders are extremely important when it comes to the fidelity of organisational culture and responsibility, as well as </w:t>
      </w:r>
      <w:r w:rsidR="003379E3">
        <w:rPr>
          <w:rFonts w:ascii="Arial" w:eastAsia="Times New Roman" w:hAnsi="Arial" w:cs="Arial"/>
          <w:lang w:val="en-GB" w:eastAsia="en-GB"/>
        </w:rPr>
        <w:t xml:space="preserve">a </w:t>
      </w:r>
      <w:r w:rsidRPr="00F95CE5">
        <w:rPr>
          <w:rFonts w:ascii="Arial" w:eastAsia="Times New Roman" w:hAnsi="Arial" w:cs="Arial"/>
          <w:lang w:val="en-GB" w:eastAsia="en-GB"/>
        </w:rPr>
        <w:t>proper response to any threat to patient safety. Therefore, the effects of leadership on clinical services and outcomes may be massive.</w:t>
      </w:r>
    </w:p>
    <w:p w14:paraId="4ABA2D93" w14:textId="4FC722ED" w:rsidR="00E0036E" w:rsidRDefault="00E0036E" w:rsidP="00E0036E">
      <w:pPr>
        <w:spacing w:before="240" w:after="160" w:line="360" w:lineRule="auto"/>
        <w:jc w:val="both"/>
        <w:rPr>
          <w:rFonts w:ascii="Arial" w:eastAsia="Calibri" w:hAnsi="Arial" w:cs="Arial"/>
          <w:color w:val="222222"/>
          <w:kern w:val="2"/>
          <w:shd w:val="clear" w:color="auto" w:fill="FFFFFF"/>
          <w:lang w:val="en-GB"/>
          <w14:ligatures w14:val="standardContextual"/>
        </w:rPr>
      </w:pPr>
      <w:r w:rsidRPr="00F95CE5">
        <w:rPr>
          <w:rFonts w:ascii="Arial" w:eastAsia="Times New Roman" w:hAnsi="Arial" w:cs="Arial"/>
          <w:lang w:val="en-GB" w:eastAsia="en-GB"/>
        </w:rPr>
        <w:t xml:space="preserve">The form of governance of healthcare organisations can be centralised or decentralised. The top management/organisational level </w:t>
      </w:r>
      <w:r w:rsidR="001843C3">
        <w:rPr>
          <w:rFonts w:ascii="Arial" w:eastAsia="Times New Roman" w:hAnsi="Arial" w:cs="Arial"/>
          <w:lang w:val="en-GB" w:eastAsia="en-GB"/>
        </w:rPr>
        <w:t>carries</w:t>
      </w:r>
      <w:r w:rsidRPr="00F95CE5">
        <w:rPr>
          <w:rFonts w:ascii="Arial" w:eastAsia="Times New Roman" w:hAnsi="Arial" w:cs="Arial"/>
          <w:lang w:val="en-GB" w:eastAsia="en-GB"/>
        </w:rPr>
        <w:t xml:space="preserve"> out decision-making in the centralised system, and this facilitates standardisation and uniformity. Instead, decentralised systems can be employed that can decentralise the power of the local teams and frontline professionals, </w:t>
      </w:r>
      <w:r w:rsidR="001843C3">
        <w:rPr>
          <w:rFonts w:ascii="Arial" w:eastAsia="Times New Roman" w:hAnsi="Arial" w:cs="Arial"/>
          <w:lang w:val="en-GB" w:eastAsia="en-GB"/>
        </w:rPr>
        <w:t>which</w:t>
      </w:r>
      <w:r w:rsidRPr="00F95CE5">
        <w:rPr>
          <w:rFonts w:ascii="Arial" w:eastAsia="Times New Roman" w:hAnsi="Arial" w:cs="Arial"/>
          <w:lang w:val="en-GB" w:eastAsia="en-GB"/>
        </w:rPr>
        <w:t xml:space="preserve"> can make the system more responsive and flexible. Both strategies have their strengths and flaws, particularly in the process of managing more complex instances of patient safety. People must therefore learn the role played by the structures of governance in shaping the communication, accountability and determination in evaluating failures in healthcare (</w:t>
      </w:r>
      <w:r w:rsidRPr="00F95CE5">
        <w:rPr>
          <w:rFonts w:ascii="Arial" w:eastAsia="Calibri" w:hAnsi="Arial" w:cs="Arial"/>
          <w:color w:val="222222"/>
          <w:kern w:val="2"/>
          <w:shd w:val="clear" w:color="auto" w:fill="FFFFFF"/>
          <w:lang w:val="en-GB"/>
          <w14:ligatures w14:val="standardContextual"/>
        </w:rPr>
        <w:t>De Biase and Dougherty, 2021).</w:t>
      </w:r>
    </w:p>
    <w:p w14:paraId="74A36F97" w14:textId="30B04792" w:rsidR="00995E08" w:rsidRPr="00F95CE5" w:rsidRDefault="00995E08" w:rsidP="00E0036E">
      <w:pPr>
        <w:spacing w:before="240" w:after="160" w:line="360" w:lineRule="auto"/>
        <w:jc w:val="both"/>
        <w:rPr>
          <w:rFonts w:ascii="Arial" w:eastAsia="Times New Roman" w:hAnsi="Arial" w:cs="Arial"/>
          <w:lang w:val="en-GB" w:eastAsia="en-GB"/>
        </w:rPr>
      </w:pPr>
      <w:r>
        <w:rPr>
          <w:rFonts w:ascii="Arial" w:eastAsia="Calibri" w:hAnsi="Arial" w:cs="Arial"/>
          <w:color w:val="222222"/>
          <w:kern w:val="2"/>
          <w:shd w:val="clear" w:color="auto" w:fill="FFFFFF"/>
          <w:lang w:val="en-GB"/>
          <w14:ligatures w14:val="standardContextual"/>
        </w:rPr>
        <w:t>This report critically analyses the leadership and governance issues contributing to Len’s death. It examines the influence of centralised and decentralised healthcare structures,</w:t>
      </w:r>
      <w:r w:rsidR="00C746FC">
        <w:rPr>
          <w:rFonts w:ascii="Arial" w:eastAsia="Calibri" w:hAnsi="Arial" w:cs="Arial"/>
          <w:color w:val="222222"/>
          <w:kern w:val="2"/>
          <w:shd w:val="clear" w:color="auto" w:fill="FFFFFF"/>
          <w:lang w:val="en-GB"/>
          <w14:ligatures w14:val="standardContextual"/>
        </w:rPr>
        <w:t xml:space="preserve"> </w:t>
      </w:r>
      <w:r>
        <w:rPr>
          <w:rFonts w:ascii="Arial" w:eastAsia="Calibri" w:hAnsi="Arial" w:cs="Arial"/>
          <w:color w:val="222222"/>
          <w:kern w:val="2"/>
          <w:shd w:val="clear" w:color="auto" w:fill="FFFFFF"/>
          <w:lang w:val="en-GB"/>
          <w14:ligatures w14:val="standardContextual"/>
        </w:rPr>
        <w:t>evaluates</w:t>
      </w:r>
      <w:r w:rsidR="00C746FC">
        <w:rPr>
          <w:rFonts w:ascii="Arial" w:eastAsia="Calibri" w:hAnsi="Arial" w:cs="Arial"/>
          <w:color w:val="222222"/>
          <w:kern w:val="2"/>
          <w:shd w:val="clear" w:color="auto" w:fill="FFFFFF"/>
          <w:lang w:val="en-GB"/>
          <w14:ligatures w14:val="standardContextual"/>
        </w:rPr>
        <w:t xml:space="preserve"> relevant leadership theories and styles, analyses communication and organisational </w:t>
      </w:r>
      <w:r w:rsidR="00C746FC">
        <w:rPr>
          <w:rFonts w:ascii="Arial" w:eastAsia="Calibri" w:hAnsi="Arial" w:cs="Arial"/>
          <w:color w:val="222222"/>
          <w:kern w:val="2"/>
          <w:shd w:val="clear" w:color="auto" w:fill="FFFFFF"/>
          <w:lang w:val="en-GB"/>
          <w14:ligatures w14:val="standardContextual"/>
        </w:rPr>
        <w:lastRenderedPageBreak/>
        <w:t>failures, and discusses how effective leadership can improve patient safety, organisational learning and quality of care. Finally, recommendations are provided to strengthen leadership practice and reduce</w:t>
      </w:r>
      <w:r w:rsidR="00BC2417">
        <w:rPr>
          <w:rFonts w:ascii="Arial" w:eastAsia="Calibri" w:hAnsi="Arial" w:cs="Arial"/>
          <w:color w:val="222222"/>
          <w:kern w:val="2"/>
          <w:shd w:val="clear" w:color="auto" w:fill="FFFFFF"/>
          <w:lang w:val="en-GB"/>
          <w14:ligatures w14:val="standardContextual"/>
        </w:rPr>
        <w:t xml:space="preserve"> future medication-related incidents.</w:t>
      </w:r>
    </w:p>
    <w:p w14:paraId="0C23B2FB" w14:textId="796EA9A1" w:rsidR="007109F6" w:rsidRPr="00BC2417" w:rsidRDefault="00E0036E" w:rsidP="00BC2417">
      <w:pPr>
        <w:spacing w:after="160" w:line="360" w:lineRule="auto"/>
        <w:jc w:val="both"/>
        <w:rPr>
          <w:rFonts w:ascii="Arial" w:eastAsia="Times New Roman" w:hAnsi="Arial" w:cs="Arial"/>
          <w:b/>
          <w:bCs/>
          <w:color w:val="2F5496"/>
          <w:kern w:val="2"/>
          <w:lang w:val="en-GB"/>
          <w14:ligatures w14:val="standardContextual"/>
        </w:rPr>
      </w:pPr>
      <w:bookmarkStart w:id="4" w:name="_Toc233119317"/>
      <w:bookmarkStart w:id="5" w:name="_Toc235204119"/>
      <w:bookmarkStart w:id="6" w:name="_Toc235204371"/>
      <w:bookmarkStart w:id="7" w:name="_Toc235204771"/>
      <w:r w:rsidRPr="00C6397D">
        <w:rPr>
          <w:rFonts w:ascii="Arial" w:eastAsia="Times New Roman" w:hAnsi="Arial" w:cs="Arial"/>
          <w:b/>
          <w:bCs/>
          <w:color w:val="000000" w:themeColor="text1"/>
          <w:kern w:val="2"/>
          <w:lang w:val="en-GB"/>
          <w14:ligatures w14:val="standardContextual"/>
        </w:rPr>
        <w:t>2</w:t>
      </w:r>
      <w:r w:rsidR="00FA4615" w:rsidRPr="00C6397D">
        <w:rPr>
          <w:rFonts w:ascii="Arial" w:eastAsia="Times New Roman" w:hAnsi="Arial" w:cs="Arial"/>
          <w:b/>
          <w:bCs/>
          <w:color w:val="000000" w:themeColor="text1"/>
          <w:kern w:val="2"/>
          <w:lang w:val="en-GB"/>
          <w14:ligatures w14:val="standardContextual"/>
        </w:rPr>
        <w:t xml:space="preserve"> </w:t>
      </w:r>
      <w:r w:rsidRPr="00C6397D">
        <w:rPr>
          <w:rFonts w:ascii="Arial" w:eastAsia="Times New Roman" w:hAnsi="Arial" w:cs="Arial"/>
          <w:b/>
          <w:bCs/>
          <w:color w:val="000000" w:themeColor="text1"/>
          <w:kern w:val="2"/>
          <w:lang w:val="en-GB"/>
          <w14:ligatures w14:val="standardContextual"/>
        </w:rPr>
        <w:t>Identifying the Problem and Setting the System Context</w:t>
      </w:r>
      <w:bookmarkEnd w:id="4"/>
      <w:bookmarkEnd w:id="5"/>
      <w:bookmarkEnd w:id="6"/>
      <w:bookmarkEnd w:id="7"/>
    </w:p>
    <w:p w14:paraId="707B6729" w14:textId="2A9A91F5" w:rsidR="00E0036E" w:rsidRPr="00C6397D" w:rsidRDefault="00E0036E" w:rsidP="00E0036E">
      <w:pPr>
        <w:keepNext/>
        <w:keepLines/>
        <w:numPr>
          <w:ilvl w:val="1"/>
          <w:numId w:val="8"/>
        </w:numPr>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8" w:name="_Toc235204120"/>
      <w:bookmarkStart w:id="9" w:name="_Toc235204372"/>
      <w:bookmarkStart w:id="10" w:name="_Toc235204772"/>
      <w:r w:rsidRPr="00C6397D">
        <w:rPr>
          <w:rFonts w:ascii="Arial" w:eastAsia="Times New Roman" w:hAnsi="Arial" w:cs="Arial"/>
          <w:b/>
          <w:bCs/>
          <w:color w:val="000000" w:themeColor="text1"/>
          <w:kern w:val="2"/>
          <w:lang w:val="en-GB" w:eastAsia="en-GB"/>
          <w14:ligatures w14:val="standardContextual"/>
        </w:rPr>
        <w:t>Problem Background</w:t>
      </w:r>
      <w:bookmarkEnd w:id="8"/>
      <w:bookmarkEnd w:id="9"/>
      <w:bookmarkEnd w:id="10"/>
    </w:p>
    <w:p w14:paraId="4931781F" w14:textId="2933DFFF"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The main issue of the chosen case study is the accidental overdose of the morphine oral solution that happened to Len</w:t>
      </w:r>
      <w:r w:rsidR="00310603">
        <w:rPr>
          <w:rFonts w:ascii="Arial" w:eastAsia="Times New Roman" w:hAnsi="Arial" w:cs="Arial"/>
          <w:lang w:val="en-GB" w:eastAsia="en-GB"/>
        </w:rPr>
        <w:t>,</w:t>
      </w:r>
      <w:r w:rsidRPr="00F95CE5">
        <w:rPr>
          <w:rFonts w:ascii="Arial" w:eastAsia="Times New Roman" w:hAnsi="Arial" w:cs="Arial"/>
          <w:lang w:val="en-GB" w:eastAsia="en-GB"/>
        </w:rPr>
        <w:t xml:space="preserve"> an 89-year-old patient with Charcot-Marie-Tooth (CMT) disease. After a fall, Len suffered chest pain and dyspnoea and was given primary, followed by secondary health care and started taking morphine oral solution</w:t>
      </w:r>
      <w:r w:rsidRPr="00F95CE5">
        <w:rPr>
          <w:rFonts w:ascii="Arial" w:eastAsia="Calibri" w:hAnsi="Arial" w:cs="Arial"/>
          <w:color w:val="222222"/>
          <w:kern w:val="2"/>
          <w:shd w:val="clear" w:color="auto" w:fill="FFFFFF"/>
          <w:lang w:val="en-GB"/>
          <w14:ligatures w14:val="standardContextual"/>
        </w:rPr>
        <w:t xml:space="preserve"> (Johnson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2025)</w:t>
      </w:r>
      <w:r w:rsidRPr="00F95CE5">
        <w:rPr>
          <w:rFonts w:ascii="Arial" w:eastAsia="Times New Roman" w:hAnsi="Arial" w:cs="Arial"/>
          <w:lang w:val="en-GB" w:eastAsia="en-GB"/>
        </w:rPr>
        <w:t>. But the doses prescribed on the medication label were not understood properly by Len as well as his wife, leading to the patient taking a much higher dosage than the intended dosage. The next day, Len did not receive a response and came to the hospital with morphine toxicity, pneumonia and acute symptoms of CMT. His condition had improved at first, but he later got worse and perished. HSSIB has determined that the accident was not only the outcome of misperception by the patient, but also the outcome of an even greater mechanism breakdown that pertained to patient communication, medication safety process, and organisational leadership</w:t>
      </w:r>
      <w:r w:rsidR="006B5F98">
        <w:rPr>
          <w:rFonts w:ascii="Arial" w:eastAsia="Times New Roman" w:hAnsi="Arial" w:cs="Arial"/>
          <w:lang w:val="en-GB" w:eastAsia="en-GB"/>
        </w:rPr>
        <w:t xml:space="preserve"> </w:t>
      </w:r>
      <w:r w:rsidR="006B5F98" w:rsidRPr="006B5F98">
        <w:rPr>
          <w:rFonts w:ascii="Arial" w:eastAsia="Times New Roman" w:hAnsi="Arial" w:cs="Arial"/>
          <w:lang w:val="en-GB" w:eastAsia="en-GB"/>
        </w:rPr>
        <w:t>(</w:t>
      </w:r>
      <w:r w:rsidR="006B5F98" w:rsidRPr="006B5F98">
        <w:rPr>
          <w:rFonts w:ascii="Arial" w:eastAsia="Times New Roman" w:hAnsi="Arial" w:cs="Arial"/>
          <w:lang w:eastAsia="en-GB"/>
        </w:rPr>
        <w:t>Alshammari, 2026).</w:t>
      </w:r>
    </w:p>
    <w:p w14:paraId="09DA0A37" w14:textId="7777777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11" w:name="_Toc235204121"/>
      <w:bookmarkStart w:id="12" w:name="_Toc235204373"/>
      <w:bookmarkStart w:id="13" w:name="_Toc235204773"/>
      <w:r w:rsidRPr="00C6397D">
        <w:rPr>
          <w:rFonts w:ascii="Arial" w:eastAsia="Times New Roman" w:hAnsi="Arial" w:cs="Arial"/>
          <w:b/>
          <w:bCs/>
          <w:color w:val="000000" w:themeColor="text1"/>
          <w:kern w:val="2"/>
          <w:lang w:val="en-GB" w:eastAsia="en-GB"/>
          <w14:ligatures w14:val="standardContextual"/>
        </w:rPr>
        <w:t>2.2 International Environment of Drug Prescription.</w:t>
      </w:r>
      <w:bookmarkEnd w:id="11"/>
      <w:bookmarkEnd w:id="12"/>
      <w:bookmarkEnd w:id="13"/>
    </w:p>
    <w:p w14:paraId="0CC6A85D" w14:textId="3E2FD6A5"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The importance of the Len case is not confined to a local event since medication errors constitute one of the biggest patient safety challenges in the world. On the prevalence of injuries that come about due to the provision of healthcare to the patient, it has been estimated by the World Health Organisation (WHO) as follows: 1 in 10 patients and half of the injuries are preventable. Notably, medication-related events are the cause of almost half of all preventable patient injuries worldwide. WHO also approximates that medication-related harm applies to one out of every thirty patients, with numerous outcomes resulting in severe injury, incapacity, or loss of life (World Health Organisation, 2024).</w:t>
      </w:r>
    </w:p>
    <w:p w14:paraId="3C35BD18" w14:textId="3D235320" w:rsidR="00E0036E" w:rsidRPr="00F95CE5" w:rsidRDefault="00E0036E" w:rsidP="00E0036E">
      <w:pPr>
        <w:spacing w:before="240" w:after="160" w:line="360" w:lineRule="auto"/>
        <w:jc w:val="both"/>
        <w:rPr>
          <w:rFonts w:ascii="Arial" w:eastAsia="Times New Roman" w:hAnsi="Arial" w:cs="Arial"/>
          <w:lang w:val="en-GB" w:eastAsia="en-GB"/>
        </w:rPr>
      </w:pPr>
      <w:r w:rsidRPr="00C8508C">
        <w:rPr>
          <w:rFonts w:ascii="Arial" w:eastAsia="Times New Roman" w:hAnsi="Arial" w:cs="Arial"/>
          <w:lang w:val="en-GB" w:eastAsia="en-GB"/>
        </w:rPr>
        <w:t>The Medication Without Harm</w:t>
      </w:r>
      <w:r w:rsidRPr="00F95CE5">
        <w:rPr>
          <w:rFonts w:ascii="Arial" w:eastAsia="Times New Roman" w:hAnsi="Arial" w:cs="Arial"/>
          <w:lang w:val="en-GB" w:eastAsia="en-GB"/>
        </w:rPr>
        <w:t xml:space="preserve"> chapter of WHO emphasises the fact that </w:t>
      </w:r>
      <w:r w:rsidR="003B4D62">
        <w:rPr>
          <w:rFonts w:ascii="Arial" w:eastAsia="Times New Roman" w:hAnsi="Arial" w:cs="Arial"/>
          <w:lang w:val="en-GB" w:eastAsia="en-GB"/>
        </w:rPr>
        <w:t>medication errors</w:t>
      </w:r>
      <w:r w:rsidRPr="00F95CE5">
        <w:rPr>
          <w:rFonts w:ascii="Arial" w:eastAsia="Times New Roman" w:hAnsi="Arial" w:cs="Arial"/>
          <w:lang w:val="en-GB" w:eastAsia="en-GB"/>
        </w:rPr>
        <w:t xml:space="preserve"> are committed at prescribing, dispensing, administration and monitoring phases and impose a yearly burden of about US $ 42 billion </w:t>
      </w:r>
      <w:r w:rsidR="00650DF3">
        <w:rPr>
          <w:rFonts w:ascii="Arial" w:eastAsia="Times New Roman" w:hAnsi="Arial" w:cs="Arial"/>
          <w:lang w:val="en-GB" w:eastAsia="en-GB"/>
        </w:rPr>
        <w:t>on</w:t>
      </w:r>
      <w:r w:rsidRPr="00F95CE5">
        <w:rPr>
          <w:rFonts w:ascii="Arial" w:eastAsia="Times New Roman" w:hAnsi="Arial" w:cs="Arial"/>
          <w:lang w:val="en-GB" w:eastAsia="en-GB"/>
        </w:rPr>
        <w:t xml:space="preserve"> healthcare systems</w:t>
      </w:r>
      <w:r w:rsidRPr="00F95CE5">
        <w:rPr>
          <w:rFonts w:ascii="Arial" w:eastAsia="Calibri" w:hAnsi="Arial" w:cs="Arial"/>
          <w:color w:val="222222"/>
          <w:kern w:val="2"/>
          <w:shd w:val="clear" w:color="auto" w:fill="FFFFFF"/>
          <w:lang w:val="en-GB"/>
          <w14:ligatures w14:val="standardContextual"/>
        </w:rPr>
        <w:t xml:space="preserve"> (Elliott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2021)</w:t>
      </w:r>
      <w:r w:rsidRPr="00F95CE5">
        <w:rPr>
          <w:rFonts w:ascii="Arial" w:eastAsia="Times New Roman" w:hAnsi="Arial" w:cs="Arial"/>
          <w:lang w:val="en-GB" w:eastAsia="en-GB"/>
        </w:rPr>
        <w:t xml:space="preserve">. Lapse of communication, absence of patient education, </w:t>
      </w:r>
      <w:r w:rsidR="00310603">
        <w:rPr>
          <w:rFonts w:ascii="Arial" w:eastAsia="Times New Roman" w:hAnsi="Arial" w:cs="Arial"/>
          <w:lang w:val="en-GB" w:eastAsia="en-GB"/>
        </w:rPr>
        <w:t>poor design</w:t>
      </w:r>
      <w:r w:rsidRPr="00F95CE5">
        <w:rPr>
          <w:rFonts w:ascii="Arial" w:eastAsia="Times New Roman" w:hAnsi="Arial" w:cs="Arial"/>
          <w:lang w:val="en-GB" w:eastAsia="en-GB"/>
        </w:rPr>
        <w:t xml:space="preserve"> of systems</w:t>
      </w:r>
      <w:r w:rsidR="00310603">
        <w:rPr>
          <w:rFonts w:ascii="Arial" w:eastAsia="Times New Roman" w:hAnsi="Arial" w:cs="Arial"/>
          <w:lang w:val="en-GB" w:eastAsia="en-GB"/>
        </w:rPr>
        <w:t>,</w:t>
      </w:r>
      <w:r w:rsidRPr="00F95CE5">
        <w:rPr>
          <w:rFonts w:ascii="Arial" w:eastAsia="Times New Roman" w:hAnsi="Arial" w:cs="Arial"/>
          <w:lang w:val="en-GB" w:eastAsia="en-GB"/>
        </w:rPr>
        <w:t xml:space="preserve"> workload problems </w:t>
      </w:r>
      <w:r w:rsidR="006A5612">
        <w:rPr>
          <w:rFonts w:ascii="Arial" w:eastAsia="Times New Roman" w:hAnsi="Arial" w:cs="Arial"/>
          <w:lang w:val="en-GB" w:eastAsia="en-GB"/>
        </w:rPr>
        <w:t>among</w:t>
      </w:r>
      <w:r w:rsidRPr="00F95CE5">
        <w:rPr>
          <w:rFonts w:ascii="Arial" w:eastAsia="Times New Roman" w:hAnsi="Arial" w:cs="Arial"/>
          <w:lang w:val="en-GB" w:eastAsia="en-GB"/>
        </w:rPr>
        <w:t xml:space="preserve"> staff</w:t>
      </w:r>
      <w:r w:rsidR="00310603">
        <w:rPr>
          <w:rFonts w:ascii="Arial" w:eastAsia="Times New Roman" w:hAnsi="Arial" w:cs="Arial"/>
          <w:lang w:val="en-GB" w:eastAsia="en-GB"/>
        </w:rPr>
        <w:t>,</w:t>
      </w:r>
      <w:r w:rsidRPr="00F95CE5">
        <w:rPr>
          <w:rFonts w:ascii="Arial" w:eastAsia="Times New Roman" w:hAnsi="Arial" w:cs="Arial"/>
          <w:lang w:val="en-GB" w:eastAsia="en-GB"/>
        </w:rPr>
        <w:t xml:space="preserve"> and organisational flaws usually contribute to such mistakes. (World Health Organisation)</w:t>
      </w:r>
      <w:r w:rsidR="00690E93">
        <w:rPr>
          <w:rFonts w:ascii="Arial" w:eastAsia="Times New Roman" w:hAnsi="Arial" w:cs="Arial"/>
          <w:lang w:val="en-GB" w:eastAsia="en-GB"/>
        </w:rPr>
        <w:t xml:space="preserve">. </w:t>
      </w:r>
    </w:p>
    <w:p w14:paraId="74A41C3B" w14:textId="0BC3B4DE"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14" w:name="_Toc235204122"/>
      <w:bookmarkStart w:id="15" w:name="_Toc235204374"/>
      <w:bookmarkStart w:id="16" w:name="_Toc235204774"/>
      <w:r w:rsidRPr="00C6397D">
        <w:rPr>
          <w:rFonts w:ascii="Arial" w:eastAsia="Times New Roman" w:hAnsi="Arial" w:cs="Arial"/>
          <w:b/>
          <w:bCs/>
          <w:color w:val="000000" w:themeColor="text1"/>
          <w:kern w:val="2"/>
          <w:lang w:val="en-GB" w:eastAsia="en-GB"/>
          <w14:ligatures w14:val="standardContextual"/>
        </w:rPr>
        <w:lastRenderedPageBreak/>
        <w:t xml:space="preserve">2.3 National Context: </w:t>
      </w:r>
      <w:r w:rsidR="0085623A" w:rsidRPr="00C6397D">
        <w:rPr>
          <w:rFonts w:ascii="Arial" w:eastAsia="Times New Roman" w:hAnsi="Arial" w:cs="Arial"/>
          <w:b/>
          <w:bCs/>
          <w:color w:val="000000" w:themeColor="text1"/>
          <w:kern w:val="2"/>
          <w:lang w:val="en-GB" w:eastAsia="en-GB"/>
          <w14:ligatures w14:val="standardContextual"/>
        </w:rPr>
        <w:t>Medication</w:t>
      </w:r>
      <w:r w:rsidRPr="00C6397D">
        <w:rPr>
          <w:rFonts w:ascii="Arial" w:eastAsia="Times New Roman" w:hAnsi="Arial" w:cs="Arial"/>
          <w:b/>
          <w:bCs/>
          <w:color w:val="000000" w:themeColor="text1"/>
          <w:kern w:val="2"/>
          <w:lang w:val="en-GB" w:eastAsia="en-GB"/>
          <w14:ligatures w14:val="standardContextual"/>
        </w:rPr>
        <w:t xml:space="preserve"> safety in the NHS.</w:t>
      </w:r>
      <w:bookmarkEnd w:id="14"/>
      <w:bookmarkEnd w:id="15"/>
      <w:bookmarkEnd w:id="16"/>
    </w:p>
    <w:p w14:paraId="56DBED75" w14:textId="5994541D"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Medication errors in the United Kingdom are also an issue. The literature of NHS patient safety surveys and research is filled with estimations of millions of medication errors every year in England, with percentages resulting in moderate or severe harm. One of the priority areas in the NHS strategies to address patient safety is medication safety because the rate of preventable hospital admissions, deterioration and even death of patients in preventable situations caused by medication errors is high (</w:t>
      </w:r>
      <w:r w:rsidRPr="00F95CE5">
        <w:rPr>
          <w:rFonts w:ascii="Arial" w:eastAsia="Calibri" w:hAnsi="Arial" w:cs="Arial"/>
          <w:color w:val="222222"/>
          <w:kern w:val="2"/>
          <w:shd w:val="clear" w:color="auto" w:fill="FFFFFF"/>
          <w:lang w:val="en-GB"/>
          <w14:ligatures w14:val="standardContextual"/>
        </w:rPr>
        <w:t xml:space="preserve">Sutherland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2022).</w:t>
      </w:r>
    </w:p>
    <w:p w14:paraId="4E317C3E" w14:textId="36D3C4E4"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The recent press reports about patient safety show that the NHS has been ploughing billions of pounds every year to compensate for the impact of harm to patients </w:t>
      </w:r>
      <w:proofErr w:type="gramStart"/>
      <w:r w:rsidRPr="00F95CE5">
        <w:rPr>
          <w:rFonts w:ascii="Arial" w:eastAsia="Times New Roman" w:hAnsi="Arial" w:cs="Arial"/>
          <w:lang w:val="en-GB" w:eastAsia="en-GB"/>
        </w:rPr>
        <w:t>as a result of</w:t>
      </w:r>
      <w:proofErr w:type="gramEnd"/>
      <w:r w:rsidRPr="00F95CE5">
        <w:rPr>
          <w:rFonts w:ascii="Arial" w:eastAsia="Times New Roman" w:hAnsi="Arial" w:cs="Arial"/>
          <w:lang w:val="en-GB" w:eastAsia="en-GB"/>
        </w:rPr>
        <w:t xml:space="preserve"> medical errors. Indirectly</w:t>
      </w:r>
      <w:r w:rsidR="00310603">
        <w:rPr>
          <w:rFonts w:ascii="Arial" w:eastAsia="Times New Roman" w:hAnsi="Arial" w:cs="Arial"/>
          <w:lang w:val="en-GB" w:eastAsia="en-GB"/>
        </w:rPr>
        <w:t>,</w:t>
      </w:r>
      <w:r w:rsidRPr="00F95CE5">
        <w:rPr>
          <w:rFonts w:ascii="Arial" w:eastAsia="Times New Roman" w:hAnsi="Arial" w:cs="Arial"/>
          <w:lang w:val="en-GB" w:eastAsia="en-GB"/>
        </w:rPr>
        <w:t xml:space="preserve"> the failure cost of patient safety in England, based on the additional treatment, additional patient stay</w:t>
      </w:r>
      <w:r w:rsidR="00E618FF">
        <w:rPr>
          <w:rFonts w:ascii="Arial" w:eastAsia="Times New Roman" w:hAnsi="Arial" w:cs="Arial"/>
          <w:lang w:val="en-GB" w:eastAsia="en-GB"/>
        </w:rPr>
        <w:t>s</w:t>
      </w:r>
      <w:r w:rsidRPr="00F95CE5">
        <w:rPr>
          <w:rFonts w:ascii="Arial" w:eastAsia="Times New Roman" w:hAnsi="Arial" w:cs="Arial"/>
          <w:lang w:val="en-GB" w:eastAsia="en-GB"/>
        </w:rPr>
        <w:t xml:space="preserve"> and complications which may have been avoided, is estimated to cost the country about 14.7 billion pounds each year (</w:t>
      </w:r>
      <w:proofErr w:type="spellStart"/>
      <w:r w:rsidRPr="00F95CE5">
        <w:rPr>
          <w:rFonts w:ascii="Arial" w:eastAsia="Calibri" w:hAnsi="Arial" w:cs="Arial"/>
          <w:color w:val="222222"/>
          <w:kern w:val="2"/>
          <w:shd w:val="clear" w:color="auto" w:fill="FFFFFF"/>
          <w:lang w:val="en-GB"/>
          <w14:ligatures w14:val="standardContextual"/>
        </w:rPr>
        <w:t>Jerjes</w:t>
      </w:r>
      <w:proofErr w:type="spellEnd"/>
      <w:r w:rsidRPr="00F95CE5">
        <w:rPr>
          <w:rFonts w:ascii="Arial" w:eastAsia="Calibri" w:hAnsi="Arial" w:cs="Arial"/>
          <w:color w:val="222222"/>
          <w:kern w:val="2"/>
          <w:shd w:val="clear" w:color="auto" w:fill="FFFFFF"/>
          <w:lang w:val="en-GB"/>
          <w14:ligatures w14:val="standardContextual"/>
        </w:rPr>
        <w:t xml:space="preserve"> and Majeed, 2025).</w:t>
      </w:r>
    </w:p>
    <w:p w14:paraId="5B782F16" w14:textId="77777777"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HSSIB investigation into the death of Len revealed flaws in medicine labelling, flaws in communication, understanding and rules of patient medication administration. These findings represent the larger issues in the NHS about medication safety, particularly the case of older adults with multimorbidity, who could be more prone to the impact of medication adverse effects.</w:t>
      </w:r>
    </w:p>
    <w:p w14:paraId="2CB353A8" w14:textId="7777777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17" w:name="_Toc235204123"/>
      <w:bookmarkStart w:id="18" w:name="_Toc235204375"/>
      <w:bookmarkStart w:id="19" w:name="_Toc235204775"/>
      <w:r w:rsidRPr="00C6397D">
        <w:rPr>
          <w:rFonts w:ascii="Arial" w:eastAsia="Times New Roman" w:hAnsi="Arial" w:cs="Arial"/>
          <w:b/>
          <w:bCs/>
          <w:color w:val="000000" w:themeColor="text1"/>
          <w:kern w:val="2"/>
          <w:lang w:val="en-GB" w:eastAsia="en-GB"/>
          <w14:ligatures w14:val="standardContextual"/>
        </w:rPr>
        <w:t>2.4 National and International Comparisons.</w:t>
      </w:r>
      <w:bookmarkEnd w:id="17"/>
      <w:bookmarkEnd w:id="18"/>
      <w:bookmarkEnd w:id="19"/>
    </w:p>
    <w:p w14:paraId="769D26C0" w14:textId="7B4375AC"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These problems of patient safety in the country are in accordance with international evidence. The statistics provided by </w:t>
      </w:r>
      <w:r w:rsidR="00310603">
        <w:rPr>
          <w:rFonts w:ascii="Arial" w:eastAsia="Times New Roman" w:hAnsi="Arial" w:cs="Arial"/>
          <w:lang w:val="en-GB" w:eastAsia="en-GB"/>
        </w:rPr>
        <w:t xml:space="preserve">the </w:t>
      </w:r>
      <w:r w:rsidRPr="00F95CE5">
        <w:rPr>
          <w:rFonts w:ascii="Arial" w:eastAsia="Times New Roman" w:hAnsi="Arial" w:cs="Arial"/>
          <w:lang w:val="en-GB" w:eastAsia="en-GB"/>
        </w:rPr>
        <w:t xml:space="preserve">WHO show that drug prescription errors are still among the most common causes of preventable injuries in all parts of the world. On the same note, healthcare improvement organisations the world over have continually </w:t>
      </w:r>
      <w:r w:rsidR="00745855">
        <w:rPr>
          <w:rFonts w:ascii="Arial" w:eastAsia="Times New Roman" w:hAnsi="Arial" w:cs="Arial"/>
          <w:lang w:val="en-GB" w:eastAsia="en-GB"/>
        </w:rPr>
        <w:t>refocused</w:t>
      </w:r>
      <w:r w:rsidRPr="00F95CE5">
        <w:rPr>
          <w:rFonts w:ascii="Arial" w:eastAsia="Times New Roman" w:hAnsi="Arial" w:cs="Arial"/>
          <w:lang w:val="en-GB" w:eastAsia="en-GB"/>
        </w:rPr>
        <w:t xml:space="preserve"> their attention on medication management due to its </w:t>
      </w:r>
      <w:r w:rsidR="00310603">
        <w:rPr>
          <w:rFonts w:ascii="Arial" w:eastAsia="Times New Roman" w:hAnsi="Arial" w:cs="Arial"/>
          <w:lang w:val="en-GB" w:eastAsia="en-GB"/>
        </w:rPr>
        <w:t>ever-evolving</w:t>
      </w:r>
      <w:r w:rsidRPr="00F95CE5">
        <w:rPr>
          <w:rFonts w:ascii="Arial" w:eastAsia="Times New Roman" w:hAnsi="Arial" w:cs="Arial"/>
          <w:lang w:val="en-GB" w:eastAsia="en-GB"/>
        </w:rPr>
        <w:t xml:space="preserve"> nature. Communication breakdown, failure to educate patients, human factor, and disjointed care courses are likely to be the cause of medication errors in most parts of the world, as well as in specific countries (</w:t>
      </w:r>
      <w:r w:rsidRPr="00F95CE5">
        <w:rPr>
          <w:rFonts w:ascii="Arial" w:eastAsia="Calibri" w:hAnsi="Arial" w:cs="Arial"/>
          <w:color w:val="222222"/>
          <w:kern w:val="2"/>
          <w:shd w:val="clear" w:color="auto" w:fill="FFFFFF"/>
          <w:lang w:val="en-GB"/>
          <w14:ligatures w14:val="standardContextual"/>
        </w:rPr>
        <w:t xml:space="preserve">Hodkinson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2020).</w:t>
      </w:r>
    </w:p>
    <w:p w14:paraId="05E481F9" w14:textId="7777777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20" w:name="_Toc235204124"/>
      <w:bookmarkStart w:id="21" w:name="_Toc235204376"/>
      <w:bookmarkStart w:id="22" w:name="_Toc235204776"/>
      <w:r w:rsidRPr="00C6397D">
        <w:rPr>
          <w:rFonts w:ascii="Arial" w:eastAsia="Times New Roman" w:hAnsi="Arial" w:cs="Arial"/>
          <w:b/>
          <w:bCs/>
          <w:color w:val="000000" w:themeColor="text1"/>
          <w:kern w:val="2"/>
          <w:lang w:val="en-GB" w:eastAsia="en-GB"/>
          <w14:ligatures w14:val="standardContextual"/>
        </w:rPr>
        <w:t>2.5 Systemic Case-Disclosed Weaknesses.</w:t>
      </w:r>
      <w:bookmarkEnd w:id="20"/>
      <w:bookmarkEnd w:id="21"/>
      <w:bookmarkEnd w:id="22"/>
    </w:p>
    <w:p w14:paraId="2A5AE86D" w14:textId="3A7DFA5A"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A </w:t>
      </w:r>
      <w:r w:rsidR="00310603">
        <w:rPr>
          <w:rFonts w:ascii="Arial" w:eastAsia="Times New Roman" w:hAnsi="Arial" w:cs="Arial"/>
          <w:lang w:val="en-GB" w:eastAsia="en-GB"/>
        </w:rPr>
        <w:t>systems</w:t>
      </w:r>
      <w:r w:rsidRPr="00F95CE5">
        <w:rPr>
          <w:rFonts w:ascii="Arial" w:eastAsia="Times New Roman" w:hAnsi="Arial" w:cs="Arial"/>
          <w:lang w:val="en-GB" w:eastAsia="en-GB"/>
        </w:rPr>
        <w:t xml:space="preserve"> thinking approach </w:t>
      </w:r>
      <w:r w:rsidR="006B43A4">
        <w:rPr>
          <w:rFonts w:ascii="Arial" w:eastAsia="Times New Roman" w:hAnsi="Arial" w:cs="Arial"/>
          <w:lang w:val="en-GB" w:eastAsia="en-GB"/>
        </w:rPr>
        <w:t xml:space="preserve">shifts the focus away from individual blame and examines how interactions </w:t>
      </w:r>
      <w:r w:rsidR="007A47A4">
        <w:rPr>
          <w:rFonts w:ascii="Arial" w:eastAsia="Times New Roman" w:hAnsi="Arial" w:cs="Arial"/>
          <w:lang w:val="en-GB" w:eastAsia="en-GB"/>
        </w:rPr>
        <w:t>between people, processes, organisational structures and leadership contribute to adverse events</w:t>
      </w:r>
      <w:r w:rsidRPr="00F95CE5">
        <w:rPr>
          <w:rFonts w:ascii="Arial" w:eastAsia="Times New Roman" w:hAnsi="Arial" w:cs="Arial"/>
          <w:lang w:val="en-GB" w:eastAsia="en-GB"/>
        </w:rPr>
        <w:t xml:space="preserve">. There were </w:t>
      </w:r>
      <w:proofErr w:type="gramStart"/>
      <w:r w:rsidRPr="00F95CE5">
        <w:rPr>
          <w:rFonts w:ascii="Arial" w:eastAsia="Times New Roman" w:hAnsi="Arial" w:cs="Arial"/>
          <w:lang w:val="en-GB" w:eastAsia="en-GB"/>
        </w:rPr>
        <w:t>a number of</w:t>
      </w:r>
      <w:proofErr w:type="gramEnd"/>
      <w:r w:rsidRPr="00F95CE5">
        <w:rPr>
          <w:rFonts w:ascii="Arial" w:eastAsia="Times New Roman" w:hAnsi="Arial" w:cs="Arial"/>
          <w:lang w:val="en-GB" w:eastAsia="en-GB"/>
        </w:rPr>
        <w:t xml:space="preserve"> weaknesses within the system.</w:t>
      </w:r>
    </w:p>
    <w:p w14:paraId="7C93758F" w14:textId="4710C41B"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Initially</w:t>
      </w:r>
      <w:r w:rsidR="00310603">
        <w:rPr>
          <w:rFonts w:ascii="Arial" w:eastAsia="Times New Roman" w:hAnsi="Arial" w:cs="Arial"/>
          <w:lang w:val="en-GB" w:eastAsia="en-GB"/>
        </w:rPr>
        <w:t>,</w:t>
      </w:r>
      <w:r w:rsidR="00E07C75">
        <w:rPr>
          <w:rFonts w:ascii="Arial" w:eastAsia="Times New Roman" w:hAnsi="Arial" w:cs="Arial"/>
          <w:lang w:val="en-GB" w:eastAsia="en-GB"/>
        </w:rPr>
        <w:t xml:space="preserve"> </w:t>
      </w:r>
      <w:r w:rsidR="005F3210">
        <w:rPr>
          <w:rFonts w:ascii="Arial" w:eastAsia="Times New Roman" w:hAnsi="Arial" w:cs="Arial"/>
          <w:lang w:val="en-GB" w:eastAsia="en-GB"/>
        </w:rPr>
        <w:t xml:space="preserve">organisational policies, patient education, leadership oversight, human factors, and multidisciplinary </w:t>
      </w:r>
      <w:r w:rsidR="00E07C75">
        <w:rPr>
          <w:rFonts w:ascii="Arial" w:eastAsia="Times New Roman" w:hAnsi="Arial" w:cs="Arial"/>
          <w:lang w:val="en-GB" w:eastAsia="en-GB"/>
        </w:rPr>
        <w:t xml:space="preserve">communication failures were major contributing </w:t>
      </w:r>
      <w:r w:rsidR="005C7A32">
        <w:rPr>
          <w:rFonts w:ascii="Arial" w:eastAsia="Times New Roman" w:hAnsi="Arial" w:cs="Arial"/>
          <w:lang w:val="en-GB" w:eastAsia="en-GB"/>
        </w:rPr>
        <w:t>factors</w:t>
      </w:r>
      <w:r w:rsidR="00E07C75">
        <w:rPr>
          <w:rFonts w:ascii="Arial" w:eastAsia="Times New Roman" w:hAnsi="Arial" w:cs="Arial"/>
          <w:lang w:val="en-GB" w:eastAsia="en-GB"/>
        </w:rPr>
        <w:t xml:space="preserve"> to the incident.</w:t>
      </w:r>
      <w:r w:rsidRPr="00F95CE5">
        <w:rPr>
          <w:rFonts w:ascii="Arial" w:eastAsia="Times New Roman" w:hAnsi="Arial" w:cs="Arial"/>
          <w:lang w:val="en-GB" w:eastAsia="en-GB"/>
        </w:rPr>
        <w:t xml:space="preserve"> </w:t>
      </w:r>
      <w:r w:rsidR="005C7A32">
        <w:rPr>
          <w:rFonts w:ascii="Arial" w:eastAsia="Times New Roman" w:hAnsi="Arial" w:cs="Arial"/>
          <w:lang w:val="en-GB" w:eastAsia="en-GB"/>
        </w:rPr>
        <w:t>In Len’s case, t</w:t>
      </w:r>
      <w:r w:rsidRPr="00F95CE5">
        <w:rPr>
          <w:rFonts w:ascii="Arial" w:eastAsia="Times New Roman" w:hAnsi="Arial" w:cs="Arial"/>
          <w:lang w:val="en-GB" w:eastAsia="en-GB"/>
        </w:rPr>
        <w:t xml:space="preserve">he error was made in reading the medication label, and this implies that the </w:t>
      </w:r>
      <w:r w:rsidRPr="00F95CE5">
        <w:rPr>
          <w:rFonts w:ascii="Arial" w:eastAsia="Times New Roman" w:hAnsi="Arial" w:cs="Arial"/>
          <w:lang w:val="en-GB" w:eastAsia="en-GB"/>
        </w:rPr>
        <w:lastRenderedPageBreak/>
        <w:t xml:space="preserve">information </w:t>
      </w:r>
      <w:r w:rsidR="005F3210">
        <w:rPr>
          <w:rFonts w:ascii="Arial" w:eastAsia="Times New Roman" w:hAnsi="Arial" w:cs="Arial"/>
          <w:lang w:val="en-GB" w:eastAsia="en-GB"/>
        </w:rPr>
        <w:t>was</w:t>
      </w:r>
      <w:r w:rsidRPr="00F95CE5">
        <w:rPr>
          <w:rFonts w:ascii="Arial" w:eastAsia="Times New Roman" w:hAnsi="Arial" w:cs="Arial"/>
          <w:lang w:val="en-GB" w:eastAsia="en-GB"/>
        </w:rPr>
        <w:t xml:space="preserve"> not offered in a format that would make the patient understand. Appropriate communication should be executed, and check-up procedures must be conducted so that the patients and carers are able to comprehend the dose prescriptions (</w:t>
      </w:r>
      <w:r w:rsidRPr="00F95CE5">
        <w:rPr>
          <w:rFonts w:ascii="Arial" w:eastAsia="Calibri" w:hAnsi="Arial" w:cs="Arial"/>
          <w:color w:val="222222"/>
          <w:kern w:val="2"/>
          <w:shd w:val="clear" w:color="auto" w:fill="FFFFFF"/>
          <w:lang w:val="en-GB"/>
          <w14:ligatures w14:val="standardContextual"/>
        </w:rPr>
        <w:t xml:space="preserve">Parker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2021).</w:t>
      </w:r>
    </w:p>
    <w:p w14:paraId="4011F898" w14:textId="7777777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23" w:name="_Toc235204125"/>
      <w:bookmarkStart w:id="24" w:name="_Toc235204377"/>
      <w:bookmarkStart w:id="25" w:name="_Toc235204777"/>
      <w:r w:rsidRPr="00C6397D">
        <w:rPr>
          <w:rFonts w:ascii="Arial" w:eastAsia="Times New Roman" w:hAnsi="Arial" w:cs="Arial"/>
          <w:b/>
          <w:bCs/>
          <w:color w:val="000000" w:themeColor="text1"/>
          <w:kern w:val="2"/>
          <w:lang w:val="en-GB" w:eastAsia="en-GB"/>
          <w14:ligatures w14:val="standardContextual"/>
        </w:rPr>
        <w:t>2.6 Governance Influences</w:t>
      </w:r>
      <w:bookmarkEnd w:id="23"/>
      <w:bookmarkEnd w:id="24"/>
      <w:bookmarkEnd w:id="25"/>
    </w:p>
    <w:p w14:paraId="0C7AACA0" w14:textId="6531C528"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Local</w:t>
      </w:r>
      <w:r w:rsidR="003E621C">
        <w:rPr>
          <w:rFonts w:ascii="Arial" w:eastAsia="Times New Roman" w:hAnsi="Arial" w:cs="Arial"/>
          <w:lang w:val="en-GB" w:eastAsia="en-GB"/>
        </w:rPr>
        <w:t xml:space="preserve"> and </w:t>
      </w:r>
      <w:r w:rsidRPr="00F95CE5">
        <w:rPr>
          <w:rFonts w:ascii="Arial" w:eastAsia="Times New Roman" w:hAnsi="Arial" w:cs="Arial"/>
          <w:lang w:val="en-GB" w:eastAsia="en-GB"/>
        </w:rPr>
        <w:t>organisational governance</w:t>
      </w:r>
      <w:r w:rsidR="003E621C">
        <w:rPr>
          <w:rFonts w:ascii="Arial" w:eastAsia="Times New Roman" w:hAnsi="Arial" w:cs="Arial"/>
          <w:lang w:val="en-GB" w:eastAsia="en-GB"/>
        </w:rPr>
        <w:t xml:space="preserve"> played a central role in this incident because these structures were responsible for ensuring safe prescribing, effective communication, patient education and ongoing monitoring of medication use.</w:t>
      </w:r>
      <w:r w:rsidRPr="00F95CE5">
        <w:rPr>
          <w:rFonts w:ascii="Arial" w:eastAsia="Times New Roman" w:hAnsi="Arial" w:cs="Arial"/>
          <w:lang w:val="en-GB" w:eastAsia="en-GB"/>
        </w:rPr>
        <w:t xml:space="preserve"> The dispensing, communication, and prescribing of the drugs, and case monitoring in this case </w:t>
      </w:r>
      <w:r w:rsidR="00310603">
        <w:rPr>
          <w:rFonts w:ascii="Arial" w:eastAsia="Times New Roman" w:hAnsi="Arial" w:cs="Arial"/>
          <w:lang w:val="en-GB" w:eastAsia="en-GB"/>
        </w:rPr>
        <w:t>were</w:t>
      </w:r>
      <w:r w:rsidRPr="00F95CE5">
        <w:rPr>
          <w:rFonts w:ascii="Arial" w:eastAsia="Times New Roman" w:hAnsi="Arial" w:cs="Arial"/>
          <w:lang w:val="en-GB" w:eastAsia="en-GB"/>
        </w:rPr>
        <w:t xml:space="preserve"> performed by the local healthcare providers. But medical safety policies, prescribing standards and patient safety guidance also impacted the case</w:t>
      </w:r>
      <w:r w:rsidR="00745855">
        <w:rPr>
          <w:rFonts w:ascii="Arial" w:eastAsia="Times New Roman" w:hAnsi="Arial" w:cs="Arial"/>
          <w:lang w:val="en-GB" w:eastAsia="en-GB"/>
        </w:rPr>
        <w:t>,</w:t>
      </w:r>
      <w:r w:rsidRPr="00F95CE5">
        <w:rPr>
          <w:rFonts w:ascii="Arial" w:eastAsia="Times New Roman" w:hAnsi="Arial" w:cs="Arial"/>
          <w:lang w:val="en-GB" w:eastAsia="en-GB"/>
        </w:rPr>
        <w:t xml:space="preserve"> besides the regional and national governance structures.</w:t>
      </w:r>
    </w:p>
    <w:p w14:paraId="593D1B97" w14:textId="0832A3F9"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The NHS has all this in place in its clinical governance structures in terms of quality, accountability and continuous improvement. The seriousness of the fact that the death caused by a drug overdose was observed, whether the policies were present or not, bears an indication that there are loopholes between the policy intentions and how the policies work in actual situations (</w:t>
      </w:r>
      <w:r w:rsidRPr="00F95CE5">
        <w:rPr>
          <w:rFonts w:ascii="Arial" w:eastAsia="Calibri" w:hAnsi="Arial" w:cs="Arial"/>
          <w:color w:val="222222"/>
          <w:kern w:val="2"/>
          <w:shd w:val="clear" w:color="auto" w:fill="FFFFFF"/>
          <w:lang w:val="en-GB"/>
          <w14:ligatures w14:val="standardContextual"/>
        </w:rPr>
        <w:t xml:space="preserve">Capano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2020</w:t>
      </w:r>
      <w:r w:rsidR="009F50FE">
        <w:rPr>
          <w:rFonts w:ascii="Arial" w:eastAsia="Calibri" w:hAnsi="Arial" w:cs="Arial"/>
          <w:color w:val="222222"/>
          <w:kern w:val="2"/>
          <w:shd w:val="clear" w:color="auto" w:fill="FFFFFF"/>
          <w:lang w:val="en-GB"/>
          <w14:ligatures w14:val="standardContextual"/>
        </w:rPr>
        <w:t xml:space="preserve">; </w:t>
      </w:r>
      <w:r w:rsidR="009F50FE" w:rsidRPr="009F50FE">
        <w:rPr>
          <w:rFonts w:ascii="Arial" w:eastAsia="Calibri" w:hAnsi="Arial" w:cs="Arial"/>
          <w:color w:val="222222"/>
          <w:kern w:val="2"/>
          <w:shd w:val="clear" w:color="auto" w:fill="FFFFFF"/>
          <w14:ligatures w14:val="standardContextual"/>
        </w:rPr>
        <w:t>Lee </w:t>
      </w:r>
      <w:r w:rsidR="009F50FE" w:rsidRPr="009F50FE">
        <w:rPr>
          <w:rFonts w:ascii="Arial" w:eastAsia="Calibri" w:hAnsi="Arial" w:cs="Arial"/>
          <w:i/>
          <w:iCs/>
          <w:color w:val="222222"/>
          <w:kern w:val="2"/>
          <w:shd w:val="clear" w:color="auto" w:fill="FFFFFF"/>
          <w14:ligatures w14:val="standardContextual"/>
        </w:rPr>
        <w:t>et al.</w:t>
      </w:r>
      <w:r w:rsidR="009F50FE">
        <w:rPr>
          <w:rFonts w:ascii="Arial" w:eastAsia="Calibri" w:hAnsi="Arial" w:cs="Arial"/>
          <w:color w:val="222222"/>
          <w:kern w:val="2"/>
          <w:shd w:val="clear" w:color="auto" w:fill="FFFFFF"/>
          <w14:ligatures w14:val="standardContextual"/>
        </w:rPr>
        <w:t xml:space="preserve">, </w:t>
      </w:r>
      <w:r w:rsidR="009F50FE" w:rsidRPr="009F50FE">
        <w:rPr>
          <w:rFonts w:ascii="Arial" w:eastAsia="Calibri" w:hAnsi="Arial" w:cs="Arial"/>
          <w:color w:val="222222"/>
          <w:kern w:val="2"/>
          <w:shd w:val="clear" w:color="auto" w:fill="FFFFFF"/>
          <w14:ligatures w14:val="standardContextual"/>
        </w:rPr>
        <w:t>2021</w:t>
      </w:r>
      <w:r w:rsidRPr="00F95CE5">
        <w:rPr>
          <w:rFonts w:ascii="Arial" w:eastAsia="Calibri" w:hAnsi="Arial" w:cs="Arial"/>
          <w:color w:val="222222"/>
          <w:kern w:val="2"/>
          <w:shd w:val="clear" w:color="auto" w:fill="FFFFFF"/>
          <w:lang w:val="en-GB"/>
          <w14:ligatures w14:val="standardContextual"/>
        </w:rPr>
        <w:t>).</w:t>
      </w:r>
      <w:r w:rsidR="004E1C70">
        <w:rPr>
          <w:rFonts w:ascii="Arial" w:eastAsia="Calibri" w:hAnsi="Arial" w:cs="Arial"/>
          <w:color w:val="222222"/>
          <w:kern w:val="2"/>
          <w:shd w:val="clear" w:color="auto" w:fill="FFFFFF"/>
          <w:lang w:val="en-GB"/>
          <w14:ligatures w14:val="standardContextual"/>
        </w:rPr>
        <w:t xml:space="preserve"> Therefore, Len’s death</w:t>
      </w:r>
      <w:r w:rsidR="005C35F9">
        <w:rPr>
          <w:rFonts w:ascii="Arial" w:eastAsia="Calibri" w:hAnsi="Arial" w:cs="Arial"/>
          <w:color w:val="222222"/>
          <w:kern w:val="2"/>
          <w:shd w:val="clear" w:color="auto" w:fill="FFFFFF"/>
          <w:lang w:val="en-GB"/>
          <w14:ligatures w14:val="standardContextual"/>
        </w:rPr>
        <w:t xml:space="preserve"> illustrates how effective governance depends not only on the existence of national policies but also on their consistent implementation </w:t>
      </w:r>
      <w:r w:rsidR="008338DD">
        <w:rPr>
          <w:rFonts w:ascii="Arial" w:eastAsia="Calibri" w:hAnsi="Arial" w:cs="Arial"/>
          <w:color w:val="222222"/>
          <w:kern w:val="2"/>
          <w:shd w:val="clear" w:color="auto" w:fill="FFFFFF"/>
          <w:lang w:val="en-GB"/>
          <w14:ligatures w14:val="standardContextual"/>
        </w:rPr>
        <w:t>through strong local leadership, clear accountability and effective communication.</w:t>
      </w:r>
    </w:p>
    <w:p w14:paraId="185842CE" w14:textId="7777777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26" w:name="_Toc235204126"/>
      <w:bookmarkStart w:id="27" w:name="_Toc235204378"/>
      <w:bookmarkStart w:id="28" w:name="_Toc235204778"/>
      <w:r w:rsidRPr="00C6397D">
        <w:rPr>
          <w:rFonts w:ascii="Arial" w:eastAsia="Times New Roman" w:hAnsi="Arial" w:cs="Arial"/>
          <w:b/>
          <w:bCs/>
          <w:color w:val="000000" w:themeColor="text1"/>
          <w:kern w:val="2"/>
          <w:lang w:val="en-GB" w:eastAsia="en-GB"/>
          <w14:ligatures w14:val="standardContextual"/>
        </w:rPr>
        <w:t>2.7 Underlying Challenges</w:t>
      </w:r>
      <w:bookmarkEnd w:id="26"/>
      <w:bookmarkEnd w:id="27"/>
      <w:bookmarkEnd w:id="28"/>
    </w:p>
    <w:p w14:paraId="0D078F3D" w14:textId="3F1BA640"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There are some bigger healthcare issues that could have led to the incident. Increased complexity of patients, pressures </w:t>
      </w:r>
      <w:r w:rsidR="00CE3CF5">
        <w:rPr>
          <w:rFonts w:ascii="Arial" w:eastAsia="Times New Roman" w:hAnsi="Arial" w:cs="Arial"/>
          <w:lang w:val="en-GB" w:eastAsia="en-GB"/>
        </w:rPr>
        <w:t>on</w:t>
      </w:r>
      <w:r w:rsidRPr="00F95CE5">
        <w:rPr>
          <w:rFonts w:ascii="Arial" w:eastAsia="Times New Roman" w:hAnsi="Arial" w:cs="Arial"/>
          <w:lang w:val="en-GB" w:eastAsia="en-GB"/>
        </w:rPr>
        <w:t xml:space="preserve"> the workforce, and the scarcity of available resources and reduced </w:t>
      </w:r>
      <w:r w:rsidR="00310603">
        <w:rPr>
          <w:rFonts w:ascii="Arial" w:eastAsia="Times New Roman" w:hAnsi="Arial" w:cs="Arial"/>
          <w:lang w:val="en-GB" w:eastAsia="en-GB"/>
        </w:rPr>
        <w:t>demand for</w:t>
      </w:r>
      <w:r w:rsidRPr="00F95CE5">
        <w:rPr>
          <w:rFonts w:ascii="Arial" w:eastAsia="Times New Roman" w:hAnsi="Arial" w:cs="Arial"/>
          <w:lang w:val="en-GB" w:eastAsia="en-GB"/>
        </w:rPr>
        <w:t xml:space="preserve"> care are increasingly being felt by the world's healthcare systems. WHO lists a lack of staffing, workflow interruptions, communication lapses, and a lack of coordination as common causes of patient injury. (World Health Organisation).</w:t>
      </w:r>
    </w:p>
    <w:p w14:paraId="38F2E01A" w14:textId="77777777" w:rsidR="007109F6" w:rsidRPr="00F95CE5" w:rsidRDefault="007109F6">
      <w:pPr>
        <w:rPr>
          <w:rFonts w:ascii="Arial" w:eastAsia="Times New Roman" w:hAnsi="Arial" w:cs="Arial"/>
          <w:b/>
          <w:bCs/>
          <w:color w:val="2F5496"/>
          <w:kern w:val="2"/>
          <w:lang w:val="en-GB"/>
          <w14:ligatures w14:val="standardContextual"/>
        </w:rPr>
      </w:pPr>
      <w:bookmarkStart w:id="29" w:name="_Toc233119318"/>
      <w:bookmarkStart w:id="30" w:name="_Toc235204127"/>
      <w:bookmarkStart w:id="31" w:name="_Toc235204379"/>
      <w:r w:rsidRPr="00F95CE5">
        <w:rPr>
          <w:rFonts w:ascii="Arial" w:eastAsia="Times New Roman" w:hAnsi="Arial" w:cs="Arial"/>
          <w:b/>
          <w:bCs/>
          <w:color w:val="2F5496"/>
          <w:kern w:val="2"/>
          <w:lang w:val="en-GB"/>
          <w14:ligatures w14:val="standardContextual"/>
        </w:rPr>
        <w:br w:type="page"/>
      </w:r>
    </w:p>
    <w:p w14:paraId="760EC5B0" w14:textId="0987C73B" w:rsidR="00E0036E" w:rsidRPr="00C6397D" w:rsidRDefault="00E0036E" w:rsidP="00E0036E">
      <w:pPr>
        <w:keepNext/>
        <w:keepLines/>
        <w:spacing w:before="240" w:after="80" w:line="360" w:lineRule="auto"/>
        <w:jc w:val="both"/>
        <w:outlineLvl w:val="0"/>
        <w:rPr>
          <w:rFonts w:ascii="Arial" w:eastAsia="Times New Roman" w:hAnsi="Arial" w:cs="Arial"/>
          <w:b/>
          <w:bCs/>
          <w:color w:val="000000" w:themeColor="text1"/>
          <w:kern w:val="2"/>
          <w:lang w:val="en-GB" w:eastAsia="en-GB"/>
        </w:rPr>
      </w:pPr>
      <w:bookmarkStart w:id="32" w:name="_Toc235204779"/>
      <w:r w:rsidRPr="00C6397D">
        <w:rPr>
          <w:rFonts w:ascii="Arial" w:eastAsia="Times New Roman" w:hAnsi="Arial" w:cs="Arial"/>
          <w:b/>
          <w:bCs/>
          <w:color w:val="000000" w:themeColor="text1"/>
          <w:kern w:val="2"/>
          <w:lang w:val="en-GB"/>
          <w14:ligatures w14:val="standardContextual"/>
        </w:rPr>
        <w:lastRenderedPageBreak/>
        <w:t>3.Centralisation or Decentralisation</w:t>
      </w:r>
      <w:bookmarkEnd w:id="29"/>
      <w:bookmarkEnd w:id="30"/>
      <w:bookmarkEnd w:id="31"/>
      <w:bookmarkEnd w:id="32"/>
      <w:r w:rsidRPr="00C6397D">
        <w:rPr>
          <w:rFonts w:ascii="Arial" w:eastAsia="Times New Roman" w:hAnsi="Arial" w:cs="Arial"/>
          <w:b/>
          <w:bCs/>
          <w:color w:val="000000" w:themeColor="text1"/>
          <w:kern w:val="2"/>
          <w:lang w:val="en-GB"/>
          <w14:ligatures w14:val="standardContextual"/>
        </w:rPr>
        <w:t xml:space="preserve"> </w:t>
      </w:r>
    </w:p>
    <w:p w14:paraId="2FC2E96C" w14:textId="1AA83A74"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The Len case indicates the significance of structures of governance in affecting patient safety outcomes. </w:t>
      </w:r>
      <w:r w:rsidR="002A1E29">
        <w:rPr>
          <w:rFonts w:ascii="Arial" w:eastAsia="Times New Roman" w:hAnsi="Arial" w:cs="Arial"/>
          <w:lang w:val="en-GB" w:eastAsia="en-GB"/>
        </w:rPr>
        <w:t>Healthcare</w:t>
      </w:r>
      <w:r w:rsidRPr="00F95CE5">
        <w:rPr>
          <w:rFonts w:ascii="Arial" w:eastAsia="Times New Roman" w:hAnsi="Arial" w:cs="Arial"/>
          <w:lang w:val="en-GB" w:eastAsia="en-GB"/>
        </w:rPr>
        <w:t xml:space="preserve"> organisations can be either </w:t>
      </w:r>
      <w:r w:rsidR="00310603">
        <w:rPr>
          <w:rFonts w:ascii="Arial" w:eastAsia="Times New Roman" w:hAnsi="Arial" w:cs="Arial"/>
          <w:lang w:val="en-GB" w:eastAsia="en-GB"/>
        </w:rPr>
        <w:t>centralised</w:t>
      </w:r>
      <w:r w:rsidRPr="00F95CE5">
        <w:rPr>
          <w:rFonts w:ascii="Arial" w:eastAsia="Times New Roman" w:hAnsi="Arial" w:cs="Arial"/>
          <w:lang w:val="en-GB" w:eastAsia="en-GB"/>
        </w:rPr>
        <w:t xml:space="preserve"> or decentralised. Centralisation occurs when </w:t>
      </w:r>
      <w:r w:rsidR="00586126">
        <w:rPr>
          <w:rFonts w:ascii="Arial" w:eastAsia="Times New Roman" w:hAnsi="Arial" w:cs="Arial"/>
          <w:lang w:val="en-GB" w:eastAsia="en-GB"/>
        </w:rPr>
        <w:t>decision-making</w:t>
      </w:r>
      <w:r w:rsidRPr="00F95CE5">
        <w:rPr>
          <w:rFonts w:ascii="Arial" w:eastAsia="Times New Roman" w:hAnsi="Arial" w:cs="Arial"/>
          <w:lang w:val="en-GB" w:eastAsia="en-GB"/>
        </w:rPr>
        <w:t xml:space="preserve"> authority is centralised at the top organisational/national level in comparison to decentralisation, which de-concentrates authority in local teams and </w:t>
      </w:r>
      <w:r w:rsidR="00586126">
        <w:rPr>
          <w:rFonts w:ascii="Arial" w:eastAsia="Times New Roman" w:hAnsi="Arial" w:cs="Arial"/>
          <w:lang w:val="en-GB" w:eastAsia="en-GB"/>
        </w:rPr>
        <w:t>front-line</w:t>
      </w:r>
      <w:r w:rsidRPr="00F95CE5">
        <w:rPr>
          <w:rFonts w:ascii="Arial" w:eastAsia="Times New Roman" w:hAnsi="Arial" w:cs="Arial"/>
          <w:lang w:val="en-GB" w:eastAsia="en-GB"/>
        </w:rPr>
        <w:t xml:space="preserve"> healthcare providers</w:t>
      </w:r>
      <w:r w:rsidR="00521758">
        <w:rPr>
          <w:rFonts w:ascii="Arial" w:eastAsia="Times New Roman" w:hAnsi="Arial" w:cs="Arial"/>
          <w:lang w:val="en-GB" w:eastAsia="en-GB"/>
        </w:rPr>
        <w:t xml:space="preserve"> </w:t>
      </w:r>
      <w:r w:rsidR="00521758" w:rsidRPr="00521758">
        <w:rPr>
          <w:rFonts w:ascii="Arial" w:eastAsia="Times New Roman" w:hAnsi="Arial" w:cs="Arial"/>
          <w:lang w:val="en-GB" w:eastAsia="en-GB"/>
        </w:rPr>
        <w:t>(</w:t>
      </w:r>
      <w:proofErr w:type="spellStart"/>
      <w:r w:rsidR="00521758" w:rsidRPr="00521758">
        <w:rPr>
          <w:rFonts w:ascii="Arial" w:eastAsia="Times New Roman" w:hAnsi="Arial" w:cs="Arial"/>
          <w:lang w:eastAsia="en-GB"/>
        </w:rPr>
        <w:t>Ohrling</w:t>
      </w:r>
      <w:proofErr w:type="spellEnd"/>
      <w:r w:rsidR="00521758" w:rsidRPr="00521758">
        <w:rPr>
          <w:rFonts w:ascii="Arial" w:eastAsia="Times New Roman" w:hAnsi="Arial" w:cs="Arial"/>
          <w:lang w:eastAsia="en-GB"/>
        </w:rPr>
        <w:t>, 2026).</w:t>
      </w:r>
    </w:p>
    <w:p w14:paraId="6381B112" w14:textId="6CF8C50D"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33" w:name="_Toc235204128"/>
      <w:bookmarkStart w:id="34" w:name="_Toc235204380"/>
      <w:bookmarkStart w:id="35" w:name="_Toc235204780"/>
      <w:r w:rsidRPr="00C6397D">
        <w:rPr>
          <w:rFonts w:ascii="Arial" w:eastAsia="Times New Roman" w:hAnsi="Arial" w:cs="Arial"/>
          <w:b/>
          <w:bCs/>
          <w:color w:val="000000" w:themeColor="text1"/>
          <w:kern w:val="2"/>
          <w:lang w:val="en-GB" w:eastAsia="en-GB"/>
          <w14:ligatures w14:val="standardContextual"/>
        </w:rPr>
        <w:t xml:space="preserve">3.1 </w:t>
      </w:r>
      <w:r w:rsidR="00586126" w:rsidRPr="00C6397D">
        <w:rPr>
          <w:rFonts w:ascii="Arial" w:eastAsia="Times New Roman" w:hAnsi="Arial" w:cs="Arial"/>
          <w:b/>
          <w:bCs/>
          <w:color w:val="000000" w:themeColor="text1"/>
          <w:kern w:val="2"/>
          <w:lang w:val="en-GB" w:eastAsia="en-GB"/>
          <w14:ligatures w14:val="standardContextual"/>
        </w:rPr>
        <w:t xml:space="preserve">The </w:t>
      </w:r>
      <w:r w:rsidRPr="00C6397D">
        <w:rPr>
          <w:rFonts w:ascii="Arial" w:eastAsia="Times New Roman" w:hAnsi="Arial" w:cs="Arial"/>
          <w:b/>
          <w:bCs/>
          <w:color w:val="000000" w:themeColor="text1"/>
          <w:kern w:val="2"/>
          <w:lang w:val="en-GB" w:eastAsia="en-GB"/>
          <w14:ligatures w14:val="standardContextual"/>
        </w:rPr>
        <w:t>NHS has centralised Systems.</w:t>
      </w:r>
      <w:bookmarkEnd w:id="33"/>
      <w:bookmarkEnd w:id="34"/>
      <w:bookmarkEnd w:id="35"/>
    </w:p>
    <w:p w14:paraId="0172DB68" w14:textId="3E3CA3BE"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A centralised system centralises the power and decision-making to a more advanced level in an organisation. NHS national bodies, namely NHS England, the Department of Health and Social Care, the Care Quality Commission (CQC) and the Medicines and Healthcare products Regulatory Agency (MHRA)</w:t>
      </w:r>
      <w:r w:rsidR="002A1E29">
        <w:rPr>
          <w:rFonts w:ascii="Arial" w:eastAsia="Times New Roman" w:hAnsi="Arial" w:cs="Arial"/>
          <w:lang w:val="en-GB" w:eastAsia="en-GB"/>
        </w:rPr>
        <w:t>,</w:t>
      </w:r>
      <w:r w:rsidRPr="00F95CE5">
        <w:rPr>
          <w:rFonts w:ascii="Arial" w:eastAsia="Times New Roman" w:hAnsi="Arial" w:cs="Arial"/>
          <w:lang w:val="en-GB" w:eastAsia="en-GB"/>
        </w:rPr>
        <w:t xml:space="preserve"> specify </w:t>
      </w:r>
      <w:r w:rsidR="00310603">
        <w:rPr>
          <w:rFonts w:ascii="Arial" w:eastAsia="Times New Roman" w:hAnsi="Arial" w:cs="Arial"/>
          <w:lang w:val="en-GB" w:eastAsia="en-GB"/>
        </w:rPr>
        <w:t>and set out</w:t>
      </w:r>
      <w:r w:rsidRPr="00F95CE5">
        <w:rPr>
          <w:rFonts w:ascii="Arial" w:eastAsia="Times New Roman" w:hAnsi="Arial" w:cs="Arial"/>
          <w:lang w:val="en-GB" w:eastAsia="en-GB"/>
        </w:rPr>
        <w:t xml:space="preserve"> policies, clinical standards, prescribing advice and models that should be used to enhance patient safety. These are national laws that help to promote </w:t>
      </w:r>
      <w:r w:rsidR="00310603">
        <w:rPr>
          <w:rFonts w:ascii="Arial" w:eastAsia="Times New Roman" w:hAnsi="Arial" w:cs="Arial"/>
          <w:lang w:val="en-GB" w:eastAsia="en-GB"/>
        </w:rPr>
        <w:t>standardisation</w:t>
      </w:r>
      <w:r w:rsidRPr="00F95CE5">
        <w:rPr>
          <w:rFonts w:ascii="Arial" w:eastAsia="Times New Roman" w:hAnsi="Arial" w:cs="Arial"/>
          <w:lang w:val="en-GB" w:eastAsia="en-GB"/>
        </w:rPr>
        <w:t>, accountability and excellence in healthcare services (</w:t>
      </w:r>
      <w:r w:rsidRPr="00F95CE5">
        <w:rPr>
          <w:rFonts w:ascii="Arial" w:eastAsia="Calibri" w:hAnsi="Arial" w:cs="Arial"/>
          <w:color w:val="222222"/>
          <w:kern w:val="2"/>
          <w:shd w:val="clear" w:color="auto" w:fill="FFFFFF"/>
          <w:lang w:val="en-GB"/>
          <w14:ligatures w14:val="standardContextual"/>
        </w:rPr>
        <w:t xml:space="preserve">Ward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2025).</w:t>
      </w:r>
    </w:p>
    <w:p w14:paraId="2E57CC6B" w14:textId="3B9B8B16"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There is a </w:t>
      </w:r>
      <w:r w:rsidR="00586126">
        <w:rPr>
          <w:rFonts w:ascii="Arial" w:eastAsia="Times New Roman" w:hAnsi="Arial" w:cs="Arial"/>
          <w:lang w:val="en-GB" w:eastAsia="en-GB"/>
        </w:rPr>
        <w:t>dominance</w:t>
      </w:r>
      <w:r w:rsidRPr="00F95CE5">
        <w:rPr>
          <w:rFonts w:ascii="Arial" w:eastAsia="Times New Roman" w:hAnsi="Arial" w:cs="Arial"/>
          <w:lang w:val="en-GB" w:eastAsia="en-GB"/>
        </w:rPr>
        <w:t xml:space="preserve"> of centralised national prescribing guideline interventions that are likely to produce adverse effects, such as morphine. The standards of prescription and medicine labelling, controlled drug legislation and warning of risks to patients are formulated at the central geographical </w:t>
      </w:r>
      <w:r w:rsidR="00C314F4" w:rsidRPr="00F95CE5">
        <w:rPr>
          <w:rFonts w:ascii="Arial" w:eastAsia="Times New Roman" w:hAnsi="Arial" w:cs="Arial"/>
          <w:lang w:val="en-GB" w:eastAsia="en-GB"/>
        </w:rPr>
        <w:t>location and</w:t>
      </w:r>
      <w:r w:rsidRPr="00F95CE5">
        <w:rPr>
          <w:rFonts w:ascii="Arial" w:eastAsia="Times New Roman" w:hAnsi="Arial" w:cs="Arial"/>
          <w:lang w:val="en-GB" w:eastAsia="en-GB"/>
        </w:rPr>
        <w:t xml:space="preserve"> put into action in the healthcare organisations</w:t>
      </w:r>
      <w:r w:rsidR="00521758">
        <w:rPr>
          <w:rFonts w:ascii="Arial" w:eastAsia="Times New Roman" w:hAnsi="Arial" w:cs="Arial"/>
          <w:lang w:val="en-GB" w:eastAsia="en-GB"/>
        </w:rPr>
        <w:t xml:space="preserve"> (</w:t>
      </w:r>
      <w:r w:rsidR="00521758" w:rsidRPr="00521758">
        <w:rPr>
          <w:rFonts w:ascii="Arial" w:eastAsia="Times New Roman" w:hAnsi="Arial" w:cs="Arial"/>
          <w:lang w:eastAsia="en-GB"/>
        </w:rPr>
        <w:t>Kienle,</w:t>
      </w:r>
      <w:r w:rsidR="00521758">
        <w:rPr>
          <w:rFonts w:ascii="Arial" w:eastAsia="Times New Roman" w:hAnsi="Arial" w:cs="Arial"/>
          <w:lang w:eastAsia="en-GB"/>
        </w:rPr>
        <w:t xml:space="preserve"> </w:t>
      </w:r>
      <w:r w:rsidR="00521758" w:rsidRPr="00521758">
        <w:rPr>
          <w:rFonts w:ascii="Arial" w:eastAsia="Times New Roman" w:hAnsi="Arial" w:cs="Arial"/>
          <w:lang w:eastAsia="en-GB"/>
        </w:rPr>
        <w:t>2006)</w:t>
      </w:r>
      <w:r w:rsidR="00521758">
        <w:rPr>
          <w:rFonts w:ascii="Arial" w:eastAsia="Times New Roman" w:hAnsi="Arial" w:cs="Arial"/>
          <w:lang w:eastAsia="en-GB"/>
        </w:rPr>
        <w:t xml:space="preserve">. </w:t>
      </w:r>
      <w:r w:rsidRPr="00F95CE5">
        <w:rPr>
          <w:rFonts w:ascii="Arial" w:eastAsia="Times New Roman" w:hAnsi="Arial" w:cs="Arial"/>
          <w:lang w:val="en-GB" w:eastAsia="en-GB"/>
        </w:rPr>
        <w:t xml:space="preserve"> It was the national regulated system whereby, in the case of Len, morphine was being administered and dispensed in this country via prescription.</w:t>
      </w:r>
    </w:p>
    <w:p w14:paraId="794A0214" w14:textId="25D3DD73"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36" w:name="_Toc235204129"/>
      <w:bookmarkStart w:id="37" w:name="_Toc235204381"/>
      <w:bookmarkStart w:id="38" w:name="_Toc235204781"/>
      <w:r w:rsidRPr="00C6397D">
        <w:rPr>
          <w:rFonts w:ascii="Arial" w:eastAsia="Times New Roman" w:hAnsi="Arial" w:cs="Arial"/>
          <w:b/>
          <w:bCs/>
          <w:color w:val="000000" w:themeColor="text1"/>
          <w:kern w:val="2"/>
          <w:lang w:val="en-GB" w:eastAsia="en-GB"/>
          <w14:ligatures w14:val="standardContextual"/>
        </w:rPr>
        <w:t>3.2 NHS Decentralised Systems</w:t>
      </w:r>
      <w:bookmarkEnd w:id="36"/>
      <w:bookmarkEnd w:id="37"/>
      <w:bookmarkEnd w:id="38"/>
    </w:p>
    <w:p w14:paraId="273EC379" w14:textId="77777777"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Decentralisation puts the functions and decisions on the frontline workers of healthcare. Pharmacists, multidisciplinary teams, ward managers and clinicians do most of the work in the NHS organisations in the delivery of patient care. This will allow the healthcare professionals to vary interventions based on the local needs as well as the needs of the individual patient (</w:t>
      </w:r>
      <w:r w:rsidRPr="00F95CE5">
        <w:rPr>
          <w:rFonts w:ascii="Arial" w:eastAsia="Calibri" w:hAnsi="Arial" w:cs="Arial"/>
          <w:color w:val="222222"/>
          <w:kern w:val="2"/>
          <w:shd w:val="clear" w:color="auto" w:fill="FFFFFF"/>
          <w:lang w:val="en-GB"/>
          <w14:ligatures w14:val="standardContextual"/>
        </w:rPr>
        <w:t>Storey, 2020).</w:t>
      </w:r>
    </w:p>
    <w:p w14:paraId="2DDDC11D" w14:textId="2896CF69"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Len's case shows </w:t>
      </w:r>
      <w:proofErr w:type="gramStart"/>
      <w:r w:rsidRPr="00F95CE5">
        <w:rPr>
          <w:rFonts w:ascii="Arial" w:eastAsia="Times New Roman" w:hAnsi="Arial" w:cs="Arial"/>
          <w:lang w:val="en-GB" w:eastAsia="en-GB"/>
        </w:rPr>
        <w:t>a number of</w:t>
      </w:r>
      <w:proofErr w:type="gramEnd"/>
      <w:r w:rsidRPr="00F95CE5">
        <w:rPr>
          <w:rFonts w:ascii="Arial" w:eastAsia="Times New Roman" w:hAnsi="Arial" w:cs="Arial"/>
          <w:lang w:val="en-GB" w:eastAsia="en-GB"/>
        </w:rPr>
        <w:t xml:space="preserve"> instances of decentralised practice. The choice to undergo medication counselling, the amount of dosage to be administered to the patients, educating the patients, and </w:t>
      </w:r>
      <w:r w:rsidR="00310603">
        <w:rPr>
          <w:rFonts w:ascii="Arial" w:eastAsia="Times New Roman" w:hAnsi="Arial" w:cs="Arial"/>
          <w:lang w:val="en-GB" w:eastAsia="en-GB"/>
        </w:rPr>
        <w:t>after-medication</w:t>
      </w:r>
      <w:r w:rsidRPr="00F95CE5">
        <w:rPr>
          <w:rFonts w:ascii="Arial" w:eastAsia="Times New Roman" w:hAnsi="Arial" w:cs="Arial"/>
          <w:lang w:val="en-GB" w:eastAsia="en-GB"/>
        </w:rPr>
        <w:t xml:space="preserve"> care were more of a local clinical issue. Frontline professionals had the right to expand further and confirm meanings and conduct patient- specific safety checks, which were based on patient demands.</w:t>
      </w:r>
    </w:p>
    <w:p w14:paraId="2F464C4E" w14:textId="1380A88B" w:rsidR="00E0036E" w:rsidRPr="00F95CE5" w:rsidRDefault="00E0036E" w:rsidP="00E0036E">
      <w:pPr>
        <w:spacing w:before="240" w:after="160" w:line="360" w:lineRule="auto"/>
        <w:jc w:val="both"/>
        <w:rPr>
          <w:rFonts w:ascii="Arial" w:eastAsia="Calibri" w:hAnsi="Arial" w:cs="Arial"/>
          <w:color w:val="222222"/>
          <w:kern w:val="2"/>
          <w:shd w:val="clear" w:color="auto" w:fill="FFFFFF"/>
          <w:lang w:val="en-GB"/>
          <w14:ligatures w14:val="standardContextual"/>
        </w:rPr>
      </w:pPr>
      <w:r w:rsidRPr="00F95CE5">
        <w:rPr>
          <w:rFonts w:ascii="Arial" w:eastAsia="Times New Roman" w:hAnsi="Arial" w:cs="Arial"/>
          <w:lang w:val="en-GB" w:eastAsia="en-GB"/>
        </w:rPr>
        <w:lastRenderedPageBreak/>
        <w:t xml:space="preserve">Responsiveness produces a significant positive effect </w:t>
      </w:r>
      <w:r w:rsidR="00F85AEC">
        <w:rPr>
          <w:rFonts w:ascii="Arial" w:eastAsia="Times New Roman" w:hAnsi="Arial" w:cs="Arial"/>
          <w:lang w:val="en-GB" w:eastAsia="en-GB"/>
        </w:rPr>
        <w:t>on</w:t>
      </w:r>
      <w:r w:rsidRPr="00F95CE5">
        <w:rPr>
          <w:rFonts w:ascii="Arial" w:eastAsia="Times New Roman" w:hAnsi="Arial" w:cs="Arial"/>
          <w:lang w:val="en-GB" w:eastAsia="en-GB"/>
        </w:rPr>
        <w:t xml:space="preserve"> decentralisation. The latter can be accomplished through frontline health care workers who are better placed to detect the risks that the patient is being exposed to and </w:t>
      </w:r>
      <w:r w:rsidR="00F85AEC">
        <w:rPr>
          <w:rFonts w:ascii="Arial" w:eastAsia="Times New Roman" w:hAnsi="Arial" w:cs="Arial"/>
          <w:lang w:val="en-GB" w:eastAsia="en-GB"/>
        </w:rPr>
        <w:t>tailor</w:t>
      </w:r>
      <w:r w:rsidRPr="00F95CE5">
        <w:rPr>
          <w:rFonts w:ascii="Arial" w:eastAsia="Times New Roman" w:hAnsi="Arial" w:cs="Arial"/>
          <w:lang w:val="en-GB" w:eastAsia="en-GB"/>
        </w:rPr>
        <w:t xml:space="preserve"> care to the patient's needs. Even the decentralised systems promote professional autonomy, innovation and joint </w:t>
      </w:r>
      <w:r w:rsidR="00F85AEC">
        <w:rPr>
          <w:rFonts w:ascii="Arial" w:eastAsia="Times New Roman" w:hAnsi="Arial" w:cs="Arial"/>
          <w:lang w:val="en-GB" w:eastAsia="en-GB"/>
        </w:rPr>
        <w:t>decision-making</w:t>
      </w:r>
      <w:r w:rsidRPr="00F95CE5">
        <w:rPr>
          <w:rFonts w:ascii="Arial" w:eastAsia="Times New Roman" w:hAnsi="Arial" w:cs="Arial"/>
          <w:lang w:val="en-GB" w:eastAsia="en-GB"/>
        </w:rPr>
        <w:t xml:space="preserve">. Complex healthcare situations could be better addressed by the local teams than </w:t>
      </w:r>
      <w:r w:rsidR="00F85AEC">
        <w:rPr>
          <w:rFonts w:ascii="Arial" w:eastAsia="Times New Roman" w:hAnsi="Arial" w:cs="Arial"/>
          <w:lang w:val="en-GB" w:eastAsia="en-GB"/>
        </w:rPr>
        <w:t>by highly</w:t>
      </w:r>
      <w:r w:rsidRPr="00F95CE5">
        <w:rPr>
          <w:rFonts w:ascii="Arial" w:eastAsia="Times New Roman" w:hAnsi="Arial" w:cs="Arial"/>
          <w:lang w:val="en-GB" w:eastAsia="en-GB"/>
        </w:rPr>
        <w:t xml:space="preserve"> centralised management structures (</w:t>
      </w:r>
      <w:r w:rsidRPr="00F95CE5">
        <w:rPr>
          <w:rFonts w:ascii="Arial" w:eastAsia="Calibri" w:hAnsi="Arial" w:cs="Arial"/>
          <w:color w:val="222222"/>
          <w:kern w:val="2"/>
          <w:shd w:val="clear" w:color="auto" w:fill="FFFFFF"/>
          <w:lang w:val="en-GB"/>
          <w14:ligatures w14:val="standardContextual"/>
        </w:rPr>
        <w:t xml:space="preserve">Marshall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2021).</w:t>
      </w:r>
    </w:p>
    <w:p w14:paraId="36EA0CDA" w14:textId="62DC43E8"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Calibri" w:hAnsi="Arial" w:cs="Arial"/>
          <w:lang w:val="en-GB"/>
          <w14:ligatures w14:val="standardContextual"/>
        </w:rPr>
        <w:t xml:space="preserve">In England, NHS England has </w:t>
      </w:r>
      <w:r w:rsidR="002A1E29">
        <w:rPr>
          <w:rFonts w:ascii="Arial" w:eastAsia="Calibri" w:hAnsi="Arial" w:cs="Arial"/>
          <w:lang w:val="en-GB"/>
          <w14:ligatures w14:val="standardContextual"/>
        </w:rPr>
        <w:t>noted</w:t>
      </w:r>
      <w:r w:rsidRPr="00F95CE5">
        <w:rPr>
          <w:rFonts w:ascii="Arial" w:eastAsia="Calibri" w:hAnsi="Arial" w:cs="Arial"/>
          <w:lang w:val="en-GB"/>
          <w14:ligatures w14:val="standardContextual"/>
        </w:rPr>
        <w:t xml:space="preserve"> that approximately 237 million of the medication errors occur somewhere along the medication route each year, a point that has contributed to the estimated 1,700-22,300 deaths annually, and an annual cost to the NHS amounting to an estimated 98.5 million pounds in avoidable harm (Elliott et al., 2021). This illustrates why centralised governance structures, such as national prescribing rates, medication safety warnings, and regulatory measures by NHS England and the MHRA are needed to decrease practice variation and enhance patient safety. Existence of national medication safety standards, as was the case of Len, did provide a roadmap to containerized morphine prescribing yet the effectiveness of such standards later hinged on the ability of such standards to be implemented at a local level and the adherence to the guidelines by the frontline healthcare workers (</w:t>
      </w:r>
      <w:r w:rsidRPr="00F95CE5">
        <w:rPr>
          <w:rFonts w:ascii="Arial" w:eastAsia="Calibri" w:hAnsi="Arial" w:cs="Arial"/>
          <w:color w:val="222222"/>
          <w:kern w:val="2"/>
          <w:shd w:val="clear" w:color="auto" w:fill="FFFFFF"/>
          <w:lang w:val="en-GB"/>
          <w14:ligatures w14:val="standardContextual"/>
        </w:rPr>
        <w:t xml:space="preserve">Han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2022).</w:t>
      </w:r>
    </w:p>
    <w:p w14:paraId="4BFBC9BB" w14:textId="5BA8394D"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39" w:name="_Toc235204130"/>
      <w:bookmarkStart w:id="40" w:name="_Toc235204382"/>
      <w:bookmarkStart w:id="41" w:name="_Toc235204782"/>
      <w:r w:rsidRPr="00C6397D">
        <w:rPr>
          <w:rFonts w:ascii="Arial" w:eastAsia="Times New Roman" w:hAnsi="Arial" w:cs="Arial"/>
          <w:b/>
          <w:bCs/>
          <w:color w:val="000000" w:themeColor="text1"/>
          <w:kern w:val="2"/>
          <w:lang w:val="en-GB" w:eastAsia="en-GB"/>
          <w14:ligatures w14:val="standardContextual"/>
        </w:rPr>
        <w:t>3.3 Comparison of the Essence of Centralisation and Decentralisation</w:t>
      </w:r>
      <w:bookmarkEnd w:id="39"/>
      <w:bookmarkEnd w:id="40"/>
      <w:bookmarkEnd w:id="41"/>
    </w:p>
    <w:p w14:paraId="1576F02A" w14:textId="75277B56"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The example of Len exhibits the pros and cons of a centralised and decentralised type of government. Centralised systems maximised patient safety by regulating and controlling med governance systems and by prescribing </w:t>
      </w:r>
      <w:r w:rsidR="00F85AEC">
        <w:rPr>
          <w:rFonts w:ascii="Arial" w:eastAsia="Times New Roman" w:hAnsi="Arial" w:cs="Arial"/>
          <w:lang w:val="en-GB" w:eastAsia="en-GB"/>
        </w:rPr>
        <w:t xml:space="preserve">the </w:t>
      </w:r>
      <w:r w:rsidRPr="00F95CE5">
        <w:rPr>
          <w:rFonts w:ascii="Arial" w:eastAsia="Times New Roman" w:hAnsi="Arial" w:cs="Arial"/>
          <w:lang w:val="en-GB" w:eastAsia="en-GB"/>
        </w:rPr>
        <w:t>advice of a country. These were systems that provided a systemic approach to medication management and ownership. Centralisation was, however, not enough to ensure that information was effectively relayed to the patient and his family (</w:t>
      </w:r>
      <w:r w:rsidRPr="00F95CE5">
        <w:rPr>
          <w:rFonts w:ascii="Arial" w:eastAsia="Calibri" w:hAnsi="Arial" w:cs="Arial"/>
          <w:color w:val="222222"/>
          <w:kern w:val="2"/>
          <w:shd w:val="clear" w:color="auto" w:fill="FFFFFF"/>
          <w:lang w:val="en-GB"/>
          <w14:ligatures w14:val="standardContextual"/>
        </w:rPr>
        <w:t xml:space="preserve">Anderson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2022).</w:t>
      </w:r>
    </w:p>
    <w:p w14:paraId="0EE83DF3" w14:textId="704D0B02"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The decentralised care delivery, on the other hand</w:t>
      </w:r>
      <w:r w:rsidR="00F85AEC">
        <w:rPr>
          <w:rFonts w:ascii="Arial" w:eastAsia="Times New Roman" w:hAnsi="Arial" w:cs="Arial"/>
          <w:lang w:val="en-GB" w:eastAsia="en-GB"/>
        </w:rPr>
        <w:t>,</w:t>
      </w:r>
      <w:r w:rsidRPr="00F95CE5">
        <w:rPr>
          <w:rFonts w:ascii="Arial" w:eastAsia="Times New Roman" w:hAnsi="Arial" w:cs="Arial"/>
          <w:lang w:val="en-GB" w:eastAsia="en-GB"/>
        </w:rPr>
        <w:t xml:space="preserve"> allowed the </w:t>
      </w:r>
      <w:r w:rsidR="00F85AEC">
        <w:rPr>
          <w:rFonts w:ascii="Arial" w:eastAsia="Times New Roman" w:hAnsi="Arial" w:cs="Arial"/>
          <w:lang w:val="en-GB" w:eastAsia="en-GB"/>
        </w:rPr>
        <w:t>healthcare</w:t>
      </w:r>
      <w:r w:rsidRPr="00F95CE5">
        <w:rPr>
          <w:rFonts w:ascii="Arial" w:eastAsia="Times New Roman" w:hAnsi="Arial" w:cs="Arial"/>
          <w:lang w:val="en-GB" w:eastAsia="en-GB"/>
        </w:rPr>
        <w:t xml:space="preserve"> professionals to adapt the communication and support to the needs of the patients. Nevertheless, the effectiveness of the decentralisation process still </w:t>
      </w:r>
      <w:r w:rsidR="00F85AEC">
        <w:rPr>
          <w:rFonts w:ascii="Arial" w:eastAsia="Times New Roman" w:hAnsi="Arial" w:cs="Arial"/>
          <w:lang w:val="en-GB" w:eastAsia="en-GB"/>
        </w:rPr>
        <w:t>relies</w:t>
      </w:r>
      <w:r w:rsidRPr="00F95CE5">
        <w:rPr>
          <w:rFonts w:ascii="Arial" w:eastAsia="Times New Roman" w:hAnsi="Arial" w:cs="Arial"/>
          <w:lang w:val="en-GB" w:eastAsia="en-GB"/>
        </w:rPr>
        <w:t xml:space="preserve"> on individual skills, experience, and communication of individual practitioners</w:t>
      </w:r>
      <w:r w:rsidR="00015625">
        <w:rPr>
          <w:rFonts w:ascii="Arial" w:eastAsia="Times New Roman" w:hAnsi="Arial" w:cs="Arial"/>
          <w:lang w:val="en-GB" w:eastAsia="en-GB"/>
        </w:rPr>
        <w:t xml:space="preserve"> (</w:t>
      </w:r>
      <w:proofErr w:type="spellStart"/>
      <w:r w:rsidR="00015625" w:rsidRPr="00015625">
        <w:rPr>
          <w:rFonts w:ascii="Arial" w:eastAsia="Times New Roman" w:hAnsi="Arial" w:cs="Arial"/>
          <w:lang w:eastAsia="en-GB"/>
        </w:rPr>
        <w:t>Kursite</w:t>
      </w:r>
      <w:proofErr w:type="spellEnd"/>
      <w:r w:rsidR="00015625">
        <w:rPr>
          <w:rFonts w:ascii="Arial" w:eastAsia="Times New Roman" w:hAnsi="Arial" w:cs="Arial"/>
          <w:lang w:eastAsia="en-GB"/>
        </w:rPr>
        <w:t xml:space="preserve"> </w:t>
      </w:r>
      <w:r w:rsidR="00015625" w:rsidRPr="00015625">
        <w:rPr>
          <w:rFonts w:ascii="Arial" w:eastAsia="Times New Roman" w:hAnsi="Arial" w:cs="Arial"/>
          <w:i/>
          <w:iCs/>
          <w:lang w:eastAsia="en-GB"/>
        </w:rPr>
        <w:t>et al.</w:t>
      </w:r>
      <w:r w:rsidR="00015625">
        <w:rPr>
          <w:rFonts w:ascii="Arial" w:eastAsia="Times New Roman" w:hAnsi="Arial" w:cs="Arial"/>
          <w:lang w:eastAsia="en-GB"/>
        </w:rPr>
        <w:t xml:space="preserve">, </w:t>
      </w:r>
      <w:r w:rsidR="00015625" w:rsidRPr="00015625">
        <w:rPr>
          <w:rFonts w:ascii="Arial" w:eastAsia="Times New Roman" w:hAnsi="Arial" w:cs="Arial"/>
          <w:lang w:eastAsia="en-GB"/>
        </w:rPr>
        <w:t>2021)</w:t>
      </w:r>
      <w:r w:rsidR="00015625">
        <w:rPr>
          <w:rFonts w:ascii="Arial" w:eastAsia="Times New Roman" w:hAnsi="Arial" w:cs="Arial"/>
          <w:lang w:eastAsia="en-GB"/>
        </w:rPr>
        <w:t>.</w:t>
      </w:r>
      <w:r w:rsidRPr="00F95CE5">
        <w:rPr>
          <w:rFonts w:ascii="Arial" w:eastAsia="Times New Roman" w:hAnsi="Arial" w:cs="Arial"/>
          <w:lang w:val="en-GB" w:eastAsia="en-GB"/>
        </w:rPr>
        <w:t xml:space="preserve"> Lack of verification of patient understanding eventually led to the overdose of medication.</w:t>
      </w:r>
    </w:p>
    <w:p w14:paraId="7E9D39B6" w14:textId="77777777"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Decentralisation might prove to be helpful when it comes to crisis management since it will allow the crisis to respond faster due to closer decisions that are made as far as the location of care/ area is concerned. Nevertheless, the lack of homogeneity in the practices among the regions might be counterproductive to accountability when there is a negative event. </w:t>
      </w:r>
    </w:p>
    <w:p w14:paraId="70BC0249" w14:textId="2E17A1D5"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42" w:name="_Toc235204131"/>
      <w:bookmarkStart w:id="43" w:name="_Toc235204383"/>
      <w:bookmarkStart w:id="44" w:name="_Toc235204783"/>
      <w:r w:rsidRPr="00C6397D">
        <w:rPr>
          <w:rFonts w:ascii="Arial" w:eastAsia="Times New Roman" w:hAnsi="Arial" w:cs="Arial"/>
          <w:b/>
          <w:bCs/>
          <w:color w:val="000000" w:themeColor="text1"/>
          <w:kern w:val="2"/>
          <w:lang w:val="en-GB" w:eastAsia="en-GB"/>
          <w14:ligatures w14:val="standardContextual"/>
        </w:rPr>
        <w:lastRenderedPageBreak/>
        <w:t>3.4 Actions and Results</w:t>
      </w:r>
      <w:bookmarkEnd w:id="42"/>
      <w:bookmarkEnd w:id="43"/>
      <w:bookmarkEnd w:id="44"/>
    </w:p>
    <w:p w14:paraId="77B09E6E" w14:textId="3AF88E68"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The creation of clinical governance frameworks by the NHS compels organisations to observe incidents of medication safety, research adverse events and implement learning to prevent harm to patients. Nonetheless, the studies carried out by HSSIB are likely to produce </w:t>
      </w:r>
      <w:proofErr w:type="gramStart"/>
      <w:r w:rsidRPr="00F95CE5">
        <w:rPr>
          <w:rFonts w:ascii="Arial" w:eastAsia="Times New Roman" w:hAnsi="Arial" w:cs="Arial"/>
          <w:lang w:val="en-GB" w:eastAsia="en-GB"/>
        </w:rPr>
        <w:t>a number of</w:t>
      </w:r>
      <w:proofErr w:type="gramEnd"/>
      <w:r w:rsidRPr="00F95CE5">
        <w:rPr>
          <w:rFonts w:ascii="Arial" w:eastAsia="Times New Roman" w:hAnsi="Arial" w:cs="Arial"/>
          <w:lang w:val="en-GB" w:eastAsia="en-GB"/>
        </w:rPr>
        <w:t xml:space="preserve"> trends, such as oversight in terms of communication, medical errors, and the inability to adopt safety measures continuously. This illustrates the insufficiency of </w:t>
      </w:r>
      <w:r w:rsidR="00F85AEC">
        <w:rPr>
          <w:rFonts w:ascii="Arial" w:eastAsia="Times New Roman" w:hAnsi="Arial" w:cs="Arial"/>
          <w:lang w:val="en-GB" w:eastAsia="en-GB"/>
        </w:rPr>
        <w:t xml:space="preserve">the </w:t>
      </w:r>
      <w:r w:rsidRPr="00F95CE5">
        <w:rPr>
          <w:rFonts w:ascii="Arial" w:eastAsia="Times New Roman" w:hAnsi="Arial" w:cs="Arial"/>
          <w:lang w:val="en-GB" w:eastAsia="en-GB"/>
        </w:rPr>
        <w:t>connection between the governance expectations and frontline practice.</w:t>
      </w:r>
    </w:p>
    <w:p w14:paraId="4DBAE22A" w14:textId="484C13AF" w:rsidR="00E0036E" w:rsidRPr="00F95CE5" w:rsidRDefault="00E0036E" w:rsidP="00E0036E">
      <w:pPr>
        <w:spacing w:before="240" w:after="160" w:line="360" w:lineRule="auto"/>
        <w:jc w:val="both"/>
        <w:rPr>
          <w:rFonts w:ascii="Arial" w:eastAsia="Calibri" w:hAnsi="Arial" w:cs="Arial"/>
          <w:color w:val="222222"/>
          <w:kern w:val="2"/>
          <w:shd w:val="clear" w:color="auto" w:fill="FFFFFF"/>
          <w:lang w:val="en-GB"/>
          <w14:ligatures w14:val="standardContextual"/>
        </w:rPr>
      </w:pPr>
      <w:r w:rsidRPr="00F95CE5">
        <w:rPr>
          <w:rFonts w:ascii="Arial" w:eastAsia="Times New Roman" w:hAnsi="Arial" w:cs="Arial"/>
          <w:lang w:val="en-GB" w:eastAsia="en-GB"/>
        </w:rPr>
        <w:t xml:space="preserve">Medication errors recorded in patient safety reports are still reasons that can cause patient harm. These results imply that centralised and decentralised forms of clinical practice and oversight should be reinforced to enhance medication safety results. Some additional training on better communication, </w:t>
      </w:r>
      <w:r w:rsidR="00F85AEC">
        <w:rPr>
          <w:rFonts w:ascii="Arial" w:eastAsia="Times New Roman" w:hAnsi="Arial" w:cs="Arial"/>
          <w:lang w:val="en-GB" w:eastAsia="en-GB"/>
        </w:rPr>
        <w:t xml:space="preserve">a </w:t>
      </w:r>
      <w:r w:rsidRPr="00F95CE5">
        <w:rPr>
          <w:rFonts w:ascii="Arial" w:eastAsia="Times New Roman" w:hAnsi="Arial" w:cs="Arial"/>
          <w:lang w:val="en-GB" w:eastAsia="en-GB"/>
        </w:rPr>
        <w:t>focus on medication counselling with patients, and a more localised accountability process could help to decrease future cases (</w:t>
      </w:r>
      <w:r w:rsidRPr="00F95CE5">
        <w:rPr>
          <w:rFonts w:ascii="Arial" w:eastAsia="Calibri" w:hAnsi="Arial" w:cs="Arial"/>
          <w:color w:val="222222"/>
          <w:kern w:val="2"/>
          <w:shd w:val="clear" w:color="auto" w:fill="FFFFFF"/>
          <w:lang w:val="en-GB"/>
          <w14:ligatures w14:val="standardContextual"/>
        </w:rPr>
        <w:t xml:space="preserve">Barnes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2020).</w:t>
      </w:r>
    </w:p>
    <w:p w14:paraId="15833702" w14:textId="27978C15"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Furthermore, it can be observed that the occurrence of medical errors remains among the leading sources of patient safety issues within the NHS. Each year, NHS England receives several hundred thousand reports relating to patient safety incidents</w:t>
      </w:r>
      <w:r w:rsidR="00F85AEC">
        <w:rPr>
          <w:rFonts w:ascii="Arial" w:eastAsia="Times New Roman" w:hAnsi="Arial" w:cs="Arial"/>
          <w:lang w:val="en-GB" w:eastAsia="en-GB"/>
        </w:rPr>
        <w:t>,</w:t>
      </w:r>
      <w:r w:rsidRPr="00F95CE5">
        <w:rPr>
          <w:rFonts w:ascii="Arial" w:eastAsia="Times New Roman" w:hAnsi="Arial" w:cs="Arial"/>
          <w:lang w:val="en-GB" w:eastAsia="en-GB"/>
        </w:rPr>
        <w:t xml:space="preserve"> where drug error is one of the leading sources of such incidents. </w:t>
      </w:r>
    </w:p>
    <w:p w14:paraId="0FAAC6F3" w14:textId="77777777" w:rsidR="007109F6" w:rsidRPr="00F95CE5" w:rsidRDefault="007109F6">
      <w:pPr>
        <w:rPr>
          <w:rFonts w:ascii="Arial" w:eastAsia="Times New Roman" w:hAnsi="Arial" w:cs="Arial"/>
          <w:b/>
          <w:bCs/>
          <w:color w:val="2F5496"/>
          <w:kern w:val="2"/>
          <w:lang w:val="en-GB"/>
          <w14:ligatures w14:val="standardContextual"/>
        </w:rPr>
      </w:pPr>
      <w:bookmarkStart w:id="45" w:name="_Toc233119319"/>
      <w:r w:rsidRPr="00F95CE5">
        <w:rPr>
          <w:rFonts w:ascii="Arial" w:eastAsia="Times New Roman" w:hAnsi="Arial" w:cs="Arial"/>
          <w:b/>
          <w:bCs/>
          <w:color w:val="2F5496"/>
          <w:kern w:val="2"/>
          <w:lang w:val="en-GB"/>
          <w14:ligatures w14:val="standardContextual"/>
        </w:rPr>
        <w:br w:type="page"/>
      </w:r>
    </w:p>
    <w:p w14:paraId="65E201B8" w14:textId="21FA8649" w:rsidR="00E0036E" w:rsidRPr="00C6397D" w:rsidRDefault="00E0036E" w:rsidP="00E0036E">
      <w:pPr>
        <w:spacing w:before="240" w:after="160" w:line="360" w:lineRule="auto"/>
        <w:jc w:val="both"/>
        <w:rPr>
          <w:rFonts w:ascii="Arial" w:eastAsia="Times New Roman" w:hAnsi="Arial" w:cs="Arial"/>
          <w:b/>
          <w:bCs/>
          <w:color w:val="000000" w:themeColor="text1"/>
          <w:kern w:val="2"/>
          <w:lang w:val="en-GB" w:eastAsia="en-GB"/>
          <w14:ligatures w14:val="standardContextual"/>
        </w:rPr>
      </w:pPr>
      <w:r w:rsidRPr="00C6397D">
        <w:rPr>
          <w:rFonts w:ascii="Arial" w:eastAsia="Times New Roman" w:hAnsi="Arial" w:cs="Arial"/>
          <w:b/>
          <w:bCs/>
          <w:color w:val="000000" w:themeColor="text1"/>
          <w:kern w:val="2"/>
          <w:lang w:val="en-GB"/>
          <w14:ligatures w14:val="standardContextual"/>
        </w:rPr>
        <w:lastRenderedPageBreak/>
        <w:t>4</w:t>
      </w:r>
      <w:r w:rsidR="00C314F4" w:rsidRPr="00C6397D">
        <w:rPr>
          <w:rFonts w:ascii="Arial" w:eastAsia="Times New Roman" w:hAnsi="Arial" w:cs="Arial"/>
          <w:b/>
          <w:bCs/>
          <w:color w:val="000000" w:themeColor="text1"/>
          <w:kern w:val="2"/>
          <w:lang w:val="en-GB"/>
          <w14:ligatures w14:val="standardContextual"/>
        </w:rPr>
        <w:t xml:space="preserve"> </w:t>
      </w:r>
      <w:r w:rsidRPr="00C6397D">
        <w:rPr>
          <w:rFonts w:ascii="Arial" w:eastAsia="Times New Roman" w:hAnsi="Arial" w:cs="Arial"/>
          <w:b/>
          <w:bCs/>
          <w:color w:val="000000" w:themeColor="text1"/>
          <w:kern w:val="2"/>
          <w:lang w:val="en-GB"/>
          <w14:ligatures w14:val="standardContextual"/>
        </w:rPr>
        <w:t>Leadership Theories and Application</w:t>
      </w:r>
      <w:bookmarkEnd w:id="45"/>
    </w:p>
    <w:p w14:paraId="2A68E050" w14:textId="5C67D33A" w:rsidR="00E0036E" w:rsidRPr="00F95CE5" w:rsidRDefault="00E0036E" w:rsidP="00E0036E">
      <w:pPr>
        <w:spacing w:before="240" w:after="160" w:line="360" w:lineRule="auto"/>
        <w:jc w:val="both"/>
        <w:rPr>
          <w:rFonts w:ascii="Arial" w:eastAsia="Calibri" w:hAnsi="Arial" w:cs="Arial"/>
          <w:color w:val="222222"/>
          <w:kern w:val="2"/>
          <w:shd w:val="clear" w:color="auto" w:fill="FFFFFF"/>
          <w:lang w:val="en-GB"/>
          <w14:ligatures w14:val="standardContextual"/>
        </w:rPr>
      </w:pPr>
      <w:r w:rsidRPr="00F95CE5">
        <w:rPr>
          <w:rFonts w:ascii="Arial" w:eastAsia="Times New Roman" w:hAnsi="Arial" w:cs="Arial"/>
          <w:lang w:val="en-GB" w:eastAsia="en-GB"/>
        </w:rPr>
        <w:t xml:space="preserve">Leadership is core to the healthcare system's quality, organisational performance, and patient safety. The case of Len demonstrates the role of leadership in the choice of communication, governance, medication safety and organisational learning. Leadership </w:t>
      </w:r>
      <w:proofErr w:type="gramStart"/>
      <w:r w:rsidRPr="00F95CE5">
        <w:rPr>
          <w:rFonts w:ascii="Arial" w:eastAsia="Times New Roman" w:hAnsi="Arial" w:cs="Arial"/>
          <w:lang w:val="en-GB" w:eastAsia="en-GB"/>
        </w:rPr>
        <w:t>in particular is</w:t>
      </w:r>
      <w:proofErr w:type="gramEnd"/>
      <w:r w:rsidRPr="00F95CE5">
        <w:rPr>
          <w:rFonts w:ascii="Arial" w:eastAsia="Times New Roman" w:hAnsi="Arial" w:cs="Arial"/>
          <w:lang w:val="en-GB" w:eastAsia="en-GB"/>
        </w:rPr>
        <w:t xml:space="preserve"> particularly important when it comes to responding to </w:t>
      </w:r>
      <w:r w:rsidR="00F85AEC">
        <w:rPr>
          <w:rFonts w:ascii="Arial" w:eastAsia="Times New Roman" w:hAnsi="Arial" w:cs="Arial"/>
          <w:lang w:val="en-GB" w:eastAsia="en-GB"/>
        </w:rPr>
        <w:t>high-risk</w:t>
      </w:r>
      <w:r w:rsidRPr="00F95CE5">
        <w:rPr>
          <w:rFonts w:ascii="Arial" w:eastAsia="Times New Roman" w:hAnsi="Arial" w:cs="Arial"/>
          <w:lang w:val="en-GB" w:eastAsia="en-GB"/>
        </w:rPr>
        <w:t xml:space="preserve"> clinical situations, whereby leaders form the safety culture and assign resources, aid in the development of staff and hold them accountable (</w:t>
      </w:r>
      <w:proofErr w:type="spellStart"/>
      <w:r w:rsidRPr="00F95CE5">
        <w:rPr>
          <w:rFonts w:ascii="Arial" w:eastAsia="Calibri" w:hAnsi="Arial" w:cs="Arial"/>
          <w:color w:val="222222"/>
          <w:kern w:val="2"/>
          <w:shd w:val="clear" w:color="auto" w:fill="FFFFFF"/>
          <w:lang w:val="en-GB"/>
          <w14:ligatures w14:val="standardContextual"/>
        </w:rPr>
        <w:t>Aufegger</w:t>
      </w:r>
      <w:proofErr w:type="spellEnd"/>
      <w:r w:rsidRPr="00F95CE5">
        <w:rPr>
          <w:rFonts w:ascii="Arial" w:eastAsia="Calibri" w:hAnsi="Arial" w:cs="Arial"/>
          <w:color w:val="222222"/>
          <w:kern w:val="2"/>
          <w:shd w:val="clear" w:color="auto" w:fill="FFFFFF"/>
          <w:lang w:val="en-GB"/>
          <w14:ligatures w14:val="standardContextual"/>
        </w:rPr>
        <w:t xml:space="preserve">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2020).</w:t>
      </w:r>
      <w:r w:rsidRPr="00F95CE5">
        <w:rPr>
          <w:rFonts w:ascii="Arial" w:eastAsia="Calibri" w:hAnsi="Arial" w:cs="Arial"/>
          <w:kern w:val="2"/>
          <w:lang w:val="en-GB"/>
          <w14:ligatures w14:val="standardContextual"/>
        </w:rPr>
        <w:t xml:space="preserve"> </w:t>
      </w:r>
      <w:r w:rsidRPr="00F95CE5">
        <w:rPr>
          <w:rFonts w:ascii="Arial" w:eastAsia="Calibri" w:hAnsi="Arial" w:cs="Arial"/>
          <w:color w:val="222222"/>
          <w:kern w:val="2"/>
          <w:shd w:val="clear" w:color="auto" w:fill="FFFFFF"/>
          <w:lang w:val="en-GB"/>
          <w14:ligatures w14:val="standardContextual"/>
        </w:rPr>
        <w:t>Transactional type of leadership</w:t>
      </w:r>
      <w:r w:rsidR="00F85AEC">
        <w:rPr>
          <w:rFonts w:ascii="Arial" w:eastAsia="Calibri" w:hAnsi="Arial" w:cs="Arial"/>
          <w:color w:val="222222"/>
          <w:kern w:val="2"/>
          <w:shd w:val="clear" w:color="auto" w:fill="FFFFFF"/>
          <w:lang w:val="en-GB"/>
          <w14:ligatures w14:val="standardContextual"/>
        </w:rPr>
        <w:t>,</w:t>
      </w:r>
      <w:r w:rsidRPr="00F95CE5">
        <w:rPr>
          <w:rFonts w:ascii="Arial" w:eastAsia="Calibri" w:hAnsi="Arial" w:cs="Arial"/>
          <w:color w:val="222222"/>
          <w:kern w:val="2"/>
          <w:shd w:val="clear" w:color="auto" w:fill="FFFFFF"/>
          <w:lang w:val="en-GB"/>
          <w14:ligatures w14:val="standardContextual"/>
        </w:rPr>
        <w:t xml:space="preserve"> on the contrary</w:t>
      </w:r>
      <w:r w:rsidR="00F85AEC">
        <w:rPr>
          <w:rFonts w:ascii="Arial" w:eastAsia="Calibri" w:hAnsi="Arial" w:cs="Arial"/>
          <w:color w:val="222222"/>
          <w:kern w:val="2"/>
          <w:shd w:val="clear" w:color="auto" w:fill="FFFFFF"/>
          <w:lang w:val="en-GB"/>
          <w14:ligatures w14:val="standardContextual"/>
        </w:rPr>
        <w:t>,</w:t>
      </w:r>
      <w:r w:rsidRPr="00F95CE5">
        <w:rPr>
          <w:rFonts w:ascii="Arial" w:eastAsia="Calibri" w:hAnsi="Arial" w:cs="Arial"/>
          <w:color w:val="222222"/>
          <w:kern w:val="2"/>
          <w:shd w:val="clear" w:color="auto" w:fill="FFFFFF"/>
          <w:lang w:val="en-GB"/>
          <w14:ligatures w14:val="standardContextual"/>
        </w:rPr>
        <w:t xml:space="preserve"> </w:t>
      </w:r>
      <w:proofErr w:type="gramStart"/>
      <w:r w:rsidRPr="00F95CE5">
        <w:rPr>
          <w:rFonts w:ascii="Arial" w:eastAsia="Calibri" w:hAnsi="Arial" w:cs="Arial"/>
          <w:color w:val="222222"/>
          <w:kern w:val="2"/>
          <w:shd w:val="clear" w:color="auto" w:fill="FFFFFF"/>
          <w:lang w:val="en-GB"/>
          <w14:ligatures w14:val="standardContextual"/>
        </w:rPr>
        <w:t>is connected with</w:t>
      </w:r>
      <w:proofErr w:type="gramEnd"/>
      <w:r w:rsidRPr="00F95CE5">
        <w:rPr>
          <w:rFonts w:ascii="Arial" w:eastAsia="Calibri" w:hAnsi="Arial" w:cs="Arial"/>
          <w:color w:val="222222"/>
          <w:kern w:val="2"/>
          <w:shd w:val="clear" w:color="auto" w:fill="FFFFFF"/>
          <w:lang w:val="en-GB"/>
          <w14:ligatures w14:val="standardContextual"/>
        </w:rPr>
        <w:t xml:space="preserve"> compliance </w:t>
      </w:r>
      <w:r w:rsidR="00F85AEC">
        <w:rPr>
          <w:rFonts w:ascii="Arial" w:eastAsia="Calibri" w:hAnsi="Arial" w:cs="Arial"/>
          <w:color w:val="222222"/>
          <w:kern w:val="2"/>
          <w:shd w:val="clear" w:color="auto" w:fill="FFFFFF"/>
          <w:lang w:val="en-GB"/>
          <w14:ligatures w14:val="standardContextual"/>
        </w:rPr>
        <w:t>with</w:t>
      </w:r>
      <w:r w:rsidRPr="00F95CE5">
        <w:rPr>
          <w:rFonts w:ascii="Arial" w:eastAsia="Calibri" w:hAnsi="Arial" w:cs="Arial"/>
          <w:color w:val="222222"/>
          <w:kern w:val="2"/>
          <w:shd w:val="clear" w:color="auto" w:fill="FFFFFF"/>
          <w:lang w:val="en-GB"/>
          <w14:ligatures w14:val="standardContextual"/>
        </w:rPr>
        <w:t xml:space="preserve"> the policies, procedures, and performance standards</w:t>
      </w:r>
      <w:r w:rsidR="00F85AEC">
        <w:rPr>
          <w:rFonts w:ascii="Arial" w:eastAsia="Calibri" w:hAnsi="Arial" w:cs="Arial"/>
          <w:color w:val="222222"/>
          <w:kern w:val="2"/>
          <w:shd w:val="clear" w:color="auto" w:fill="FFFFFF"/>
          <w:lang w:val="en-GB"/>
          <w14:ligatures w14:val="standardContextual"/>
        </w:rPr>
        <w:t>,</w:t>
      </w:r>
      <w:r w:rsidRPr="00F95CE5">
        <w:rPr>
          <w:rFonts w:ascii="Arial" w:eastAsia="Calibri" w:hAnsi="Arial" w:cs="Arial"/>
          <w:color w:val="222222"/>
          <w:kern w:val="2"/>
          <w:shd w:val="clear" w:color="auto" w:fill="FFFFFF"/>
          <w:lang w:val="en-GB"/>
          <w14:ligatures w14:val="standardContextual"/>
        </w:rPr>
        <w:t xml:space="preserve"> with monitoring and accountability checks. </w:t>
      </w:r>
    </w:p>
    <w:p w14:paraId="14722931" w14:textId="7EB75850" w:rsidR="00E0036E" w:rsidRPr="00F95CE5" w:rsidRDefault="00E0036E" w:rsidP="00E0036E">
      <w:pPr>
        <w:spacing w:before="240" w:after="160" w:line="360" w:lineRule="auto"/>
        <w:jc w:val="both"/>
        <w:rPr>
          <w:rFonts w:ascii="Arial" w:eastAsia="Calibri" w:hAnsi="Arial" w:cs="Arial"/>
          <w:color w:val="222222"/>
          <w:kern w:val="2"/>
          <w:shd w:val="clear" w:color="auto" w:fill="FFFFFF"/>
          <w:lang w:val="en-GB"/>
          <w14:ligatures w14:val="standardContextual"/>
        </w:rPr>
      </w:pPr>
      <w:r w:rsidRPr="00F95CE5">
        <w:rPr>
          <w:rFonts w:ascii="Arial" w:eastAsia="Calibri" w:hAnsi="Arial" w:cs="Arial"/>
          <w:color w:val="222222"/>
          <w:kern w:val="2"/>
          <w:shd w:val="clear" w:color="auto" w:fill="FFFFFF"/>
          <w:lang w:val="en-GB"/>
          <w14:ligatures w14:val="standardContextual"/>
        </w:rPr>
        <w:t xml:space="preserve">Examples of transactional leadership in </w:t>
      </w:r>
      <w:r w:rsidR="00F85AEC">
        <w:rPr>
          <w:rFonts w:ascii="Arial" w:eastAsia="Calibri" w:hAnsi="Arial" w:cs="Arial"/>
          <w:color w:val="222222"/>
          <w:kern w:val="2"/>
          <w:shd w:val="clear" w:color="auto" w:fill="FFFFFF"/>
          <w:lang w:val="en-GB"/>
          <w14:ligatures w14:val="standardContextual"/>
        </w:rPr>
        <w:t xml:space="preserve">the </w:t>
      </w:r>
      <w:r w:rsidRPr="00F95CE5">
        <w:rPr>
          <w:rFonts w:ascii="Arial" w:eastAsia="Calibri" w:hAnsi="Arial" w:cs="Arial"/>
          <w:color w:val="222222"/>
          <w:kern w:val="2"/>
          <w:shd w:val="clear" w:color="auto" w:fill="FFFFFF"/>
          <w:lang w:val="en-GB"/>
          <w14:ligatures w14:val="standardContextual"/>
        </w:rPr>
        <w:t xml:space="preserve">NHS are medication safety policies, clinical governance policies and mechanisms of incident reporting. The leadership style can also be applied to ensure that it is reliable and within the </w:t>
      </w:r>
      <w:r w:rsidR="00D00144" w:rsidRPr="00F95CE5">
        <w:rPr>
          <w:rFonts w:ascii="Arial" w:eastAsia="Calibri" w:hAnsi="Arial" w:cs="Arial"/>
          <w:color w:val="222222"/>
          <w:kern w:val="2"/>
          <w:shd w:val="clear" w:color="auto" w:fill="FFFFFF"/>
          <w:lang w:val="en-GB"/>
          <w14:ligatures w14:val="standardContextual"/>
        </w:rPr>
        <w:t>regulations</w:t>
      </w:r>
      <w:r w:rsidR="00D00144">
        <w:rPr>
          <w:rFonts w:ascii="Arial" w:eastAsia="Calibri" w:hAnsi="Arial" w:cs="Arial"/>
          <w:color w:val="222222"/>
          <w:kern w:val="2"/>
          <w:shd w:val="clear" w:color="auto" w:fill="FFFFFF"/>
          <w:lang w:val="en-GB"/>
          <w14:ligatures w14:val="standardContextual"/>
        </w:rPr>
        <w:t xml:space="preserve"> but</w:t>
      </w:r>
      <w:r w:rsidRPr="00F95CE5">
        <w:rPr>
          <w:rFonts w:ascii="Arial" w:eastAsia="Calibri" w:hAnsi="Arial" w:cs="Arial"/>
          <w:color w:val="222222"/>
          <w:kern w:val="2"/>
          <w:shd w:val="clear" w:color="auto" w:fill="FFFFFF"/>
          <w:lang w:val="en-GB"/>
          <w14:ligatures w14:val="standardContextual"/>
        </w:rPr>
        <w:t xml:space="preserve"> may not be effective in meeting the multi-faceted needs of human </w:t>
      </w:r>
      <w:r w:rsidR="00F85AEC">
        <w:rPr>
          <w:rFonts w:ascii="Arial" w:eastAsia="Calibri" w:hAnsi="Arial" w:cs="Arial"/>
          <w:color w:val="222222"/>
          <w:kern w:val="2"/>
          <w:shd w:val="clear" w:color="auto" w:fill="FFFFFF"/>
          <w:lang w:val="en-GB"/>
          <w14:ligatures w14:val="standardContextual"/>
        </w:rPr>
        <w:t>beings, such as</w:t>
      </w:r>
      <w:r w:rsidRPr="00F95CE5">
        <w:rPr>
          <w:rFonts w:ascii="Arial" w:eastAsia="Calibri" w:hAnsi="Arial" w:cs="Arial"/>
          <w:color w:val="222222"/>
          <w:kern w:val="2"/>
          <w:shd w:val="clear" w:color="auto" w:fill="FFFFFF"/>
          <w:lang w:val="en-GB"/>
          <w14:ligatures w14:val="standardContextual"/>
        </w:rPr>
        <w:t xml:space="preserve"> communication breakdown and employee interaction.</w:t>
      </w:r>
    </w:p>
    <w:p w14:paraId="7AA30541" w14:textId="22AB5988" w:rsidR="00E0036E" w:rsidRPr="00F95CE5" w:rsidRDefault="00E0036E" w:rsidP="00E0036E">
      <w:pPr>
        <w:spacing w:before="240" w:after="160" w:line="360" w:lineRule="auto"/>
        <w:jc w:val="both"/>
        <w:rPr>
          <w:rFonts w:ascii="Arial" w:eastAsia="Calibri" w:hAnsi="Arial" w:cs="Arial"/>
          <w:color w:val="222222"/>
          <w:kern w:val="2"/>
          <w:shd w:val="clear" w:color="auto" w:fill="FFFFFF"/>
          <w:lang w:val="en-GB"/>
          <w14:ligatures w14:val="standardContextual"/>
        </w:rPr>
      </w:pPr>
      <w:r w:rsidRPr="00F95CE5">
        <w:rPr>
          <w:rFonts w:ascii="Arial" w:eastAsia="Calibri" w:hAnsi="Arial" w:cs="Arial"/>
          <w:color w:val="222222"/>
          <w:kern w:val="2"/>
          <w:shd w:val="clear" w:color="auto" w:fill="FFFFFF"/>
          <w:lang w:val="en-GB"/>
          <w14:ligatures w14:val="standardContextual"/>
        </w:rPr>
        <w:t>In the example of Len, it is possible to show that there should be an intermediate leadership approach. Leaders must go beyond ensuring the compliance of the employees to certain pre-established medication safety standards and requirements</w:t>
      </w:r>
      <w:r w:rsidR="00F85AEC">
        <w:rPr>
          <w:rFonts w:ascii="Arial" w:eastAsia="Calibri" w:hAnsi="Arial" w:cs="Arial"/>
          <w:color w:val="222222"/>
          <w:kern w:val="2"/>
          <w:shd w:val="clear" w:color="auto" w:fill="FFFFFF"/>
          <w:lang w:val="en-GB"/>
          <w14:ligatures w14:val="standardContextual"/>
        </w:rPr>
        <w:t>,</w:t>
      </w:r>
      <w:r w:rsidRPr="00F95CE5">
        <w:rPr>
          <w:rFonts w:ascii="Arial" w:eastAsia="Calibri" w:hAnsi="Arial" w:cs="Arial"/>
          <w:color w:val="222222"/>
          <w:kern w:val="2"/>
          <w:shd w:val="clear" w:color="auto" w:fill="FFFFFF"/>
          <w:lang w:val="en-GB"/>
          <w14:ligatures w14:val="standardContextual"/>
        </w:rPr>
        <w:t xml:space="preserve"> but also encourage reflection, learning and patient-centred communication</w:t>
      </w:r>
      <w:r w:rsidR="00664E29">
        <w:rPr>
          <w:rFonts w:ascii="Arial" w:eastAsia="Calibri" w:hAnsi="Arial" w:cs="Arial"/>
          <w:color w:val="222222"/>
          <w:kern w:val="2"/>
          <w:shd w:val="clear" w:color="auto" w:fill="FFFFFF"/>
          <w:lang w:val="en-GB"/>
          <w14:ligatures w14:val="standardContextual"/>
        </w:rPr>
        <w:t xml:space="preserve"> (</w:t>
      </w:r>
      <w:proofErr w:type="spellStart"/>
      <w:r w:rsidR="00664E29" w:rsidRPr="00664E29">
        <w:rPr>
          <w:rFonts w:ascii="Arial" w:eastAsia="Calibri" w:hAnsi="Arial" w:cs="Arial"/>
          <w:color w:val="222222"/>
          <w:kern w:val="2"/>
          <w:shd w:val="clear" w:color="auto" w:fill="FFFFFF"/>
          <w14:ligatures w14:val="standardContextual"/>
        </w:rPr>
        <w:t>Dirik</w:t>
      </w:r>
      <w:proofErr w:type="spellEnd"/>
      <w:r w:rsidR="00664E29" w:rsidRPr="00664E29">
        <w:rPr>
          <w:rFonts w:ascii="Arial" w:eastAsia="Calibri" w:hAnsi="Arial" w:cs="Arial"/>
          <w:color w:val="222222"/>
          <w:kern w:val="2"/>
          <w:shd w:val="clear" w:color="auto" w:fill="FFFFFF"/>
          <w14:ligatures w14:val="standardContextual"/>
        </w:rPr>
        <w:t>,</w:t>
      </w:r>
      <w:r w:rsidR="00664E29">
        <w:rPr>
          <w:rFonts w:ascii="Arial" w:eastAsia="Calibri" w:hAnsi="Arial" w:cs="Arial"/>
          <w:color w:val="222222"/>
          <w:kern w:val="2"/>
          <w:shd w:val="clear" w:color="auto" w:fill="FFFFFF"/>
          <w14:ligatures w14:val="standardContextual"/>
        </w:rPr>
        <w:t xml:space="preserve"> </w:t>
      </w:r>
      <w:proofErr w:type="spellStart"/>
      <w:r w:rsidR="00664E29" w:rsidRPr="00664E29">
        <w:rPr>
          <w:rFonts w:ascii="Arial" w:eastAsia="Calibri" w:hAnsi="Arial" w:cs="Arial"/>
          <w:color w:val="222222"/>
          <w:kern w:val="2"/>
          <w:shd w:val="clear" w:color="auto" w:fill="FFFFFF"/>
          <w14:ligatures w14:val="standardContextual"/>
        </w:rPr>
        <w:t>Theiakouli</w:t>
      </w:r>
      <w:proofErr w:type="spellEnd"/>
      <w:r w:rsidR="00664E29">
        <w:rPr>
          <w:rFonts w:ascii="Arial" w:eastAsia="Calibri" w:hAnsi="Arial" w:cs="Arial"/>
          <w:color w:val="222222"/>
          <w:kern w:val="2"/>
          <w:shd w:val="clear" w:color="auto" w:fill="FFFFFF"/>
          <w14:ligatures w14:val="standardContextual"/>
        </w:rPr>
        <w:t xml:space="preserve"> </w:t>
      </w:r>
      <w:r w:rsidR="00664E29" w:rsidRPr="00664E29">
        <w:rPr>
          <w:rFonts w:ascii="Arial" w:eastAsia="Calibri" w:hAnsi="Arial" w:cs="Arial"/>
          <w:color w:val="222222"/>
          <w:kern w:val="2"/>
          <w:shd w:val="clear" w:color="auto" w:fill="FFFFFF"/>
          <w14:ligatures w14:val="standardContextual"/>
        </w:rPr>
        <w:t>and Efstathiou,</w:t>
      </w:r>
      <w:r w:rsidR="00664E29">
        <w:rPr>
          <w:rFonts w:ascii="Arial" w:eastAsia="Calibri" w:hAnsi="Arial" w:cs="Arial"/>
          <w:color w:val="222222"/>
          <w:kern w:val="2"/>
          <w:shd w:val="clear" w:color="auto" w:fill="FFFFFF"/>
          <w14:ligatures w14:val="standardContextual"/>
        </w:rPr>
        <w:t xml:space="preserve"> </w:t>
      </w:r>
      <w:r w:rsidR="00664E29" w:rsidRPr="00664E29">
        <w:rPr>
          <w:rFonts w:ascii="Arial" w:eastAsia="Calibri" w:hAnsi="Arial" w:cs="Arial"/>
          <w:color w:val="222222"/>
          <w:kern w:val="2"/>
          <w:shd w:val="clear" w:color="auto" w:fill="FFFFFF"/>
          <w14:ligatures w14:val="standardContextual"/>
        </w:rPr>
        <w:t>2026)</w:t>
      </w:r>
      <w:r w:rsidR="00664E29">
        <w:rPr>
          <w:rFonts w:ascii="Arial" w:eastAsia="Calibri" w:hAnsi="Arial" w:cs="Arial"/>
          <w:color w:val="222222"/>
          <w:kern w:val="2"/>
          <w:shd w:val="clear" w:color="auto" w:fill="FFFFFF"/>
          <w14:ligatures w14:val="standardContextual"/>
        </w:rPr>
        <w:t>.</w:t>
      </w:r>
      <w:r w:rsidRPr="00F95CE5">
        <w:rPr>
          <w:rFonts w:ascii="Arial" w:eastAsia="Calibri" w:hAnsi="Arial" w:cs="Arial"/>
          <w:color w:val="222222"/>
          <w:kern w:val="2"/>
          <w:shd w:val="clear" w:color="auto" w:fill="FFFFFF"/>
          <w:lang w:val="en-GB"/>
          <w14:ligatures w14:val="standardContextual"/>
        </w:rPr>
        <w:t xml:space="preserve"> After negative experiences, leaders are crucial in carrying out investigations, taking corrective measures, and handing over the acquired lessons </w:t>
      </w:r>
      <w:r w:rsidR="00586126">
        <w:rPr>
          <w:rFonts w:ascii="Arial" w:eastAsia="Calibri" w:hAnsi="Arial" w:cs="Arial"/>
          <w:color w:val="222222"/>
          <w:kern w:val="2"/>
          <w:shd w:val="clear" w:color="auto" w:fill="FFFFFF"/>
          <w:lang w:val="en-GB"/>
          <w14:ligatures w14:val="standardContextual"/>
        </w:rPr>
        <w:t>to</w:t>
      </w:r>
      <w:r w:rsidRPr="00F95CE5">
        <w:rPr>
          <w:rFonts w:ascii="Arial" w:eastAsia="Calibri" w:hAnsi="Arial" w:cs="Arial"/>
          <w:color w:val="222222"/>
          <w:kern w:val="2"/>
          <w:shd w:val="clear" w:color="auto" w:fill="FFFFFF"/>
          <w:lang w:val="en-GB"/>
          <w14:ligatures w14:val="standardContextual"/>
        </w:rPr>
        <w:t xml:space="preserve"> the teams. The combination of the transformational and transactional leadership practices will enable healthcare organisations to improve medication safety, organisational learning and reduce the chances of such events occurring in future.</w:t>
      </w:r>
    </w:p>
    <w:p w14:paraId="5B0D8141" w14:textId="7777777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46" w:name="_Toc235204132"/>
      <w:bookmarkStart w:id="47" w:name="_Toc235204384"/>
      <w:bookmarkStart w:id="48" w:name="_Toc235204784"/>
      <w:r w:rsidRPr="00C6397D">
        <w:rPr>
          <w:rFonts w:ascii="Arial" w:eastAsia="Times New Roman" w:hAnsi="Arial" w:cs="Arial"/>
          <w:b/>
          <w:bCs/>
          <w:color w:val="000000" w:themeColor="text1"/>
          <w:kern w:val="2"/>
          <w:lang w:val="en-GB" w:eastAsia="en-GB"/>
          <w14:ligatures w14:val="standardContextual"/>
        </w:rPr>
        <w:t>4.1 Transformational Leadership</w:t>
      </w:r>
      <w:bookmarkEnd w:id="46"/>
      <w:bookmarkEnd w:id="47"/>
      <w:bookmarkEnd w:id="48"/>
    </w:p>
    <w:p w14:paraId="30247128" w14:textId="34B79D9C"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Transformational leadership is the ability to have a crowd and get them to the goal we all want to achieve by creating a vision and being inspirational, creative and constantly improving. Transformational leaders foster staff participation, staff empowerment</w:t>
      </w:r>
      <w:r w:rsidR="00586126">
        <w:rPr>
          <w:rFonts w:ascii="Arial" w:eastAsia="Times New Roman" w:hAnsi="Arial" w:cs="Arial"/>
          <w:lang w:val="en-GB" w:eastAsia="en-GB"/>
        </w:rPr>
        <w:t>,</w:t>
      </w:r>
      <w:r w:rsidRPr="00F95CE5">
        <w:rPr>
          <w:rFonts w:ascii="Arial" w:eastAsia="Times New Roman" w:hAnsi="Arial" w:cs="Arial"/>
          <w:lang w:val="en-GB" w:eastAsia="en-GB"/>
        </w:rPr>
        <w:t xml:space="preserve"> learning and </w:t>
      </w:r>
      <w:r w:rsidR="00586126">
        <w:rPr>
          <w:rFonts w:ascii="Arial" w:eastAsia="Times New Roman" w:hAnsi="Arial" w:cs="Arial"/>
          <w:lang w:val="en-GB" w:eastAsia="en-GB"/>
        </w:rPr>
        <w:t xml:space="preserve">a </w:t>
      </w:r>
      <w:r w:rsidRPr="00F95CE5">
        <w:rPr>
          <w:rFonts w:ascii="Arial" w:eastAsia="Times New Roman" w:hAnsi="Arial" w:cs="Arial"/>
          <w:lang w:val="en-GB" w:eastAsia="en-GB"/>
        </w:rPr>
        <w:t xml:space="preserve">culture of caring </w:t>
      </w:r>
      <w:r w:rsidR="00586126">
        <w:rPr>
          <w:rFonts w:ascii="Arial" w:eastAsia="Times New Roman" w:hAnsi="Arial" w:cs="Arial"/>
          <w:lang w:val="en-GB" w:eastAsia="en-GB"/>
        </w:rPr>
        <w:t>for</w:t>
      </w:r>
      <w:r w:rsidRPr="00F95CE5">
        <w:rPr>
          <w:rFonts w:ascii="Arial" w:eastAsia="Times New Roman" w:hAnsi="Arial" w:cs="Arial"/>
          <w:lang w:val="en-GB" w:eastAsia="en-GB"/>
        </w:rPr>
        <w:t xml:space="preserve"> patients.</w:t>
      </w:r>
    </w:p>
    <w:p w14:paraId="0115DD82" w14:textId="319BECB0"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Transformational healthcare leadership has been associated with improved patient safety, greater employee satisfaction, amplified teamwork, and an augmented organisational commitment. The concept of transformational leadership could also have been useful in smoothing the safety culture of the Len case by upgrading the professionals in the healthcare </w:t>
      </w:r>
      <w:r w:rsidRPr="00F95CE5">
        <w:rPr>
          <w:rFonts w:ascii="Arial" w:eastAsia="Times New Roman" w:hAnsi="Arial" w:cs="Arial"/>
          <w:lang w:val="en-GB" w:eastAsia="en-GB"/>
        </w:rPr>
        <w:lastRenderedPageBreak/>
        <w:t>sectors that must understand patients, communicate and guarantee medication safety first (</w:t>
      </w:r>
      <w:r w:rsidRPr="00F95CE5">
        <w:rPr>
          <w:rFonts w:ascii="Arial" w:eastAsia="Calibri" w:hAnsi="Arial" w:cs="Arial"/>
          <w:color w:val="222222"/>
          <w:kern w:val="2"/>
          <w:shd w:val="clear" w:color="auto" w:fill="FFFFFF"/>
          <w:lang w:val="en-GB"/>
          <w14:ligatures w14:val="standardContextual"/>
        </w:rPr>
        <w:t xml:space="preserve">Corner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2022).</w:t>
      </w:r>
    </w:p>
    <w:p w14:paraId="3EDF6CC3" w14:textId="7777777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49" w:name="_Toc235204133"/>
      <w:bookmarkStart w:id="50" w:name="_Toc235204385"/>
      <w:bookmarkStart w:id="51" w:name="_Toc235204785"/>
      <w:r w:rsidRPr="00C6397D">
        <w:rPr>
          <w:rFonts w:ascii="Arial" w:eastAsia="Times New Roman" w:hAnsi="Arial" w:cs="Arial"/>
          <w:b/>
          <w:bCs/>
          <w:color w:val="000000" w:themeColor="text1"/>
          <w:kern w:val="2"/>
          <w:lang w:val="en-GB" w:eastAsia="en-GB"/>
          <w14:ligatures w14:val="standardContextual"/>
        </w:rPr>
        <w:t>4.2 Transactional Leadership</w:t>
      </w:r>
      <w:bookmarkEnd w:id="49"/>
      <w:bookmarkEnd w:id="50"/>
      <w:bookmarkEnd w:id="51"/>
    </w:p>
    <w:p w14:paraId="1C5C58F3" w14:textId="7EC2FAEB"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Transactional leadership deals with performance control, adherence to rules and regulations, discipline and monitoring of a collection of operations. Managers who work with this model employ monitoring mechanisms, policies, rewards and corrective measures to make sure that organisational goals are met.</w:t>
      </w:r>
    </w:p>
    <w:p w14:paraId="1DCD14A2" w14:textId="77777777"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The application of clinical governance structures and regulations on patient safety makes it possible to implement transactional leadership in health organisations. Medication management procedures, controlled drug policies and prescribing guidelines reflect the concept of transactional leadership.</w:t>
      </w:r>
    </w:p>
    <w:p w14:paraId="5F9D40B9" w14:textId="6DD376DE"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In the case of Len, the transactional element of leadership was reflected in the current medication safety process and the current prescribing policies. The healthcare professionals had an expected standard to abide by </w:t>
      </w:r>
      <w:proofErr w:type="gramStart"/>
      <w:r w:rsidR="00F85AEC">
        <w:rPr>
          <w:rFonts w:ascii="Arial" w:eastAsia="Times New Roman" w:hAnsi="Arial" w:cs="Arial"/>
          <w:lang w:val="en-GB" w:eastAsia="en-GB"/>
        </w:rPr>
        <w:t>with regard</w:t>
      </w:r>
      <w:r w:rsidRPr="00F95CE5">
        <w:rPr>
          <w:rFonts w:ascii="Arial" w:eastAsia="Times New Roman" w:hAnsi="Arial" w:cs="Arial"/>
          <w:lang w:val="en-GB" w:eastAsia="en-GB"/>
        </w:rPr>
        <w:t xml:space="preserve"> to</w:t>
      </w:r>
      <w:proofErr w:type="gramEnd"/>
      <w:r w:rsidRPr="00F95CE5">
        <w:rPr>
          <w:rFonts w:ascii="Arial" w:eastAsia="Times New Roman" w:hAnsi="Arial" w:cs="Arial"/>
          <w:lang w:val="en-GB" w:eastAsia="en-GB"/>
        </w:rPr>
        <w:t xml:space="preserve"> prescription, dispensing and educating the patients about medicine.</w:t>
      </w:r>
    </w:p>
    <w:p w14:paraId="2EC8EA0D" w14:textId="5E4E97E6"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The key quality of transactional leadership is its stability. Open practices will diminish the degree of suspicion and allow accountability. Regular audits, incident reporting, and compliance monitoring </w:t>
      </w:r>
      <w:r w:rsidR="00F85AEC">
        <w:rPr>
          <w:rFonts w:ascii="Arial" w:eastAsia="Times New Roman" w:hAnsi="Arial" w:cs="Arial"/>
          <w:lang w:val="en-GB" w:eastAsia="en-GB"/>
        </w:rPr>
        <w:t>help</w:t>
      </w:r>
      <w:r w:rsidRPr="00F95CE5">
        <w:rPr>
          <w:rFonts w:ascii="Arial" w:eastAsia="Times New Roman" w:hAnsi="Arial" w:cs="Arial"/>
          <w:lang w:val="en-GB" w:eastAsia="en-GB"/>
        </w:rPr>
        <w:t xml:space="preserve"> organisations to identify safety issues and implement remedial actions towards the same.</w:t>
      </w:r>
    </w:p>
    <w:p w14:paraId="6CC7BD53" w14:textId="7777777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52" w:name="_Toc235204134"/>
      <w:bookmarkStart w:id="53" w:name="_Toc235204386"/>
      <w:bookmarkStart w:id="54" w:name="_Toc235204786"/>
      <w:r w:rsidRPr="00C6397D">
        <w:rPr>
          <w:rFonts w:ascii="Arial" w:eastAsia="Times New Roman" w:hAnsi="Arial" w:cs="Arial"/>
          <w:b/>
          <w:bCs/>
          <w:color w:val="000000" w:themeColor="text1"/>
          <w:kern w:val="2"/>
          <w:lang w:val="en-GB" w:eastAsia="en-GB"/>
          <w14:ligatures w14:val="standardContextual"/>
        </w:rPr>
        <w:t>4.3 Situational Leadership</w:t>
      </w:r>
      <w:bookmarkEnd w:id="52"/>
      <w:bookmarkEnd w:id="53"/>
      <w:bookmarkEnd w:id="54"/>
    </w:p>
    <w:p w14:paraId="45B719BB" w14:textId="0A70CB52"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The assumptions of situational leadership include that a leader should change the style according to the situation's needs, the group and organisational climate. Leaders do not have the same leadership style</w:t>
      </w:r>
      <w:r w:rsidR="00F85AEC">
        <w:rPr>
          <w:rFonts w:ascii="Arial" w:eastAsia="Times New Roman" w:hAnsi="Arial" w:cs="Arial"/>
          <w:lang w:val="en-GB" w:eastAsia="en-GB"/>
        </w:rPr>
        <w:t>;</w:t>
      </w:r>
      <w:r w:rsidRPr="00F95CE5">
        <w:rPr>
          <w:rFonts w:ascii="Arial" w:eastAsia="Times New Roman" w:hAnsi="Arial" w:cs="Arial"/>
          <w:lang w:val="en-GB" w:eastAsia="en-GB"/>
        </w:rPr>
        <w:t xml:space="preserve"> there is </w:t>
      </w:r>
      <w:r w:rsidR="00F85AEC">
        <w:rPr>
          <w:rFonts w:ascii="Arial" w:eastAsia="Times New Roman" w:hAnsi="Arial" w:cs="Arial"/>
          <w:lang w:val="en-GB" w:eastAsia="en-GB"/>
        </w:rPr>
        <w:t xml:space="preserve">an </w:t>
      </w:r>
      <w:r w:rsidRPr="00F95CE5">
        <w:rPr>
          <w:rFonts w:ascii="Arial" w:eastAsia="Times New Roman" w:hAnsi="Arial" w:cs="Arial"/>
          <w:lang w:val="en-GB" w:eastAsia="en-GB"/>
        </w:rPr>
        <w:t>emergence and change of behaviour by leaders in different circumstances.</w:t>
      </w:r>
    </w:p>
    <w:p w14:paraId="1C62E916" w14:textId="186AC512"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This situation renders situational leadership especially pertinent to healthcare sectors due to their complexity, uncertainty, and swiftly evolving conditions. There is diversity in leaders' responses to different situations. Transactional leadership can also be exercised in normal governance practice, but when it comes to patient safety, the leadership might be required to integrate both transformative and supportive leadership (</w:t>
      </w:r>
      <w:r w:rsidRPr="00F95CE5">
        <w:rPr>
          <w:rFonts w:ascii="Arial" w:eastAsia="Calibri" w:hAnsi="Arial" w:cs="Arial"/>
          <w:color w:val="222222"/>
          <w:kern w:val="2"/>
          <w:shd w:val="clear" w:color="auto" w:fill="FFFFFF"/>
          <w:lang w:val="en-GB"/>
          <w14:ligatures w14:val="standardContextual"/>
        </w:rPr>
        <w:t xml:space="preserve">Hodgkinson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2023).</w:t>
      </w:r>
    </w:p>
    <w:p w14:paraId="1994B5C7" w14:textId="59BA1768"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 xml:space="preserve">Situational leadership, as applied to the case of Len, would have helped the healthcare professionals to initiate the situation of a high level of vulnerability of an aged patient who is using a high-risk medication. Instead of implementing a prescriptive process, a few of them, </w:t>
      </w:r>
      <w:r w:rsidRPr="00F95CE5">
        <w:rPr>
          <w:rFonts w:ascii="Arial" w:eastAsia="Times New Roman" w:hAnsi="Arial" w:cs="Arial"/>
          <w:lang w:val="en-GB" w:eastAsia="en-GB"/>
        </w:rPr>
        <w:lastRenderedPageBreak/>
        <w:t>rather than implementing it, might have altered their communication patterns so that not only Len but also his wife could have received as much information about the dosage as they could.</w:t>
      </w:r>
    </w:p>
    <w:p w14:paraId="790E6363" w14:textId="77777777" w:rsidR="00E0036E"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The concepts of flexibility, adaptability and personalisation are encouraged by situational leadership. It also causes leaders to think of patient needs, staff ability and environmental setting and hence, reach the appropriate decision of intervention.</w:t>
      </w:r>
    </w:p>
    <w:tbl>
      <w:tblPr>
        <w:tblStyle w:val="TableGrid"/>
        <w:tblW w:w="0" w:type="auto"/>
        <w:tblLook w:val="04A0" w:firstRow="1" w:lastRow="0" w:firstColumn="1" w:lastColumn="0" w:noHBand="0" w:noVBand="1"/>
      </w:tblPr>
      <w:tblGrid>
        <w:gridCol w:w="3005"/>
        <w:gridCol w:w="3005"/>
        <w:gridCol w:w="3006"/>
      </w:tblGrid>
      <w:tr w:rsidR="00C00B7E" w14:paraId="0D8CD82F" w14:textId="77777777" w:rsidTr="0059501A">
        <w:tc>
          <w:tcPr>
            <w:tcW w:w="3005" w:type="dxa"/>
            <w:shd w:val="clear" w:color="auto" w:fill="C6D9F1" w:themeFill="text2" w:themeFillTint="33"/>
          </w:tcPr>
          <w:p w14:paraId="5C7450B1" w14:textId="0E9E325A" w:rsidR="00C00B7E" w:rsidRPr="0059501A" w:rsidRDefault="00C00B7E" w:rsidP="00E0036E">
            <w:pPr>
              <w:spacing w:before="240" w:after="160" w:line="360" w:lineRule="auto"/>
              <w:jc w:val="both"/>
              <w:rPr>
                <w:rFonts w:ascii="Arial" w:eastAsia="Times New Roman" w:hAnsi="Arial" w:cs="Arial"/>
                <w:b/>
                <w:bCs/>
                <w:lang w:val="en-GB" w:eastAsia="en-GB"/>
              </w:rPr>
            </w:pPr>
            <w:r w:rsidRPr="0059501A">
              <w:rPr>
                <w:rFonts w:ascii="Arial" w:eastAsia="Times New Roman" w:hAnsi="Arial" w:cs="Arial"/>
                <w:b/>
                <w:bCs/>
                <w:lang w:val="en-GB" w:eastAsia="en-GB"/>
              </w:rPr>
              <w:t>Style</w:t>
            </w:r>
          </w:p>
        </w:tc>
        <w:tc>
          <w:tcPr>
            <w:tcW w:w="3005" w:type="dxa"/>
            <w:shd w:val="clear" w:color="auto" w:fill="C6D9F1" w:themeFill="text2" w:themeFillTint="33"/>
          </w:tcPr>
          <w:p w14:paraId="75488AE3" w14:textId="29384FA3" w:rsidR="00C00B7E" w:rsidRPr="0059501A" w:rsidRDefault="00C00B7E" w:rsidP="00E0036E">
            <w:pPr>
              <w:spacing w:before="240" w:after="160" w:line="360" w:lineRule="auto"/>
              <w:jc w:val="both"/>
              <w:rPr>
                <w:rFonts w:ascii="Arial" w:eastAsia="Times New Roman" w:hAnsi="Arial" w:cs="Arial"/>
                <w:b/>
                <w:bCs/>
                <w:lang w:val="en-GB" w:eastAsia="en-GB"/>
              </w:rPr>
            </w:pPr>
            <w:r w:rsidRPr="0059501A">
              <w:rPr>
                <w:rFonts w:ascii="Arial" w:eastAsia="Times New Roman" w:hAnsi="Arial" w:cs="Arial"/>
                <w:b/>
                <w:bCs/>
                <w:lang w:val="en-GB" w:eastAsia="en-GB"/>
              </w:rPr>
              <w:t>Strength</w:t>
            </w:r>
          </w:p>
        </w:tc>
        <w:tc>
          <w:tcPr>
            <w:tcW w:w="3006" w:type="dxa"/>
            <w:shd w:val="clear" w:color="auto" w:fill="C6D9F1" w:themeFill="text2" w:themeFillTint="33"/>
          </w:tcPr>
          <w:p w14:paraId="7B051894" w14:textId="1ACBD273" w:rsidR="00C00B7E" w:rsidRPr="0059501A" w:rsidRDefault="00C00B7E" w:rsidP="00E0036E">
            <w:pPr>
              <w:spacing w:before="240" w:after="160" w:line="360" w:lineRule="auto"/>
              <w:jc w:val="both"/>
              <w:rPr>
                <w:rFonts w:ascii="Arial" w:eastAsia="Times New Roman" w:hAnsi="Arial" w:cs="Arial"/>
                <w:b/>
                <w:bCs/>
                <w:lang w:val="en-GB" w:eastAsia="en-GB"/>
              </w:rPr>
            </w:pPr>
            <w:r w:rsidRPr="0059501A">
              <w:rPr>
                <w:rFonts w:ascii="Arial" w:eastAsia="Times New Roman" w:hAnsi="Arial" w:cs="Arial"/>
                <w:b/>
                <w:bCs/>
                <w:lang w:val="en-GB" w:eastAsia="en-GB"/>
              </w:rPr>
              <w:t>Weakness</w:t>
            </w:r>
          </w:p>
        </w:tc>
      </w:tr>
      <w:tr w:rsidR="00C00B7E" w14:paraId="1B9A1A38" w14:textId="77777777" w:rsidTr="0059501A">
        <w:tc>
          <w:tcPr>
            <w:tcW w:w="3005" w:type="dxa"/>
            <w:shd w:val="clear" w:color="auto" w:fill="C6D9F1" w:themeFill="text2" w:themeFillTint="33"/>
          </w:tcPr>
          <w:p w14:paraId="6F4E44A2" w14:textId="37A5B4D4" w:rsidR="00C00B7E" w:rsidRDefault="00C00B7E" w:rsidP="00E0036E">
            <w:pPr>
              <w:spacing w:before="240" w:after="160" w:line="360" w:lineRule="auto"/>
              <w:jc w:val="both"/>
              <w:rPr>
                <w:rFonts w:ascii="Arial" w:eastAsia="Times New Roman" w:hAnsi="Arial" w:cs="Arial"/>
                <w:lang w:val="en-GB" w:eastAsia="en-GB"/>
              </w:rPr>
            </w:pPr>
            <w:r>
              <w:rPr>
                <w:rFonts w:ascii="Arial" w:eastAsia="Times New Roman" w:hAnsi="Arial" w:cs="Arial"/>
                <w:lang w:val="en-GB" w:eastAsia="en-GB"/>
              </w:rPr>
              <w:t>Transformational</w:t>
            </w:r>
          </w:p>
        </w:tc>
        <w:tc>
          <w:tcPr>
            <w:tcW w:w="3005" w:type="dxa"/>
          </w:tcPr>
          <w:p w14:paraId="28ABF895" w14:textId="309DB439" w:rsidR="00C00B7E" w:rsidRDefault="00C00B7E" w:rsidP="00E0036E">
            <w:pPr>
              <w:spacing w:before="240" w:after="160" w:line="360" w:lineRule="auto"/>
              <w:jc w:val="both"/>
              <w:rPr>
                <w:rFonts w:ascii="Arial" w:eastAsia="Times New Roman" w:hAnsi="Arial" w:cs="Arial"/>
                <w:lang w:val="en-GB" w:eastAsia="en-GB"/>
              </w:rPr>
            </w:pPr>
            <w:r>
              <w:rPr>
                <w:rFonts w:ascii="Arial" w:eastAsia="Times New Roman" w:hAnsi="Arial" w:cs="Arial"/>
                <w:lang w:val="en-GB" w:eastAsia="en-GB"/>
              </w:rPr>
              <w:t>Innovation</w:t>
            </w:r>
          </w:p>
        </w:tc>
        <w:tc>
          <w:tcPr>
            <w:tcW w:w="3006" w:type="dxa"/>
            <w:shd w:val="clear" w:color="auto" w:fill="C6D9F1" w:themeFill="text2" w:themeFillTint="33"/>
          </w:tcPr>
          <w:p w14:paraId="686C3E2C" w14:textId="0BAC7C73" w:rsidR="00C00B7E" w:rsidRDefault="00C00B7E" w:rsidP="00E0036E">
            <w:pPr>
              <w:spacing w:before="240" w:after="160" w:line="360" w:lineRule="auto"/>
              <w:jc w:val="both"/>
              <w:rPr>
                <w:rFonts w:ascii="Arial" w:eastAsia="Times New Roman" w:hAnsi="Arial" w:cs="Arial"/>
                <w:lang w:val="en-GB" w:eastAsia="en-GB"/>
              </w:rPr>
            </w:pPr>
            <w:r>
              <w:rPr>
                <w:rFonts w:ascii="Arial" w:eastAsia="Times New Roman" w:hAnsi="Arial" w:cs="Arial"/>
                <w:lang w:val="en-GB" w:eastAsia="en-GB"/>
              </w:rPr>
              <w:t>Time consuming</w:t>
            </w:r>
          </w:p>
        </w:tc>
      </w:tr>
      <w:tr w:rsidR="00C00B7E" w14:paraId="29FFC455" w14:textId="77777777" w:rsidTr="0059501A">
        <w:tc>
          <w:tcPr>
            <w:tcW w:w="3005" w:type="dxa"/>
            <w:shd w:val="clear" w:color="auto" w:fill="C6D9F1" w:themeFill="text2" w:themeFillTint="33"/>
          </w:tcPr>
          <w:p w14:paraId="01EC8FF8" w14:textId="3A013938" w:rsidR="00C00B7E" w:rsidRDefault="00C00B7E" w:rsidP="00E0036E">
            <w:pPr>
              <w:spacing w:before="240" w:after="160" w:line="360" w:lineRule="auto"/>
              <w:jc w:val="both"/>
              <w:rPr>
                <w:rFonts w:ascii="Arial" w:eastAsia="Times New Roman" w:hAnsi="Arial" w:cs="Arial"/>
                <w:lang w:val="en-GB" w:eastAsia="en-GB"/>
              </w:rPr>
            </w:pPr>
            <w:r>
              <w:rPr>
                <w:rFonts w:ascii="Arial" w:eastAsia="Times New Roman" w:hAnsi="Arial" w:cs="Arial"/>
                <w:lang w:val="en-GB" w:eastAsia="en-GB"/>
              </w:rPr>
              <w:t>Transactional</w:t>
            </w:r>
          </w:p>
        </w:tc>
        <w:tc>
          <w:tcPr>
            <w:tcW w:w="3005" w:type="dxa"/>
            <w:shd w:val="clear" w:color="auto" w:fill="C6D9F1" w:themeFill="text2" w:themeFillTint="33"/>
          </w:tcPr>
          <w:p w14:paraId="6B5BC45B" w14:textId="1EDFE477" w:rsidR="00C00B7E" w:rsidRDefault="00C00B7E" w:rsidP="00E0036E">
            <w:pPr>
              <w:spacing w:before="240" w:after="160" w:line="360" w:lineRule="auto"/>
              <w:jc w:val="both"/>
              <w:rPr>
                <w:rFonts w:ascii="Arial" w:eastAsia="Times New Roman" w:hAnsi="Arial" w:cs="Arial"/>
                <w:lang w:val="en-GB" w:eastAsia="en-GB"/>
              </w:rPr>
            </w:pPr>
            <w:r>
              <w:rPr>
                <w:rFonts w:ascii="Arial" w:eastAsia="Times New Roman" w:hAnsi="Arial" w:cs="Arial"/>
                <w:lang w:val="en-GB" w:eastAsia="en-GB"/>
              </w:rPr>
              <w:t>Compliance</w:t>
            </w:r>
          </w:p>
        </w:tc>
        <w:tc>
          <w:tcPr>
            <w:tcW w:w="3006" w:type="dxa"/>
            <w:shd w:val="clear" w:color="auto" w:fill="C6D9F1" w:themeFill="text2" w:themeFillTint="33"/>
          </w:tcPr>
          <w:p w14:paraId="3A88B7CB" w14:textId="15A916F5" w:rsidR="00C00B7E" w:rsidRDefault="00C00B7E" w:rsidP="00E0036E">
            <w:pPr>
              <w:spacing w:before="240" w:after="160" w:line="360" w:lineRule="auto"/>
              <w:jc w:val="both"/>
              <w:rPr>
                <w:rFonts w:ascii="Arial" w:eastAsia="Times New Roman" w:hAnsi="Arial" w:cs="Arial"/>
                <w:lang w:val="en-GB" w:eastAsia="en-GB"/>
              </w:rPr>
            </w:pPr>
            <w:r>
              <w:rPr>
                <w:rFonts w:ascii="Arial" w:eastAsia="Times New Roman" w:hAnsi="Arial" w:cs="Arial"/>
                <w:lang w:val="en-GB" w:eastAsia="en-GB"/>
              </w:rPr>
              <w:t>Reactive</w:t>
            </w:r>
          </w:p>
        </w:tc>
      </w:tr>
      <w:tr w:rsidR="00C00B7E" w14:paraId="09C6F39D" w14:textId="77777777" w:rsidTr="0059501A">
        <w:tc>
          <w:tcPr>
            <w:tcW w:w="3005" w:type="dxa"/>
            <w:shd w:val="clear" w:color="auto" w:fill="C6D9F1" w:themeFill="text2" w:themeFillTint="33"/>
          </w:tcPr>
          <w:p w14:paraId="541BC5B2" w14:textId="312ECB19" w:rsidR="00C00B7E" w:rsidRDefault="00C00B7E" w:rsidP="00E0036E">
            <w:pPr>
              <w:spacing w:before="240" w:after="160" w:line="360" w:lineRule="auto"/>
              <w:jc w:val="both"/>
              <w:rPr>
                <w:rFonts w:ascii="Arial" w:eastAsia="Times New Roman" w:hAnsi="Arial" w:cs="Arial"/>
                <w:lang w:val="en-GB" w:eastAsia="en-GB"/>
              </w:rPr>
            </w:pPr>
            <w:r>
              <w:rPr>
                <w:rFonts w:ascii="Arial" w:eastAsia="Times New Roman" w:hAnsi="Arial" w:cs="Arial"/>
                <w:lang w:val="en-GB" w:eastAsia="en-GB"/>
              </w:rPr>
              <w:t>Situational</w:t>
            </w:r>
          </w:p>
        </w:tc>
        <w:tc>
          <w:tcPr>
            <w:tcW w:w="3005" w:type="dxa"/>
          </w:tcPr>
          <w:p w14:paraId="487C2F2E" w14:textId="19DD13E7" w:rsidR="00C00B7E" w:rsidRDefault="00C00B7E" w:rsidP="00E0036E">
            <w:pPr>
              <w:spacing w:before="240" w:after="160" w:line="360" w:lineRule="auto"/>
              <w:jc w:val="both"/>
              <w:rPr>
                <w:rFonts w:ascii="Arial" w:eastAsia="Times New Roman" w:hAnsi="Arial" w:cs="Arial"/>
                <w:lang w:val="en-GB" w:eastAsia="en-GB"/>
              </w:rPr>
            </w:pPr>
            <w:r>
              <w:rPr>
                <w:rFonts w:ascii="Arial" w:eastAsia="Times New Roman" w:hAnsi="Arial" w:cs="Arial"/>
                <w:lang w:val="en-GB" w:eastAsia="en-GB"/>
              </w:rPr>
              <w:t>Flexible</w:t>
            </w:r>
          </w:p>
        </w:tc>
        <w:tc>
          <w:tcPr>
            <w:tcW w:w="3006" w:type="dxa"/>
            <w:shd w:val="clear" w:color="auto" w:fill="C6D9F1" w:themeFill="text2" w:themeFillTint="33"/>
          </w:tcPr>
          <w:p w14:paraId="5F2AD8AB" w14:textId="5C32419D" w:rsidR="00C00B7E" w:rsidRDefault="0059501A" w:rsidP="00E0036E">
            <w:pPr>
              <w:spacing w:before="240" w:after="160" w:line="360" w:lineRule="auto"/>
              <w:jc w:val="both"/>
              <w:rPr>
                <w:rFonts w:ascii="Arial" w:eastAsia="Times New Roman" w:hAnsi="Arial" w:cs="Arial"/>
                <w:lang w:val="en-GB" w:eastAsia="en-GB"/>
              </w:rPr>
            </w:pPr>
            <w:r>
              <w:rPr>
                <w:rFonts w:ascii="Arial" w:eastAsia="Times New Roman" w:hAnsi="Arial" w:cs="Arial"/>
                <w:lang w:val="en-GB" w:eastAsia="en-GB"/>
              </w:rPr>
              <w:t>Inconsistent</w:t>
            </w:r>
          </w:p>
        </w:tc>
      </w:tr>
    </w:tbl>
    <w:p w14:paraId="32336157" w14:textId="77777777" w:rsidR="00C00B7E" w:rsidRPr="00F95CE5" w:rsidRDefault="00C00B7E" w:rsidP="00E0036E">
      <w:pPr>
        <w:spacing w:before="240" w:after="160" w:line="360" w:lineRule="auto"/>
        <w:jc w:val="both"/>
        <w:rPr>
          <w:rFonts w:ascii="Arial" w:eastAsia="Times New Roman" w:hAnsi="Arial" w:cs="Arial"/>
          <w:lang w:val="en-GB" w:eastAsia="en-GB"/>
        </w:rPr>
      </w:pPr>
    </w:p>
    <w:p w14:paraId="3807D3D6" w14:textId="7777777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eastAsia="en-GB"/>
          <w14:ligatures w14:val="standardContextual"/>
        </w:rPr>
      </w:pPr>
      <w:bookmarkStart w:id="55" w:name="_Toc235204135"/>
      <w:bookmarkStart w:id="56" w:name="_Toc235204387"/>
      <w:bookmarkStart w:id="57" w:name="_Toc235204787"/>
      <w:r w:rsidRPr="00C6397D">
        <w:rPr>
          <w:rFonts w:ascii="Arial" w:eastAsia="Times New Roman" w:hAnsi="Arial" w:cs="Arial"/>
          <w:b/>
          <w:bCs/>
          <w:color w:val="000000" w:themeColor="text1"/>
          <w:kern w:val="2"/>
          <w:lang w:val="en-GB" w:eastAsia="en-GB"/>
          <w14:ligatures w14:val="standardContextual"/>
        </w:rPr>
        <w:t>4.4 Effectiveness Checklist in Leadership.</w:t>
      </w:r>
      <w:bookmarkEnd w:id="55"/>
      <w:bookmarkEnd w:id="56"/>
      <w:bookmarkEnd w:id="57"/>
    </w:p>
    <w:p w14:paraId="1F5690C9" w14:textId="77777777" w:rsidR="00E0036E" w:rsidRPr="00F95CE5" w:rsidRDefault="00E0036E" w:rsidP="00E0036E">
      <w:pPr>
        <w:spacing w:before="240" w:after="160" w:line="360" w:lineRule="auto"/>
        <w:jc w:val="both"/>
        <w:rPr>
          <w:rFonts w:ascii="Arial" w:eastAsia="Times New Roman" w:hAnsi="Arial" w:cs="Arial"/>
          <w:lang w:val="en-GB" w:eastAsia="en-GB"/>
        </w:rPr>
      </w:pPr>
      <w:r w:rsidRPr="00F95CE5">
        <w:rPr>
          <w:rFonts w:ascii="Arial" w:eastAsia="Times New Roman" w:hAnsi="Arial" w:cs="Arial"/>
          <w:lang w:val="en-GB" w:eastAsia="en-GB"/>
        </w:rPr>
        <w:t>As in the case of Len, the healthcare system was found to be more responsive than proactive to problems. The governance systems that were in place reacted to the incident by investigating and learning, but there was no preventative system since there were no adequate systems that would be used to detect any threatening factor about communication prior to causing damage.</w:t>
      </w:r>
    </w:p>
    <w:p w14:paraId="56FD32E7" w14:textId="77777777" w:rsidR="00E0036E" w:rsidRPr="00F95CE5" w:rsidRDefault="00E0036E" w:rsidP="00E0036E">
      <w:pPr>
        <w:spacing w:before="240" w:after="160" w:line="360" w:lineRule="auto"/>
        <w:jc w:val="both"/>
        <w:rPr>
          <w:rFonts w:ascii="Arial" w:eastAsia="Calibri" w:hAnsi="Arial" w:cs="Arial"/>
          <w:color w:val="222222"/>
          <w:kern w:val="2"/>
          <w:shd w:val="clear" w:color="auto" w:fill="FFFFFF"/>
          <w:lang w:val="en-GB"/>
          <w14:ligatures w14:val="standardContextual"/>
        </w:rPr>
      </w:pPr>
      <w:r w:rsidRPr="00F95CE5">
        <w:rPr>
          <w:rFonts w:ascii="Arial" w:eastAsia="Times New Roman" w:hAnsi="Arial" w:cs="Arial"/>
          <w:lang w:val="en-GB" w:eastAsia="en-GB"/>
        </w:rPr>
        <w:t>Patient-centred communication, medication safety education and risk assessment would have been prioritised using an active leadership style before the administration of the medication. Transformational leadership principles would have helped to uphold the safety culture, and situational leadership would have provided flexibility to address the vulnerabilities that are patient-specific (</w:t>
      </w:r>
      <w:r w:rsidRPr="00F95CE5">
        <w:rPr>
          <w:rFonts w:ascii="Arial" w:eastAsia="Calibri" w:hAnsi="Arial" w:cs="Arial"/>
          <w:color w:val="222222"/>
          <w:kern w:val="2"/>
          <w:shd w:val="clear" w:color="auto" w:fill="FFFFFF"/>
          <w:lang w:val="en-GB"/>
          <w14:ligatures w14:val="standardContextual"/>
        </w:rPr>
        <w:t xml:space="preserve">Ayre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2024).</w:t>
      </w:r>
    </w:p>
    <w:p w14:paraId="5DBE7621" w14:textId="77777777" w:rsidR="007109F6" w:rsidRPr="00F95CE5" w:rsidRDefault="007109F6">
      <w:pPr>
        <w:rPr>
          <w:rFonts w:ascii="Arial" w:eastAsia="Times New Roman" w:hAnsi="Arial" w:cs="Arial"/>
          <w:b/>
          <w:bCs/>
          <w:color w:val="2F5496"/>
          <w:kern w:val="2"/>
          <w:lang w:val="en-GB"/>
          <w14:ligatures w14:val="standardContextual"/>
        </w:rPr>
      </w:pPr>
      <w:bookmarkStart w:id="58" w:name="_Toc233119320"/>
      <w:r w:rsidRPr="00F95CE5">
        <w:rPr>
          <w:rFonts w:ascii="Arial" w:eastAsia="Times New Roman" w:hAnsi="Arial" w:cs="Arial"/>
          <w:b/>
          <w:bCs/>
          <w:color w:val="2F5496"/>
          <w:kern w:val="2"/>
          <w:lang w:val="en-GB"/>
          <w14:ligatures w14:val="standardContextual"/>
        </w:rPr>
        <w:br w:type="page"/>
      </w:r>
    </w:p>
    <w:p w14:paraId="4A96B77C" w14:textId="3B4917CE" w:rsidR="00E0036E" w:rsidRPr="00C6397D" w:rsidRDefault="00E0036E" w:rsidP="00E0036E">
      <w:pPr>
        <w:spacing w:before="240" w:after="160" w:line="360" w:lineRule="auto"/>
        <w:jc w:val="both"/>
        <w:rPr>
          <w:rFonts w:ascii="Arial" w:eastAsia="Times New Roman" w:hAnsi="Arial" w:cs="Arial"/>
          <w:color w:val="000000" w:themeColor="text1"/>
          <w:lang w:val="en-GB" w:eastAsia="en-GB"/>
        </w:rPr>
      </w:pPr>
      <w:r w:rsidRPr="00C6397D">
        <w:rPr>
          <w:rFonts w:ascii="Arial" w:eastAsia="Times New Roman" w:hAnsi="Arial" w:cs="Arial"/>
          <w:b/>
          <w:bCs/>
          <w:color w:val="000000" w:themeColor="text1"/>
          <w:kern w:val="2"/>
          <w:lang w:val="en-GB"/>
          <w14:ligatures w14:val="standardContextual"/>
        </w:rPr>
        <w:lastRenderedPageBreak/>
        <w:t>5.</w:t>
      </w:r>
      <w:r w:rsidR="003878FA" w:rsidRPr="00C6397D">
        <w:rPr>
          <w:rFonts w:ascii="Arial" w:eastAsia="Times New Roman" w:hAnsi="Arial" w:cs="Arial"/>
          <w:b/>
          <w:bCs/>
          <w:color w:val="000000" w:themeColor="text1"/>
          <w:kern w:val="2"/>
          <w:lang w:val="en-GB"/>
          <w14:ligatures w14:val="standardContextual"/>
        </w:rPr>
        <w:t xml:space="preserve"> </w:t>
      </w:r>
      <w:r w:rsidRPr="00C6397D">
        <w:rPr>
          <w:rFonts w:ascii="Arial" w:eastAsia="Times New Roman" w:hAnsi="Arial" w:cs="Arial"/>
          <w:b/>
          <w:bCs/>
          <w:color w:val="000000" w:themeColor="text1"/>
          <w:kern w:val="2"/>
          <w:lang w:val="en-GB"/>
          <w14:ligatures w14:val="standardContextual"/>
        </w:rPr>
        <w:t>Improvement and Lessons Learned</w:t>
      </w:r>
      <w:bookmarkEnd w:id="58"/>
    </w:p>
    <w:p w14:paraId="1309FBA6" w14:textId="26A52A04"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The case of a situation where Len </w:t>
      </w:r>
      <w:r w:rsidR="003878FA">
        <w:rPr>
          <w:rFonts w:ascii="Arial" w:eastAsia="Calibri" w:hAnsi="Arial" w:cs="Arial"/>
          <w:kern w:val="2"/>
          <w:lang w:val="en-GB"/>
          <w14:ligatures w14:val="standardContextual"/>
        </w:rPr>
        <w:t>accidentally overdosed</w:t>
      </w:r>
      <w:r w:rsidRPr="00F95CE5">
        <w:rPr>
          <w:rFonts w:ascii="Arial" w:eastAsia="Calibri" w:hAnsi="Arial" w:cs="Arial"/>
          <w:kern w:val="2"/>
          <w:lang w:val="en-GB"/>
          <w14:ligatures w14:val="standardContextual"/>
        </w:rPr>
        <w:t xml:space="preserve"> on morphine directly to the point of adverse patient outcomes can help highlight how the impact of </w:t>
      </w:r>
      <w:r w:rsidR="00047E01">
        <w:rPr>
          <w:rFonts w:ascii="Arial" w:eastAsia="Calibri" w:hAnsi="Arial" w:cs="Arial"/>
          <w:kern w:val="2"/>
          <w:lang w:val="en-GB"/>
          <w14:ligatures w14:val="standardContextual"/>
        </w:rPr>
        <w:t xml:space="preserve">the </w:t>
      </w:r>
      <w:r w:rsidRPr="00F95CE5">
        <w:rPr>
          <w:rFonts w:ascii="Arial" w:eastAsia="Calibri" w:hAnsi="Arial" w:cs="Arial"/>
          <w:kern w:val="2"/>
          <w:lang w:val="en-GB"/>
          <w14:ligatures w14:val="standardContextual"/>
        </w:rPr>
        <w:t xml:space="preserve">failure of a system, or a cascading chain of system failures, </w:t>
      </w:r>
      <w:r w:rsidR="003878FA">
        <w:rPr>
          <w:rFonts w:ascii="Arial" w:eastAsia="Calibri" w:hAnsi="Arial" w:cs="Arial"/>
          <w:kern w:val="2"/>
          <w:lang w:val="en-GB"/>
          <w14:ligatures w14:val="standardContextual"/>
        </w:rPr>
        <w:t>is</w:t>
      </w:r>
      <w:r w:rsidRPr="00F95CE5">
        <w:rPr>
          <w:rFonts w:ascii="Arial" w:eastAsia="Calibri" w:hAnsi="Arial" w:cs="Arial"/>
          <w:kern w:val="2"/>
          <w:lang w:val="en-GB"/>
          <w14:ligatures w14:val="standardContextual"/>
        </w:rPr>
        <w:t xml:space="preserve"> likely to be felt only </w:t>
      </w:r>
      <w:r w:rsidR="003878FA">
        <w:rPr>
          <w:rFonts w:ascii="Arial" w:eastAsia="Calibri" w:hAnsi="Arial" w:cs="Arial"/>
          <w:kern w:val="2"/>
          <w:lang w:val="en-GB"/>
          <w14:ligatures w14:val="standardContextual"/>
        </w:rPr>
        <w:t>as</w:t>
      </w:r>
      <w:r w:rsidRPr="00F95CE5">
        <w:rPr>
          <w:rFonts w:ascii="Arial" w:eastAsia="Calibri" w:hAnsi="Arial" w:cs="Arial"/>
          <w:kern w:val="2"/>
          <w:lang w:val="en-GB"/>
          <w14:ligatures w14:val="standardContextual"/>
        </w:rPr>
        <w:t xml:space="preserve"> adverse effects on a patient. Communication, leadership, governance, medication safety processes and organisational learning </w:t>
      </w:r>
      <w:r w:rsidR="003878FA">
        <w:rPr>
          <w:rFonts w:ascii="Arial" w:eastAsia="Calibri" w:hAnsi="Arial" w:cs="Arial"/>
          <w:kern w:val="2"/>
          <w:lang w:val="en-GB"/>
          <w14:ligatures w14:val="standardContextual"/>
        </w:rPr>
        <w:t>weaknesses</w:t>
      </w:r>
      <w:r w:rsidRPr="00F95CE5">
        <w:rPr>
          <w:rFonts w:ascii="Arial" w:eastAsia="Calibri" w:hAnsi="Arial" w:cs="Arial"/>
          <w:kern w:val="2"/>
          <w:lang w:val="en-GB"/>
          <w14:ligatures w14:val="standardContextual"/>
        </w:rPr>
        <w:t xml:space="preserve"> have been detected by the Healthcare Safety Investigation Branch (HSSIB) investigation. We can discuss the situation within the framework of </w:t>
      </w:r>
      <w:r w:rsidR="003878FA">
        <w:rPr>
          <w:rFonts w:ascii="Arial" w:eastAsia="Calibri" w:hAnsi="Arial" w:cs="Arial"/>
          <w:kern w:val="2"/>
          <w:lang w:val="en-GB"/>
          <w14:ligatures w14:val="standardContextual"/>
        </w:rPr>
        <w:t>systems</w:t>
      </w:r>
      <w:r w:rsidRPr="00F95CE5">
        <w:rPr>
          <w:rFonts w:ascii="Arial" w:eastAsia="Calibri" w:hAnsi="Arial" w:cs="Arial"/>
          <w:kern w:val="2"/>
          <w:lang w:val="en-GB"/>
          <w14:ligatures w14:val="standardContextual"/>
        </w:rPr>
        <w:t xml:space="preserve"> thinking</w:t>
      </w:r>
      <w:r w:rsidR="003878FA">
        <w:rPr>
          <w:rFonts w:ascii="Arial" w:eastAsia="Calibri" w:hAnsi="Arial" w:cs="Arial"/>
          <w:kern w:val="2"/>
          <w:lang w:val="en-GB"/>
          <w14:ligatures w14:val="standardContextual"/>
        </w:rPr>
        <w:t>,</w:t>
      </w:r>
      <w:r w:rsidRPr="00F95CE5">
        <w:rPr>
          <w:rFonts w:ascii="Arial" w:eastAsia="Calibri" w:hAnsi="Arial" w:cs="Arial"/>
          <w:kern w:val="2"/>
          <w:lang w:val="en-GB"/>
          <w14:ligatures w14:val="standardContextual"/>
        </w:rPr>
        <w:t xml:space="preserve"> in which system-wide failures of the healthcare system on multiple levels influenced each other, resulting in the outcome of the situation that could have been avoided. Thus, a critical assessment of these shortcomings offers good lessons to enhance patient safety in health and social care organisations (</w:t>
      </w:r>
      <w:r w:rsidRPr="00F95CE5">
        <w:rPr>
          <w:rFonts w:ascii="Arial" w:eastAsia="Calibri" w:hAnsi="Arial" w:cs="Arial"/>
          <w:color w:val="222222"/>
          <w:kern w:val="2"/>
          <w:shd w:val="clear" w:color="auto" w:fill="FFFFFF"/>
          <w:lang w:val="en-GB"/>
          <w14:ligatures w14:val="standardContextual"/>
        </w:rPr>
        <w:t xml:space="preserve">Ramsey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2025).</w:t>
      </w:r>
    </w:p>
    <w:p w14:paraId="0107BC7E" w14:textId="7777777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14:ligatures w14:val="standardContextual"/>
        </w:rPr>
      </w:pPr>
      <w:bookmarkStart w:id="59" w:name="_Toc235204136"/>
      <w:bookmarkStart w:id="60" w:name="_Toc235204388"/>
      <w:bookmarkStart w:id="61" w:name="_Toc235204788"/>
      <w:r w:rsidRPr="00C6397D">
        <w:rPr>
          <w:rFonts w:ascii="Arial" w:eastAsia="Times New Roman" w:hAnsi="Arial" w:cs="Arial"/>
          <w:b/>
          <w:bCs/>
          <w:color w:val="000000" w:themeColor="text1"/>
          <w:kern w:val="2"/>
          <w:lang w:val="en-GB"/>
          <w14:ligatures w14:val="standardContextual"/>
        </w:rPr>
        <w:t>5.1 Breakdown of Information and understandability by patients.</w:t>
      </w:r>
      <w:bookmarkEnd w:id="59"/>
      <w:bookmarkEnd w:id="60"/>
      <w:bookmarkEnd w:id="61"/>
    </w:p>
    <w:p w14:paraId="20D6CF32" w14:textId="43C8BC59"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The misunderstanding of the dosage of morphine by Len and his wife was among the biggest causes that contributed to the incident. Health care providers administered them with some medication</w:t>
      </w:r>
      <w:r w:rsidR="00F85AEC">
        <w:rPr>
          <w:rFonts w:ascii="Arial" w:eastAsia="Calibri" w:hAnsi="Arial" w:cs="Arial"/>
          <w:kern w:val="2"/>
          <w:lang w:val="en-GB"/>
          <w14:ligatures w14:val="standardContextual"/>
        </w:rPr>
        <w:t>,</w:t>
      </w:r>
      <w:r w:rsidRPr="00F95CE5">
        <w:rPr>
          <w:rFonts w:ascii="Arial" w:eastAsia="Calibri" w:hAnsi="Arial" w:cs="Arial"/>
          <w:kern w:val="2"/>
          <w:lang w:val="en-GB"/>
          <w14:ligatures w14:val="standardContextual"/>
        </w:rPr>
        <w:t xml:space="preserve"> but they failed to read the </w:t>
      </w:r>
      <w:r w:rsidR="00F85AEC">
        <w:rPr>
          <w:rFonts w:ascii="Arial" w:eastAsia="Calibri" w:hAnsi="Arial" w:cs="Arial"/>
          <w:kern w:val="2"/>
          <w:lang w:val="en-GB"/>
          <w14:ligatures w14:val="standardContextual"/>
        </w:rPr>
        <w:t>label's</w:t>
      </w:r>
      <w:r w:rsidRPr="00F95CE5">
        <w:rPr>
          <w:rFonts w:ascii="Arial" w:eastAsia="Calibri" w:hAnsi="Arial" w:cs="Arial"/>
          <w:kern w:val="2"/>
          <w:lang w:val="en-GB"/>
          <w14:ligatures w14:val="standardContextual"/>
        </w:rPr>
        <w:t xml:space="preserve"> instructions and administered a much higher dosage than that prescribed. This testifies to the critical communication problem between the patient and healthcare providers.</w:t>
      </w:r>
    </w:p>
    <w:p w14:paraId="6BD76517" w14:textId="0CC9A7B9"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It is a fact that there </w:t>
      </w:r>
      <w:r w:rsidR="00F85AEC">
        <w:rPr>
          <w:rFonts w:ascii="Arial" w:eastAsia="Calibri" w:hAnsi="Arial" w:cs="Arial"/>
          <w:kern w:val="2"/>
          <w:lang w:val="en-GB"/>
          <w14:ligatures w14:val="standardContextual"/>
        </w:rPr>
        <w:t>is</w:t>
      </w:r>
      <w:r w:rsidRPr="00F95CE5">
        <w:rPr>
          <w:rFonts w:ascii="Arial" w:eastAsia="Calibri" w:hAnsi="Arial" w:cs="Arial"/>
          <w:kern w:val="2"/>
          <w:lang w:val="en-GB"/>
          <w14:ligatures w14:val="standardContextual"/>
        </w:rPr>
        <w:t xml:space="preserve"> at least one dead </w:t>
      </w:r>
      <w:r w:rsidR="00F85AEC">
        <w:rPr>
          <w:rFonts w:ascii="Arial" w:eastAsia="Calibri" w:hAnsi="Arial" w:cs="Arial"/>
          <w:kern w:val="2"/>
          <w:lang w:val="en-GB"/>
          <w14:ligatures w14:val="standardContextual"/>
        </w:rPr>
        <w:t>patient</w:t>
      </w:r>
      <w:r w:rsidRPr="00F95CE5">
        <w:rPr>
          <w:rFonts w:ascii="Arial" w:eastAsia="Calibri" w:hAnsi="Arial" w:cs="Arial"/>
          <w:kern w:val="2"/>
          <w:lang w:val="en-GB"/>
          <w14:ligatures w14:val="standardContextual"/>
        </w:rPr>
        <w:t xml:space="preserve"> daily due to medication errors, and the </w:t>
      </w:r>
      <w:r w:rsidR="00F85AEC">
        <w:rPr>
          <w:rFonts w:ascii="Arial" w:eastAsia="Calibri" w:hAnsi="Arial" w:cs="Arial"/>
          <w:kern w:val="2"/>
          <w:lang w:val="en-GB"/>
          <w14:ligatures w14:val="standardContextual"/>
        </w:rPr>
        <w:t>number</w:t>
      </w:r>
      <w:r w:rsidRPr="00F95CE5">
        <w:rPr>
          <w:rFonts w:ascii="Arial" w:eastAsia="Calibri" w:hAnsi="Arial" w:cs="Arial"/>
          <w:kern w:val="2"/>
          <w:lang w:val="en-GB"/>
          <w14:ligatures w14:val="standardContextual"/>
        </w:rPr>
        <w:t xml:space="preserve"> of injured patients is at least millions every year all over the globe</w:t>
      </w:r>
      <w:r w:rsidR="00F85AEC">
        <w:rPr>
          <w:rFonts w:ascii="Arial" w:eastAsia="Calibri" w:hAnsi="Arial" w:cs="Arial"/>
          <w:kern w:val="2"/>
          <w:lang w:val="en-GB"/>
          <w14:ligatures w14:val="standardContextual"/>
        </w:rPr>
        <w:t>,</w:t>
      </w:r>
      <w:r w:rsidRPr="00F95CE5">
        <w:rPr>
          <w:rFonts w:ascii="Arial" w:eastAsia="Calibri" w:hAnsi="Arial" w:cs="Arial"/>
          <w:kern w:val="2"/>
          <w:lang w:val="en-GB"/>
          <w14:ligatures w14:val="standardContextual"/>
        </w:rPr>
        <w:t xml:space="preserve"> according to the estimates of the World Health </w:t>
      </w:r>
      <w:r w:rsidR="00F85AEC">
        <w:rPr>
          <w:rFonts w:ascii="Arial" w:eastAsia="Calibri" w:hAnsi="Arial" w:cs="Arial"/>
          <w:kern w:val="2"/>
          <w:lang w:val="en-GB"/>
          <w14:ligatures w14:val="standardContextual"/>
        </w:rPr>
        <w:t>Organisation</w:t>
      </w:r>
      <w:r w:rsidRPr="00F95CE5">
        <w:rPr>
          <w:rFonts w:ascii="Arial" w:eastAsia="Calibri" w:hAnsi="Arial" w:cs="Arial"/>
          <w:kern w:val="2"/>
          <w:lang w:val="en-GB"/>
          <w14:ligatures w14:val="standardContextual"/>
        </w:rPr>
        <w:t xml:space="preserve"> (WHO, 2024). In addition, approximately US 42 billion of the world economy is the cost of the medicine-related injuries per year. Such statistics suggest that medication safety is an area of considerable concern in healthcare globally (</w:t>
      </w:r>
      <w:r w:rsidRPr="00F95CE5">
        <w:rPr>
          <w:rFonts w:ascii="Arial" w:eastAsia="Calibri" w:hAnsi="Arial" w:cs="Arial"/>
          <w:color w:val="222222"/>
          <w:kern w:val="2"/>
          <w:shd w:val="clear" w:color="auto" w:fill="FFFFFF"/>
          <w:lang w:val="en-GB"/>
          <w14:ligatures w14:val="standardContextual"/>
        </w:rPr>
        <w:t xml:space="preserve">Mak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2024).</w:t>
      </w:r>
    </w:p>
    <w:p w14:paraId="414E03FA" w14:textId="4D79E39B"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It can be termed as a disjunction between compliance and patient care outcomes. The organisation was operating with the procedures without a proper evaluation </w:t>
      </w:r>
      <w:r w:rsidR="00F85AEC">
        <w:rPr>
          <w:rFonts w:ascii="Arial" w:eastAsia="Calibri" w:hAnsi="Arial" w:cs="Arial"/>
          <w:kern w:val="2"/>
          <w:lang w:val="en-GB"/>
          <w14:ligatures w14:val="standardContextual"/>
        </w:rPr>
        <w:t xml:space="preserve">of </w:t>
      </w:r>
      <w:r w:rsidRPr="00F95CE5">
        <w:rPr>
          <w:rFonts w:ascii="Arial" w:eastAsia="Calibri" w:hAnsi="Arial" w:cs="Arial"/>
          <w:kern w:val="2"/>
          <w:lang w:val="en-GB"/>
          <w14:ligatures w14:val="standardContextual"/>
        </w:rPr>
        <w:t>whether it was fulfilling its intended purpose or not (</w:t>
      </w:r>
      <w:r w:rsidRPr="00F95CE5">
        <w:rPr>
          <w:rFonts w:ascii="Arial" w:eastAsia="Calibri" w:hAnsi="Arial" w:cs="Arial"/>
          <w:color w:val="222222"/>
          <w:kern w:val="2"/>
          <w:shd w:val="clear" w:color="auto" w:fill="FFFFFF"/>
          <w:lang w:val="en-GB"/>
          <w14:ligatures w14:val="standardContextual"/>
        </w:rPr>
        <w:t xml:space="preserve">Knowles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2025).</w:t>
      </w:r>
    </w:p>
    <w:p w14:paraId="68FB5D2B" w14:textId="1E7475B8"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Among the possible changes in terms of evidence-based modifications would be the Teach-Back technique, </w:t>
      </w:r>
      <w:r w:rsidR="00745855">
        <w:rPr>
          <w:rFonts w:ascii="Arial" w:eastAsia="Calibri" w:hAnsi="Arial" w:cs="Arial"/>
          <w:kern w:val="2"/>
          <w:lang w:val="en-GB"/>
          <w14:ligatures w14:val="standardContextual"/>
        </w:rPr>
        <w:t>in</w:t>
      </w:r>
      <w:r w:rsidRPr="00F95CE5">
        <w:rPr>
          <w:rFonts w:ascii="Arial" w:eastAsia="Calibri" w:hAnsi="Arial" w:cs="Arial"/>
          <w:kern w:val="2"/>
          <w:lang w:val="en-GB"/>
          <w14:ligatures w14:val="standardContextual"/>
        </w:rPr>
        <w:t xml:space="preserve"> which the patient paraphrases the instructions to ensure that he comprehends the instructions provided. The history shows that Teach-Back has the potential </w:t>
      </w:r>
      <w:r w:rsidR="00F85AEC">
        <w:rPr>
          <w:rFonts w:ascii="Arial" w:eastAsia="Calibri" w:hAnsi="Arial" w:cs="Arial"/>
          <w:kern w:val="2"/>
          <w:lang w:val="en-GB"/>
          <w14:ligatures w14:val="standardContextual"/>
        </w:rPr>
        <w:t>to increase</w:t>
      </w:r>
      <w:r w:rsidRPr="00F95CE5">
        <w:rPr>
          <w:rFonts w:ascii="Arial" w:eastAsia="Calibri" w:hAnsi="Arial" w:cs="Arial"/>
          <w:kern w:val="2"/>
          <w:lang w:val="en-GB"/>
          <w14:ligatures w14:val="standardContextual"/>
        </w:rPr>
        <w:t xml:space="preserve"> health literacy, medication adherence and patient safety, especially when it comes to older adults with multifaceted prescriptions. There could be </w:t>
      </w:r>
      <w:r w:rsidR="00F85AEC">
        <w:rPr>
          <w:rFonts w:ascii="Arial" w:eastAsia="Calibri" w:hAnsi="Arial" w:cs="Arial"/>
          <w:kern w:val="2"/>
          <w:lang w:val="en-GB"/>
          <w14:ligatures w14:val="standardContextual"/>
        </w:rPr>
        <w:t>additional</w:t>
      </w:r>
      <w:r w:rsidRPr="00F95CE5">
        <w:rPr>
          <w:rFonts w:ascii="Arial" w:eastAsia="Calibri" w:hAnsi="Arial" w:cs="Arial"/>
          <w:kern w:val="2"/>
          <w:lang w:val="en-GB"/>
          <w14:ligatures w14:val="standardContextual"/>
        </w:rPr>
        <w:t xml:space="preserve"> mandatory medication counselling </w:t>
      </w:r>
      <w:r w:rsidR="00F85AEC">
        <w:rPr>
          <w:rFonts w:ascii="Arial" w:eastAsia="Calibri" w:hAnsi="Arial" w:cs="Arial"/>
          <w:kern w:val="2"/>
          <w:lang w:val="en-GB"/>
          <w14:ligatures w14:val="standardContextual"/>
        </w:rPr>
        <w:t>for</w:t>
      </w:r>
      <w:r w:rsidRPr="00F95CE5">
        <w:rPr>
          <w:rFonts w:ascii="Arial" w:eastAsia="Calibri" w:hAnsi="Arial" w:cs="Arial"/>
          <w:kern w:val="2"/>
          <w:lang w:val="en-GB"/>
          <w14:ligatures w14:val="standardContextual"/>
        </w:rPr>
        <w:t xml:space="preserve"> high-risk medicines, including opioids, that would reduce the risk of such an incident (</w:t>
      </w:r>
      <w:r w:rsidRPr="00F95CE5">
        <w:rPr>
          <w:rFonts w:ascii="Arial" w:eastAsia="Calibri" w:hAnsi="Arial" w:cs="Arial"/>
          <w:color w:val="222222"/>
          <w:kern w:val="2"/>
          <w:shd w:val="clear" w:color="auto" w:fill="FFFFFF"/>
          <w:lang w:val="en-GB"/>
          <w14:ligatures w14:val="standardContextual"/>
        </w:rPr>
        <w:t xml:space="preserve">Mak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2024).</w:t>
      </w:r>
    </w:p>
    <w:p w14:paraId="0E32222D" w14:textId="7777777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14:ligatures w14:val="standardContextual"/>
        </w:rPr>
      </w:pPr>
      <w:bookmarkStart w:id="62" w:name="_Toc235204137"/>
      <w:bookmarkStart w:id="63" w:name="_Toc235204389"/>
      <w:bookmarkStart w:id="64" w:name="_Toc235204789"/>
      <w:r w:rsidRPr="00C6397D">
        <w:rPr>
          <w:rFonts w:ascii="Arial" w:eastAsia="Times New Roman" w:hAnsi="Arial" w:cs="Arial"/>
          <w:b/>
          <w:bCs/>
          <w:color w:val="000000" w:themeColor="text1"/>
          <w:kern w:val="2"/>
          <w:lang w:val="en-GB"/>
          <w14:ligatures w14:val="standardContextual"/>
        </w:rPr>
        <w:lastRenderedPageBreak/>
        <w:t>5.2 Unresponsive Leadership and Bad Safety Culture.</w:t>
      </w:r>
      <w:bookmarkEnd w:id="62"/>
      <w:bookmarkEnd w:id="63"/>
      <w:bookmarkEnd w:id="64"/>
    </w:p>
    <w:p w14:paraId="3455CCE0" w14:textId="77777777"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The weakness of the safety culture of the organisation was another crucial problem which was detected during the case. This query implies that intervention was predominantly done on the back end of the negative phenomenon, as opposed to being proactive. It includes a reaction to patient safety, as opposed to foreseeing it.</w:t>
      </w:r>
    </w:p>
    <w:p w14:paraId="5AA16D83" w14:textId="541B1C11"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Findings of the NHS Staff Survey have continuously shown that organisations that have a high safety </w:t>
      </w:r>
      <w:r w:rsidR="00F85AEC">
        <w:rPr>
          <w:rFonts w:ascii="Arial" w:eastAsia="Calibri" w:hAnsi="Arial" w:cs="Arial"/>
          <w:kern w:val="2"/>
          <w:lang w:val="en-GB"/>
          <w14:ligatures w14:val="standardContextual"/>
        </w:rPr>
        <w:t>culture</w:t>
      </w:r>
      <w:r w:rsidRPr="00F95CE5">
        <w:rPr>
          <w:rFonts w:ascii="Arial" w:eastAsia="Calibri" w:hAnsi="Arial" w:cs="Arial"/>
          <w:kern w:val="2"/>
          <w:lang w:val="en-GB"/>
          <w14:ligatures w14:val="standardContextual"/>
        </w:rPr>
        <w:t xml:space="preserve"> in their practices report more frequently, involve their employees and experience better patient </w:t>
      </w:r>
      <w:r w:rsidR="002A1E29">
        <w:rPr>
          <w:rFonts w:ascii="Arial" w:eastAsia="Calibri" w:hAnsi="Arial" w:cs="Arial"/>
          <w:kern w:val="2"/>
          <w:lang w:val="en-GB"/>
          <w14:ligatures w14:val="standardContextual"/>
        </w:rPr>
        <w:t>outcomes</w:t>
      </w:r>
      <w:r w:rsidRPr="00F95CE5">
        <w:rPr>
          <w:rFonts w:ascii="Arial" w:eastAsia="Calibri" w:hAnsi="Arial" w:cs="Arial"/>
          <w:kern w:val="2"/>
          <w:lang w:val="en-GB"/>
          <w14:ligatures w14:val="standardContextual"/>
        </w:rPr>
        <w:t xml:space="preserve">. The organisations which encourage personnel to express their issues freely will have more chances to identify the dangers before it is too late </w:t>
      </w:r>
      <w:r w:rsidR="00F85AEC">
        <w:rPr>
          <w:rFonts w:ascii="Arial" w:eastAsia="Calibri" w:hAnsi="Arial" w:cs="Arial"/>
          <w:kern w:val="2"/>
          <w:lang w:val="en-GB"/>
          <w14:ligatures w14:val="standardContextual"/>
        </w:rPr>
        <w:t>for</w:t>
      </w:r>
      <w:r w:rsidRPr="00F95CE5">
        <w:rPr>
          <w:rFonts w:ascii="Arial" w:eastAsia="Calibri" w:hAnsi="Arial" w:cs="Arial"/>
          <w:kern w:val="2"/>
          <w:lang w:val="en-GB"/>
          <w14:ligatures w14:val="standardContextual"/>
        </w:rPr>
        <w:t xml:space="preserve"> the patients </w:t>
      </w:r>
      <w:r w:rsidR="00F85AEC">
        <w:rPr>
          <w:rFonts w:ascii="Arial" w:eastAsia="Calibri" w:hAnsi="Arial" w:cs="Arial"/>
          <w:kern w:val="2"/>
          <w:lang w:val="en-GB"/>
          <w14:ligatures w14:val="standardContextual"/>
        </w:rPr>
        <w:t>to</w:t>
      </w:r>
      <w:r w:rsidRPr="00F95CE5">
        <w:rPr>
          <w:rFonts w:ascii="Arial" w:eastAsia="Calibri" w:hAnsi="Arial" w:cs="Arial"/>
          <w:kern w:val="2"/>
          <w:lang w:val="en-GB"/>
          <w14:ligatures w14:val="standardContextual"/>
        </w:rPr>
        <w:t xml:space="preserve"> suffer damage (</w:t>
      </w:r>
      <w:r w:rsidRPr="00F95CE5">
        <w:rPr>
          <w:rFonts w:ascii="Arial" w:eastAsia="Calibri" w:hAnsi="Arial" w:cs="Arial"/>
          <w:color w:val="222222"/>
          <w:kern w:val="2"/>
          <w:shd w:val="clear" w:color="auto" w:fill="FFFFFF"/>
          <w:lang w:val="en-GB"/>
          <w14:ligatures w14:val="standardContextual"/>
        </w:rPr>
        <w:t xml:space="preserve">Martin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2023).</w:t>
      </w:r>
    </w:p>
    <w:p w14:paraId="7DF32702" w14:textId="6A29705C"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To overcome this challenge</w:t>
      </w:r>
      <w:r w:rsidR="00586126">
        <w:rPr>
          <w:rFonts w:ascii="Arial" w:eastAsia="Calibri" w:hAnsi="Arial" w:cs="Arial"/>
          <w:kern w:val="2"/>
          <w:lang w:val="en-GB"/>
          <w14:ligatures w14:val="standardContextual"/>
        </w:rPr>
        <w:t>,</w:t>
      </w:r>
      <w:r w:rsidRPr="00F95CE5">
        <w:rPr>
          <w:rFonts w:ascii="Arial" w:eastAsia="Calibri" w:hAnsi="Arial" w:cs="Arial"/>
          <w:kern w:val="2"/>
          <w:lang w:val="en-GB"/>
          <w14:ligatures w14:val="standardContextual"/>
        </w:rPr>
        <w:t xml:space="preserve"> organisations can initiate regular medication safety audits, interdisciplinary learning rounds, and leadership rounds and concentrate on the issues related to patient safety. Improving communication, fostering </w:t>
      </w:r>
      <w:r w:rsidR="00586126">
        <w:rPr>
          <w:rFonts w:ascii="Arial" w:eastAsia="Calibri" w:hAnsi="Arial" w:cs="Arial"/>
          <w:kern w:val="2"/>
          <w:lang w:val="en-GB"/>
          <w14:ligatures w14:val="standardContextual"/>
        </w:rPr>
        <w:t>long-term</w:t>
      </w:r>
      <w:r w:rsidRPr="00F95CE5">
        <w:rPr>
          <w:rFonts w:ascii="Arial" w:eastAsia="Calibri" w:hAnsi="Arial" w:cs="Arial"/>
          <w:kern w:val="2"/>
          <w:lang w:val="en-GB"/>
          <w14:ligatures w14:val="standardContextual"/>
        </w:rPr>
        <w:t xml:space="preserve"> learning within the safety culture and </w:t>
      </w:r>
      <w:r w:rsidR="00F85AEC">
        <w:rPr>
          <w:rFonts w:ascii="Arial" w:eastAsia="Calibri" w:hAnsi="Arial" w:cs="Arial"/>
          <w:kern w:val="2"/>
          <w:lang w:val="en-GB"/>
          <w14:ligatures w14:val="standardContextual"/>
        </w:rPr>
        <w:t>developing</w:t>
      </w:r>
      <w:r w:rsidRPr="00F95CE5">
        <w:rPr>
          <w:rFonts w:ascii="Arial" w:eastAsia="Calibri" w:hAnsi="Arial" w:cs="Arial"/>
          <w:kern w:val="2"/>
          <w:lang w:val="en-GB"/>
          <w14:ligatures w14:val="standardContextual"/>
        </w:rPr>
        <w:t xml:space="preserve"> an organisation can be achieved through these interventions (</w:t>
      </w:r>
      <w:r w:rsidRPr="00F95CE5">
        <w:rPr>
          <w:rFonts w:ascii="Arial" w:eastAsia="Calibri" w:hAnsi="Arial" w:cs="Arial"/>
          <w:color w:val="222222"/>
          <w:kern w:val="2"/>
          <w:shd w:val="clear" w:color="auto" w:fill="FFFFFF"/>
          <w:lang w:val="en-GB"/>
          <w14:ligatures w14:val="standardContextual"/>
        </w:rPr>
        <w:t xml:space="preserve">Bourne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2023).</w:t>
      </w:r>
    </w:p>
    <w:p w14:paraId="742C718F" w14:textId="7777777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14:ligatures w14:val="standardContextual"/>
        </w:rPr>
      </w:pPr>
      <w:bookmarkStart w:id="65" w:name="_Toc235204138"/>
      <w:bookmarkStart w:id="66" w:name="_Toc235204390"/>
      <w:bookmarkStart w:id="67" w:name="_Toc235204790"/>
      <w:r w:rsidRPr="00C6397D">
        <w:rPr>
          <w:rFonts w:ascii="Arial" w:eastAsia="Times New Roman" w:hAnsi="Arial" w:cs="Arial"/>
          <w:b/>
          <w:bCs/>
          <w:color w:val="000000" w:themeColor="text1"/>
          <w:kern w:val="2"/>
          <w:lang w:val="en-GB"/>
          <w14:ligatures w14:val="standardContextual"/>
        </w:rPr>
        <w:t>5.3 Responsibility and Lapses in Governance.</w:t>
      </w:r>
      <w:bookmarkEnd w:id="65"/>
      <w:bookmarkEnd w:id="66"/>
      <w:bookmarkEnd w:id="67"/>
    </w:p>
    <w:p w14:paraId="680D6246" w14:textId="29FDA973"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The other aspect that has been brought up in the incident is </w:t>
      </w:r>
      <w:r w:rsidR="00586126">
        <w:rPr>
          <w:rFonts w:ascii="Arial" w:eastAsia="Calibri" w:hAnsi="Arial" w:cs="Arial"/>
          <w:kern w:val="2"/>
          <w:lang w:val="en-GB"/>
          <w14:ligatures w14:val="standardContextual"/>
        </w:rPr>
        <w:t xml:space="preserve">the </w:t>
      </w:r>
      <w:r w:rsidRPr="00F95CE5">
        <w:rPr>
          <w:rFonts w:ascii="Arial" w:eastAsia="Calibri" w:hAnsi="Arial" w:cs="Arial"/>
          <w:kern w:val="2"/>
          <w:lang w:val="en-GB"/>
          <w14:ligatures w14:val="standardContextual"/>
        </w:rPr>
        <w:t>failure in the systems of governance and accountability. Although there were medication safety policies and procedures in place, they were not adequate to stop the overdose. This proves that it is not the case that a panacea, which will enable implementation to go on smoothly, exists.</w:t>
      </w:r>
    </w:p>
    <w:p w14:paraId="648003D9" w14:textId="77777777"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An improved governing approach will imply regular medication safety audits, monitoring patient understanding and habitual review of communication efficiency success. Some may also be digital monitoring devices and real-time safety dashboards that can aid in identifying risks earlier and provide leaders with the information in real-time to make decisions. More effective mechanisms of governance could be attained by altering the emphasis of the policy on the outcomes of the patient and simply decreasing the occurrence of the policy in future (</w:t>
      </w:r>
      <w:proofErr w:type="spellStart"/>
      <w:r w:rsidRPr="00F95CE5">
        <w:rPr>
          <w:rFonts w:ascii="Arial" w:eastAsia="Calibri" w:hAnsi="Arial" w:cs="Arial"/>
          <w:color w:val="222222"/>
          <w:kern w:val="2"/>
          <w:shd w:val="clear" w:color="auto" w:fill="FFFFFF"/>
          <w:lang w:val="en-GB"/>
          <w14:ligatures w14:val="standardContextual"/>
        </w:rPr>
        <w:t>Auraaen</w:t>
      </w:r>
      <w:proofErr w:type="spellEnd"/>
      <w:r w:rsidRPr="00F95CE5">
        <w:rPr>
          <w:rFonts w:ascii="Arial" w:eastAsia="Calibri" w:hAnsi="Arial" w:cs="Arial"/>
          <w:color w:val="222222"/>
          <w:kern w:val="2"/>
          <w:shd w:val="clear" w:color="auto" w:fill="FFFFFF"/>
          <w:lang w:val="en-GB"/>
          <w14:ligatures w14:val="standardContextual"/>
        </w:rPr>
        <w:t xml:space="preserve">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2020).</w:t>
      </w:r>
    </w:p>
    <w:p w14:paraId="1E2095AB" w14:textId="7201ADF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14:ligatures w14:val="standardContextual"/>
        </w:rPr>
      </w:pPr>
      <w:bookmarkStart w:id="68" w:name="_Toc235204139"/>
      <w:bookmarkStart w:id="69" w:name="_Toc235204391"/>
      <w:bookmarkStart w:id="70" w:name="_Toc235204791"/>
      <w:r w:rsidRPr="00C6397D">
        <w:rPr>
          <w:rFonts w:ascii="Arial" w:eastAsia="Times New Roman" w:hAnsi="Arial" w:cs="Arial"/>
          <w:b/>
          <w:bCs/>
          <w:color w:val="000000" w:themeColor="text1"/>
          <w:kern w:val="2"/>
          <w:lang w:val="en-GB"/>
          <w14:ligatures w14:val="standardContextual"/>
        </w:rPr>
        <w:t xml:space="preserve">5.4 Lack of Transportable Digital </w:t>
      </w:r>
      <w:r w:rsidR="00745855" w:rsidRPr="00C6397D">
        <w:rPr>
          <w:rFonts w:ascii="Arial" w:eastAsia="Times New Roman" w:hAnsi="Arial" w:cs="Arial"/>
          <w:b/>
          <w:bCs/>
          <w:color w:val="000000" w:themeColor="text1"/>
          <w:kern w:val="2"/>
          <w:lang w:val="en-GB"/>
          <w14:ligatures w14:val="standardContextual"/>
        </w:rPr>
        <w:t>Systems</w:t>
      </w:r>
      <w:r w:rsidRPr="00C6397D">
        <w:rPr>
          <w:rFonts w:ascii="Arial" w:eastAsia="Times New Roman" w:hAnsi="Arial" w:cs="Arial"/>
          <w:b/>
          <w:bCs/>
          <w:color w:val="000000" w:themeColor="text1"/>
          <w:kern w:val="2"/>
          <w:lang w:val="en-GB"/>
          <w14:ligatures w14:val="standardContextual"/>
        </w:rPr>
        <w:t>.</w:t>
      </w:r>
      <w:bookmarkEnd w:id="68"/>
      <w:bookmarkEnd w:id="69"/>
      <w:bookmarkEnd w:id="70"/>
    </w:p>
    <w:p w14:paraId="631A81EF" w14:textId="47017690"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A second element of the case </w:t>
      </w:r>
      <w:r w:rsidR="00586126">
        <w:rPr>
          <w:rFonts w:ascii="Arial" w:eastAsia="Calibri" w:hAnsi="Arial" w:cs="Arial"/>
          <w:kern w:val="2"/>
          <w:lang w:val="en-GB"/>
          <w14:ligatures w14:val="standardContextual"/>
        </w:rPr>
        <w:t>is</w:t>
      </w:r>
      <w:r w:rsidRPr="00F95CE5">
        <w:rPr>
          <w:rFonts w:ascii="Arial" w:eastAsia="Calibri" w:hAnsi="Arial" w:cs="Arial"/>
          <w:kern w:val="2"/>
          <w:lang w:val="en-GB"/>
          <w14:ligatures w14:val="standardContextual"/>
        </w:rPr>
        <w:t xml:space="preserve"> that the lack of coherent communication among providers of healthcare can also contribute to increasing the risk </w:t>
      </w:r>
      <w:r w:rsidR="00586126">
        <w:rPr>
          <w:rFonts w:ascii="Arial" w:eastAsia="Calibri" w:hAnsi="Arial" w:cs="Arial"/>
          <w:kern w:val="2"/>
          <w:lang w:val="en-GB"/>
          <w14:ligatures w14:val="standardContextual"/>
        </w:rPr>
        <w:t>to</w:t>
      </w:r>
      <w:r w:rsidRPr="00F95CE5">
        <w:rPr>
          <w:rFonts w:ascii="Arial" w:eastAsia="Calibri" w:hAnsi="Arial" w:cs="Arial"/>
          <w:kern w:val="2"/>
          <w:lang w:val="en-GB"/>
          <w14:ligatures w14:val="standardContextual"/>
        </w:rPr>
        <w:t xml:space="preserve"> patient safety. Variations of professionals involved in the treatment of Len</w:t>
      </w:r>
      <w:r w:rsidR="00586126">
        <w:rPr>
          <w:rFonts w:ascii="Arial" w:eastAsia="Calibri" w:hAnsi="Arial" w:cs="Arial"/>
          <w:kern w:val="2"/>
          <w:lang w:val="en-GB"/>
          <w14:ligatures w14:val="standardContextual"/>
        </w:rPr>
        <w:t>, including</w:t>
      </w:r>
      <w:r w:rsidRPr="00F95CE5">
        <w:rPr>
          <w:rFonts w:ascii="Arial" w:eastAsia="Calibri" w:hAnsi="Arial" w:cs="Arial"/>
          <w:kern w:val="2"/>
          <w:lang w:val="en-GB"/>
          <w14:ligatures w14:val="standardContextual"/>
        </w:rPr>
        <w:t xml:space="preserve"> the primary care clinicians, hospital care and pharmacy</w:t>
      </w:r>
      <w:r w:rsidR="00586126">
        <w:rPr>
          <w:rFonts w:ascii="Arial" w:eastAsia="Calibri" w:hAnsi="Arial" w:cs="Arial"/>
          <w:kern w:val="2"/>
          <w:lang w:val="en-GB"/>
          <w14:ligatures w14:val="standardContextual"/>
        </w:rPr>
        <w:t>,</w:t>
      </w:r>
      <w:r w:rsidRPr="00F95CE5">
        <w:rPr>
          <w:rFonts w:ascii="Arial" w:eastAsia="Calibri" w:hAnsi="Arial" w:cs="Arial"/>
          <w:kern w:val="2"/>
          <w:lang w:val="en-GB"/>
          <w14:ligatures w14:val="standardContextual"/>
        </w:rPr>
        <w:t xml:space="preserve"> were involved. However, the system still had </w:t>
      </w:r>
      <w:r w:rsidR="00586126">
        <w:rPr>
          <w:rFonts w:ascii="Arial" w:eastAsia="Calibri" w:hAnsi="Arial" w:cs="Arial"/>
          <w:kern w:val="2"/>
          <w:lang w:val="en-GB"/>
          <w14:ligatures w14:val="standardContextual"/>
        </w:rPr>
        <w:t>fewer</w:t>
      </w:r>
      <w:r w:rsidRPr="00F95CE5">
        <w:rPr>
          <w:rFonts w:ascii="Arial" w:eastAsia="Calibri" w:hAnsi="Arial" w:cs="Arial"/>
          <w:kern w:val="2"/>
          <w:lang w:val="en-GB"/>
          <w14:ligatures w14:val="standardContextual"/>
        </w:rPr>
        <w:t xml:space="preserve"> limitations that could identify or prevent the medication error (</w:t>
      </w:r>
      <w:proofErr w:type="spellStart"/>
      <w:r w:rsidRPr="00F95CE5">
        <w:rPr>
          <w:rFonts w:ascii="Arial" w:eastAsia="Calibri" w:hAnsi="Arial" w:cs="Arial"/>
          <w:color w:val="222222"/>
          <w:kern w:val="2"/>
          <w:shd w:val="clear" w:color="auto" w:fill="FFFFFF"/>
          <w:lang w:val="en-GB"/>
          <w14:ligatures w14:val="standardContextual"/>
        </w:rPr>
        <w:t>Auraaen</w:t>
      </w:r>
      <w:proofErr w:type="spellEnd"/>
      <w:r w:rsidRPr="00F95CE5">
        <w:rPr>
          <w:rFonts w:ascii="Arial" w:eastAsia="Calibri" w:hAnsi="Arial" w:cs="Arial"/>
          <w:color w:val="222222"/>
          <w:kern w:val="2"/>
          <w:shd w:val="clear" w:color="auto" w:fill="FFFFFF"/>
          <w:lang w:val="en-GB"/>
          <w14:ligatures w14:val="standardContextual"/>
        </w:rPr>
        <w:t xml:space="preserve">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2020).</w:t>
      </w:r>
    </w:p>
    <w:p w14:paraId="0AF78C3D" w14:textId="77777777" w:rsidR="00E0036E" w:rsidRPr="00C6397D" w:rsidRDefault="00E0036E" w:rsidP="00E0036E">
      <w:pPr>
        <w:keepNext/>
        <w:keepLines/>
        <w:spacing w:before="160" w:after="80" w:line="278" w:lineRule="auto"/>
        <w:outlineLvl w:val="1"/>
        <w:rPr>
          <w:rFonts w:ascii="Arial" w:eastAsia="Times New Roman" w:hAnsi="Arial" w:cs="Arial"/>
          <w:b/>
          <w:bCs/>
          <w:color w:val="000000" w:themeColor="text1"/>
          <w:kern w:val="2"/>
          <w:lang w:val="en-GB"/>
          <w14:ligatures w14:val="standardContextual"/>
        </w:rPr>
      </w:pPr>
      <w:bookmarkStart w:id="71" w:name="_Toc235204140"/>
      <w:bookmarkStart w:id="72" w:name="_Toc235204392"/>
      <w:bookmarkStart w:id="73" w:name="_Toc235204792"/>
      <w:r w:rsidRPr="00C6397D">
        <w:rPr>
          <w:rFonts w:ascii="Arial" w:eastAsia="Times New Roman" w:hAnsi="Arial" w:cs="Arial"/>
          <w:b/>
          <w:bCs/>
          <w:color w:val="000000" w:themeColor="text1"/>
          <w:kern w:val="2"/>
          <w:lang w:val="en-GB"/>
          <w14:ligatures w14:val="standardContextual"/>
        </w:rPr>
        <w:lastRenderedPageBreak/>
        <w:t>5.5 Connecting the Lessons Learned and Findings.</w:t>
      </w:r>
      <w:bookmarkEnd w:id="71"/>
      <w:bookmarkEnd w:id="72"/>
      <w:bookmarkEnd w:id="73"/>
    </w:p>
    <w:p w14:paraId="55CBAE8A" w14:textId="49D1D08A"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Overall, the case discloses the role of leadership, governance and structure of the system that helped to generate the negative outcome. Decentralised units that practised through the </w:t>
      </w:r>
      <w:r w:rsidR="00745855">
        <w:rPr>
          <w:rFonts w:ascii="Arial" w:eastAsia="Calibri" w:hAnsi="Arial" w:cs="Arial"/>
          <w:kern w:val="2"/>
          <w:lang w:val="en-GB"/>
          <w14:ligatures w14:val="standardContextual"/>
        </w:rPr>
        <w:t>front-line</w:t>
      </w:r>
      <w:r w:rsidRPr="00F95CE5">
        <w:rPr>
          <w:rFonts w:ascii="Arial" w:eastAsia="Calibri" w:hAnsi="Arial" w:cs="Arial"/>
          <w:kern w:val="2"/>
          <w:lang w:val="en-GB"/>
          <w14:ligatures w14:val="standardContextual"/>
        </w:rPr>
        <w:t xml:space="preserve"> workers under centralised governance and the policies of medication safety and prescribing standards were given to these organisations. However, there was </w:t>
      </w:r>
      <w:r w:rsidR="00586126">
        <w:rPr>
          <w:rFonts w:ascii="Arial" w:eastAsia="Calibri" w:hAnsi="Arial" w:cs="Arial"/>
          <w:kern w:val="2"/>
          <w:lang w:val="en-GB"/>
          <w14:ligatures w14:val="standardContextual"/>
        </w:rPr>
        <w:t xml:space="preserve">a </w:t>
      </w:r>
      <w:r w:rsidRPr="00F95CE5">
        <w:rPr>
          <w:rFonts w:ascii="Arial" w:eastAsia="Calibri" w:hAnsi="Arial" w:cs="Arial"/>
          <w:kern w:val="2"/>
          <w:lang w:val="en-GB"/>
          <w14:ligatures w14:val="standardContextual"/>
        </w:rPr>
        <w:t>lack of good communication, responsibility and knowledge of the patients by the leadership (</w:t>
      </w:r>
      <w:r w:rsidRPr="00F95CE5">
        <w:rPr>
          <w:rFonts w:ascii="Arial" w:eastAsia="Calibri" w:hAnsi="Arial" w:cs="Arial"/>
          <w:color w:val="222222"/>
          <w:kern w:val="2"/>
          <w:shd w:val="clear" w:color="auto" w:fill="FFFFFF"/>
          <w:lang w:val="en-GB"/>
          <w14:ligatures w14:val="standardContextual"/>
        </w:rPr>
        <w:t>Marie,2022).</w:t>
      </w:r>
    </w:p>
    <w:p w14:paraId="01F3CEAF" w14:textId="3C040D10"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Transactional leadership served to adhere to the procedures, but it was not enough to attain an active prevention-oriented culture of safety with a learning posture. Thus, feedback regarding the system problems was not available to predict the outcomes that might have been rather negative</w:t>
      </w:r>
      <w:r w:rsidR="00586126">
        <w:rPr>
          <w:rFonts w:ascii="Arial" w:eastAsia="Calibri" w:hAnsi="Arial" w:cs="Arial"/>
          <w:kern w:val="2"/>
          <w:lang w:val="en-GB"/>
          <w14:ligatures w14:val="standardContextual"/>
        </w:rPr>
        <w:t>,</w:t>
      </w:r>
      <w:r w:rsidRPr="00F95CE5">
        <w:rPr>
          <w:rFonts w:ascii="Arial" w:eastAsia="Calibri" w:hAnsi="Arial" w:cs="Arial"/>
          <w:kern w:val="2"/>
          <w:lang w:val="en-GB"/>
          <w14:ligatures w14:val="standardContextual"/>
        </w:rPr>
        <w:t xml:space="preserve"> but to notice it with the help of HSSIB investigation (</w:t>
      </w:r>
      <w:r w:rsidRPr="00F95CE5">
        <w:rPr>
          <w:rFonts w:ascii="Arial" w:eastAsia="Calibri" w:hAnsi="Arial" w:cs="Arial"/>
          <w:color w:val="222222"/>
          <w:kern w:val="2"/>
          <w:shd w:val="clear" w:color="auto" w:fill="FFFFFF"/>
          <w:lang w:val="en-GB"/>
          <w14:ligatures w14:val="standardContextual"/>
        </w:rPr>
        <w:t>Annen, 2023).</w:t>
      </w:r>
    </w:p>
    <w:p w14:paraId="582B87A4" w14:textId="77777777" w:rsidR="007109F6" w:rsidRPr="00F95CE5" w:rsidRDefault="007109F6">
      <w:pPr>
        <w:rPr>
          <w:rFonts w:ascii="Arial" w:eastAsia="Times New Roman" w:hAnsi="Arial" w:cs="Arial"/>
          <w:b/>
          <w:bCs/>
          <w:color w:val="2F5496"/>
          <w:kern w:val="2"/>
          <w:lang w:val="en-GB"/>
          <w14:ligatures w14:val="standardContextual"/>
        </w:rPr>
      </w:pPr>
      <w:bookmarkStart w:id="74" w:name="_Toc233119321"/>
      <w:bookmarkStart w:id="75" w:name="_Toc235204141"/>
      <w:bookmarkStart w:id="76" w:name="_Toc235204393"/>
      <w:r w:rsidRPr="00F95CE5">
        <w:rPr>
          <w:rFonts w:ascii="Arial" w:eastAsia="Times New Roman" w:hAnsi="Arial" w:cs="Arial"/>
          <w:b/>
          <w:bCs/>
          <w:color w:val="2F5496"/>
          <w:kern w:val="2"/>
          <w:lang w:val="en-GB"/>
          <w14:ligatures w14:val="standardContextual"/>
        </w:rPr>
        <w:br w:type="page"/>
      </w:r>
    </w:p>
    <w:p w14:paraId="014CCE4B" w14:textId="6EC6B570" w:rsidR="00E0036E" w:rsidRPr="00C6397D" w:rsidRDefault="00E0036E" w:rsidP="00E0036E">
      <w:pPr>
        <w:keepNext/>
        <w:keepLines/>
        <w:spacing w:before="240" w:after="80" w:line="360" w:lineRule="auto"/>
        <w:jc w:val="both"/>
        <w:outlineLvl w:val="0"/>
        <w:rPr>
          <w:rFonts w:ascii="Arial" w:eastAsia="Times New Roman" w:hAnsi="Arial" w:cs="Arial"/>
          <w:b/>
          <w:bCs/>
          <w:color w:val="000000" w:themeColor="text1"/>
          <w:kern w:val="2"/>
          <w:lang w:val="en-GB"/>
          <w14:ligatures w14:val="standardContextual"/>
        </w:rPr>
      </w:pPr>
      <w:bookmarkStart w:id="77" w:name="_Toc235204793"/>
      <w:r w:rsidRPr="00C6397D">
        <w:rPr>
          <w:rFonts w:ascii="Arial" w:eastAsia="Times New Roman" w:hAnsi="Arial" w:cs="Arial"/>
          <w:b/>
          <w:bCs/>
          <w:color w:val="000000" w:themeColor="text1"/>
          <w:kern w:val="2"/>
          <w:lang w:val="en-GB"/>
          <w14:ligatures w14:val="standardContextual"/>
        </w:rPr>
        <w:lastRenderedPageBreak/>
        <w:t>6. Recommendation</w:t>
      </w:r>
      <w:bookmarkEnd w:id="74"/>
      <w:bookmarkEnd w:id="75"/>
      <w:bookmarkEnd w:id="76"/>
      <w:bookmarkEnd w:id="77"/>
      <w:r w:rsidRPr="00C6397D">
        <w:rPr>
          <w:rFonts w:ascii="Arial" w:eastAsia="Times New Roman" w:hAnsi="Arial" w:cs="Arial"/>
          <w:b/>
          <w:bCs/>
          <w:color w:val="000000" w:themeColor="text1"/>
          <w:kern w:val="2"/>
          <w:lang w:val="en-GB"/>
          <w14:ligatures w14:val="standardContextual"/>
        </w:rPr>
        <w:t xml:space="preserve"> </w:t>
      </w:r>
    </w:p>
    <w:p w14:paraId="7A92C7FF" w14:textId="7B772FE8"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The suggestions that have been given in this report can be </w:t>
      </w:r>
      <w:r w:rsidR="00033186">
        <w:rPr>
          <w:rFonts w:ascii="Arial" w:eastAsia="Calibri" w:hAnsi="Arial" w:cs="Arial"/>
          <w:kern w:val="2"/>
          <w:lang w:val="en-GB"/>
          <w14:ligatures w14:val="standardContextual"/>
        </w:rPr>
        <w:t>summarised</w:t>
      </w:r>
      <w:r w:rsidRPr="00F95CE5">
        <w:rPr>
          <w:rFonts w:ascii="Arial" w:eastAsia="Calibri" w:hAnsi="Arial" w:cs="Arial"/>
          <w:kern w:val="2"/>
          <w:lang w:val="en-GB"/>
          <w14:ligatures w14:val="standardContextual"/>
        </w:rPr>
        <w:t xml:space="preserve"> by the fact that the organisation should think of a comprehensive patient safety strategy which includes leadership, governance, communication and system integration. The most suitable form of leadership is Transformational Leadership, in combination with Situational Leadership. The culture of safety, involvement, </w:t>
      </w:r>
      <w:r w:rsidR="00586126">
        <w:rPr>
          <w:rFonts w:ascii="Arial" w:eastAsia="Calibri" w:hAnsi="Arial" w:cs="Arial"/>
          <w:kern w:val="2"/>
          <w:lang w:val="en-GB"/>
          <w14:ligatures w14:val="standardContextual"/>
        </w:rPr>
        <w:t>innovation</w:t>
      </w:r>
      <w:r w:rsidRPr="00F95CE5">
        <w:rPr>
          <w:rFonts w:ascii="Arial" w:eastAsia="Calibri" w:hAnsi="Arial" w:cs="Arial"/>
          <w:kern w:val="2"/>
          <w:lang w:val="en-GB"/>
          <w14:ligatures w14:val="standardContextual"/>
        </w:rPr>
        <w:t xml:space="preserve">, and lifelong learning </w:t>
      </w:r>
      <w:r w:rsidR="00586126">
        <w:rPr>
          <w:rFonts w:ascii="Arial" w:eastAsia="Calibri" w:hAnsi="Arial" w:cs="Arial"/>
          <w:kern w:val="2"/>
          <w:lang w:val="en-GB"/>
          <w14:ligatures w14:val="standardContextual"/>
        </w:rPr>
        <w:t>is</w:t>
      </w:r>
      <w:r w:rsidRPr="00F95CE5">
        <w:rPr>
          <w:rFonts w:ascii="Arial" w:eastAsia="Calibri" w:hAnsi="Arial" w:cs="Arial"/>
          <w:kern w:val="2"/>
          <w:lang w:val="en-GB"/>
          <w14:ligatures w14:val="standardContextual"/>
        </w:rPr>
        <w:t xml:space="preserve"> supported by transformational leadership </w:t>
      </w:r>
      <w:r w:rsidR="00586126">
        <w:rPr>
          <w:rFonts w:ascii="Arial" w:eastAsia="Calibri" w:hAnsi="Arial" w:cs="Arial"/>
          <w:kern w:val="2"/>
          <w:lang w:val="en-GB"/>
          <w14:ligatures w14:val="standardContextual"/>
        </w:rPr>
        <w:t>among</w:t>
      </w:r>
      <w:r w:rsidRPr="00F95CE5">
        <w:rPr>
          <w:rFonts w:ascii="Arial" w:eastAsia="Calibri" w:hAnsi="Arial" w:cs="Arial"/>
          <w:kern w:val="2"/>
          <w:lang w:val="en-GB"/>
          <w14:ligatures w14:val="standardContextual"/>
        </w:rPr>
        <w:t xml:space="preserve"> the employees. In situational leadership, the leaders </w:t>
      </w:r>
      <w:proofErr w:type="gramStart"/>
      <w:r w:rsidRPr="00F95CE5">
        <w:rPr>
          <w:rFonts w:ascii="Arial" w:eastAsia="Calibri" w:hAnsi="Arial" w:cs="Arial"/>
          <w:kern w:val="2"/>
          <w:lang w:val="en-GB"/>
          <w14:ligatures w14:val="standardContextual"/>
        </w:rPr>
        <w:t>are able to</w:t>
      </w:r>
      <w:proofErr w:type="gramEnd"/>
      <w:r w:rsidRPr="00F95CE5">
        <w:rPr>
          <w:rFonts w:ascii="Arial" w:eastAsia="Calibri" w:hAnsi="Arial" w:cs="Arial"/>
          <w:kern w:val="2"/>
          <w:lang w:val="en-GB"/>
          <w14:ligatures w14:val="standardContextual"/>
        </w:rPr>
        <w:t xml:space="preserve"> alter their style of leadership depending on the clinical conditions and employee needs. The sustainability of the organisational change and patient-centred care are the results of a combination of these styles (</w:t>
      </w:r>
      <w:r w:rsidRPr="00F95CE5">
        <w:rPr>
          <w:rFonts w:ascii="Arial" w:eastAsia="Calibri" w:hAnsi="Arial" w:cs="Arial"/>
          <w:color w:val="222222"/>
          <w:kern w:val="2"/>
          <w:shd w:val="clear" w:color="auto" w:fill="FFFFFF"/>
          <w:lang w:val="en-GB"/>
          <w14:ligatures w14:val="standardContextual"/>
        </w:rPr>
        <w:t>Marie,2022).</w:t>
      </w:r>
    </w:p>
    <w:p w14:paraId="6C0F6DAD" w14:textId="0DCD2495"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Other ways in which the organisation can encourage good governance include the establishment of routine medication safety audits and performance monitoring, programs and review of medication occurrences at the board. Governance ought also to aim at achieving policy as well as patient outcomes and safety indicators. There should be </w:t>
      </w:r>
      <w:r w:rsidR="00586126">
        <w:rPr>
          <w:rFonts w:ascii="Arial" w:eastAsia="Calibri" w:hAnsi="Arial" w:cs="Arial"/>
          <w:kern w:val="2"/>
          <w:lang w:val="en-GB"/>
          <w14:ligatures w14:val="standardContextual"/>
        </w:rPr>
        <w:t xml:space="preserve">an </w:t>
      </w:r>
      <w:r w:rsidRPr="00F95CE5">
        <w:rPr>
          <w:rFonts w:ascii="Arial" w:eastAsia="Calibri" w:hAnsi="Arial" w:cs="Arial"/>
          <w:kern w:val="2"/>
          <w:lang w:val="en-GB"/>
          <w14:ligatures w14:val="standardContextual"/>
        </w:rPr>
        <w:t xml:space="preserve">obvious responsibility framework in recognising risks and defining solutions. It is also necessary to enhance the communication processes. All staff should be provided with training on Teach-Back communication techniques and all health literacy principles. As an intervention to increase medication compliance with </w:t>
      </w:r>
      <w:r w:rsidR="00586126">
        <w:rPr>
          <w:rFonts w:ascii="Arial" w:eastAsia="Calibri" w:hAnsi="Arial" w:cs="Arial"/>
          <w:kern w:val="2"/>
          <w:lang w:val="en-GB"/>
          <w14:ligatures w14:val="standardContextual"/>
        </w:rPr>
        <w:t>high-risk</w:t>
      </w:r>
      <w:r w:rsidRPr="00F95CE5">
        <w:rPr>
          <w:rFonts w:ascii="Arial" w:eastAsia="Calibri" w:hAnsi="Arial" w:cs="Arial"/>
          <w:kern w:val="2"/>
          <w:lang w:val="en-GB"/>
          <w14:ligatures w14:val="standardContextual"/>
        </w:rPr>
        <w:t xml:space="preserve"> medications like opioids, it is essential to document assurance that patients and other carers involved are educated about the dose. The measures of medication counselling should be implemented in a </w:t>
      </w:r>
      <w:r w:rsidR="00586126">
        <w:rPr>
          <w:rFonts w:ascii="Arial" w:eastAsia="Calibri" w:hAnsi="Arial" w:cs="Arial"/>
          <w:kern w:val="2"/>
          <w:lang w:val="en-GB"/>
          <w14:ligatures w14:val="standardContextual"/>
        </w:rPr>
        <w:t>standardised</w:t>
      </w:r>
      <w:r w:rsidRPr="00F95CE5">
        <w:rPr>
          <w:rFonts w:ascii="Arial" w:eastAsia="Calibri" w:hAnsi="Arial" w:cs="Arial"/>
          <w:kern w:val="2"/>
          <w:lang w:val="en-GB"/>
          <w14:ligatures w14:val="standardContextual"/>
        </w:rPr>
        <w:t xml:space="preserve"> way within all care settings.</w:t>
      </w:r>
    </w:p>
    <w:p w14:paraId="26EF702C" w14:textId="38162278"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Systems integration facilitation should be utilised </w:t>
      </w:r>
      <w:proofErr w:type="gramStart"/>
      <w:r w:rsidRPr="00F95CE5">
        <w:rPr>
          <w:rFonts w:ascii="Arial" w:eastAsia="Calibri" w:hAnsi="Arial" w:cs="Arial"/>
          <w:kern w:val="2"/>
          <w:lang w:val="en-GB"/>
          <w14:ligatures w14:val="standardContextual"/>
        </w:rPr>
        <w:t xml:space="preserve">through the </w:t>
      </w:r>
      <w:r w:rsidR="00F65D4F">
        <w:rPr>
          <w:rFonts w:ascii="Arial" w:eastAsia="Calibri" w:hAnsi="Arial" w:cs="Arial"/>
          <w:kern w:val="2"/>
          <w:lang w:val="en-GB"/>
          <w14:ligatures w14:val="standardContextual"/>
        </w:rPr>
        <w:t>use</w:t>
      </w:r>
      <w:r w:rsidRPr="00F95CE5">
        <w:rPr>
          <w:rFonts w:ascii="Arial" w:eastAsia="Calibri" w:hAnsi="Arial" w:cs="Arial"/>
          <w:kern w:val="2"/>
          <w:lang w:val="en-GB"/>
          <w14:ligatures w14:val="standardContextual"/>
        </w:rPr>
        <w:t xml:space="preserve"> of</w:t>
      </w:r>
      <w:proofErr w:type="gramEnd"/>
      <w:r w:rsidRPr="00F95CE5">
        <w:rPr>
          <w:rFonts w:ascii="Arial" w:eastAsia="Calibri" w:hAnsi="Arial" w:cs="Arial"/>
          <w:kern w:val="2"/>
          <w:lang w:val="en-GB"/>
          <w14:ligatures w14:val="standardContextual"/>
        </w:rPr>
        <w:t xml:space="preserve"> electronic prescribing systems, shared patient records and automated clinical decision-support tools in increased use. This set of technologies has the potential to decrease the </w:t>
      </w:r>
      <w:r w:rsidR="00586126">
        <w:rPr>
          <w:rFonts w:ascii="Arial" w:eastAsia="Calibri" w:hAnsi="Arial" w:cs="Arial"/>
          <w:kern w:val="2"/>
          <w:lang w:val="en-GB"/>
          <w14:ligatures w14:val="standardContextual"/>
        </w:rPr>
        <w:t>incidence</w:t>
      </w:r>
      <w:r w:rsidRPr="00F95CE5">
        <w:rPr>
          <w:rFonts w:ascii="Arial" w:eastAsia="Calibri" w:hAnsi="Arial" w:cs="Arial"/>
          <w:kern w:val="2"/>
          <w:lang w:val="en-GB"/>
          <w14:ligatures w14:val="standardContextual"/>
        </w:rPr>
        <w:t xml:space="preserve"> of prescribing error, enhance the interface between the services and assist in the creation of safer drug administration. The business must put funds into digital prescription systems, automated warning systems, and electronic reporting systems to make the organisation more productive technically. These will assist in reducing redundancy and enhancing efficiency and will also assist in reducing the risk associated with medication (</w:t>
      </w:r>
      <w:r w:rsidRPr="00F95CE5">
        <w:rPr>
          <w:rFonts w:ascii="Arial" w:eastAsia="Calibri" w:hAnsi="Arial" w:cs="Arial"/>
          <w:color w:val="222222"/>
          <w:kern w:val="2"/>
          <w:shd w:val="clear" w:color="auto" w:fill="FFFFFF"/>
          <w:lang w:val="en-GB"/>
          <w14:ligatures w14:val="standardContextual"/>
        </w:rPr>
        <w:t xml:space="preserve">Martin-Cook </w:t>
      </w:r>
      <w:r w:rsidRPr="00F95CE5">
        <w:rPr>
          <w:rFonts w:ascii="Arial" w:eastAsia="Calibri" w:hAnsi="Arial" w:cs="Arial"/>
          <w:i/>
          <w:iCs/>
          <w:color w:val="222222"/>
          <w:kern w:val="2"/>
          <w:shd w:val="clear" w:color="auto" w:fill="FFFFFF"/>
          <w:lang w:val="en-GB"/>
          <w14:ligatures w14:val="standardContextual"/>
        </w:rPr>
        <w:t>et al.,</w:t>
      </w:r>
      <w:r w:rsidRPr="00F95CE5">
        <w:rPr>
          <w:rFonts w:ascii="Arial" w:eastAsia="Calibri" w:hAnsi="Arial" w:cs="Arial"/>
          <w:color w:val="222222"/>
          <w:kern w:val="2"/>
          <w:shd w:val="clear" w:color="auto" w:fill="FFFFFF"/>
          <w:lang w:val="en-GB"/>
          <w14:ligatures w14:val="standardContextual"/>
        </w:rPr>
        <w:t xml:space="preserve"> 2021).</w:t>
      </w:r>
    </w:p>
    <w:p w14:paraId="4AAF183B" w14:textId="77777777"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The investment in a vulnerable group will enhance allocative efficiency because it will afford them some resources to work on their long-term situations and complex prescriptions. Specialised treatments are more valuable and effective towards patient outcomes.</w:t>
      </w:r>
    </w:p>
    <w:p w14:paraId="3A417DE1" w14:textId="3DAD1E9C" w:rsidR="00E0036E"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lastRenderedPageBreak/>
        <w:t xml:space="preserve">They should incorporate continuous learning by performing routine reviews of the incidents, through multidisciplinary learning, training and quality improvement </w:t>
      </w:r>
      <w:r w:rsidR="00586126">
        <w:rPr>
          <w:rFonts w:ascii="Arial" w:eastAsia="Calibri" w:hAnsi="Arial" w:cs="Arial"/>
          <w:kern w:val="2"/>
          <w:lang w:val="en-GB"/>
          <w14:ligatures w14:val="standardContextual"/>
        </w:rPr>
        <w:t>simulation-based</w:t>
      </w:r>
      <w:r w:rsidRPr="00F95CE5">
        <w:rPr>
          <w:rFonts w:ascii="Arial" w:eastAsia="Calibri" w:hAnsi="Arial" w:cs="Arial"/>
          <w:kern w:val="2"/>
          <w:lang w:val="en-GB"/>
          <w14:ligatures w14:val="standardContextual"/>
        </w:rPr>
        <w:t xml:space="preserve"> programs. Employees should be undergoing consistent patient safety, </w:t>
      </w:r>
      <w:r w:rsidR="00586126">
        <w:rPr>
          <w:rFonts w:ascii="Arial" w:eastAsia="Calibri" w:hAnsi="Arial" w:cs="Arial"/>
          <w:kern w:val="2"/>
          <w:lang w:val="en-GB"/>
          <w14:ligatures w14:val="standardContextual"/>
        </w:rPr>
        <w:t>systems</w:t>
      </w:r>
      <w:r w:rsidRPr="00F95CE5">
        <w:rPr>
          <w:rFonts w:ascii="Arial" w:eastAsia="Calibri" w:hAnsi="Arial" w:cs="Arial"/>
          <w:kern w:val="2"/>
          <w:lang w:val="en-GB"/>
          <w14:ligatures w14:val="standardContextual"/>
        </w:rPr>
        <w:t xml:space="preserve"> thinking, and human factors training, as well as medication administration training.</w:t>
      </w:r>
    </w:p>
    <w:tbl>
      <w:tblPr>
        <w:tblStyle w:val="TableGrid"/>
        <w:tblW w:w="9046" w:type="dxa"/>
        <w:tblLook w:val="04A0" w:firstRow="1" w:lastRow="0" w:firstColumn="1" w:lastColumn="0" w:noHBand="0" w:noVBand="1"/>
      </w:tblPr>
      <w:tblGrid>
        <w:gridCol w:w="4523"/>
        <w:gridCol w:w="4523"/>
      </w:tblGrid>
      <w:tr w:rsidR="0072586C" w14:paraId="4A1476B1" w14:textId="77777777" w:rsidTr="00262143">
        <w:trPr>
          <w:trHeight w:val="489"/>
        </w:trPr>
        <w:tc>
          <w:tcPr>
            <w:tcW w:w="4523" w:type="dxa"/>
            <w:shd w:val="clear" w:color="auto" w:fill="DBE5F1" w:themeFill="accent1" w:themeFillTint="33"/>
          </w:tcPr>
          <w:p w14:paraId="3A50DC51" w14:textId="0FAF1539" w:rsidR="0072586C" w:rsidRPr="0072586C" w:rsidRDefault="0072586C" w:rsidP="00E0036E">
            <w:pPr>
              <w:spacing w:before="240" w:after="160" w:line="360" w:lineRule="auto"/>
              <w:jc w:val="both"/>
              <w:rPr>
                <w:rFonts w:ascii="Arial" w:eastAsia="Calibri" w:hAnsi="Arial" w:cs="Arial"/>
                <w:b/>
                <w:bCs/>
                <w:kern w:val="2"/>
                <w:lang w:val="en-GB"/>
                <w14:ligatures w14:val="standardContextual"/>
              </w:rPr>
            </w:pPr>
            <w:r w:rsidRPr="0072586C">
              <w:rPr>
                <w:rFonts w:ascii="Arial" w:eastAsia="Calibri" w:hAnsi="Arial" w:cs="Arial"/>
                <w:b/>
                <w:bCs/>
                <w:kern w:val="2"/>
                <w:lang w:val="en-GB"/>
                <w14:ligatures w14:val="standardContextual"/>
              </w:rPr>
              <w:t>Recommendation</w:t>
            </w:r>
          </w:p>
        </w:tc>
        <w:tc>
          <w:tcPr>
            <w:tcW w:w="4523" w:type="dxa"/>
            <w:shd w:val="clear" w:color="auto" w:fill="DBE5F1" w:themeFill="accent1" w:themeFillTint="33"/>
          </w:tcPr>
          <w:p w14:paraId="4B20F2EE" w14:textId="01CEDD95" w:rsidR="0072586C" w:rsidRPr="0072586C" w:rsidRDefault="0072586C" w:rsidP="00E0036E">
            <w:pPr>
              <w:spacing w:before="240" w:after="160" w:line="360" w:lineRule="auto"/>
              <w:jc w:val="both"/>
              <w:rPr>
                <w:rFonts w:ascii="Arial" w:eastAsia="Calibri" w:hAnsi="Arial" w:cs="Arial"/>
                <w:b/>
                <w:bCs/>
                <w:kern w:val="2"/>
                <w:lang w:val="en-GB"/>
                <w14:ligatures w14:val="standardContextual"/>
              </w:rPr>
            </w:pPr>
            <w:r w:rsidRPr="0072586C">
              <w:rPr>
                <w:rFonts w:ascii="Arial" w:eastAsia="Calibri" w:hAnsi="Arial" w:cs="Arial"/>
                <w:b/>
                <w:bCs/>
                <w:kern w:val="2"/>
                <w:lang w:val="en-GB"/>
                <w14:ligatures w14:val="standardContextual"/>
              </w:rPr>
              <w:t>Expected Outcomes</w:t>
            </w:r>
          </w:p>
        </w:tc>
      </w:tr>
      <w:tr w:rsidR="0072586C" w14:paraId="3599A1D1" w14:textId="77777777" w:rsidTr="00C00B7E">
        <w:trPr>
          <w:trHeight w:val="496"/>
        </w:trPr>
        <w:tc>
          <w:tcPr>
            <w:tcW w:w="4523" w:type="dxa"/>
          </w:tcPr>
          <w:p w14:paraId="0E1A432A" w14:textId="166673DD" w:rsidR="0072586C" w:rsidRDefault="0072586C" w:rsidP="00E0036E">
            <w:pPr>
              <w:spacing w:before="240" w:after="160" w:line="360" w:lineRule="auto"/>
              <w:jc w:val="both"/>
              <w:rPr>
                <w:rFonts w:ascii="Arial" w:eastAsia="Calibri" w:hAnsi="Arial" w:cs="Arial"/>
                <w:kern w:val="2"/>
                <w:lang w:val="en-GB"/>
                <w14:ligatures w14:val="standardContextual"/>
              </w:rPr>
            </w:pPr>
            <w:r>
              <w:rPr>
                <w:rFonts w:ascii="Arial" w:eastAsia="Calibri" w:hAnsi="Arial" w:cs="Arial"/>
                <w:kern w:val="2"/>
                <w:lang w:val="en-GB"/>
                <w14:ligatures w14:val="standardContextual"/>
              </w:rPr>
              <w:t>Teach-back method</w:t>
            </w:r>
          </w:p>
        </w:tc>
        <w:tc>
          <w:tcPr>
            <w:tcW w:w="4523" w:type="dxa"/>
          </w:tcPr>
          <w:p w14:paraId="208F5416" w14:textId="427460EA" w:rsidR="0072586C" w:rsidRDefault="0072586C" w:rsidP="00E0036E">
            <w:pPr>
              <w:spacing w:before="240" w:after="160" w:line="360" w:lineRule="auto"/>
              <w:jc w:val="both"/>
              <w:rPr>
                <w:rFonts w:ascii="Arial" w:eastAsia="Calibri" w:hAnsi="Arial" w:cs="Arial"/>
                <w:kern w:val="2"/>
                <w:lang w:val="en-GB"/>
                <w14:ligatures w14:val="standardContextual"/>
              </w:rPr>
            </w:pPr>
            <w:r>
              <w:rPr>
                <w:rFonts w:ascii="Arial" w:eastAsia="Calibri" w:hAnsi="Arial" w:cs="Arial"/>
                <w:kern w:val="2"/>
                <w:lang w:val="en-GB"/>
                <w14:ligatures w14:val="standardContextual"/>
              </w:rPr>
              <w:t>Better understanding</w:t>
            </w:r>
          </w:p>
        </w:tc>
      </w:tr>
      <w:tr w:rsidR="0072586C" w14:paraId="04856F11" w14:textId="77777777" w:rsidTr="00262143">
        <w:trPr>
          <w:trHeight w:val="489"/>
        </w:trPr>
        <w:tc>
          <w:tcPr>
            <w:tcW w:w="4523" w:type="dxa"/>
            <w:shd w:val="clear" w:color="auto" w:fill="DBE5F1" w:themeFill="accent1" w:themeFillTint="33"/>
          </w:tcPr>
          <w:p w14:paraId="61E18FE3" w14:textId="2C025FDF" w:rsidR="0072586C" w:rsidRDefault="0072586C" w:rsidP="00E0036E">
            <w:pPr>
              <w:spacing w:before="240" w:after="160" w:line="360" w:lineRule="auto"/>
              <w:jc w:val="both"/>
              <w:rPr>
                <w:rFonts w:ascii="Arial" w:eastAsia="Calibri" w:hAnsi="Arial" w:cs="Arial"/>
                <w:kern w:val="2"/>
                <w:lang w:val="en-GB"/>
                <w14:ligatures w14:val="standardContextual"/>
              </w:rPr>
            </w:pPr>
            <w:r>
              <w:rPr>
                <w:rFonts w:ascii="Arial" w:eastAsia="Calibri" w:hAnsi="Arial" w:cs="Arial"/>
                <w:kern w:val="2"/>
                <w:lang w:val="en-GB"/>
                <w14:ligatures w14:val="standardContextual"/>
              </w:rPr>
              <w:t>Digital prescribing</w:t>
            </w:r>
          </w:p>
        </w:tc>
        <w:tc>
          <w:tcPr>
            <w:tcW w:w="4523" w:type="dxa"/>
            <w:shd w:val="clear" w:color="auto" w:fill="DBE5F1" w:themeFill="accent1" w:themeFillTint="33"/>
          </w:tcPr>
          <w:p w14:paraId="2559E3D0" w14:textId="54998606" w:rsidR="0072586C" w:rsidRDefault="0072586C" w:rsidP="00E0036E">
            <w:pPr>
              <w:spacing w:before="240" w:after="160" w:line="360" w:lineRule="auto"/>
              <w:jc w:val="both"/>
              <w:rPr>
                <w:rFonts w:ascii="Arial" w:eastAsia="Calibri" w:hAnsi="Arial" w:cs="Arial"/>
                <w:kern w:val="2"/>
                <w:lang w:val="en-GB"/>
                <w14:ligatures w14:val="standardContextual"/>
              </w:rPr>
            </w:pPr>
            <w:r>
              <w:rPr>
                <w:rFonts w:ascii="Arial" w:eastAsia="Calibri" w:hAnsi="Arial" w:cs="Arial"/>
                <w:kern w:val="2"/>
                <w:lang w:val="en-GB"/>
                <w14:ligatures w14:val="standardContextual"/>
              </w:rPr>
              <w:t>Fewer errors</w:t>
            </w:r>
          </w:p>
        </w:tc>
      </w:tr>
      <w:tr w:rsidR="0072586C" w14:paraId="47CE5D85" w14:textId="77777777" w:rsidTr="00C00B7E">
        <w:trPr>
          <w:trHeight w:val="489"/>
        </w:trPr>
        <w:tc>
          <w:tcPr>
            <w:tcW w:w="4523" w:type="dxa"/>
          </w:tcPr>
          <w:p w14:paraId="0E02A41D" w14:textId="62A82081" w:rsidR="0072586C" w:rsidRDefault="0072586C" w:rsidP="00E0036E">
            <w:pPr>
              <w:spacing w:before="240" w:after="160" w:line="360" w:lineRule="auto"/>
              <w:jc w:val="both"/>
              <w:rPr>
                <w:rFonts w:ascii="Arial" w:eastAsia="Calibri" w:hAnsi="Arial" w:cs="Arial"/>
                <w:kern w:val="2"/>
                <w:lang w:val="en-GB"/>
                <w14:ligatures w14:val="standardContextual"/>
              </w:rPr>
            </w:pPr>
            <w:r>
              <w:rPr>
                <w:rFonts w:ascii="Arial" w:eastAsia="Calibri" w:hAnsi="Arial" w:cs="Arial"/>
                <w:kern w:val="2"/>
                <w:lang w:val="en-GB"/>
                <w14:ligatures w14:val="standardContextual"/>
              </w:rPr>
              <w:t>Leadership training</w:t>
            </w:r>
          </w:p>
        </w:tc>
        <w:tc>
          <w:tcPr>
            <w:tcW w:w="4523" w:type="dxa"/>
          </w:tcPr>
          <w:p w14:paraId="165EA436" w14:textId="6643CED7" w:rsidR="0072586C" w:rsidRDefault="0072586C" w:rsidP="00E0036E">
            <w:pPr>
              <w:spacing w:before="240" w:after="160" w:line="360" w:lineRule="auto"/>
              <w:jc w:val="both"/>
              <w:rPr>
                <w:rFonts w:ascii="Arial" w:eastAsia="Calibri" w:hAnsi="Arial" w:cs="Arial"/>
                <w:kern w:val="2"/>
                <w:lang w:val="en-GB"/>
                <w14:ligatures w14:val="standardContextual"/>
              </w:rPr>
            </w:pPr>
            <w:r>
              <w:rPr>
                <w:rFonts w:ascii="Arial" w:eastAsia="Calibri" w:hAnsi="Arial" w:cs="Arial"/>
                <w:kern w:val="2"/>
                <w:lang w:val="en-GB"/>
                <w14:ligatures w14:val="standardContextual"/>
              </w:rPr>
              <w:t>Stronger culture</w:t>
            </w:r>
          </w:p>
        </w:tc>
      </w:tr>
      <w:tr w:rsidR="0072586C" w14:paraId="330542D0" w14:textId="77777777" w:rsidTr="00262143">
        <w:trPr>
          <w:trHeight w:val="489"/>
        </w:trPr>
        <w:tc>
          <w:tcPr>
            <w:tcW w:w="4523" w:type="dxa"/>
            <w:shd w:val="clear" w:color="auto" w:fill="DBE5F1" w:themeFill="accent1" w:themeFillTint="33"/>
          </w:tcPr>
          <w:p w14:paraId="52E6901B" w14:textId="7A057F84" w:rsidR="0072586C" w:rsidRDefault="0072586C" w:rsidP="00E0036E">
            <w:pPr>
              <w:spacing w:before="240" w:after="160" w:line="360" w:lineRule="auto"/>
              <w:jc w:val="both"/>
              <w:rPr>
                <w:rFonts w:ascii="Arial" w:eastAsia="Calibri" w:hAnsi="Arial" w:cs="Arial"/>
                <w:kern w:val="2"/>
                <w:lang w:val="en-GB"/>
                <w14:ligatures w14:val="standardContextual"/>
              </w:rPr>
            </w:pPr>
            <w:r>
              <w:rPr>
                <w:rFonts w:ascii="Arial" w:eastAsia="Calibri" w:hAnsi="Arial" w:cs="Arial"/>
                <w:kern w:val="2"/>
                <w:lang w:val="en-GB"/>
                <w14:ligatures w14:val="standardContextual"/>
              </w:rPr>
              <w:t>Safety dashboards</w:t>
            </w:r>
          </w:p>
        </w:tc>
        <w:tc>
          <w:tcPr>
            <w:tcW w:w="4523" w:type="dxa"/>
            <w:shd w:val="clear" w:color="auto" w:fill="DBE5F1" w:themeFill="accent1" w:themeFillTint="33"/>
          </w:tcPr>
          <w:p w14:paraId="72333F03" w14:textId="562A17FD" w:rsidR="0072586C" w:rsidRDefault="0072586C" w:rsidP="00E0036E">
            <w:pPr>
              <w:spacing w:before="240" w:after="160" w:line="360" w:lineRule="auto"/>
              <w:jc w:val="both"/>
              <w:rPr>
                <w:rFonts w:ascii="Arial" w:eastAsia="Calibri" w:hAnsi="Arial" w:cs="Arial"/>
                <w:kern w:val="2"/>
                <w:lang w:val="en-GB"/>
                <w14:ligatures w14:val="standardContextual"/>
              </w:rPr>
            </w:pPr>
            <w:r>
              <w:rPr>
                <w:rFonts w:ascii="Arial" w:eastAsia="Calibri" w:hAnsi="Arial" w:cs="Arial"/>
                <w:kern w:val="2"/>
                <w:lang w:val="en-GB"/>
                <w14:ligatures w14:val="standardContextual"/>
              </w:rPr>
              <w:t>Real-time monitoring</w:t>
            </w:r>
          </w:p>
        </w:tc>
      </w:tr>
    </w:tbl>
    <w:p w14:paraId="4C7E8F17" w14:textId="77777777" w:rsidR="0072586C" w:rsidRPr="00F95CE5" w:rsidRDefault="0072586C" w:rsidP="00E0036E">
      <w:pPr>
        <w:spacing w:before="240" w:after="160" w:line="360" w:lineRule="auto"/>
        <w:jc w:val="both"/>
        <w:rPr>
          <w:rFonts w:ascii="Arial" w:eastAsia="Calibri" w:hAnsi="Arial" w:cs="Arial"/>
          <w:kern w:val="2"/>
          <w:lang w:val="en-GB"/>
          <w14:ligatures w14:val="standardContextual"/>
        </w:rPr>
      </w:pPr>
    </w:p>
    <w:p w14:paraId="3CC6A2C5" w14:textId="233353A2" w:rsidR="00E0036E" w:rsidRPr="00F95CE5" w:rsidRDefault="00E0036E" w:rsidP="00E0036E">
      <w:pPr>
        <w:spacing w:after="160" w:line="360" w:lineRule="auto"/>
        <w:jc w:val="both"/>
        <w:rPr>
          <w:rFonts w:ascii="Arial" w:eastAsia="Times New Roman" w:hAnsi="Arial" w:cs="Arial"/>
          <w:b/>
          <w:bCs/>
          <w:color w:val="2F5496"/>
          <w:kern w:val="2"/>
          <w:lang w:val="en-GB"/>
          <w14:ligatures w14:val="standardContextual"/>
        </w:rPr>
      </w:pPr>
      <w:bookmarkStart w:id="78" w:name="_Toc233119322"/>
      <w:r w:rsidRPr="00F95CE5">
        <w:rPr>
          <w:rFonts w:ascii="Arial" w:eastAsia="Calibri" w:hAnsi="Arial" w:cs="Arial"/>
          <w:lang w:val="en-GB"/>
          <w14:ligatures w14:val="standardContextual"/>
        </w:rPr>
        <w:t>In addition, there should be an effort to create performance indicators that will be used to assess the effects of this recommendation on the organisation. Key performance indicators may include a reduction in incidents involving medications, an increase in the number of patients receiving documentation of counselling about their medication use, higher patient satisfaction levels, and compliance with clinical governance guidelines. Assessment of these performance indicators will help management to know how to handle the risks and take the necessary corrective action.</w:t>
      </w:r>
    </w:p>
    <w:p w14:paraId="2B5F21BB" w14:textId="47C53FBF" w:rsidR="00E0036E" w:rsidRPr="00F95CE5" w:rsidRDefault="00E0036E" w:rsidP="007F1A35">
      <w:pPr>
        <w:autoSpaceDE w:val="0"/>
        <w:autoSpaceDN w:val="0"/>
        <w:adjustRightInd w:val="0"/>
        <w:spacing w:after="0" w:line="360" w:lineRule="auto"/>
        <w:jc w:val="both"/>
        <w:rPr>
          <w:rFonts w:ascii="Arial" w:eastAsia="Times New Roman" w:hAnsi="Arial" w:cs="Arial"/>
          <w:b/>
          <w:bCs/>
          <w:color w:val="2F5496"/>
          <w:kern w:val="2"/>
          <w:lang w:val="en-GB"/>
          <w14:ligatures w14:val="standardContextual"/>
        </w:rPr>
      </w:pPr>
      <w:r w:rsidRPr="00F95CE5">
        <w:rPr>
          <w:rFonts w:ascii="Arial" w:eastAsia="Calibri" w:hAnsi="Arial" w:cs="Arial"/>
          <w:lang w:val="en-GB"/>
          <w14:ligatures w14:val="standardContextual"/>
        </w:rPr>
        <w:t xml:space="preserve">Also, it is necessary to use a multidisciplinary approach to ensure the positive change related to patient safety issues. Pharmacists, nurses, physicians, managers, and patients should participate in planning, implementation, and evaluation of medication safety activities. The cooperation makes it possible to develop </w:t>
      </w:r>
      <w:r w:rsidR="00586126">
        <w:rPr>
          <w:rFonts w:ascii="Arial" w:eastAsia="Calibri" w:hAnsi="Arial" w:cs="Arial"/>
          <w:lang w:val="en-GB"/>
          <w14:ligatures w14:val="standardContextual"/>
        </w:rPr>
        <w:t>a</w:t>
      </w:r>
      <w:r w:rsidRPr="00F95CE5">
        <w:rPr>
          <w:rFonts w:ascii="Arial" w:eastAsia="Calibri" w:hAnsi="Arial" w:cs="Arial"/>
          <w:lang w:val="en-GB"/>
          <w14:ligatures w14:val="standardContextual"/>
        </w:rPr>
        <w:t xml:space="preserve"> feeling of common responsibility and improves communication between specialists. Furthermore, the inclusion of patients in the discussion on safety issues may make it possible to use a more individualised approach and improve adherence to medications.</w:t>
      </w:r>
      <w:bookmarkStart w:id="79" w:name="_Toc235204013"/>
      <w:r w:rsidR="00901B6A" w:rsidRPr="00F95CE5">
        <w:rPr>
          <w:rFonts w:ascii="Arial" w:eastAsia="Calibri" w:hAnsi="Arial" w:cs="Arial"/>
          <w:lang w:val="en-GB"/>
          <w14:ligatures w14:val="standardContextual"/>
        </w:rPr>
        <w:t xml:space="preserve"> </w:t>
      </w:r>
      <w:r w:rsidR="007F1A35" w:rsidRPr="00F95CE5">
        <w:rPr>
          <w:rFonts w:ascii="Arial" w:eastAsia="Calibri" w:hAnsi="Arial" w:cs="Arial"/>
          <w:lang w:val="en-GB"/>
          <w14:ligatures w14:val="standardContextual"/>
        </w:rPr>
        <w:t>To conclude, the analysis of Len’s case demonstrates that the issue of medication safety is not only connected with the personal practice of healthcare specialists but also depends on other factors, such as the efficiency of leadership, governance, communication, etc. A comprehensive approach to patient safety can help in reducing patient harm and improving the quality of treatment provided within the NHS.</w:t>
      </w:r>
      <w:r w:rsidRPr="00F95CE5">
        <w:rPr>
          <w:rFonts w:ascii="Arial" w:eastAsia="Calibri" w:hAnsi="Arial" w:cs="Arial"/>
          <w:lang w:val="en-GB"/>
          <w14:ligatures w14:val="standardContextual"/>
        </w:rPr>
        <w:br w:type="page"/>
      </w:r>
      <w:bookmarkEnd w:id="78"/>
      <w:bookmarkEnd w:id="79"/>
    </w:p>
    <w:p w14:paraId="296E8DBF" w14:textId="2F310169" w:rsidR="007109F6" w:rsidRPr="00C6397D" w:rsidRDefault="007109F6" w:rsidP="007109F6">
      <w:pPr>
        <w:pStyle w:val="Heading1"/>
        <w:rPr>
          <w:rFonts w:ascii="Arial" w:eastAsia="Calibri" w:hAnsi="Arial" w:cs="Arial"/>
          <w:b/>
          <w:bCs/>
          <w:color w:val="000000" w:themeColor="text1"/>
          <w:sz w:val="22"/>
          <w:szCs w:val="22"/>
          <w:lang w:val="en-GB"/>
        </w:rPr>
      </w:pPr>
      <w:bookmarkStart w:id="80" w:name="_Toc235204794"/>
      <w:r w:rsidRPr="00C6397D">
        <w:rPr>
          <w:rFonts w:ascii="Arial" w:eastAsia="Calibri" w:hAnsi="Arial" w:cs="Arial"/>
          <w:b/>
          <w:bCs/>
          <w:color w:val="000000" w:themeColor="text1"/>
          <w:sz w:val="22"/>
          <w:szCs w:val="22"/>
          <w:lang w:val="en-GB"/>
        </w:rPr>
        <w:lastRenderedPageBreak/>
        <w:t>7. Conclusion</w:t>
      </w:r>
      <w:bookmarkEnd w:id="80"/>
    </w:p>
    <w:p w14:paraId="7B9DC551" w14:textId="146FD96C"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The case of </w:t>
      </w:r>
      <w:r w:rsidR="00047E01">
        <w:rPr>
          <w:rFonts w:ascii="Arial" w:eastAsia="Calibri" w:hAnsi="Arial" w:cs="Arial"/>
          <w:kern w:val="2"/>
          <w:lang w:val="en-GB"/>
          <w14:ligatures w14:val="standardContextual"/>
        </w:rPr>
        <w:t>an 89-year-old</w:t>
      </w:r>
      <w:r w:rsidRPr="00F95CE5">
        <w:rPr>
          <w:rFonts w:ascii="Arial" w:eastAsia="Calibri" w:hAnsi="Arial" w:cs="Arial"/>
          <w:kern w:val="2"/>
          <w:lang w:val="en-GB"/>
          <w14:ligatures w14:val="standardContextual"/>
        </w:rPr>
        <w:t xml:space="preserve"> man, HSSIB of Len</w:t>
      </w:r>
      <w:r w:rsidR="00047E01">
        <w:rPr>
          <w:rFonts w:ascii="Arial" w:eastAsia="Calibri" w:hAnsi="Arial" w:cs="Arial"/>
          <w:kern w:val="2"/>
          <w:lang w:val="en-GB"/>
          <w14:ligatures w14:val="standardContextual"/>
        </w:rPr>
        <w:t>, who</w:t>
      </w:r>
      <w:r w:rsidRPr="00F95CE5">
        <w:rPr>
          <w:rFonts w:ascii="Arial" w:eastAsia="Calibri" w:hAnsi="Arial" w:cs="Arial"/>
          <w:kern w:val="2"/>
          <w:lang w:val="en-GB"/>
          <w14:ligatures w14:val="standardContextual"/>
        </w:rPr>
        <w:t xml:space="preserve"> died due to an accidental overdose caused by morphine, was analysed in this report. Through the assessment, it has been identified that the event was due to several interacting factors and not </w:t>
      </w:r>
      <w:proofErr w:type="gramStart"/>
      <w:r w:rsidRPr="00F95CE5">
        <w:rPr>
          <w:rFonts w:ascii="Arial" w:eastAsia="Calibri" w:hAnsi="Arial" w:cs="Arial"/>
          <w:kern w:val="2"/>
          <w:lang w:val="en-GB"/>
          <w14:ligatures w14:val="standardContextual"/>
        </w:rPr>
        <w:t>as a result of</w:t>
      </w:r>
      <w:proofErr w:type="gramEnd"/>
      <w:r w:rsidRPr="00F95CE5">
        <w:rPr>
          <w:rFonts w:ascii="Arial" w:eastAsia="Calibri" w:hAnsi="Arial" w:cs="Arial"/>
          <w:kern w:val="2"/>
          <w:lang w:val="en-GB"/>
          <w14:ligatures w14:val="standardContextual"/>
        </w:rPr>
        <w:t xml:space="preserve"> one error. Several factors of the poor outcome </w:t>
      </w:r>
      <w:r w:rsidR="00262143" w:rsidRPr="00F95CE5">
        <w:rPr>
          <w:rFonts w:ascii="Arial" w:eastAsia="Calibri" w:hAnsi="Arial" w:cs="Arial"/>
          <w:kern w:val="2"/>
          <w:lang w:val="en-GB"/>
          <w14:ligatures w14:val="standardContextual"/>
        </w:rPr>
        <w:t>were</w:t>
      </w:r>
      <w:r w:rsidRPr="00F95CE5">
        <w:rPr>
          <w:rFonts w:ascii="Arial" w:eastAsia="Calibri" w:hAnsi="Arial" w:cs="Arial"/>
          <w:kern w:val="2"/>
          <w:lang w:val="en-GB"/>
          <w14:ligatures w14:val="standardContextual"/>
        </w:rPr>
        <w:t xml:space="preserve"> communication breakdowns, lapses in governance, inadequacies </w:t>
      </w:r>
      <w:r w:rsidR="00745855">
        <w:rPr>
          <w:rFonts w:ascii="Arial" w:eastAsia="Calibri" w:hAnsi="Arial" w:cs="Arial"/>
          <w:kern w:val="2"/>
          <w:lang w:val="en-GB"/>
          <w14:ligatures w14:val="standardContextual"/>
        </w:rPr>
        <w:t>in</w:t>
      </w:r>
      <w:r w:rsidRPr="00F95CE5">
        <w:rPr>
          <w:rFonts w:ascii="Arial" w:eastAsia="Calibri" w:hAnsi="Arial" w:cs="Arial"/>
          <w:kern w:val="2"/>
          <w:lang w:val="en-GB"/>
          <w14:ligatures w14:val="standardContextual"/>
        </w:rPr>
        <w:t xml:space="preserve"> leadership practice</w:t>
      </w:r>
      <w:r w:rsidR="00047E01">
        <w:rPr>
          <w:rFonts w:ascii="Arial" w:eastAsia="Calibri" w:hAnsi="Arial" w:cs="Arial"/>
          <w:kern w:val="2"/>
          <w:lang w:val="en-GB"/>
          <w14:ligatures w14:val="standardContextual"/>
        </w:rPr>
        <w:t>,</w:t>
      </w:r>
      <w:r w:rsidRPr="00F95CE5">
        <w:rPr>
          <w:rFonts w:ascii="Arial" w:eastAsia="Calibri" w:hAnsi="Arial" w:cs="Arial"/>
          <w:kern w:val="2"/>
          <w:lang w:val="en-GB"/>
          <w14:ligatures w14:val="standardContextual"/>
        </w:rPr>
        <w:t xml:space="preserve"> </w:t>
      </w:r>
      <w:r w:rsidR="00047E01">
        <w:rPr>
          <w:rFonts w:ascii="Arial" w:eastAsia="Calibri" w:hAnsi="Arial" w:cs="Arial"/>
          <w:kern w:val="2"/>
          <w:lang w:val="en-GB"/>
          <w14:ligatures w14:val="standardContextual"/>
        </w:rPr>
        <w:t>and</w:t>
      </w:r>
      <w:r w:rsidRPr="00F95CE5">
        <w:rPr>
          <w:rFonts w:ascii="Arial" w:eastAsia="Calibri" w:hAnsi="Arial" w:cs="Arial"/>
          <w:kern w:val="2"/>
          <w:lang w:val="en-GB"/>
          <w14:ligatures w14:val="standardContextual"/>
        </w:rPr>
        <w:t xml:space="preserve"> system design factors.</w:t>
      </w:r>
    </w:p>
    <w:p w14:paraId="6EA7B214" w14:textId="39CD4E62"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Using systems thinking, the report has identified the interrelationships between the policies and people, technologies and organisational processes and how they affect patient safety. The results indicated that centralised governance structures offered medication safety standards, but </w:t>
      </w:r>
      <w:proofErr w:type="gramStart"/>
      <w:r w:rsidRPr="00F95CE5">
        <w:rPr>
          <w:rFonts w:ascii="Arial" w:eastAsia="Calibri" w:hAnsi="Arial" w:cs="Arial"/>
          <w:kern w:val="2"/>
          <w:lang w:val="en-GB"/>
          <w14:ligatures w14:val="standardContextual"/>
        </w:rPr>
        <w:t>as long as</w:t>
      </w:r>
      <w:proofErr w:type="gramEnd"/>
      <w:r w:rsidRPr="00F95CE5">
        <w:rPr>
          <w:rFonts w:ascii="Arial" w:eastAsia="Calibri" w:hAnsi="Arial" w:cs="Arial"/>
          <w:kern w:val="2"/>
          <w:lang w:val="en-GB"/>
          <w14:ligatures w14:val="standardContextual"/>
        </w:rPr>
        <w:t xml:space="preserve"> there were gaps in the local implementation, these were not as effective. There were serious gaps between policy and practice</w:t>
      </w:r>
      <w:r w:rsidR="00047E01">
        <w:rPr>
          <w:rFonts w:ascii="Arial" w:eastAsia="Calibri" w:hAnsi="Arial" w:cs="Arial"/>
          <w:kern w:val="2"/>
          <w:lang w:val="en-GB"/>
          <w14:ligatures w14:val="standardContextual"/>
        </w:rPr>
        <w:t>,</w:t>
      </w:r>
      <w:r w:rsidRPr="00F95CE5">
        <w:rPr>
          <w:rFonts w:ascii="Arial" w:eastAsia="Calibri" w:hAnsi="Arial" w:cs="Arial"/>
          <w:kern w:val="2"/>
          <w:lang w:val="en-GB"/>
          <w14:ligatures w14:val="standardContextual"/>
        </w:rPr>
        <w:t xml:space="preserve"> and safe communication of prescribing information to patient understanding due to frontline communication failures.</w:t>
      </w:r>
    </w:p>
    <w:p w14:paraId="32679AA2" w14:textId="57854B23"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The discussion also revealed that leadership is crucial towards the establishment of safe healthcare systems. Transactional leadership promoted procedural compliance and did not provide adequate motivation </w:t>
      </w:r>
      <w:r w:rsidR="00047E01">
        <w:rPr>
          <w:rFonts w:ascii="Arial" w:eastAsia="Calibri" w:hAnsi="Arial" w:cs="Arial"/>
          <w:kern w:val="2"/>
          <w:lang w:val="en-GB"/>
          <w14:ligatures w14:val="standardContextual"/>
        </w:rPr>
        <w:t>for</w:t>
      </w:r>
      <w:r w:rsidRPr="00F95CE5">
        <w:rPr>
          <w:rFonts w:ascii="Arial" w:eastAsia="Calibri" w:hAnsi="Arial" w:cs="Arial"/>
          <w:kern w:val="2"/>
          <w:lang w:val="en-GB"/>
          <w14:ligatures w14:val="standardContextual"/>
        </w:rPr>
        <w:t xml:space="preserve"> </w:t>
      </w:r>
      <w:r w:rsidR="00047E01">
        <w:rPr>
          <w:rFonts w:ascii="Arial" w:eastAsia="Calibri" w:hAnsi="Arial" w:cs="Arial"/>
          <w:kern w:val="2"/>
          <w:lang w:val="en-GB"/>
          <w14:ligatures w14:val="standardContextual"/>
        </w:rPr>
        <w:t>proactive</w:t>
      </w:r>
      <w:r w:rsidRPr="00F95CE5">
        <w:rPr>
          <w:rFonts w:ascii="Arial" w:eastAsia="Calibri" w:hAnsi="Arial" w:cs="Arial"/>
          <w:kern w:val="2"/>
          <w:lang w:val="en-GB"/>
          <w14:ligatures w14:val="standardContextual"/>
        </w:rPr>
        <w:t xml:space="preserve"> risk management, learning and patient-centred communication. Transformational leadership</w:t>
      </w:r>
      <w:r w:rsidR="00047E01">
        <w:rPr>
          <w:rFonts w:ascii="Arial" w:eastAsia="Calibri" w:hAnsi="Arial" w:cs="Arial"/>
          <w:kern w:val="2"/>
          <w:lang w:val="en-GB"/>
          <w14:ligatures w14:val="standardContextual"/>
        </w:rPr>
        <w:t>,</w:t>
      </w:r>
      <w:r w:rsidRPr="00F95CE5">
        <w:rPr>
          <w:rFonts w:ascii="Arial" w:eastAsia="Calibri" w:hAnsi="Arial" w:cs="Arial"/>
          <w:kern w:val="2"/>
          <w:lang w:val="en-GB"/>
          <w14:ligatures w14:val="standardContextual"/>
        </w:rPr>
        <w:t xml:space="preserve"> in turn</w:t>
      </w:r>
      <w:r w:rsidR="00047E01">
        <w:rPr>
          <w:rFonts w:ascii="Arial" w:eastAsia="Calibri" w:hAnsi="Arial" w:cs="Arial"/>
          <w:kern w:val="2"/>
          <w:lang w:val="en-GB"/>
          <w14:ligatures w14:val="standardContextual"/>
        </w:rPr>
        <w:t>,</w:t>
      </w:r>
      <w:r w:rsidRPr="00F95CE5">
        <w:rPr>
          <w:rFonts w:ascii="Arial" w:eastAsia="Calibri" w:hAnsi="Arial" w:cs="Arial"/>
          <w:kern w:val="2"/>
          <w:lang w:val="en-GB"/>
          <w14:ligatures w14:val="standardContextual"/>
        </w:rPr>
        <w:t xml:space="preserve"> has </w:t>
      </w:r>
      <w:r w:rsidR="00047E01">
        <w:rPr>
          <w:rFonts w:ascii="Arial" w:eastAsia="Calibri" w:hAnsi="Arial" w:cs="Arial"/>
          <w:kern w:val="2"/>
          <w:lang w:val="en-GB"/>
          <w14:ligatures w14:val="standardContextual"/>
        </w:rPr>
        <w:t xml:space="preserve">a </w:t>
      </w:r>
      <w:r w:rsidRPr="00F95CE5">
        <w:rPr>
          <w:rFonts w:ascii="Arial" w:eastAsia="Calibri" w:hAnsi="Arial" w:cs="Arial"/>
          <w:kern w:val="2"/>
          <w:lang w:val="en-GB"/>
          <w14:ligatures w14:val="standardContextual"/>
        </w:rPr>
        <w:t>greater prospect of enhancing safety culture, staff interaction and enhancement of improvement.</w:t>
      </w:r>
    </w:p>
    <w:p w14:paraId="4BA40BF2" w14:textId="650A10F8"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t xml:space="preserve">From the above findings, </w:t>
      </w:r>
      <w:proofErr w:type="gramStart"/>
      <w:r w:rsidRPr="00F95CE5">
        <w:rPr>
          <w:rFonts w:ascii="Arial" w:eastAsia="Calibri" w:hAnsi="Arial" w:cs="Arial"/>
          <w:kern w:val="2"/>
          <w:lang w:val="en-GB"/>
          <w14:ligatures w14:val="standardContextual"/>
        </w:rPr>
        <w:t>it is clear that patient</w:t>
      </w:r>
      <w:proofErr w:type="gramEnd"/>
      <w:r w:rsidRPr="00F95CE5">
        <w:rPr>
          <w:rFonts w:ascii="Arial" w:eastAsia="Calibri" w:hAnsi="Arial" w:cs="Arial"/>
          <w:kern w:val="2"/>
          <w:lang w:val="en-GB"/>
          <w14:ligatures w14:val="standardContextual"/>
        </w:rPr>
        <w:t xml:space="preserve"> safety is not only dependent on policies and procedures, but also depends on other factors such as good leadership, governance, communication, and </w:t>
      </w:r>
      <w:r w:rsidR="00047E01">
        <w:rPr>
          <w:rFonts w:ascii="Arial" w:eastAsia="Calibri" w:hAnsi="Arial" w:cs="Arial"/>
          <w:kern w:val="2"/>
          <w:lang w:val="en-GB"/>
          <w14:ligatures w14:val="standardContextual"/>
        </w:rPr>
        <w:t>organisational</w:t>
      </w:r>
      <w:r w:rsidRPr="00F95CE5">
        <w:rPr>
          <w:rFonts w:ascii="Arial" w:eastAsia="Calibri" w:hAnsi="Arial" w:cs="Arial"/>
          <w:kern w:val="2"/>
          <w:lang w:val="en-GB"/>
          <w14:ligatures w14:val="standardContextual"/>
        </w:rPr>
        <w:t xml:space="preserve"> learning. The case study about Len's death is a very good example of the importance of ensuring that all the involved parties know that medication safety is a team effort. For </w:t>
      </w:r>
      <w:r w:rsidR="00047E01">
        <w:rPr>
          <w:rFonts w:ascii="Arial" w:eastAsia="Calibri" w:hAnsi="Arial" w:cs="Arial"/>
          <w:kern w:val="2"/>
          <w:lang w:val="en-GB"/>
          <w14:ligatures w14:val="standardContextual"/>
        </w:rPr>
        <w:t>improvement</w:t>
      </w:r>
      <w:r w:rsidRPr="00F95CE5">
        <w:rPr>
          <w:rFonts w:ascii="Arial" w:eastAsia="Calibri" w:hAnsi="Arial" w:cs="Arial"/>
          <w:kern w:val="2"/>
          <w:lang w:val="en-GB"/>
          <w14:ligatures w14:val="standardContextual"/>
        </w:rPr>
        <w:t xml:space="preserve"> in this field, the following areas should be considered: interprofessional collaboration, involvement of patients in </w:t>
      </w:r>
      <w:r w:rsidR="00047E01">
        <w:rPr>
          <w:rFonts w:ascii="Arial" w:eastAsia="Calibri" w:hAnsi="Arial" w:cs="Arial"/>
          <w:kern w:val="2"/>
          <w:lang w:val="en-GB"/>
          <w14:ligatures w14:val="standardContextual"/>
        </w:rPr>
        <w:t>decision-making</w:t>
      </w:r>
      <w:r w:rsidRPr="00F95CE5">
        <w:rPr>
          <w:rFonts w:ascii="Arial" w:eastAsia="Calibri" w:hAnsi="Arial" w:cs="Arial"/>
          <w:kern w:val="2"/>
          <w:lang w:val="en-GB"/>
          <w14:ligatures w14:val="standardContextual"/>
        </w:rPr>
        <w:t>, and application of IT solutions. Finally, the commitment to improving safety remains essential in ensuring that accidents do not happen in the future and creating the necessary trust in health care facilities.</w:t>
      </w:r>
    </w:p>
    <w:p w14:paraId="6F6B2D9C" w14:textId="77777777"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kern w:val="2"/>
          <w:lang w:val="en-GB"/>
          <w14:ligatures w14:val="standardContextual"/>
        </w:rPr>
        <w:br w:type="page"/>
      </w:r>
    </w:p>
    <w:p w14:paraId="7DC1ACAF" w14:textId="77777777" w:rsidR="00E0036E" w:rsidRPr="00C6397D" w:rsidRDefault="00E0036E" w:rsidP="00E0036E">
      <w:pPr>
        <w:keepNext/>
        <w:keepLines/>
        <w:spacing w:before="240" w:after="80" w:line="360" w:lineRule="auto"/>
        <w:jc w:val="both"/>
        <w:outlineLvl w:val="0"/>
        <w:rPr>
          <w:rFonts w:ascii="Arial" w:eastAsia="Times New Roman" w:hAnsi="Arial" w:cs="Arial"/>
          <w:color w:val="000000" w:themeColor="text1"/>
          <w:kern w:val="2"/>
          <w:lang w:val="en-GB"/>
          <w14:ligatures w14:val="standardContextual"/>
        </w:rPr>
      </w:pPr>
      <w:bookmarkStart w:id="81" w:name="_Toc233119323"/>
      <w:bookmarkStart w:id="82" w:name="_Toc235204142"/>
      <w:bookmarkStart w:id="83" w:name="_Toc235204394"/>
      <w:bookmarkStart w:id="84" w:name="_Toc235204795"/>
      <w:r w:rsidRPr="00C6397D">
        <w:rPr>
          <w:rFonts w:ascii="Arial" w:eastAsia="Times New Roman" w:hAnsi="Arial" w:cs="Arial"/>
          <w:b/>
          <w:bCs/>
          <w:color w:val="000000" w:themeColor="text1"/>
          <w:kern w:val="2"/>
          <w:lang w:val="en-GB"/>
          <w14:ligatures w14:val="standardContextual"/>
        </w:rPr>
        <w:lastRenderedPageBreak/>
        <w:t>8. References</w:t>
      </w:r>
      <w:bookmarkEnd w:id="81"/>
      <w:bookmarkEnd w:id="82"/>
      <w:bookmarkEnd w:id="83"/>
      <w:bookmarkEnd w:id="84"/>
      <w:r w:rsidRPr="00C6397D">
        <w:rPr>
          <w:rFonts w:ascii="Arial" w:eastAsia="Times New Roman" w:hAnsi="Arial" w:cs="Arial"/>
          <w:b/>
          <w:bCs/>
          <w:color w:val="000000" w:themeColor="text1"/>
          <w:kern w:val="2"/>
          <w:lang w:val="en-GB"/>
          <w14:ligatures w14:val="standardContextual"/>
        </w:rPr>
        <w:t xml:space="preserve"> </w:t>
      </w:r>
    </w:p>
    <w:p w14:paraId="28F61ACB" w14:textId="3916331D" w:rsidR="006B5F98" w:rsidRDefault="006B5F98" w:rsidP="00440DF2">
      <w:pPr>
        <w:spacing w:after="160" w:line="360" w:lineRule="auto"/>
        <w:jc w:val="both"/>
        <w:rPr>
          <w:rFonts w:ascii="Arial" w:eastAsia="Calibri" w:hAnsi="Arial" w:cs="Arial"/>
          <w:color w:val="222222"/>
          <w:kern w:val="2"/>
          <w:shd w:val="clear" w:color="auto" w:fill="FFFFFF"/>
          <w14:ligatures w14:val="standardContextual"/>
        </w:rPr>
      </w:pPr>
      <w:bookmarkStart w:id="85" w:name="_Toc233119324"/>
      <w:r w:rsidRPr="006B5F98">
        <w:rPr>
          <w:rFonts w:ascii="Arial" w:eastAsia="Calibri" w:hAnsi="Arial" w:cs="Arial"/>
          <w:color w:val="222222"/>
          <w:kern w:val="2"/>
          <w:shd w:val="clear" w:color="auto" w:fill="FFFFFF"/>
          <w14:ligatures w14:val="standardContextual"/>
        </w:rPr>
        <w:t xml:space="preserve">Alshammari, M. (2026) </w:t>
      </w:r>
      <w:r>
        <w:rPr>
          <w:rFonts w:ascii="Arial" w:eastAsia="Calibri" w:hAnsi="Arial" w:cs="Arial"/>
          <w:color w:val="222222"/>
          <w:kern w:val="2"/>
          <w:shd w:val="clear" w:color="auto" w:fill="FFFFFF"/>
          <w14:ligatures w14:val="standardContextual"/>
        </w:rPr>
        <w:t>‘</w:t>
      </w:r>
      <w:r w:rsidRPr="006B5F98">
        <w:rPr>
          <w:rFonts w:ascii="Arial" w:eastAsia="Calibri" w:hAnsi="Arial" w:cs="Arial"/>
          <w:color w:val="222222"/>
          <w:kern w:val="2"/>
          <w:shd w:val="clear" w:color="auto" w:fill="FFFFFF"/>
          <w14:ligatures w14:val="standardContextual"/>
        </w:rPr>
        <w:t>It’s Not Just a System Error’: A Qualitative Study of Nurses’ Perspectives on Medication Safety in Saudi Hospitals,</w:t>
      </w:r>
      <w:r>
        <w:rPr>
          <w:rFonts w:ascii="Arial" w:eastAsia="Calibri" w:hAnsi="Arial" w:cs="Arial"/>
          <w:color w:val="222222"/>
          <w:kern w:val="2"/>
          <w:shd w:val="clear" w:color="auto" w:fill="FFFFFF"/>
          <w14:ligatures w14:val="standardContextual"/>
        </w:rPr>
        <w:t>’</w:t>
      </w:r>
      <w:r w:rsidRPr="006B5F98">
        <w:rPr>
          <w:rFonts w:ascii="Arial" w:eastAsia="Calibri" w:hAnsi="Arial" w:cs="Arial"/>
          <w:color w:val="222222"/>
          <w:kern w:val="2"/>
          <w:shd w:val="clear" w:color="auto" w:fill="FFFFFF"/>
          <w14:ligatures w14:val="standardContextual"/>
        </w:rPr>
        <w:t> </w:t>
      </w:r>
      <w:r w:rsidRPr="006B5F98">
        <w:rPr>
          <w:rFonts w:ascii="Arial" w:eastAsia="Calibri" w:hAnsi="Arial" w:cs="Arial"/>
          <w:i/>
          <w:iCs/>
          <w:color w:val="222222"/>
          <w:kern w:val="2"/>
          <w:shd w:val="clear" w:color="auto" w:fill="FFFFFF"/>
          <w14:ligatures w14:val="standardContextual"/>
        </w:rPr>
        <w:t>Healthcare (Basel)</w:t>
      </w:r>
      <w:r w:rsidRPr="006B5F98">
        <w:rPr>
          <w:rFonts w:ascii="Arial" w:eastAsia="Calibri" w:hAnsi="Arial" w:cs="Arial"/>
          <w:color w:val="222222"/>
          <w:kern w:val="2"/>
          <w:shd w:val="clear" w:color="auto" w:fill="FFFFFF"/>
          <w14:ligatures w14:val="standardContextual"/>
        </w:rPr>
        <w:t xml:space="preserve">, 14(13), p. 1840. Available at: </w:t>
      </w:r>
      <w:hyperlink r:id="rId10" w:history="1">
        <w:r w:rsidRPr="002823CE">
          <w:rPr>
            <w:rStyle w:val="Hyperlink"/>
            <w:rFonts w:ascii="Arial" w:eastAsia="Calibri" w:hAnsi="Arial" w:cs="Arial"/>
            <w:kern w:val="2"/>
            <w:shd w:val="clear" w:color="auto" w:fill="FFFFFF"/>
            <w14:ligatures w14:val="standardContextual"/>
          </w:rPr>
          <w:t>https://doi.org/10.3390/healthcare14131840</w:t>
        </w:r>
      </w:hyperlink>
    </w:p>
    <w:p w14:paraId="0A0AAEE3" w14:textId="65D80DB9" w:rsidR="00E0036E" w:rsidRPr="00440DF2" w:rsidRDefault="00E0036E" w:rsidP="00440DF2">
      <w:pPr>
        <w:spacing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 xml:space="preserve">Anderson, M., Pitchforth, E., Edwards, N., </w:t>
      </w:r>
      <w:proofErr w:type="spellStart"/>
      <w:r w:rsidRPr="00440DF2">
        <w:rPr>
          <w:rFonts w:ascii="Arial" w:eastAsia="Calibri" w:hAnsi="Arial" w:cs="Arial"/>
          <w:color w:val="222222"/>
          <w:kern w:val="2"/>
          <w:shd w:val="clear" w:color="auto" w:fill="FFFFFF"/>
          <w:lang w:val="en-GB"/>
          <w14:ligatures w14:val="standardContextual"/>
        </w:rPr>
        <w:t>Alderwick</w:t>
      </w:r>
      <w:proofErr w:type="spellEnd"/>
      <w:r w:rsidRPr="00440DF2">
        <w:rPr>
          <w:rFonts w:ascii="Arial" w:eastAsia="Calibri" w:hAnsi="Arial" w:cs="Arial"/>
          <w:color w:val="222222"/>
          <w:kern w:val="2"/>
          <w:shd w:val="clear" w:color="auto" w:fill="FFFFFF"/>
          <w:lang w:val="en-GB"/>
          <w14:ligatures w14:val="standardContextual"/>
        </w:rPr>
        <w:t xml:space="preserve">, H., McGuire, A. and </w:t>
      </w:r>
      <w:proofErr w:type="spellStart"/>
      <w:r w:rsidRPr="00440DF2">
        <w:rPr>
          <w:rFonts w:ascii="Arial" w:eastAsia="Calibri" w:hAnsi="Arial" w:cs="Arial"/>
          <w:color w:val="222222"/>
          <w:kern w:val="2"/>
          <w:shd w:val="clear" w:color="auto" w:fill="FFFFFF"/>
          <w:lang w:val="en-GB"/>
          <w14:ligatures w14:val="standardContextual"/>
        </w:rPr>
        <w:t>Mossialos</w:t>
      </w:r>
      <w:proofErr w:type="spellEnd"/>
      <w:r w:rsidRPr="00440DF2">
        <w:rPr>
          <w:rFonts w:ascii="Arial" w:eastAsia="Calibri" w:hAnsi="Arial" w:cs="Arial"/>
          <w:color w:val="222222"/>
          <w:kern w:val="2"/>
          <w:shd w:val="clear" w:color="auto" w:fill="FFFFFF"/>
          <w:lang w:val="en-GB"/>
          <w14:ligatures w14:val="standardContextual"/>
        </w:rPr>
        <w:t>, E. (2022).</w:t>
      </w:r>
      <w:r w:rsidR="005247CF">
        <w:rPr>
          <w:rFonts w:ascii="Arial" w:eastAsia="Calibri" w:hAnsi="Arial" w:cs="Arial"/>
          <w:color w:val="222222"/>
          <w:kern w:val="2"/>
          <w:shd w:val="clear" w:color="auto" w:fill="FFFFFF"/>
          <w:lang w:val="en-GB"/>
          <w14:ligatures w14:val="standardContextual"/>
        </w:rPr>
        <w:t xml:space="preserve"> ‘</w:t>
      </w:r>
      <w:r w:rsidR="005247CF" w:rsidRPr="005247CF">
        <w:rPr>
          <w:rFonts w:ascii="Arial" w:eastAsia="Calibri" w:hAnsi="Arial" w:cs="Arial"/>
          <w:color w:val="222222"/>
          <w:kern w:val="2"/>
          <w:shd w:val="clear" w:color="auto" w:fill="FFFFFF"/>
          <w14:ligatures w14:val="standardContextual"/>
        </w:rPr>
        <w:t xml:space="preserve">Health system </w:t>
      </w:r>
      <w:proofErr w:type="gramStart"/>
      <w:r w:rsidR="005247CF" w:rsidRPr="005247CF">
        <w:rPr>
          <w:rFonts w:ascii="Arial" w:eastAsia="Calibri" w:hAnsi="Arial" w:cs="Arial"/>
          <w:color w:val="222222"/>
          <w:kern w:val="2"/>
          <w:shd w:val="clear" w:color="auto" w:fill="FFFFFF"/>
          <w14:ligatures w14:val="standardContextual"/>
        </w:rPr>
        <w:t>review</w:t>
      </w:r>
      <w:proofErr w:type="gramEnd"/>
      <w:r w:rsidR="005247CF" w:rsidRPr="005247CF">
        <w:rPr>
          <w:rFonts w:ascii="Arial" w:eastAsia="Calibri" w:hAnsi="Arial" w:cs="Arial"/>
          <w:color w:val="222222"/>
          <w:kern w:val="2"/>
          <w:shd w:val="clear" w:color="auto" w:fill="FFFFFF"/>
          <w14:ligatures w14:val="standardContextual"/>
        </w:rPr>
        <w:t xml:space="preserve"> United Kingdom.</w:t>
      </w:r>
      <w:r w:rsidR="005247CF">
        <w:rPr>
          <w:rFonts w:ascii="Arial" w:eastAsia="Calibri" w:hAnsi="Arial" w:cs="Arial"/>
          <w:color w:val="222222"/>
          <w:kern w:val="2"/>
          <w:shd w:val="clear" w:color="auto" w:fill="FFFFFF"/>
          <w14:ligatures w14:val="standardContextual"/>
        </w:rPr>
        <w:t>’</w:t>
      </w:r>
      <w:r w:rsidR="005247CF" w:rsidRPr="005247CF">
        <w:rPr>
          <w:rFonts w:ascii="Arial" w:eastAsia="Calibri" w:hAnsi="Arial" w:cs="Arial"/>
          <w:color w:val="222222"/>
          <w:kern w:val="2"/>
          <w:shd w:val="clear" w:color="auto" w:fill="FFFFFF"/>
          <w14:ligatures w14:val="standardContextual"/>
        </w:rPr>
        <w:t> </w:t>
      </w:r>
      <w:r w:rsidR="005247CF" w:rsidRPr="005247CF">
        <w:rPr>
          <w:rFonts w:ascii="Arial" w:eastAsia="Calibri" w:hAnsi="Arial" w:cs="Arial"/>
          <w:i/>
          <w:iCs/>
          <w:color w:val="222222"/>
          <w:kern w:val="2"/>
          <w:shd w:val="clear" w:color="auto" w:fill="FFFFFF"/>
          <w14:ligatures w14:val="standardContextual"/>
        </w:rPr>
        <w:t>Health Systems in Transition</w:t>
      </w:r>
      <w:r w:rsidR="005247CF" w:rsidRPr="005247CF">
        <w:rPr>
          <w:rFonts w:ascii="Arial" w:eastAsia="Calibri" w:hAnsi="Arial" w:cs="Arial"/>
          <w:color w:val="222222"/>
          <w:kern w:val="2"/>
          <w:shd w:val="clear" w:color="auto" w:fill="FFFFFF"/>
          <w14:ligatures w14:val="standardContextual"/>
        </w:rPr>
        <w:t>,</w:t>
      </w:r>
      <w:r w:rsidR="005247CF">
        <w:rPr>
          <w:rFonts w:ascii="Arial" w:eastAsia="Calibri" w:hAnsi="Arial" w:cs="Arial"/>
          <w:color w:val="222222"/>
          <w:kern w:val="2"/>
          <w:shd w:val="clear" w:color="auto" w:fill="FFFFFF"/>
          <w14:ligatures w14:val="standardContextual"/>
        </w:rPr>
        <w:t xml:space="preserve"> 24(1).</w:t>
      </w:r>
      <w:r w:rsidR="00632ECA"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11" w:history="1">
        <w:r w:rsidRPr="00440DF2">
          <w:rPr>
            <w:rFonts w:ascii="Arial" w:eastAsia="Calibri" w:hAnsi="Arial" w:cs="Arial"/>
            <w:color w:val="0563C1"/>
            <w:kern w:val="2"/>
            <w:u w:val="single"/>
            <w:shd w:val="clear" w:color="auto" w:fill="FFFFFF"/>
            <w:lang w:val="en-GB"/>
            <w14:ligatures w14:val="standardContextual"/>
          </w:rPr>
          <w:t>https://iris.who.int/bitstream/handle/10665/354075/Hit-24-1-2022-eng.pdf</w:t>
        </w:r>
      </w:hyperlink>
      <w:r w:rsidRPr="00440DF2">
        <w:rPr>
          <w:rFonts w:ascii="Arial" w:eastAsia="Calibri" w:hAnsi="Arial" w:cs="Arial"/>
          <w:color w:val="222222"/>
          <w:kern w:val="2"/>
          <w:shd w:val="clear" w:color="auto" w:fill="FFFFFF"/>
          <w:lang w:val="en-GB"/>
          <w14:ligatures w14:val="standardContextual"/>
        </w:rPr>
        <w:t xml:space="preserve"> </w:t>
      </w:r>
      <w:bookmarkEnd w:id="85"/>
    </w:p>
    <w:p w14:paraId="56E3F0F0" w14:textId="379D14E1" w:rsidR="00E0036E" w:rsidRPr="00440DF2" w:rsidRDefault="00E0036E" w:rsidP="00440DF2">
      <w:pPr>
        <w:spacing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Annen, H. (2023) </w:t>
      </w:r>
      <w:r w:rsidRPr="00440DF2">
        <w:rPr>
          <w:rFonts w:ascii="Arial" w:eastAsia="Calibri" w:hAnsi="Arial" w:cs="Arial"/>
          <w:i/>
          <w:iCs/>
          <w:color w:val="222222"/>
          <w:kern w:val="2"/>
          <w:shd w:val="clear" w:color="auto" w:fill="FFFFFF"/>
          <w:lang w:val="en-GB"/>
          <w14:ligatures w14:val="standardContextual"/>
        </w:rPr>
        <w:t>Positive psychology in the military</w:t>
      </w:r>
      <w:r w:rsidRPr="00440DF2">
        <w:rPr>
          <w:rFonts w:ascii="Arial" w:eastAsia="Calibri" w:hAnsi="Arial" w:cs="Arial"/>
          <w:color w:val="222222"/>
          <w:kern w:val="2"/>
          <w:shd w:val="clear" w:color="auto" w:fill="FFFFFF"/>
          <w:lang w:val="en-GB"/>
          <w14:ligatures w14:val="standardContextual"/>
        </w:rPr>
        <w:t> (p. 286). Peter Lang International Academic Publishers.</w:t>
      </w:r>
      <w:r w:rsidR="00F86072"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12" w:history="1">
        <w:r w:rsidRPr="00440DF2">
          <w:rPr>
            <w:rFonts w:ascii="Arial" w:eastAsia="Calibri" w:hAnsi="Arial" w:cs="Arial"/>
            <w:color w:val="0563C1"/>
            <w:kern w:val="2"/>
            <w:u w:val="single"/>
            <w:shd w:val="clear" w:color="auto" w:fill="FFFFFF"/>
            <w:lang w:val="en-GB"/>
            <w14:ligatures w14:val="standardContextual"/>
          </w:rPr>
          <w:t>https://www.researchgate.net/profile/Hubert-Annen/publication/373545258_Positive_Psychology_in_the_Military/links/64f0991cc40f1d22df7d1555/Positive-Psychology-in-the-Military.pdf</w:t>
        </w:r>
      </w:hyperlink>
      <w:r w:rsidRPr="00440DF2">
        <w:rPr>
          <w:rFonts w:ascii="Arial" w:eastAsia="Calibri" w:hAnsi="Arial" w:cs="Arial"/>
          <w:color w:val="222222"/>
          <w:kern w:val="2"/>
          <w:shd w:val="clear" w:color="auto" w:fill="FFFFFF"/>
          <w:lang w:val="en-GB"/>
          <w14:ligatures w14:val="standardContextual"/>
        </w:rPr>
        <w:t xml:space="preserve"> </w:t>
      </w:r>
    </w:p>
    <w:p w14:paraId="019F030E" w14:textId="5BE56E3F" w:rsidR="00E0036E" w:rsidRPr="00440DF2" w:rsidRDefault="00E0036E" w:rsidP="00440DF2">
      <w:pPr>
        <w:spacing w:after="160" w:line="360" w:lineRule="auto"/>
        <w:jc w:val="both"/>
        <w:rPr>
          <w:rFonts w:ascii="Arial" w:eastAsia="Calibri" w:hAnsi="Arial" w:cs="Arial"/>
          <w:color w:val="222222"/>
          <w:kern w:val="2"/>
          <w:shd w:val="clear" w:color="auto" w:fill="FFFFFF"/>
          <w:lang w:val="en-GB"/>
          <w14:ligatures w14:val="standardContextual"/>
        </w:rPr>
      </w:pPr>
      <w:proofErr w:type="spellStart"/>
      <w:r w:rsidRPr="00440DF2">
        <w:rPr>
          <w:rFonts w:ascii="Arial" w:eastAsia="Calibri" w:hAnsi="Arial" w:cs="Arial"/>
          <w:color w:val="222222"/>
          <w:kern w:val="2"/>
          <w:shd w:val="clear" w:color="auto" w:fill="FFFFFF"/>
          <w:lang w:val="en-GB"/>
          <w14:ligatures w14:val="standardContextual"/>
        </w:rPr>
        <w:t>Aufegger</w:t>
      </w:r>
      <w:proofErr w:type="spellEnd"/>
      <w:r w:rsidRPr="00440DF2">
        <w:rPr>
          <w:rFonts w:ascii="Arial" w:eastAsia="Calibri" w:hAnsi="Arial" w:cs="Arial"/>
          <w:color w:val="222222"/>
          <w:kern w:val="2"/>
          <w:shd w:val="clear" w:color="auto" w:fill="FFFFFF"/>
          <w:lang w:val="en-GB"/>
          <w14:ligatures w14:val="standardContextual"/>
        </w:rPr>
        <w:t xml:space="preserve">, L., Alabi, M., Darzi, A. and Bicknell, C. (2020) ‘Sharing leadership: current attitudes, barriers and needs of clinical and non-clinical managers in </w:t>
      </w:r>
      <w:r w:rsidR="00E47354" w:rsidRPr="00440DF2">
        <w:rPr>
          <w:rFonts w:ascii="Arial" w:eastAsia="Calibri" w:hAnsi="Arial" w:cs="Arial"/>
          <w:color w:val="222222"/>
          <w:kern w:val="2"/>
          <w:shd w:val="clear" w:color="auto" w:fill="FFFFFF"/>
          <w:lang w:val="en-GB"/>
          <w14:ligatures w14:val="standardContextual"/>
        </w:rPr>
        <w:t xml:space="preserve">the </w:t>
      </w:r>
      <w:r w:rsidRPr="00440DF2">
        <w:rPr>
          <w:rFonts w:ascii="Arial" w:eastAsia="Calibri" w:hAnsi="Arial" w:cs="Arial"/>
          <w:color w:val="222222"/>
          <w:kern w:val="2"/>
          <w:shd w:val="clear" w:color="auto" w:fill="FFFFFF"/>
          <w:lang w:val="en-GB"/>
          <w14:ligatures w14:val="standardContextual"/>
        </w:rPr>
        <w:t>UK’s integrated care system’. </w:t>
      </w:r>
      <w:r w:rsidRPr="00440DF2">
        <w:rPr>
          <w:rFonts w:ascii="Arial" w:eastAsia="Calibri" w:hAnsi="Arial" w:cs="Arial"/>
          <w:i/>
          <w:iCs/>
          <w:color w:val="222222"/>
          <w:kern w:val="2"/>
          <w:shd w:val="clear" w:color="auto" w:fill="FFFFFF"/>
          <w:lang w:val="en-GB"/>
          <w14:ligatures w14:val="standardContextual"/>
        </w:rPr>
        <w:t>BMJ Leader</w:t>
      </w:r>
      <w:r w:rsidRPr="00440DF2">
        <w:rPr>
          <w:rFonts w:ascii="Arial" w:eastAsia="Calibri" w:hAnsi="Arial" w:cs="Arial"/>
          <w:color w:val="222222"/>
          <w:kern w:val="2"/>
          <w:shd w:val="clear" w:color="auto" w:fill="FFFFFF"/>
          <w:lang w:val="en-GB"/>
          <w14:ligatures w14:val="standardContextual"/>
        </w:rPr>
        <w:t xml:space="preserve">, </w:t>
      </w:r>
      <w:proofErr w:type="gramStart"/>
      <w:r w:rsidRPr="00440DF2">
        <w:rPr>
          <w:rFonts w:ascii="Arial" w:eastAsia="Calibri" w:hAnsi="Arial" w:cs="Arial"/>
          <w:color w:val="222222"/>
          <w:kern w:val="2"/>
          <w:shd w:val="clear" w:color="auto" w:fill="FFFFFF"/>
          <w:lang w:val="en-GB"/>
          <w14:ligatures w14:val="standardContextual"/>
        </w:rPr>
        <w:t>pp.leader</w:t>
      </w:r>
      <w:proofErr w:type="gramEnd"/>
      <w:r w:rsidRPr="00440DF2">
        <w:rPr>
          <w:rFonts w:ascii="Arial" w:eastAsia="Calibri" w:hAnsi="Arial" w:cs="Arial"/>
          <w:color w:val="222222"/>
          <w:kern w:val="2"/>
          <w:shd w:val="clear" w:color="auto" w:fill="FFFFFF"/>
          <w:lang w:val="en-GB"/>
          <w14:ligatures w14:val="standardContextual"/>
        </w:rPr>
        <w:t>-2020.</w:t>
      </w:r>
      <w:r w:rsidR="00F86072"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13" w:history="1">
        <w:r w:rsidRPr="00440DF2">
          <w:rPr>
            <w:rFonts w:ascii="Arial" w:eastAsia="Calibri" w:hAnsi="Arial" w:cs="Arial"/>
            <w:color w:val="0563C1"/>
            <w:kern w:val="2"/>
            <w:u w:val="single"/>
            <w:lang w:val="en-GB"/>
            <w14:ligatures w14:val="standardContextual"/>
          </w:rPr>
          <w:t>https://bmjleader.bmj.com/content/4/3/128</w:t>
        </w:r>
      </w:hyperlink>
      <w:r w:rsidRPr="00440DF2">
        <w:rPr>
          <w:rFonts w:ascii="Arial" w:eastAsia="Calibri" w:hAnsi="Arial" w:cs="Arial"/>
          <w:kern w:val="2"/>
          <w:lang w:val="en-GB"/>
          <w14:ligatures w14:val="standardContextual"/>
        </w:rPr>
        <w:t xml:space="preserve"> </w:t>
      </w:r>
    </w:p>
    <w:p w14:paraId="4C44D7B9" w14:textId="464B9023"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proofErr w:type="spellStart"/>
      <w:r w:rsidRPr="00440DF2">
        <w:rPr>
          <w:rFonts w:ascii="Arial" w:eastAsia="Calibri" w:hAnsi="Arial" w:cs="Arial"/>
          <w:color w:val="222222"/>
          <w:kern w:val="2"/>
          <w:shd w:val="clear" w:color="auto" w:fill="FFFFFF"/>
          <w:lang w:val="en-GB"/>
          <w14:ligatures w14:val="standardContextual"/>
        </w:rPr>
        <w:t>Auraaen</w:t>
      </w:r>
      <w:proofErr w:type="spellEnd"/>
      <w:r w:rsidRPr="00440DF2">
        <w:rPr>
          <w:rFonts w:ascii="Arial" w:eastAsia="Calibri" w:hAnsi="Arial" w:cs="Arial"/>
          <w:color w:val="222222"/>
          <w:kern w:val="2"/>
          <w:shd w:val="clear" w:color="auto" w:fill="FFFFFF"/>
          <w:lang w:val="en-GB"/>
          <w14:ligatures w14:val="standardContextual"/>
        </w:rPr>
        <w:t xml:space="preserve">, A., Saar, K. and </w:t>
      </w:r>
      <w:proofErr w:type="spellStart"/>
      <w:r w:rsidRPr="00440DF2">
        <w:rPr>
          <w:rFonts w:ascii="Arial" w:eastAsia="Calibri" w:hAnsi="Arial" w:cs="Arial"/>
          <w:color w:val="222222"/>
          <w:kern w:val="2"/>
          <w:shd w:val="clear" w:color="auto" w:fill="FFFFFF"/>
          <w:lang w:val="en-GB"/>
          <w14:ligatures w14:val="standardContextual"/>
        </w:rPr>
        <w:t>Klazinga</w:t>
      </w:r>
      <w:proofErr w:type="spellEnd"/>
      <w:r w:rsidRPr="00440DF2">
        <w:rPr>
          <w:rFonts w:ascii="Arial" w:eastAsia="Calibri" w:hAnsi="Arial" w:cs="Arial"/>
          <w:color w:val="222222"/>
          <w:kern w:val="2"/>
          <w:shd w:val="clear" w:color="auto" w:fill="FFFFFF"/>
          <w:lang w:val="en-GB"/>
          <w14:ligatures w14:val="standardContextual"/>
        </w:rPr>
        <w:t>, N., (2020) ‘System governance towards improved patient safety: key functions, approaches and pathways to implementation.</w:t>
      </w:r>
      <w:r w:rsidR="00745855"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OECD Health Working Papers</w:t>
      </w:r>
      <w:r w:rsidRPr="00440DF2">
        <w:rPr>
          <w:rFonts w:ascii="Arial" w:eastAsia="Calibri" w:hAnsi="Arial" w:cs="Arial"/>
          <w:color w:val="222222"/>
          <w:kern w:val="2"/>
          <w:shd w:val="clear" w:color="auto" w:fill="FFFFFF"/>
          <w:lang w:val="en-GB"/>
          <w14:ligatures w14:val="standardContextual"/>
        </w:rPr>
        <w:t>, (120), pp.0_1-116.</w:t>
      </w:r>
      <w:r w:rsidR="00E47354"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14" w:history="1">
        <w:r w:rsidRPr="00440DF2">
          <w:rPr>
            <w:rFonts w:ascii="Arial" w:eastAsia="Calibri" w:hAnsi="Arial" w:cs="Arial"/>
            <w:color w:val="0563C1"/>
            <w:kern w:val="2"/>
            <w:u w:val="single"/>
            <w:shd w:val="clear" w:color="auto" w:fill="FFFFFF"/>
            <w:lang w:val="en-GB"/>
            <w14:ligatures w14:val="standardContextual"/>
          </w:rPr>
          <w:t>https://www.proquest.com/openview/5104f61a86e92429b8b5e8358e71de55/1?pq-origsite=gscholar&amp;cbl=54484</w:t>
        </w:r>
      </w:hyperlink>
      <w:r w:rsidRPr="00440DF2">
        <w:rPr>
          <w:rFonts w:ascii="Arial" w:eastAsia="Calibri" w:hAnsi="Arial" w:cs="Arial"/>
          <w:color w:val="222222"/>
          <w:kern w:val="2"/>
          <w:shd w:val="clear" w:color="auto" w:fill="FFFFFF"/>
          <w:lang w:val="en-GB"/>
          <w14:ligatures w14:val="standardContextual"/>
        </w:rPr>
        <w:t xml:space="preserve"> </w:t>
      </w:r>
    </w:p>
    <w:p w14:paraId="0814B16C" w14:textId="4894F9A7"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Ayre, M.J., Lewis, P.J., Phipps, D.L., Morgan, K.M. and Keers, R.N. (2024) ‘Towards understanding and improving medication safety for patients with mental illness in primary care: A multimethod study’. </w:t>
      </w:r>
      <w:r w:rsidRPr="00440DF2">
        <w:rPr>
          <w:rFonts w:ascii="Arial" w:eastAsia="Calibri" w:hAnsi="Arial" w:cs="Arial"/>
          <w:i/>
          <w:iCs/>
          <w:color w:val="222222"/>
          <w:kern w:val="2"/>
          <w:shd w:val="clear" w:color="auto" w:fill="FFFFFF"/>
          <w:lang w:val="en-GB"/>
          <w14:ligatures w14:val="standardContextual"/>
        </w:rPr>
        <w:t>Health Expectations</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27</w:t>
      </w:r>
      <w:r w:rsidRPr="00440DF2">
        <w:rPr>
          <w:rFonts w:ascii="Arial" w:eastAsia="Calibri" w:hAnsi="Arial" w:cs="Arial"/>
          <w:color w:val="222222"/>
          <w:kern w:val="2"/>
          <w:shd w:val="clear" w:color="auto" w:fill="FFFFFF"/>
          <w:lang w:val="en-GB"/>
          <w14:ligatures w14:val="standardContextual"/>
        </w:rPr>
        <w:t>(3), p.e14095.</w:t>
      </w:r>
      <w:r w:rsidR="00E47354"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15" w:history="1">
        <w:r w:rsidRPr="00440DF2">
          <w:rPr>
            <w:rFonts w:ascii="Arial" w:eastAsia="Calibri" w:hAnsi="Arial" w:cs="Arial"/>
            <w:color w:val="0563C1"/>
            <w:kern w:val="2"/>
            <w:u w:val="single"/>
            <w:shd w:val="clear" w:color="auto" w:fill="FFFFFF"/>
            <w:lang w:val="en-GB"/>
            <w14:ligatures w14:val="standardContextual"/>
          </w:rPr>
          <w:t>https://onlinelibrary.wiley.com/doi/abs/10.1111/hex.14095?__cf_chl_tk=OMswryobqjkLZ5KUyUulwEZi34njtkJ4xcvpi6yctBo-1782205815-1.0.1.1-dANPg7ph.O4o4TLOJYwQ5AaI2TbOg77zXrOnmTZF_c0</w:t>
        </w:r>
      </w:hyperlink>
      <w:r w:rsidRPr="00440DF2">
        <w:rPr>
          <w:rFonts w:ascii="Arial" w:eastAsia="Calibri" w:hAnsi="Arial" w:cs="Arial"/>
          <w:color w:val="222222"/>
          <w:kern w:val="2"/>
          <w:shd w:val="clear" w:color="auto" w:fill="FFFFFF"/>
          <w:lang w:val="en-GB"/>
          <w14:ligatures w14:val="standardContextual"/>
        </w:rPr>
        <w:t xml:space="preserve"> </w:t>
      </w:r>
    </w:p>
    <w:p w14:paraId="1CE739AE" w14:textId="2CBA6A89"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Barnes, T.R., Drake, R., Paton, C., Cooper, S.J., Deakin, B., Ferrier, I.N., Gregory, C.J., Haddad, P.M., Howes, O.D., Jones, I. and Joyce, E.M. (2020) ‘Evidence-based guidelines for the pharmacological treatment of schizophrenia: updated recommendations from the British Association for Psychopharmacology.</w:t>
      </w:r>
      <w:r w:rsidR="00E47354"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Journal of Psychopharmacology</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34</w:t>
      </w:r>
      <w:r w:rsidRPr="00440DF2">
        <w:rPr>
          <w:rFonts w:ascii="Arial" w:eastAsia="Calibri" w:hAnsi="Arial" w:cs="Arial"/>
          <w:color w:val="222222"/>
          <w:kern w:val="2"/>
          <w:shd w:val="clear" w:color="auto" w:fill="FFFFFF"/>
          <w:lang w:val="en-GB"/>
          <w14:ligatures w14:val="standardContextual"/>
        </w:rPr>
        <w:t xml:space="preserve">(1), pp.3-78. </w:t>
      </w:r>
      <w:r w:rsidR="00E47354" w:rsidRPr="00440DF2">
        <w:rPr>
          <w:rFonts w:ascii="Arial" w:eastAsia="Calibri" w:hAnsi="Arial" w:cs="Arial"/>
          <w:color w:val="222222"/>
          <w:kern w:val="2"/>
          <w:shd w:val="clear" w:color="auto" w:fill="FFFFFF"/>
          <w:lang w:val="en-GB"/>
          <w14:ligatures w14:val="standardContextual"/>
        </w:rPr>
        <w:t>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16" w:history="1">
        <w:r w:rsidRPr="00440DF2">
          <w:rPr>
            <w:rFonts w:ascii="Arial" w:eastAsia="Calibri" w:hAnsi="Arial" w:cs="Arial"/>
            <w:color w:val="0563C1"/>
            <w:kern w:val="2"/>
            <w:u w:val="single"/>
            <w:shd w:val="clear" w:color="auto" w:fill="FFFFFF"/>
            <w:lang w:val="en-GB"/>
            <w14:ligatures w14:val="standardContextual"/>
          </w:rPr>
          <w:t>https://journals.sagepub.com/doi/full/10.1177/0269881119889296</w:t>
        </w:r>
      </w:hyperlink>
      <w:r w:rsidRPr="00440DF2">
        <w:rPr>
          <w:rFonts w:ascii="Arial" w:eastAsia="Calibri" w:hAnsi="Arial" w:cs="Arial"/>
          <w:color w:val="222222"/>
          <w:kern w:val="2"/>
          <w:shd w:val="clear" w:color="auto" w:fill="FFFFFF"/>
          <w:lang w:val="en-GB"/>
          <w14:ligatures w14:val="standardContextual"/>
        </w:rPr>
        <w:t xml:space="preserve"> </w:t>
      </w:r>
    </w:p>
    <w:p w14:paraId="6D9C7996" w14:textId="126BE41C" w:rsidR="00E0036E" w:rsidRPr="00440DF2" w:rsidRDefault="00E0036E" w:rsidP="00440DF2">
      <w:pPr>
        <w:spacing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 xml:space="preserve">Bourne, R.S., Jeffries, M., Phipps, D.L., Jennings, J.K., Boxall, E., Wilson, F., March, H. and Ashcroft, D.M. </w:t>
      </w:r>
      <w:r w:rsidR="00E47354"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2023</w:t>
      </w:r>
      <w:r w:rsidR="00E47354"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xml:space="preserve">. </w:t>
      </w:r>
      <w:r w:rsidR="00E47354"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xml:space="preserve">Understanding medication safety involving patient transfer from </w:t>
      </w:r>
      <w:r w:rsidRPr="00440DF2">
        <w:rPr>
          <w:rFonts w:ascii="Arial" w:eastAsia="Calibri" w:hAnsi="Arial" w:cs="Arial"/>
          <w:color w:val="222222"/>
          <w:kern w:val="2"/>
          <w:shd w:val="clear" w:color="auto" w:fill="FFFFFF"/>
          <w:lang w:val="en-GB"/>
          <w14:ligatures w14:val="standardContextual"/>
        </w:rPr>
        <w:lastRenderedPageBreak/>
        <w:t>intensive care to hospital ward: a qualitative sociotechnical factor study.</w:t>
      </w:r>
      <w:r w:rsidR="00E47354"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 xml:space="preserve">BMJ </w:t>
      </w:r>
      <w:r w:rsidR="00E47354" w:rsidRPr="00440DF2">
        <w:rPr>
          <w:rFonts w:ascii="Arial" w:eastAsia="Calibri" w:hAnsi="Arial" w:cs="Arial"/>
          <w:i/>
          <w:iCs/>
          <w:color w:val="222222"/>
          <w:kern w:val="2"/>
          <w:shd w:val="clear" w:color="auto" w:fill="FFFFFF"/>
          <w:lang w:val="en-GB"/>
          <w14:ligatures w14:val="standardContextual"/>
        </w:rPr>
        <w:t>O</w:t>
      </w:r>
      <w:r w:rsidRPr="00440DF2">
        <w:rPr>
          <w:rFonts w:ascii="Arial" w:eastAsia="Calibri" w:hAnsi="Arial" w:cs="Arial"/>
          <w:i/>
          <w:iCs/>
          <w:color w:val="222222"/>
          <w:kern w:val="2"/>
          <w:shd w:val="clear" w:color="auto" w:fill="FFFFFF"/>
          <w:lang w:val="en-GB"/>
          <w14:ligatures w14:val="standardContextual"/>
        </w:rPr>
        <w:t>pen</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13</w:t>
      </w:r>
      <w:r w:rsidRPr="00440DF2">
        <w:rPr>
          <w:rFonts w:ascii="Arial" w:eastAsia="Calibri" w:hAnsi="Arial" w:cs="Arial"/>
          <w:color w:val="222222"/>
          <w:kern w:val="2"/>
          <w:shd w:val="clear" w:color="auto" w:fill="FFFFFF"/>
          <w:lang w:val="en-GB"/>
          <w14:ligatures w14:val="standardContextual"/>
        </w:rPr>
        <w:t>(5), p.e066757.</w:t>
      </w:r>
      <w:r w:rsidR="00E47354"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17" w:history="1">
        <w:r w:rsidRPr="00440DF2">
          <w:rPr>
            <w:rFonts w:ascii="Arial" w:eastAsia="Calibri" w:hAnsi="Arial" w:cs="Arial"/>
            <w:color w:val="0563C1"/>
            <w:kern w:val="2"/>
            <w:u w:val="single"/>
            <w:shd w:val="clear" w:color="auto" w:fill="FFFFFF"/>
            <w:lang w:val="en-GB"/>
            <w14:ligatures w14:val="standardContextual"/>
          </w:rPr>
          <w:t>https://bmjopen.bmj.com/content/13/5/e066757.abstract</w:t>
        </w:r>
      </w:hyperlink>
      <w:r w:rsidRPr="00440DF2">
        <w:rPr>
          <w:rFonts w:ascii="Arial" w:eastAsia="Calibri" w:hAnsi="Arial" w:cs="Arial"/>
          <w:color w:val="222222"/>
          <w:kern w:val="2"/>
          <w:shd w:val="clear" w:color="auto" w:fill="FFFFFF"/>
          <w:lang w:val="en-GB"/>
          <w14:ligatures w14:val="standardContextual"/>
        </w:rPr>
        <w:t xml:space="preserve"> (Last accessed 23</w:t>
      </w:r>
      <w:r w:rsidRPr="00440DF2">
        <w:rPr>
          <w:rFonts w:ascii="Arial" w:eastAsia="Calibri" w:hAnsi="Arial" w:cs="Arial"/>
          <w:color w:val="222222"/>
          <w:kern w:val="2"/>
          <w:shd w:val="clear" w:color="auto" w:fill="FFFFFF"/>
          <w:vertAlign w:val="superscript"/>
          <w:lang w:val="en-GB"/>
          <w14:ligatures w14:val="standardContextual"/>
        </w:rPr>
        <w:t>rd</w:t>
      </w:r>
      <w:r w:rsidRPr="00440DF2">
        <w:rPr>
          <w:rFonts w:ascii="Arial" w:eastAsia="Calibri" w:hAnsi="Arial" w:cs="Arial"/>
          <w:color w:val="222222"/>
          <w:kern w:val="2"/>
          <w:shd w:val="clear" w:color="auto" w:fill="FFFFFF"/>
          <w:lang w:val="en-GB"/>
          <w14:ligatures w14:val="standardContextual"/>
        </w:rPr>
        <w:t xml:space="preserve"> June 2026).</w:t>
      </w:r>
    </w:p>
    <w:p w14:paraId="26F1643B" w14:textId="325F03EC"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Capano, G. and Howlett, M. (2020) ‘The knowns and unknowns of policy instrument analysis: Policy tools and the current research agenda on policy mixes.</w:t>
      </w:r>
      <w:r w:rsidR="00E47354"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Sage Open</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10</w:t>
      </w:r>
      <w:r w:rsidRPr="00440DF2">
        <w:rPr>
          <w:rFonts w:ascii="Arial" w:eastAsia="Calibri" w:hAnsi="Arial" w:cs="Arial"/>
          <w:color w:val="222222"/>
          <w:kern w:val="2"/>
          <w:shd w:val="clear" w:color="auto" w:fill="FFFFFF"/>
          <w:lang w:val="en-GB"/>
          <w14:ligatures w14:val="standardContextual"/>
        </w:rPr>
        <w:t>(1), p.2158244019900568.</w:t>
      </w:r>
      <w:r w:rsidR="00E47354"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18" w:history="1">
        <w:r w:rsidRPr="00440DF2">
          <w:rPr>
            <w:rFonts w:ascii="Arial" w:eastAsia="Calibri" w:hAnsi="Arial" w:cs="Arial"/>
            <w:color w:val="0563C1"/>
            <w:kern w:val="2"/>
            <w:u w:val="single"/>
            <w:shd w:val="clear" w:color="auto" w:fill="FFFFFF"/>
            <w:lang w:val="en-GB"/>
            <w14:ligatures w14:val="standardContextual"/>
          </w:rPr>
          <w:t>https://journals.sagepub.com/doi/full/10.1177/2158244019900568</w:t>
        </w:r>
      </w:hyperlink>
      <w:r w:rsidRPr="00440DF2">
        <w:rPr>
          <w:rFonts w:ascii="Arial" w:eastAsia="Calibri" w:hAnsi="Arial" w:cs="Arial"/>
          <w:color w:val="222222"/>
          <w:kern w:val="2"/>
          <w:shd w:val="clear" w:color="auto" w:fill="FFFFFF"/>
          <w:lang w:val="en-GB"/>
          <w14:ligatures w14:val="standardContextual"/>
        </w:rPr>
        <w:t xml:space="preserve"> </w:t>
      </w:r>
    </w:p>
    <w:p w14:paraId="159F0547" w14:textId="56474CD4"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 xml:space="preserve">Corner, E.J., Camilleri, M., Dholakia, S., Gredal, C., Hansen, T., Jeans, J., </w:t>
      </w:r>
      <w:proofErr w:type="spellStart"/>
      <w:r w:rsidRPr="00440DF2">
        <w:rPr>
          <w:rFonts w:ascii="Arial" w:eastAsia="Calibri" w:hAnsi="Arial" w:cs="Arial"/>
          <w:color w:val="222222"/>
          <w:kern w:val="2"/>
          <w:shd w:val="clear" w:color="auto" w:fill="FFFFFF"/>
          <w:lang w:val="en-GB"/>
          <w14:ligatures w14:val="standardContextual"/>
        </w:rPr>
        <w:t>LeNovere</w:t>
      </w:r>
      <w:proofErr w:type="spellEnd"/>
      <w:r w:rsidRPr="00440DF2">
        <w:rPr>
          <w:rFonts w:ascii="Arial" w:eastAsia="Calibri" w:hAnsi="Arial" w:cs="Arial"/>
          <w:color w:val="222222"/>
          <w:kern w:val="2"/>
          <w:shd w:val="clear" w:color="auto" w:fill="FFFFFF"/>
          <w:lang w:val="en-GB"/>
          <w14:ligatures w14:val="standardContextual"/>
        </w:rPr>
        <w:t xml:space="preserve">, M., Mallender, J., Monkhouse, A., Purkiss, C. and Ting, T.K. (2022) ‘The clinically led </w:t>
      </w:r>
      <w:r w:rsidR="00D47788" w:rsidRPr="00440DF2">
        <w:rPr>
          <w:rFonts w:ascii="Arial" w:eastAsia="Calibri" w:hAnsi="Arial" w:cs="Arial"/>
          <w:color w:val="222222"/>
          <w:kern w:val="2"/>
          <w:shd w:val="clear" w:color="auto" w:fill="FFFFFF"/>
          <w:lang w:val="en-GB"/>
          <w14:ligatures w14:val="standardContextual"/>
        </w:rPr>
        <w:t>workforce</w:t>
      </w:r>
      <w:r w:rsidRPr="00440DF2">
        <w:rPr>
          <w:rFonts w:ascii="Arial" w:eastAsia="Calibri" w:hAnsi="Arial" w:cs="Arial"/>
          <w:color w:val="222222"/>
          <w:kern w:val="2"/>
          <w:shd w:val="clear" w:color="auto" w:fill="FFFFFF"/>
          <w:lang w:val="en-GB"/>
          <w14:ligatures w14:val="standardContextual"/>
        </w:rPr>
        <w:t xml:space="preserve"> and activity redesign (CLEAR) programme: a novel data-driven healthcare improvement methodology.</w:t>
      </w:r>
      <w:r w:rsidR="00D47788"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BMC Health Services Research</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22</w:t>
      </w:r>
      <w:r w:rsidRPr="00440DF2">
        <w:rPr>
          <w:rFonts w:ascii="Arial" w:eastAsia="Calibri" w:hAnsi="Arial" w:cs="Arial"/>
          <w:color w:val="222222"/>
          <w:kern w:val="2"/>
          <w:shd w:val="clear" w:color="auto" w:fill="FFFFFF"/>
          <w:lang w:val="en-GB"/>
          <w14:ligatures w14:val="standardContextual"/>
        </w:rPr>
        <w:t>(1), p.366.</w:t>
      </w:r>
      <w:r w:rsidR="00E47354"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19" w:history="1">
        <w:r w:rsidRPr="00440DF2">
          <w:rPr>
            <w:rFonts w:ascii="Arial" w:eastAsia="Calibri" w:hAnsi="Arial" w:cs="Arial"/>
            <w:color w:val="0563C1"/>
            <w:kern w:val="2"/>
            <w:u w:val="single"/>
            <w:shd w:val="clear" w:color="auto" w:fill="FFFFFF"/>
            <w:lang w:val="en-GB"/>
            <w14:ligatures w14:val="standardContextual"/>
          </w:rPr>
          <w:t>https://link.springer.com/article/10.1186/s12913-022-07757-1</w:t>
        </w:r>
      </w:hyperlink>
    </w:p>
    <w:p w14:paraId="109A201B" w14:textId="654D5D7B" w:rsidR="00E0036E" w:rsidRPr="00440DF2" w:rsidRDefault="00E0036E" w:rsidP="00440DF2">
      <w:pPr>
        <w:spacing w:before="240" w:after="160" w:line="360" w:lineRule="auto"/>
        <w:jc w:val="both"/>
        <w:rPr>
          <w:rFonts w:ascii="Arial" w:eastAsia="Calibri" w:hAnsi="Arial" w:cs="Arial"/>
          <w:kern w:val="2"/>
          <w:lang w:val="en-GB"/>
          <w14:ligatures w14:val="standardContextual"/>
        </w:rPr>
      </w:pPr>
      <w:r w:rsidRPr="00440DF2">
        <w:rPr>
          <w:rFonts w:ascii="Arial" w:eastAsia="Calibri" w:hAnsi="Arial" w:cs="Arial"/>
          <w:color w:val="222222"/>
          <w:kern w:val="2"/>
          <w:shd w:val="clear" w:color="auto" w:fill="FFFFFF"/>
          <w:lang w:val="en-GB"/>
          <w14:ligatures w14:val="standardContextual"/>
        </w:rPr>
        <w:t>De Biase, P. and Dougherty, S. (2021) ‘Federalism and public health decentralisation in the time of COVID-19’. </w:t>
      </w:r>
      <w:r w:rsidRPr="00440DF2">
        <w:rPr>
          <w:rFonts w:ascii="Arial" w:eastAsia="Calibri" w:hAnsi="Arial" w:cs="Arial"/>
          <w:i/>
          <w:iCs/>
          <w:color w:val="222222"/>
          <w:kern w:val="2"/>
          <w:shd w:val="clear" w:color="auto" w:fill="FFFFFF"/>
          <w:lang w:val="en-GB"/>
          <w14:ligatures w14:val="standardContextual"/>
        </w:rPr>
        <w:t xml:space="preserve">OECD Working Papers on </w:t>
      </w:r>
      <w:r w:rsidR="00E47354" w:rsidRPr="00440DF2">
        <w:rPr>
          <w:rFonts w:ascii="Arial" w:eastAsia="Calibri" w:hAnsi="Arial" w:cs="Arial"/>
          <w:i/>
          <w:iCs/>
          <w:color w:val="222222"/>
          <w:kern w:val="2"/>
          <w:shd w:val="clear" w:color="auto" w:fill="FFFFFF"/>
          <w:lang w:val="en-GB"/>
          <w14:ligatures w14:val="standardContextual"/>
        </w:rPr>
        <w:t>F</w:t>
      </w:r>
      <w:r w:rsidRPr="00440DF2">
        <w:rPr>
          <w:rFonts w:ascii="Arial" w:eastAsia="Calibri" w:hAnsi="Arial" w:cs="Arial"/>
          <w:i/>
          <w:iCs/>
          <w:color w:val="222222"/>
          <w:kern w:val="2"/>
          <w:shd w:val="clear" w:color="auto" w:fill="FFFFFF"/>
          <w:lang w:val="en-GB"/>
          <w14:ligatures w14:val="standardContextual"/>
        </w:rPr>
        <w:t>iscal</w:t>
      </w:r>
      <w:r w:rsidR="00E47354" w:rsidRPr="00440DF2">
        <w:rPr>
          <w:rFonts w:ascii="Arial" w:eastAsia="Calibri" w:hAnsi="Arial" w:cs="Arial"/>
          <w:i/>
          <w:iCs/>
          <w:color w:val="222222"/>
          <w:kern w:val="2"/>
          <w:shd w:val="clear" w:color="auto" w:fill="FFFFFF"/>
          <w:lang w:val="en-GB"/>
          <w14:ligatures w14:val="standardContextual"/>
        </w:rPr>
        <w:t xml:space="preserve"> F</w:t>
      </w:r>
      <w:r w:rsidRPr="00440DF2">
        <w:rPr>
          <w:rFonts w:ascii="Arial" w:eastAsia="Calibri" w:hAnsi="Arial" w:cs="Arial"/>
          <w:i/>
          <w:iCs/>
          <w:color w:val="222222"/>
          <w:kern w:val="2"/>
          <w:shd w:val="clear" w:color="auto" w:fill="FFFFFF"/>
          <w:lang w:val="en-GB"/>
          <w14:ligatures w14:val="standardContextual"/>
        </w:rPr>
        <w:t>ederalism</w:t>
      </w:r>
      <w:r w:rsidRPr="00440DF2">
        <w:rPr>
          <w:rFonts w:ascii="Arial" w:eastAsia="Calibri" w:hAnsi="Arial" w:cs="Arial"/>
          <w:color w:val="222222"/>
          <w:kern w:val="2"/>
          <w:shd w:val="clear" w:color="auto" w:fill="FFFFFF"/>
          <w:lang w:val="en-GB"/>
          <w14:ligatures w14:val="standardContextual"/>
        </w:rPr>
        <w:t xml:space="preserve">, (33), pp.0_1-43. </w:t>
      </w:r>
      <w:r w:rsidR="00E47354" w:rsidRPr="00440DF2">
        <w:rPr>
          <w:rFonts w:ascii="Arial" w:eastAsia="Calibri" w:hAnsi="Arial" w:cs="Arial"/>
          <w:color w:val="222222"/>
          <w:kern w:val="2"/>
          <w:shd w:val="clear" w:color="auto" w:fill="FFFFFF"/>
          <w:lang w:val="en-GB"/>
          <w14:ligatures w14:val="standardContextual"/>
        </w:rPr>
        <w:t>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20" w:history="1">
        <w:r w:rsidRPr="00440DF2">
          <w:rPr>
            <w:rFonts w:ascii="Arial" w:eastAsia="Calibri" w:hAnsi="Arial" w:cs="Arial"/>
            <w:color w:val="0563C1"/>
            <w:kern w:val="2"/>
            <w:u w:val="single"/>
            <w:shd w:val="clear" w:color="auto" w:fill="FFFFFF"/>
            <w:lang w:val="en-GB"/>
            <w14:ligatures w14:val="standardContextual"/>
          </w:rPr>
          <w:t>https://www.oecd.org/content/dam/oecd/en/publications/reports/2021/02/federalism-and-public-health-decentralisation-in-the-time-of-covid-19_57f95729/b78ec8bb-en.pdf</w:t>
        </w:r>
      </w:hyperlink>
      <w:r w:rsidRPr="00440DF2">
        <w:rPr>
          <w:rFonts w:ascii="Arial" w:eastAsia="Calibri" w:hAnsi="Arial" w:cs="Arial"/>
          <w:color w:val="222222"/>
          <w:kern w:val="2"/>
          <w:shd w:val="clear" w:color="auto" w:fill="FFFFFF"/>
          <w:lang w:val="en-GB"/>
          <w14:ligatures w14:val="standardContextual"/>
        </w:rPr>
        <w:t xml:space="preserve"> </w:t>
      </w:r>
    </w:p>
    <w:p w14:paraId="25787E14" w14:textId="7D1CD264" w:rsidR="00613BA7" w:rsidRDefault="00613BA7" w:rsidP="00440DF2">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613BA7">
        <w:rPr>
          <w:rFonts w:ascii="Arial" w:eastAsia="Calibri" w:hAnsi="Arial" w:cs="Arial"/>
          <w:color w:val="222222"/>
          <w:kern w:val="2"/>
          <w:shd w:val="clear" w:color="auto" w:fill="FFFFFF"/>
          <w14:ligatures w14:val="standardContextual"/>
        </w:rPr>
        <w:t>Dirik</w:t>
      </w:r>
      <w:proofErr w:type="spellEnd"/>
      <w:r w:rsidRPr="00613BA7">
        <w:rPr>
          <w:rFonts w:ascii="Arial" w:eastAsia="Calibri" w:hAnsi="Arial" w:cs="Arial"/>
          <w:color w:val="222222"/>
          <w:kern w:val="2"/>
          <w:shd w:val="clear" w:color="auto" w:fill="FFFFFF"/>
          <w14:ligatures w14:val="standardContextual"/>
        </w:rPr>
        <w:t xml:space="preserve">, H.F., </w:t>
      </w:r>
      <w:proofErr w:type="spellStart"/>
      <w:r w:rsidRPr="00613BA7">
        <w:rPr>
          <w:rFonts w:ascii="Arial" w:eastAsia="Calibri" w:hAnsi="Arial" w:cs="Arial"/>
          <w:color w:val="222222"/>
          <w:kern w:val="2"/>
          <w:shd w:val="clear" w:color="auto" w:fill="FFFFFF"/>
          <w14:ligatures w14:val="standardContextual"/>
        </w:rPr>
        <w:t>Theiakouli</w:t>
      </w:r>
      <w:proofErr w:type="spellEnd"/>
      <w:r w:rsidRPr="00613BA7">
        <w:rPr>
          <w:rFonts w:ascii="Arial" w:eastAsia="Calibri" w:hAnsi="Arial" w:cs="Arial"/>
          <w:color w:val="222222"/>
          <w:kern w:val="2"/>
          <w:shd w:val="clear" w:color="auto" w:fill="FFFFFF"/>
          <w14:ligatures w14:val="standardContextual"/>
        </w:rPr>
        <w:t xml:space="preserve">, C. and Efstathiou, N. (2026) </w:t>
      </w:r>
      <w:r>
        <w:rPr>
          <w:rFonts w:ascii="Arial" w:eastAsia="Calibri" w:hAnsi="Arial" w:cs="Arial"/>
          <w:color w:val="222222"/>
          <w:kern w:val="2"/>
          <w:shd w:val="clear" w:color="auto" w:fill="FFFFFF"/>
          <w14:ligatures w14:val="standardContextual"/>
        </w:rPr>
        <w:t>‘</w:t>
      </w:r>
      <w:r w:rsidRPr="00613BA7">
        <w:rPr>
          <w:rFonts w:ascii="Arial" w:eastAsia="Calibri" w:hAnsi="Arial" w:cs="Arial"/>
          <w:color w:val="222222"/>
          <w:kern w:val="2"/>
          <w:shd w:val="clear" w:color="auto" w:fill="FFFFFF"/>
          <w14:ligatures w14:val="standardContextual"/>
        </w:rPr>
        <w:t>The Influence of Nursing Leadership Styles on Medication Safety: A Mixed</w:t>
      </w:r>
      <w:r w:rsidRPr="00613BA7">
        <w:rPr>
          <w:rFonts w:ascii="Cambria Math" w:eastAsia="Calibri" w:hAnsi="Cambria Math" w:cs="Cambria Math"/>
          <w:color w:val="222222"/>
          <w:kern w:val="2"/>
          <w:shd w:val="clear" w:color="auto" w:fill="FFFFFF"/>
          <w14:ligatures w14:val="standardContextual"/>
        </w:rPr>
        <w:t>‐</w:t>
      </w:r>
      <w:r w:rsidRPr="00613BA7">
        <w:rPr>
          <w:rFonts w:ascii="Arial" w:eastAsia="Calibri" w:hAnsi="Arial" w:cs="Arial"/>
          <w:color w:val="222222"/>
          <w:kern w:val="2"/>
          <w:shd w:val="clear" w:color="auto" w:fill="FFFFFF"/>
          <w14:ligatures w14:val="standardContextual"/>
        </w:rPr>
        <w:t>Methods Systematic Review,</w:t>
      </w:r>
      <w:r>
        <w:rPr>
          <w:rFonts w:ascii="Arial" w:eastAsia="Calibri" w:hAnsi="Arial" w:cs="Arial"/>
          <w:color w:val="222222"/>
          <w:kern w:val="2"/>
          <w:shd w:val="clear" w:color="auto" w:fill="FFFFFF"/>
          <w14:ligatures w14:val="standardContextual"/>
        </w:rPr>
        <w:t>’</w:t>
      </w:r>
      <w:r w:rsidRPr="00613BA7">
        <w:rPr>
          <w:rFonts w:ascii="Arial" w:eastAsia="Calibri" w:hAnsi="Arial" w:cs="Arial"/>
          <w:color w:val="222222"/>
          <w:kern w:val="2"/>
          <w:shd w:val="clear" w:color="auto" w:fill="FFFFFF"/>
          <w14:ligatures w14:val="standardContextual"/>
        </w:rPr>
        <w:t> </w:t>
      </w:r>
      <w:r w:rsidRPr="00613BA7">
        <w:rPr>
          <w:rFonts w:ascii="Arial" w:eastAsia="Calibri" w:hAnsi="Arial" w:cs="Arial"/>
          <w:i/>
          <w:iCs/>
          <w:color w:val="222222"/>
          <w:kern w:val="2"/>
          <w:shd w:val="clear" w:color="auto" w:fill="FFFFFF"/>
          <w14:ligatures w14:val="standardContextual"/>
        </w:rPr>
        <w:t xml:space="preserve">International </w:t>
      </w:r>
      <w:r>
        <w:rPr>
          <w:rFonts w:ascii="Arial" w:eastAsia="Calibri" w:hAnsi="Arial" w:cs="Arial"/>
          <w:i/>
          <w:iCs/>
          <w:color w:val="222222"/>
          <w:kern w:val="2"/>
          <w:shd w:val="clear" w:color="auto" w:fill="FFFFFF"/>
          <w14:ligatures w14:val="standardContextual"/>
        </w:rPr>
        <w:t>Nursing Review</w:t>
      </w:r>
      <w:r w:rsidRPr="00613BA7">
        <w:rPr>
          <w:rFonts w:ascii="Arial" w:eastAsia="Calibri" w:hAnsi="Arial" w:cs="Arial"/>
          <w:color w:val="222222"/>
          <w:kern w:val="2"/>
          <w:shd w:val="clear" w:color="auto" w:fill="FFFFFF"/>
          <w14:ligatures w14:val="standardContextual"/>
        </w:rPr>
        <w:t xml:space="preserve">, 73(1), pp. e70166-n/a. Available at: </w:t>
      </w:r>
      <w:hyperlink r:id="rId21" w:history="1">
        <w:r w:rsidRPr="002823CE">
          <w:rPr>
            <w:rStyle w:val="Hyperlink"/>
            <w:rFonts w:ascii="Arial" w:eastAsia="Calibri" w:hAnsi="Arial" w:cs="Arial"/>
            <w:kern w:val="2"/>
            <w:shd w:val="clear" w:color="auto" w:fill="FFFFFF"/>
            <w14:ligatures w14:val="standardContextual"/>
          </w:rPr>
          <w:t>https://doi.org/10.1111/inr.70166</w:t>
        </w:r>
      </w:hyperlink>
    </w:p>
    <w:p w14:paraId="70CACD94" w14:textId="76BC6EE2" w:rsidR="00BC0567" w:rsidRDefault="00BC0567" w:rsidP="00440DF2">
      <w:pPr>
        <w:spacing w:before="240" w:after="160" w:line="360" w:lineRule="auto"/>
        <w:jc w:val="both"/>
        <w:rPr>
          <w:rFonts w:ascii="Arial" w:eastAsia="Calibri" w:hAnsi="Arial" w:cs="Arial"/>
          <w:color w:val="222222"/>
          <w:kern w:val="2"/>
          <w:shd w:val="clear" w:color="auto" w:fill="FFFFFF"/>
          <w14:ligatures w14:val="standardContextual"/>
        </w:rPr>
      </w:pPr>
      <w:r w:rsidRPr="00BC0567">
        <w:rPr>
          <w:rFonts w:ascii="Arial" w:eastAsia="Calibri" w:hAnsi="Arial" w:cs="Arial"/>
          <w:color w:val="222222"/>
          <w:kern w:val="2"/>
          <w:shd w:val="clear" w:color="auto" w:fill="FFFFFF"/>
          <w14:ligatures w14:val="standardContextual"/>
        </w:rPr>
        <w:t xml:space="preserve">Do, V., Harvey, K. and </w:t>
      </w:r>
      <w:proofErr w:type="spellStart"/>
      <w:r w:rsidRPr="00BC0567">
        <w:rPr>
          <w:rFonts w:ascii="Arial" w:eastAsia="Calibri" w:hAnsi="Arial" w:cs="Arial"/>
          <w:color w:val="222222"/>
          <w:kern w:val="2"/>
          <w:shd w:val="clear" w:color="auto" w:fill="FFFFFF"/>
          <w14:ligatures w14:val="standardContextual"/>
        </w:rPr>
        <w:t>Maniate</w:t>
      </w:r>
      <w:proofErr w:type="spellEnd"/>
      <w:r w:rsidRPr="00BC0567">
        <w:rPr>
          <w:rFonts w:ascii="Arial" w:eastAsia="Calibri" w:hAnsi="Arial" w:cs="Arial"/>
          <w:color w:val="222222"/>
          <w:kern w:val="2"/>
          <w:shd w:val="clear" w:color="auto" w:fill="FFFFFF"/>
          <w14:ligatures w14:val="standardContextual"/>
        </w:rPr>
        <w:t xml:space="preserve">, J.M. (2026) </w:t>
      </w:r>
      <w:r w:rsidR="00292D50">
        <w:rPr>
          <w:rFonts w:ascii="Arial" w:eastAsia="Calibri" w:hAnsi="Arial" w:cs="Arial"/>
          <w:color w:val="222222"/>
          <w:kern w:val="2"/>
          <w:shd w:val="clear" w:color="auto" w:fill="FFFFFF"/>
          <w14:ligatures w14:val="standardContextual"/>
        </w:rPr>
        <w:t>‘</w:t>
      </w:r>
      <w:r w:rsidRPr="00BC0567">
        <w:rPr>
          <w:rFonts w:ascii="Arial" w:eastAsia="Calibri" w:hAnsi="Arial" w:cs="Arial"/>
          <w:color w:val="222222"/>
          <w:kern w:val="2"/>
          <w:shd w:val="clear" w:color="auto" w:fill="FFFFFF"/>
          <w14:ligatures w14:val="standardContextual"/>
        </w:rPr>
        <w:t>A conceptual framework for health-promoting leadership in healthcare inspired by the Okanagan Charter,</w:t>
      </w:r>
      <w:r w:rsidR="00292D50">
        <w:rPr>
          <w:rFonts w:ascii="Arial" w:eastAsia="Calibri" w:hAnsi="Arial" w:cs="Arial"/>
          <w:color w:val="222222"/>
          <w:kern w:val="2"/>
          <w:shd w:val="clear" w:color="auto" w:fill="FFFFFF"/>
          <w14:ligatures w14:val="standardContextual"/>
        </w:rPr>
        <w:t>’</w:t>
      </w:r>
      <w:r w:rsidRPr="00BC0567">
        <w:rPr>
          <w:rFonts w:ascii="Arial" w:eastAsia="Calibri" w:hAnsi="Arial" w:cs="Arial"/>
          <w:color w:val="222222"/>
          <w:kern w:val="2"/>
          <w:shd w:val="clear" w:color="auto" w:fill="FFFFFF"/>
          <w14:ligatures w14:val="standardContextual"/>
        </w:rPr>
        <w:t> </w:t>
      </w:r>
      <w:r w:rsidRPr="00BC0567">
        <w:rPr>
          <w:rFonts w:ascii="Arial" w:eastAsia="Calibri" w:hAnsi="Arial" w:cs="Arial"/>
          <w:i/>
          <w:iCs/>
          <w:color w:val="222222"/>
          <w:kern w:val="2"/>
          <w:shd w:val="clear" w:color="auto" w:fill="FFFFFF"/>
          <w14:ligatures w14:val="standardContextual"/>
        </w:rPr>
        <w:t xml:space="preserve">International </w:t>
      </w:r>
      <w:r w:rsidR="00292D50">
        <w:rPr>
          <w:rFonts w:ascii="Arial" w:eastAsia="Calibri" w:hAnsi="Arial" w:cs="Arial"/>
          <w:i/>
          <w:iCs/>
          <w:color w:val="222222"/>
          <w:kern w:val="2"/>
          <w:shd w:val="clear" w:color="auto" w:fill="FFFFFF"/>
          <w14:ligatures w14:val="standardContextual"/>
        </w:rPr>
        <w:t>J</w:t>
      </w:r>
      <w:r w:rsidRPr="00BC0567">
        <w:rPr>
          <w:rFonts w:ascii="Arial" w:eastAsia="Calibri" w:hAnsi="Arial" w:cs="Arial"/>
          <w:i/>
          <w:iCs/>
          <w:color w:val="222222"/>
          <w:kern w:val="2"/>
          <w:shd w:val="clear" w:color="auto" w:fill="FFFFFF"/>
          <w14:ligatures w14:val="standardContextual"/>
        </w:rPr>
        <w:t xml:space="preserve">ournal of </w:t>
      </w:r>
      <w:r w:rsidR="00292D50">
        <w:rPr>
          <w:rFonts w:ascii="Arial" w:eastAsia="Calibri" w:hAnsi="Arial" w:cs="Arial"/>
          <w:i/>
          <w:iCs/>
          <w:color w:val="222222"/>
          <w:kern w:val="2"/>
          <w:shd w:val="clear" w:color="auto" w:fill="FFFFFF"/>
          <w14:ligatures w14:val="standardContextual"/>
        </w:rPr>
        <w:t>H</w:t>
      </w:r>
      <w:r w:rsidRPr="00BC0567">
        <w:rPr>
          <w:rFonts w:ascii="Arial" w:eastAsia="Calibri" w:hAnsi="Arial" w:cs="Arial"/>
          <w:i/>
          <w:iCs/>
          <w:color w:val="222222"/>
          <w:kern w:val="2"/>
          <w:shd w:val="clear" w:color="auto" w:fill="FFFFFF"/>
          <w14:ligatures w14:val="standardContextual"/>
        </w:rPr>
        <w:t xml:space="preserve">ealth </w:t>
      </w:r>
      <w:r w:rsidR="00292D50">
        <w:rPr>
          <w:rFonts w:ascii="Arial" w:eastAsia="Calibri" w:hAnsi="Arial" w:cs="Arial"/>
          <w:i/>
          <w:iCs/>
          <w:color w:val="222222"/>
          <w:kern w:val="2"/>
          <w:shd w:val="clear" w:color="auto" w:fill="FFFFFF"/>
          <w14:ligatures w14:val="standardContextual"/>
        </w:rPr>
        <w:t>C</w:t>
      </w:r>
      <w:r w:rsidRPr="00BC0567">
        <w:rPr>
          <w:rFonts w:ascii="Arial" w:eastAsia="Calibri" w:hAnsi="Arial" w:cs="Arial"/>
          <w:i/>
          <w:iCs/>
          <w:color w:val="222222"/>
          <w:kern w:val="2"/>
          <w:shd w:val="clear" w:color="auto" w:fill="FFFFFF"/>
          <w14:ligatures w14:val="standardContextual"/>
        </w:rPr>
        <w:t xml:space="preserve">are </w:t>
      </w:r>
      <w:r w:rsidR="00292D50">
        <w:rPr>
          <w:rFonts w:ascii="Arial" w:eastAsia="Calibri" w:hAnsi="Arial" w:cs="Arial"/>
          <w:i/>
          <w:iCs/>
          <w:color w:val="222222"/>
          <w:kern w:val="2"/>
          <w:shd w:val="clear" w:color="auto" w:fill="FFFFFF"/>
          <w14:ligatures w14:val="standardContextual"/>
        </w:rPr>
        <w:t>Quality Assurance</w:t>
      </w:r>
      <w:r w:rsidRPr="00BC0567">
        <w:rPr>
          <w:rFonts w:ascii="Arial" w:eastAsia="Calibri" w:hAnsi="Arial" w:cs="Arial"/>
          <w:i/>
          <w:iCs/>
          <w:color w:val="222222"/>
          <w:kern w:val="2"/>
          <w:shd w:val="clear" w:color="auto" w:fill="FFFFFF"/>
          <w14:ligatures w14:val="standardContextual"/>
        </w:rPr>
        <w:t xml:space="preserve"> </w:t>
      </w:r>
      <w:r w:rsidR="00292D50">
        <w:rPr>
          <w:rFonts w:ascii="Arial" w:eastAsia="Calibri" w:hAnsi="Arial" w:cs="Arial"/>
          <w:i/>
          <w:iCs/>
          <w:color w:val="222222"/>
          <w:kern w:val="2"/>
          <w:shd w:val="clear" w:color="auto" w:fill="FFFFFF"/>
          <w14:ligatures w14:val="standardContextual"/>
        </w:rPr>
        <w:t>I</w:t>
      </w:r>
      <w:r w:rsidRPr="00BC0567">
        <w:rPr>
          <w:rFonts w:ascii="Arial" w:eastAsia="Calibri" w:hAnsi="Arial" w:cs="Arial"/>
          <w:i/>
          <w:iCs/>
          <w:color w:val="222222"/>
          <w:kern w:val="2"/>
          <w:shd w:val="clear" w:color="auto" w:fill="FFFFFF"/>
          <w14:ligatures w14:val="standardContextual"/>
        </w:rPr>
        <w:t xml:space="preserve">ncorporating Leadership in </w:t>
      </w:r>
      <w:r w:rsidR="00292D50">
        <w:rPr>
          <w:rFonts w:ascii="Arial" w:eastAsia="Calibri" w:hAnsi="Arial" w:cs="Arial"/>
          <w:i/>
          <w:iCs/>
          <w:color w:val="222222"/>
          <w:kern w:val="2"/>
          <w:shd w:val="clear" w:color="auto" w:fill="FFFFFF"/>
          <w14:ligatures w14:val="standardContextual"/>
        </w:rPr>
        <w:t>H</w:t>
      </w:r>
      <w:r w:rsidRPr="00BC0567">
        <w:rPr>
          <w:rFonts w:ascii="Arial" w:eastAsia="Calibri" w:hAnsi="Arial" w:cs="Arial"/>
          <w:i/>
          <w:iCs/>
          <w:color w:val="222222"/>
          <w:kern w:val="2"/>
          <w:shd w:val="clear" w:color="auto" w:fill="FFFFFF"/>
          <w14:ligatures w14:val="standardContextual"/>
        </w:rPr>
        <w:t xml:space="preserve">ealth </w:t>
      </w:r>
      <w:r w:rsidR="00292D50">
        <w:rPr>
          <w:rFonts w:ascii="Arial" w:eastAsia="Calibri" w:hAnsi="Arial" w:cs="Arial"/>
          <w:i/>
          <w:iCs/>
          <w:color w:val="222222"/>
          <w:kern w:val="2"/>
          <w:shd w:val="clear" w:color="auto" w:fill="FFFFFF"/>
          <w14:ligatures w14:val="standardContextual"/>
        </w:rPr>
        <w:t>S</w:t>
      </w:r>
      <w:r w:rsidRPr="00BC0567">
        <w:rPr>
          <w:rFonts w:ascii="Arial" w:eastAsia="Calibri" w:hAnsi="Arial" w:cs="Arial"/>
          <w:i/>
          <w:iCs/>
          <w:color w:val="222222"/>
          <w:kern w:val="2"/>
          <w:shd w:val="clear" w:color="auto" w:fill="FFFFFF"/>
          <w14:ligatures w14:val="standardContextual"/>
        </w:rPr>
        <w:t>ervices</w:t>
      </w:r>
      <w:r w:rsidRPr="00BC0567">
        <w:rPr>
          <w:rFonts w:ascii="Arial" w:eastAsia="Calibri" w:hAnsi="Arial" w:cs="Arial"/>
          <w:color w:val="222222"/>
          <w:kern w:val="2"/>
          <w:shd w:val="clear" w:color="auto" w:fill="FFFFFF"/>
          <w14:ligatures w14:val="standardContextual"/>
        </w:rPr>
        <w:t xml:space="preserve">, 39(2), pp. 298–308. Available at: </w:t>
      </w:r>
      <w:hyperlink r:id="rId22" w:history="1">
        <w:r w:rsidRPr="00566268">
          <w:rPr>
            <w:rStyle w:val="Hyperlink"/>
            <w:rFonts w:ascii="Arial" w:eastAsia="Calibri" w:hAnsi="Arial" w:cs="Arial"/>
            <w:kern w:val="2"/>
            <w:shd w:val="clear" w:color="auto" w:fill="FFFFFF"/>
            <w14:ligatures w14:val="standardContextual"/>
          </w:rPr>
          <w:t>https://doi.org/10.1108/LHS-07-2025-0116</w:t>
        </w:r>
      </w:hyperlink>
    </w:p>
    <w:p w14:paraId="03CE5ED7" w14:textId="1B97A70E"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 xml:space="preserve">Elliott, R.A., Camacho, E., Jankovic, D., </w:t>
      </w:r>
      <w:proofErr w:type="spellStart"/>
      <w:r w:rsidRPr="00440DF2">
        <w:rPr>
          <w:rFonts w:ascii="Arial" w:eastAsia="Calibri" w:hAnsi="Arial" w:cs="Arial"/>
          <w:color w:val="222222"/>
          <w:kern w:val="2"/>
          <w:shd w:val="clear" w:color="auto" w:fill="FFFFFF"/>
          <w:lang w:val="en-GB"/>
          <w14:ligatures w14:val="standardContextual"/>
        </w:rPr>
        <w:t>Sculpher</w:t>
      </w:r>
      <w:proofErr w:type="spellEnd"/>
      <w:r w:rsidRPr="00440DF2">
        <w:rPr>
          <w:rFonts w:ascii="Arial" w:eastAsia="Calibri" w:hAnsi="Arial" w:cs="Arial"/>
          <w:color w:val="222222"/>
          <w:kern w:val="2"/>
          <w:shd w:val="clear" w:color="auto" w:fill="FFFFFF"/>
          <w:lang w:val="en-GB"/>
          <w14:ligatures w14:val="standardContextual"/>
        </w:rPr>
        <w:t xml:space="preserve">, M.J. and Faria, R. </w:t>
      </w:r>
      <w:r w:rsidR="00D8385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2021</w:t>
      </w:r>
      <w:r w:rsidR="00D8385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xml:space="preserve"> Economic analysis of the prevalence and clinical and economic burden of medication error in England. </w:t>
      </w:r>
      <w:r w:rsidRPr="00440DF2">
        <w:rPr>
          <w:rFonts w:ascii="Arial" w:eastAsia="Calibri" w:hAnsi="Arial" w:cs="Arial"/>
          <w:i/>
          <w:iCs/>
          <w:color w:val="222222"/>
          <w:kern w:val="2"/>
          <w:shd w:val="clear" w:color="auto" w:fill="FFFFFF"/>
          <w:lang w:val="en-GB"/>
          <w14:ligatures w14:val="standardContextual"/>
        </w:rPr>
        <w:t>BMJ Quality &amp; Safety</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30</w:t>
      </w:r>
      <w:r w:rsidRPr="00440DF2">
        <w:rPr>
          <w:rFonts w:ascii="Arial" w:eastAsia="Calibri" w:hAnsi="Arial" w:cs="Arial"/>
          <w:color w:val="222222"/>
          <w:kern w:val="2"/>
          <w:shd w:val="clear" w:color="auto" w:fill="FFFFFF"/>
          <w:lang w:val="en-GB"/>
          <w14:ligatures w14:val="standardContextual"/>
        </w:rPr>
        <w:t>(2), pp.96-105.</w:t>
      </w:r>
      <w:r w:rsidR="00E47354"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23" w:history="1">
        <w:r w:rsidRPr="00440DF2">
          <w:rPr>
            <w:rFonts w:ascii="Arial" w:eastAsia="Calibri" w:hAnsi="Arial" w:cs="Arial"/>
            <w:color w:val="0563C1"/>
            <w:kern w:val="2"/>
            <w:u w:val="single"/>
            <w:shd w:val="clear" w:color="auto" w:fill="FFFFFF"/>
            <w:lang w:val="en-GB"/>
            <w14:ligatures w14:val="standardContextual"/>
          </w:rPr>
          <w:t>https://qualitysafety.bmj.com/content/30/2/96.abstract</w:t>
        </w:r>
      </w:hyperlink>
      <w:r w:rsidRPr="00440DF2">
        <w:rPr>
          <w:rFonts w:ascii="Arial" w:eastAsia="Calibri" w:hAnsi="Arial" w:cs="Arial"/>
          <w:color w:val="222222"/>
          <w:kern w:val="2"/>
          <w:shd w:val="clear" w:color="auto" w:fill="FFFFFF"/>
          <w:lang w:val="en-GB"/>
          <w14:ligatures w14:val="standardContextual"/>
        </w:rPr>
        <w:t xml:space="preserve"> </w:t>
      </w:r>
    </w:p>
    <w:p w14:paraId="1F1905F8" w14:textId="6CA17B56"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 xml:space="preserve">Han, J.E.D., Ibrahim, H., </w:t>
      </w:r>
      <w:proofErr w:type="spellStart"/>
      <w:r w:rsidRPr="00440DF2">
        <w:rPr>
          <w:rFonts w:ascii="Arial" w:eastAsia="Calibri" w:hAnsi="Arial" w:cs="Arial"/>
          <w:color w:val="222222"/>
          <w:kern w:val="2"/>
          <w:shd w:val="clear" w:color="auto" w:fill="FFFFFF"/>
          <w:lang w:val="en-GB"/>
          <w14:ligatures w14:val="standardContextual"/>
        </w:rPr>
        <w:t>Aiyegbusi</w:t>
      </w:r>
      <w:proofErr w:type="spellEnd"/>
      <w:r w:rsidRPr="00440DF2">
        <w:rPr>
          <w:rFonts w:ascii="Arial" w:eastAsia="Calibri" w:hAnsi="Arial" w:cs="Arial"/>
          <w:color w:val="222222"/>
          <w:kern w:val="2"/>
          <w:shd w:val="clear" w:color="auto" w:fill="FFFFFF"/>
          <w:lang w:val="en-GB"/>
          <w14:ligatures w14:val="standardContextual"/>
        </w:rPr>
        <w:t>, O.L., Liu, X., Marston, E., Denniston, A.K. and Calvert, M.J. (2022) ‘Opportunities and risks of UK medical device reform.</w:t>
      </w:r>
      <w:r w:rsidR="00E47354"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 xml:space="preserve">Therapeutic </w:t>
      </w:r>
      <w:r w:rsidR="00E47354" w:rsidRPr="00440DF2">
        <w:rPr>
          <w:rFonts w:ascii="Arial" w:eastAsia="Calibri" w:hAnsi="Arial" w:cs="Arial"/>
          <w:i/>
          <w:iCs/>
          <w:color w:val="222222"/>
          <w:kern w:val="2"/>
          <w:shd w:val="clear" w:color="auto" w:fill="FFFFFF"/>
          <w:lang w:val="en-GB"/>
          <w14:ligatures w14:val="standardContextual"/>
        </w:rPr>
        <w:t>I</w:t>
      </w:r>
      <w:r w:rsidRPr="00440DF2">
        <w:rPr>
          <w:rFonts w:ascii="Arial" w:eastAsia="Calibri" w:hAnsi="Arial" w:cs="Arial"/>
          <w:i/>
          <w:iCs/>
          <w:color w:val="222222"/>
          <w:kern w:val="2"/>
          <w:shd w:val="clear" w:color="auto" w:fill="FFFFFF"/>
          <w:lang w:val="en-GB"/>
          <w14:ligatures w14:val="standardContextual"/>
        </w:rPr>
        <w:t xml:space="preserve">nnovation &amp; </w:t>
      </w:r>
      <w:r w:rsidR="00E47354" w:rsidRPr="00440DF2">
        <w:rPr>
          <w:rFonts w:ascii="Arial" w:eastAsia="Calibri" w:hAnsi="Arial" w:cs="Arial"/>
          <w:i/>
          <w:iCs/>
          <w:color w:val="222222"/>
          <w:kern w:val="2"/>
          <w:shd w:val="clear" w:color="auto" w:fill="FFFFFF"/>
          <w:lang w:val="en-GB"/>
          <w14:ligatures w14:val="standardContextual"/>
        </w:rPr>
        <w:t>Regulatory Science</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56</w:t>
      </w:r>
      <w:r w:rsidRPr="00440DF2">
        <w:rPr>
          <w:rFonts w:ascii="Arial" w:eastAsia="Calibri" w:hAnsi="Arial" w:cs="Arial"/>
          <w:color w:val="222222"/>
          <w:kern w:val="2"/>
          <w:shd w:val="clear" w:color="auto" w:fill="FFFFFF"/>
          <w:lang w:val="en-GB"/>
          <w14:ligatures w14:val="standardContextual"/>
        </w:rPr>
        <w:t>(4), pp.596-606’.</w:t>
      </w:r>
      <w:r w:rsidR="00E47354"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24" w:history="1">
        <w:r w:rsidRPr="00440DF2">
          <w:rPr>
            <w:rFonts w:ascii="Arial" w:eastAsia="Calibri" w:hAnsi="Arial" w:cs="Arial"/>
            <w:color w:val="0563C1"/>
            <w:kern w:val="2"/>
            <w:u w:val="single"/>
            <w:shd w:val="clear" w:color="auto" w:fill="FFFFFF"/>
            <w:lang w:val="en-GB"/>
            <w14:ligatures w14:val="standardContextual"/>
          </w:rPr>
          <w:t>https://link.springer.com/article/10.1007/s43441-022-00394-0</w:t>
        </w:r>
      </w:hyperlink>
      <w:r w:rsidRPr="00440DF2">
        <w:rPr>
          <w:rFonts w:ascii="Arial" w:eastAsia="Calibri" w:hAnsi="Arial" w:cs="Arial"/>
          <w:color w:val="222222"/>
          <w:kern w:val="2"/>
          <w:shd w:val="clear" w:color="auto" w:fill="FFFFFF"/>
          <w:lang w:val="en-GB"/>
          <w14:ligatures w14:val="standardContextual"/>
        </w:rPr>
        <w:t xml:space="preserve"> </w:t>
      </w:r>
    </w:p>
    <w:p w14:paraId="1E06C6D9" w14:textId="2F821C3A"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lastRenderedPageBreak/>
        <w:t xml:space="preserve">Hodgkinson, G.P. and Ferguson, J. (2023) ‘Addressing the adaptive challenges of leadership and </w:t>
      </w:r>
      <w:r w:rsidR="00D47788" w:rsidRPr="00440DF2">
        <w:rPr>
          <w:rFonts w:ascii="Arial" w:eastAsia="Calibri" w:hAnsi="Arial" w:cs="Arial"/>
          <w:color w:val="222222"/>
          <w:kern w:val="2"/>
          <w:shd w:val="clear" w:color="auto" w:fill="FFFFFF"/>
          <w:lang w:val="en-GB"/>
          <w14:ligatures w14:val="standardContextual"/>
        </w:rPr>
        <w:t>organisational</w:t>
      </w:r>
      <w:r w:rsidRPr="00440DF2">
        <w:rPr>
          <w:rFonts w:ascii="Arial" w:eastAsia="Calibri" w:hAnsi="Arial" w:cs="Arial"/>
          <w:color w:val="222222"/>
          <w:kern w:val="2"/>
          <w:shd w:val="clear" w:color="auto" w:fill="FFFFFF"/>
          <w:lang w:val="en-GB"/>
          <w14:ligatures w14:val="standardContextual"/>
        </w:rPr>
        <w:t xml:space="preserve"> decision making in healthcare settings: A dynamic managerial capabilities perspective’. In </w:t>
      </w:r>
      <w:r w:rsidRPr="00440DF2">
        <w:rPr>
          <w:rFonts w:ascii="Arial" w:eastAsia="Calibri" w:hAnsi="Arial" w:cs="Arial"/>
          <w:i/>
          <w:iCs/>
          <w:color w:val="222222"/>
          <w:kern w:val="2"/>
          <w:shd w:val="clear" w:color="auto" w:fill="FFFFFF"/>
          <w:lang w:val="en-GB"/>
          <w14:ligatures w14:val="standardContextual"/>
        </w:rPr>
        <w:t xml:space="preserve">Research </w:t>
      </w:r>
      <w:r w:rsidR="00D47788" w:rsidRPr="00440DF2">
        <w:rPr>
          <w:rFonts w:ascii="Arial" w:eastAsia="Calibri" w:hAnsi="Arial" w:cs="Arial"/>
          <w:i/>
          <w:iCs/>
          <w:color w:val="222222"/>
          <w:kern w:val="2"/>
          <w:shd w:val="clear" w:color="auto" w:fill="FFFFFF"/>
          <w:lang w:val="en-GB"/>
          <w14:ligatures w14:val="standardContextual"/>
        </w:rPr>
        <w:t>Handbook</w:t>
      </w:r>
      <w:r w:rsidRPr="00440DF2">
        <w:rPr>
          <w:rFonts w:ascii="Arial" w:eastAsia="Calibri" w:hAnsi="Arial" w:cs="Arial"/>
          <w:i/>
          <w:iCs/>
          <w:color w:val="222222"/>
          <w:kern w:val="2"/>
          <w:shd w:val="clear" w:color="auto" w:fill="FFFFFF"/>
          <w:lang w:val="en-GB"/>
          <w14:ligatures w14:val="standardContextual"/>
        </w:rPr>
        <w:t xml:space="preserve"> on </w:t>
      </w:r>
      <w:r w:rsidR="00D47788" w:rsidRPr="00440DF2">
        <w:rPr>
          <w:rFonts w:ascii="Arial" w:eastAsia="Calibri" w:hAnsi="Arial" w:cs="Arial"/>
          <w:i/>
          <w:iCs/>
          <w:color w:val="222222"/>
          <w:kern w:val="2"/>
          <w:shd w:val="clear" w:color="auto" w:fill="FFFFFF"/>
          <w:lang w:val="en-GB"/>
          <w14:ligatures w14:val="standardContextual"/>
        </w:rPr>
        <w:t>L</w:t>
      </w:r>
      <w:r w:rsidRPr="00440DF2">
        <w:rPr>
          <w:rFonts w:ascii="Arial" w:eastAsia="Calibri" w:hAnsi="Arial" w:cs="Arial"/>
          <w:i/>
          <w:iCs/>
          <w:color w:val="222222"/>
          <w:kern w:val="2"/>
          <w:shd w:val="clear" w:color="auto" w:fill="FFFFFF"/>
          <w:lang w:val="en-GB"/>
          <w14:ligatures w14:val="standardContextual"/>
        </w:rPr>
        <w:t xml:space="preserve">eadership in </w:t>
      </w:r>
      <w:r w:rsidR="00D47788" w:rsidRPr="00440DF2">
        <w:rPr>
          <w:rFonts w:ascii="Arial" w:eastAsia="Calibri" w:hAnsi="Arial" w:cs="Arial"/>
          <w:i/>
          <w:iCs/>
          <w:color w:val="222222"/>
          <w:kern w:val="2"/>
          <w:shd w:val="clear" w:color="auto" w:fill="FFFFFF"/>
          <w:lang w:val="en-GB"/>
          <w14:ligatures w14:val="standardContextual"/>
        </w:rPr>
        <w:t>H</w:t>
      </w:r>
      <w:r w:rsidRPr="00440DF2">
        <w:rPr>
          <w:rFonts w:ascii="Arial" w:eastAsia="Calibri" w:hAnsi="Arial" w:cs="Arial"/>
          <w:i/>
          <w:iCs/>
          <w:color w:val="222222"/>
          <w:kern w:val="2"/>
          <w:shd w:val="clear" w:color="auto" w:fill="FFFFFF"/>
          <w:lang w:val="en-GB"/>
          <w14:ligatures w14:val="standardContextual"/>
        </w:rPr>
        <w:t>ealthcare</w:t>
      </w:r>
      <w:r w:rsidRPr="00440DF2">
        <w:rPr>
          <w:rFonts w:ascii="Arial" w:eastAsia="Calibri" w:hAnsi="Arial" w:cs="Arial"/>
          <w:color w:val="222222"/>
          <w:kern w:val="2"/>
          <w:shd w:val="clear" w:color="auto" w:fill="FFFFFF"/>
          <w:lang w:val="en-GB"/>
          <w14:ligatures w14:val="standardContextual"/>
        </w:rPr>
        <w:t> (pp. 204-234). Edward Elgar Publishing.</w:t>
      </w:r>
      <w:r w:rsidR="00E47354"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25" w:history="1">
        <w:r w:rsidRPr="00440DF2">
          <w:rPr>
            <w:rFonts w:ascii="Arial" w:eastAsia="Calibri" w:hAnsi="Arial" w:cs="Arial"/>
            <w:color w:val="0563C1"/>
            <w:kern w:val="2"/>
            <w:u w:val="single"/>
            <w:shd w:val="clear" w:color="auto" w:fill="FFFFFF"/>
            <w:lang w:val="en-GB"/>
            <w14:ligatures w14:val="standardContextual"/>
          </w:rPr>
          <w:t>https://www.elgaronline.com/edcollchap/book/9781800886254/book-part-9781800886254-20.xml</w:t>
        </w:r>
      </w:hyperlink>
      <w:r w:rsidRPr="00440DF2">
        <w:rPr>
          <w:rFonts w:ascii="Arial" w:eastAsia="Calibri" w:hAnsi="Arial" w:cs="Arial"/>
          <w:color w:val="222222"/>
          <w:kern w:val="2"/>
          <w:shd w:val="clear" w:color="auto" w:fill="FFFFFF"/>
          <w:lang w:val="en-GB"/>
          <w14:ligatures w14:val="standardContextual"/>
        </w:rPr>
        <w:t xml:space="preserve"> </w:t>
      </w:r>
    </w:p>
    <w:p w14:paraId="05073ED0" w14:textId="7EDCD94E"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 xml:space="preserve">Hodkinson, A., Tyler, N., Ashcroft, D.M., Keers, R.N., Khan, K., Phipps, D., </w:t>
      </w:r>
      <w:proofErr w:type="spellStart"/>
      <w:r w:rsidRPr="00440DF2">
        <w:rPr>
          <w:rFonts w:ascii="Arial" w:eastAsia="Calibri" w:hAnsi="Arial" w:cs="Arial"/>
          <w:color w:val="222222"/>
          <w:kern w:val="2"/>
          <w:shd w:val="clear" w:color="auto" w:fill="FFFFFF"/>
          <w:lang w:val="en-GB"/>
          <w14:ligatures w14:val="standardContextual"/>
        </w:rPr>
        <w:t>Abuzour</w:t>
      </w:r>
      <w:proofErr w:type="spellEnd"/>
      <w:r w:rsidRPr="00440DF2">
        <w:rPr>
          <w:rFonts w:ascii="Arial" w:eastAsia="Calibri" w:hAnsi="Arial" w:cs="Arial"/>
          <w:color w:val="222222"/>
          <w:kern w:val="2"/>
          <w:shd w:val="clear" w:color="auto" w:fill="FFFFFF"/>
          <w:lang w:val="en-GB"/>
          <w14:ligatures w14:val="standardContextual"/>
        </w:rPr>
        <w:t xml:space="preserve">, A., Bower, P., Avery, A., Campbell, S. and </w:t>
      </w:r>
      <w:proofErr w:type="spellStart"/>
      <w:r w:rsidRPr="00440DF2">
        <w:rPr>
          <w:rFonts w:ascii="Arial" w:eastAsia="Calibri" w:hAnsi="Arial" w:cs="Arial"/>
          <w:color w:val="222222"/>
          <w:kern w:val="2"/>
          <w:shd w:val="clear" w:color="auto" w:fill="FFFFFF"/>
          <w:lang w:val="en-GB"/>
          <w14:ligatures w14:val="standardContextual"/>
        </w:rPr>
        <w:t>Panagioti</w:t>
      </w:r>
      <w:proofErr w:type="spellEnd"/>
      <w:r w:rsidRPr="00440DF2">
        <w:rPr>
          <w:rFonts w:ascii="Arial" w:eastAsia="Calibri" w:hAnsi="Arial" w:cs="Arial"/>
          <w:color w:val="222222"/>
          <w:kern w:val="2"/>
          <w:shd w:val="clear" w:color="auto" w:fill="FFFFFF"/>
          <w:lang w:val="en-GB"/>
          <w14:ligatures w14:val="standardContextual"/>
        </w:rPr>
        <w:t>, M. (2020) ‘Preventable medication harm across health care settings: a systematic review and meta-analysis.</w:t>
      </w:r>
      <w:r w:rsidR="00D47788"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 xml:space="preserve">BMC </w:t>
      </w:r>
      <w:r w:rsidR="00D47788" w:rsidRPr="00440DF2">
        <w:rPr>
          <w:rFonts w:ascii="Arial" w:eastAsia="Calibri" w:hAnsi="Arial" w:cs="Arial"/>
          <w:i/>
          <w:iCs/>
          <w:color w:val="222222"/>
          <w:kern w:val="2"/>
          <w:shd w:val="clear" w:color="auto" w:fill="FFFFFF"/>
          <w:lang w:val="en-GB"/>
          <w14:ligatures w14:val="standardContextual"/>
        </w:rPr>
        <w:t>Medicine</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18</w:t>
      </w:r>
      <w:r w:rsidRPr="00440DF2">
        <w:rPr>
          <w:rFonts w:ascii="Arial" w:eastAsia="Calibri" w:hAnsi="Arial" w:cs="Arial"/>
          <w:color w:val="222222"/>
          <w:kern w:val="2"/>
          <w:shd w:val="clear" w:color="auto" w:fill="FFFFFF"/>
          <w:lang w:val="en-GB"/>
          <w14:ligatures w14:val="standardContextual"/>
        </w:rPr>
        <w:t xml:space="preserve">(1), p.313. </w:t>
      </w:r>
      <w:r w:rsidR="00D47788" w:rsidRPr="00440DF2">
        <w:rPr>
          <w:rFonts w:ascii="Arial" w:eastAsia="Calibri" w:hAnsi="Arial" w:cs="Arial"/>
          <w:color w:val="222222"/>
          <w:kern w:val="2"/>
          <w:shd w:val="clear" w:color="auto" w:fill="FFFFFF"/>
          <w:lang w:val="en-GB"/>
          <w14:ligatures w14:val="standardContextual"/>
        </w:rPr>
        <w:t>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26" w:history="1">
        <w:r w:rsidRPr="00440DF2">
          <w:rPr>
            <w:rFonts w:ascii="Arial" w:eastAsia="Calibri" w:hAnsi="Arial" w:cs="Arial"/>
            <w:color w:val="0563C1"/>
            <w:kern w:val="2"/>
            <w:u w:val="single"/>
            <w:shd w:val="clear" w:color="auto" w:fill="FFFFFF"/>
            <w:lang w:val="en-GB"/>
            <w14:ligatures w14:val="standardContextual"/>
          </w:rPr>
          <w:t>https://link.springer.com/article/10.1186/s12916-020-01774-9</w:t>
        </w:r>
      </w:hyperlink>
      <w:r w:rsidRPr="00440DF2">
        <w:rPr>
          <w:rFonts w:ascii="Arial" w:eastAsia="Calibri" w:hAnsi="Arial" w:cs="Arial"/>
          <w:color w:val="222222"/>
          <w:kern w:val="2"/>
          <w:shd w:val="clear" w:color="auto" w:fill="FFFFFF"/>
          <w:lang w:val="en-GB"/>
          <w14:ligatures w14:val="standardContextual"/>
        </w:rPr>
        <w:t xml:space="preserve"> </w:t>
      </w:r>
    </w:p>
    <w:p w14:paraId="02016C16" w14:textId="411FB706"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proofErr w:type="spellStart"/>
      <w:r w:rsidRPr="00440DF2">
        <w:rPr>
          <w:rFonts w:ascii="Arial" w:eastAsia="Calibri" w:hAnsi="Arial" w:cs="Arial"/>
          <w:color w:val="222222"/>
          <w:kern w:val="2"/>
          <w:shd w:val="clear" w:color="auto" w:fill="FFFFFF"/>
          <w:lang w:val="en-GB"/>
          <w14:ligatures w14:val="standardContextual"/>
        </w:rPr>
        <w:t>Jerjes</w:t>
      </w:r>
      <w:proofErr w:type="spellEnd"/>
      <w:r w:rsidRPr="00440DF2">
        <w:rPr>
          <w:rFonts w:ascii="Arial" w:eastAsia="Calibri" w:hAnsi="Arial" w:cs="Arial"/>
          <w:color w:val="222222"/>
          <w:kern w:val="2"/>
          <w:shd w:val="clear" w:color="auto" w:fill="FFFFFF"/>
          <w:lang w:val="en-GB"/>
          <w14:ligatures w14:val="standardContextual"/>
        </w:rPr>
        <w:t xml:space="preserve">, W. and Majeed, A. </w:t>
      </w:r>
      <w:r w:rsidR="0004360F"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2025</w:t>
      </w:r>
      <w:r w:rsidR="0004360F"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xml:space="preserve">. </w:t>
      </w:r>
      <w:r w:rsidR="0004360F"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The unseen costs of medical training in the UK: a growing crisis.</w:t>
      </w:r>
      <w:r w:rsidR="0004360F"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Frontiers in Medicine</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12</w:t>
      </w:r>
      <w:r w:rsidRPr="00440DF2">
        <w:rPr>
          <w:rFonts w:ascii="Arial" w:eastAsia="Calibri" w:hAnsi="Arial" w:cs="Arial"/>
          <w:color w:val="222222"/>
          <w:kern w:val="2"/>
          <w:shd w:val="clear" w:color="auto" w:fill="FFFFFF"/>
          <w:lang w:val="en-GB"/>
          <w14:ligatures w14:val="standardContextual"/>
        </w:rPr>
        <w:t>, p.1592010.</w:t>
      </w:r>
      <w:r w:rsidR="0004360F"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27" w:history="1">
        <w:r w:rsidRPr="00440DF2">
          <w:rPr>
            <w:rFonts w:ascii="Arial" w:eastAsia="Calibri" w:hAnsi="Arial" w:cs="Arial"/>
            <w:color w:val="0563C1"/>
            <w:kern w:val="2"/>
            <w:u w:val="single"/>
            <w:shd w:val="clear" w:color="auto" w:fill="FFFFFF"/>
            <w:lang w:val="en-GB"/>
            <w14:ligatures w14:val="standardContextual"/>
          </w:rPr>
          <w:t>https://www.frontiersin.org/journals/medicine/articles/10.3389/fmed.2025.1592010/full</w:t>
        </w:r>
      </w:hyperlink>
      <w:r w:rsidRPr="00440DF2">
        <w:rPr>
          <w:rFonts w:ascii="Arial" w:eastAsia="Calibri" w:hAnsi="Arial" w:cs="Arial"/>
          <w:color w:val="222222"/>
          <w:kern w:val="2"/>
          <w:shd w:val="clear" w:color="auto" w:fill="FFFFFF"/>
          <w:lang w:val="en-GB"/>
          <w14:ligatures w14:val="standardContextual"/>
        </w:rPr>
        <w:t xml:space="preserve"> </w:t>
      </w:r>
    </w:p>
    <w:p w14:paraId="0B9C3627" w14:textId="41C3AE94"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 xml:space="preserve">Johnson, M.J., Williams, B., </w:t>
      </w:r>
      <w:proofErr w:type="spellStart"/>
      <w:r w:rsidRPr="00440DF2">
        <w:rPr>
          <w:rFonts w:ascii="Arial" w:eastAsia="Calibri" w:hAnsi="Arial" w:cs="Arial"/>
          <w:color w:val="222222"/>
          <w:kern w:val="2"/>
          <w:shd w:val="clear" w:color="auto" w:fill="FFFFFF"/>
          <w:lang w:val="en-GB"/>
          <w14:ligatures w14:val="standardContextual"/>
        </w:rPr>
        <w:t>Keerie</w:t>
      </w:r>
      <w:proofErr w:type="spellEnd"/>
      <w:r w:rsidRPr="00440DF2">
        <w:rPr>
          <w:rFonts w:ascii="Arial" w:eastAsia="Calibri" w:hAnsi="Arial" w:cs="Arial"/>
          <w:color w:val="222222"/>
          <w:kern w:val="2"/>
          <w:shd w:val="clear" w:color="auto" w:fill="FFFFFF"/>
          <w:lang w:val="en-GB"/>
          <w14:ligatures w14:val="standardContextual"/>
        </w:rPr>
        <w:t xml:space="preserve">, C., Tuck, S., Hart, S., </w:t>
      </w:r>
      <w:proofErr w:type="spellStart"/>
      <w:r w:rsidRPr="00440DF2">
        <w:rPr>
          <w:rFonts w:ascii="Arial" w:eastAsia="Calibri" w:hAnsi="Arial" w:cs="Arial"/>
          <w:color w:val="222222"/>
          <w:kern w:val="2"/>
          <w:shd w:val="clear" w:color="auto" w:fill="FFFFFF"/>
          <w:lang w:val="en-GB"/>
          <w14:ligatures w14:val="standardContextual"/>
        </w:rPr>
        <w:t>Bajwah</w:t>
      </w:r>
      <w:proofErr w:type="spellEnd"/>
      <w:r w:rsidRPr="00440DF2">
        <w:rPr>
          <w:rFonts w:ascii="Arial" w:eastAsia="Calibri" w:hAnsi="Arial" w:cs="Arial"/>
          <w:color w:val="222222"/>
          <w:kern w:val="2"/>
          <w:shd w:val="clear" w:color="auto" w:fill="FFFFFF"/>
          <w:lang w:val="en-GB"/>
          <w14:ligatures w14:val="standardContextual"/>
        </w:rPr>
        <w:t xml:space="preserve">, S., Chaudhuri, N., Pearson, M., Cohen, J., Evans, R.A. and </w:t>
      </w:r>
      <w:proofErr w:type="spellStart"/>
      <w:r w:rsidRPr="00440DF2">
        <w:rPr>
          <w:rFonts w:ascii="Arial" w:eastAsia="Calibri" w:hAnsi="Arial" w:cs="Arial"/>
          <w:color w:val="222222"/>
          <w:kern w:val="2"/>
          <w:shd w:val="clear" w:color="auto" w:fill="FFFFFF"/>
          <w:lang w:val="en-GB"/>
          <w14:ligatures w14:val="standardContextual"/>
        </w:rPr>
        <w:t>Currow</w:t>
      </w:r>
      <w:proofErr w:type="spellEnd"/>
      <w:r w:rsidRPr="00440DF2">
        <w:rPr>
          <w:rFonts w:ascii="Arial" w:eastAsia="Calibri" w:hAnsi="Arial" w:cs="Arial"/>
          <w:color w:val="222222"/>
          <w:kern w:val="2"/>
          <w:shd w:val="clear" w:color="auto" w:fill="FFFFFF"/>
          <w:lang w:val="en-GB"/>
          <w14:ligatures w14:val="standardContextual"/>
        </w:rPr>
        <w:t>, D.C. (2025) ‘Morphine for chronic breathlessness (MABEL) in the UK: a multi-site, parallel-group, dose titration, double-blind, randomised, placebo-controlled trial’. </w:t>
      </w:r>
      <w:r w:rsidRPr="00440DF2">
        <w:rPr>
          <w:rFonts w:ascii="Arial" w:eastAsia="Calibri" w:hAnsi="Arial" w:cs="Arial"/>
          <w:i/>
          <w:iCs/>
          <w:color w:val="222222"/>
          <w:kern w:val="2"/>
          <w:shd w:val="clear" w:color="auto" w:fill="FFFFFF"/>
          <w:lang w:val="en-GB"/>
          <w14:ligatures w14:val="standardContextual"/>
        </w:rPr>
        <w:t>The Lancet Respiratory Medicine</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13</w:t>
      </w:r>
      <w:r w:rsidRPr="00440DF2">
        <w:rPr>
          <w:rFonts w:ascii="Arial" w:eastAsia="Calibri" w:hAnsi="Arial" w:cs="Arial"/>
          <w:color w:val="222222"/>
          <w:kern w:val="2"/>
          <w:shd w:val="clear" w:color="auto" w:fill="FFFFFF"/>
          <w:lang w:val="en-GB"/>
          <w14:ligatures w14:val="standardContextual"/>
        </w:rPr>
        <w:t xml:space="preserve">(11), pp.967-977. </w:t>
      </w:r>
      <w:r w:rsidR="0004360F" w:rsidRPr="00440DF2">
        <w:rPr>
          <w:rFonts w:ascii="Arial" w:eastAsia="Calibri" w:hAnsi="Arial" w:cs="Arial"/>
          <w:color w:val="222222"/>
          <w:kern w:val="2"/>
          <w:shd w:val="clear" w:color="auto" w:fill="FFFFFF"/>
          <w:lang w:val="en-GB"/>
          <w14:ligatures w14:val="standardContextual"/>
        </w:rPr>
        <w:t>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28" w:history="1">
        <w:r w:rsidRPr="00440DF2">
          <w:rPr>
            <w:rFonts w:ascii="Arial" w:eastAsia="Calibri" w:hAnsi="Arial" w:cs="Arial"/>
            <w:color w:val="0563C1"/>
            <w:kern w:val="2"/>
            <w:u w:val="single"/>
            <w:lang w:val="en-GB"/>
            <w14:ligatures w14:val="standardContextual"/>
          </w:rPr>
          <w:t>https://www.thelancet.com/journals/lanres/article/PIIS2213-2600(25)00205-X/fulltext</w:t>
        </w:r>
      </w:hyperlink>
      <w:r w:rsidRPr="00440DF2">
        <w:rPr>
          <w:rFonts w:ascii="Arial" w:eastAsia="Calibri" w:hAnsi="Arial" w:cs="Arial"/>
          <w:kern w:val="2"/>
          <w:lang w:val="en-GB"/>
          <w14:ligatures w14:val="standardContextual"/>
        </w:rPr>
        <w:t xml:space="preserve"> </w:t>
      </w:r>
    </w:p>
    <w:p w14:paraId="6ACD27A6" w14:textId="648E639F" w:rsidR="00083A8E" w:rsidRDefault="00083A8E" w:rsidP="00440DF2">
      <w:pPr>
        <w:spacing w:after="160" w:line="360" w:lineRule="auto"/>
        <w:jc w:val="both"/>
        <w:rPr>
          <w:rFonts w:ascii="Arial" w:eastAsia="Calibri" w:hAnsi="Arial" w:cs="Arial"/>
          <w:color w:val="222222"/>
          <w:kern w:val="2"/>
          <w:shd w:val="clear" w:color="auto" w:fill="FFFFFF"/>
          <w14:ligatures w14:val="standardContextual"/>
        </w:rPr>
      </w:pPr>
      <w:r w:rsidRPr="00083A8E">
        <w:rPr>
          <w:rFonts w:ascii="Arial" w:eastAsia="Calibri" w:hAnsi="Arial" w:cs="Arial"/>
          <w:color w:val="222222"/>
          <w:kern w:val="2"/>
          <w:shd w:val="clear" w:color="auto" w:fill="FFFFFF"/>
          <w14:ligatures w14:val="standardContextual"/>
        </w:rPr>
        <w:t xml:space="preserve">Kienle, P.C. (2006) </w:t>
      </w:r>
      <w:r>
        <w:rPr>
          <w:rFonts w:ascii="Arial" w:eastAsia="Calibri" w:hAnsi="Arial" w:cs="Arial"/>
          <w:color w:val="222222"/>
          <w:kern w:val="2"/>
          <w:shd w:val="clear" w:color="auto" w:fill="FFFFFF"/>
          <w14:ligatures w14:val="standardContextual"/>
        </w:rPr>
        <w:t>‘</w:t>
      </w:r>
      <w:r w:rsidRPr="00083A8E">
        <w:rPr>
          <w:rFonts w:ascii="Arial" w:eastAsia="Calibri" w:hAnsi="Arial" w:cs="Arial"/>
          <w:color w:val="222222"/>
          <w:kern w:val="2"/>
          <w:shd w:val="clear" w:color="auto" w:fill="FFFFFF"/>
          <w14:ligatures w14:val="standardContextual"/>
        </w:rPr>
        <w:t>Meeting the Standards for Emergency Medications and Labe</w:t>
      </w:r>
      <w:r>
        <w:rPr>
          <w:rFonts w:ascii="Arial" w:eastAsia="Calibri" w:hAnsi="Arial" w:cs="Arial"/>
          <w:color w:val="222222"/>
          <w:kern w:val="2"/>
          <w:shd w:val="clear" w:color="auto" w:fill="FFFFFF"/>
          <w14:ligatures w14:val="standardContextual"/>
        </w:rPr>
        <w:t>l</w:t>
      </w:r>
      <w:r w:rsidRPr="00083A8E">
        <w:rPr>
          <w:rFonts w:ascii="Arial" w:eastAsia="Calibri" w:hAnsi="Arial" w:cs="Arial"/>
          <w:color w:val="222222"/>
          <w:kern w:val="2"/>
          <w:shd w:val="clear" w:color="auto" w:fill="FFFFFF"/>
          <w14:ligatures w14:val="standardContextual"/>
        </w:rPr>
        <w:t>ling,</w:t>
      </w:r>
      <w:r>
        <w:rPr>
          <w:rFonts w:ascii="Arial" w:eastAsia="Calibri" w:hAnsi="Arial" w:cs="Arial"/>
          <w:color w:val="222222"/>
          <w:kern w:val="2"/>
          <w:shd w:val="clear" w:color="auto" w:fill="FFFFFF"/>
          <w14:ligatures w14:val="standardContextual"/>
        </w:rPr>
        <w:t>’</w:t>
      </w:r>
      <w:r w:rsidRPr="00083A8E">
        <w:rPr>
          <w:rFonts w:ascii="Arial" w:eastAsia="Calibri" w:hAnsi="Arial" w:cs="Arial"/>
          <w:color w:val="222222"/>
          <w:kern w:val="2"/>
          <w:shd w:val="clear" w:color="auto" w:fill="FFFFFF"/>
          <w14:ligatures w14:val="standardContextual"/>
        </w:rPr>
        <w:t> </w:t>
      </w:r>
      <w:r w:rsidRPr="00083A8E">
        <w:rPr>
          <w:rFonts w:ascii="Arial" w:eastAsia="Calibri" w:hAnsi="Arial" w:cs="Arial"/>
          <w:i/>
          <w:iCs/>
          <w:color w:val="222222"/>
          <w:kern w:val="2"/>
          <w:shd w:val="clear" w:color="auto" w:fill="FFFFFF"/>
          <w14:ligatures w14:val="standardContextual"/>
        </w:rPr>
        <w:t xml:space="preserve">Hospital </w:t>
      </w:r>
      <w:r>
        <w:rPr>
          <w:rFonts w:ascii="Arial" w:eastAsia="Calibri" w:hAnsi="Arial" w:cs="Arial"/>
          <w:i/>
          <w:iCs/>
          <w:color w:val="222222"/>
          <w:kern w:val="2"/>
          <w:shd w:val="clear" w:color="auto" w:fill="FFFFFF"/>
          <w14:ligatures w14:val="standardContextual"/>
        </w:rPr>
        <w:t>P</w:t>
      </w:r>
      <w:r w:rsidRPr="00083A8E">
        <w:rPr>
          <w:rFonts w:ascii="Arial" w:eastAsia="Calibri" w:hAnsi="Arial" w:cs="Arial"/>
          <w:i/>
          <w:iCs/>
          <w:color w:val="222222"/>
          <w:kern w:val="2"/>
          <w:shd w:val="clear" w:color="auto" w:fill="FFFFFF"/>
          <w14:ligatures w14:val="standardContextual"/>
        </w:rPr>
        <w:t>harmacy (Philadelphia)</w:t>
      </w:r>
      <w:r w:rsidRPr="00083A8E">
        <w:rPr>
          <w:rFonts w:ascii="Arial" w:eastAsia="Calibri" w:hAnsi="Arial" w:cs="Arial"/>
          <w:color w:val="222222"/>
          <w:kern w:val="2"/>
          <w:shd w:val="clear" w:color="auto" w:fill="FFFFFF"/>
          <w14:ligatures w14:val="standardContextual"/>
        </w:rPr>
        <w:t xml:space="preserve">, 41(9), pp. 888–894. Available at: </w:t>
      </w:r>
      <w:hyperlink r:id="rId29" w:history="1">
        <w:r w:rsidRPr="002823CE">
          <w:rPr>
            <w:rStyle w:val="Hyperlink"/>
            <w:rFonts w:ascii="Arial" w:eastAsia="Calibri" w:hAnsi="Arial" w:cs="Arial"/>
            <w:kern w:val="2"/>
            <w:shd w:val="clear" w:color="auto" w:fill="FFFFFF"/>
            <w14:ligatures w14:val="standardContextual"/>
          </w:rPr>
          <w:t>https://doi.org/10.1310/hpj4109-888</w:t>
        </w:r>
      </w:hyperlink>
    </w:p>
    <w:p w14:paraId="02D62574" w14:textId="3F16DA9A" w:rsidR="00E0036E" w:rsidRPr="00440DF2" w:rsidRDefault="00E0036E" w:rsidP="00440DF2">
      <w:pPr>
        <w:spacing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 xml:space="preserve">Knowles, R., Chandler, C.I., O’Neill, S. and Mays, N. (2025) ‘Which interventions </w:t>
      </w:r>
      <w:r w:rsidR="009C4F00" w:rsidRPr="00440DF2">
        <w:rPr>
          <w:rFonts w:ascii="Arial" w:eastAsia="Calibri" w:hAnsi="Arial" w:cs="Arial"/>
          <w:color w:val="222222"/>
          <w:kern w:val="2"/>
          <w:shd w:val="clear" w:color="auto" w:fill="FFFFFF"/>
          <w:lang w:val="en-GB"/>
          <w14:ligatures w14:val="standardContextual"/>
        </w:rPr>
        <w:t>optimise</w:t>
      </w:r>
      <w:r w:rsidRPr="00440DF2">
        <w:rPr>
          <w:rFonts w:ascii="Arial" w:eastAsia="Calibri" w:hAnsi="Arial" w:cs="Arial"/>
          <w:color w:val="222222"/>
          <w:kern w:val="2"/>
          <w:shd w:val="clear" w:color="auto" w:fill="FFFFFF"/>
          <w:lang w:val="en-GB"/>
          <w14:ligatures w14:val="standardContextual"/>
        </w:rPr>
        <w:t xml:space="preserve"> antibiotic prescribing in primary care in England? A </w:t>
      </w:r>
      <w:r w:rsidR="009C4F00" w:rsidRPr="00440DF2">
        <w:rPr>
          <w:rFonts w:ascii="Arial" w:eastAsia="Calibri" w:hAnsi="Arial" w:cs="Arial"/>
          <w:color w:val="222222"/>
          <w:kern w:val="2"/>
          <w:shd w:val="clear" w:color="auto" w:fill="FFFFFF"/>
          <w:lang w:val="en-GB"/>
          <w14:ligatures w14:val="standardContextual"/>
        </w:rPr>
        <w:t>Survey</w:t>
      </w:r>
      <w:r w:rsidRPr="00440DF2">
        <w:rPr>
          <w:rFonts w:ascii="Arial" w:eastAsia="Calibri" w:hAnsi="Arial" w:cs="Arial"/>
          <w:color w:val="222222"/>
          <w:kern w:val="2"/>
          <w:shd w:val="clear" w:color="auto" w:fill="FFFFFF"/>
          <w:lang w:val="en-GB"/>
          <w14:ligatures w14:val="standardContextual"/>
        </w:rPr>
        <w:t xml:space="preserve"> and Qualitative Comparative Analysis of NHS Integrated Care Boards.</w:t>
      </w:r>
      <w:r w:rsidR="0004360F"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 xml:space="preserve">JAC-antimicrobial </w:t>
      </w:r>
      <w:r w:rsidR="009C4F00" w:rsidRPr="00440DF2">
        <w:rPr>
          <w:rFonts w:ascii="Arial" w:eastAsia="Calibri" w:hAnsi="Arial" w:cs="Arial"/>
          <w:i/>
          <w:iCs/>
          <w:color w:val="222222"/>
          <w:kern w:val="2"/>
          <w:shd w:val="clear" w:color="auto" w:fill="FFFFFF"/>
          <w:lang w:val="en-GB"/>
          <w14:ligatures w14:val="standardContextual"/>
        </w:rPr>
        <w:t>R</w:t>
      </w:r>
      <w:r w:rsidRPr="00440DF2">
        <w:rPr>
          <w:rFonts w:ascii="Arial" w:eastAsia="Calibri" w:hAnsi="Arial" w:cs="Arial"/>
          <w:i/>
          <w:iCs/>
          <w:color w:val="222222"/>
          <w:kern w:val="2"/>
          <w:shd w:val="clear" w:color="auto" w:fill="FFFFFF"/>
          <w:lang w:val="en-GB"/>
          <w14:ligatures w14:val="standardContextual"/>
        </w:rPr>
        <w:t>esistance</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7</w:t>
      </w:r>
      <w:r w:rsidRPr="00440DF2">
        <w:rPr>
          <w:rFonts w:ascii="Arial" w:eastAsia="Calibri" w:hAnsi="Arial" w:cs="Arial"/>
          <w:color w:val="222222"/>
          <w:kern w:val="2"/>
          <w:shd w:val="clear" w:color="auto" w:fill="FFFFFF"/>
          <w:lang w:val="en-GB"/>
          <w14:ligatures w14:val="standardContextual"/>
        </w:rPr>
        <w:t xml:space="preserve">(6), </w:t>
      </w:r>
      <w:proofErr w:type="gramStart"/>
      <w:r w:rsidRPr="00440DF2">
        <w:rPr>
          <w:rFonts w:ascii="Arial" w:eastAsia="Calibri" w:hAnsi="Arial" w:cs="Arial"/>
          <w:color w:val="222222"/>
          <w:kern w:val="2"/>
          <w:shd w:val="clear" w:color="auto" w:fill="FFFFFF"/>
          <w:lang w:val="en-GB"/>
          <w14:ligatures w14:val="standardContextual"/>
        </w:rPr>
        <w:t>p.dlaf</w:t>
      </w:r>
      <w:proofErr w:type="gramEnd"/>
      <w:r w:rsidRPr="00440DF2">
        <w:rPr>
          <w:rFonts w:ascii="Arial" w:eastAsia="Calibri" w:hAnsi="Arial" w:cs="Arial"/>
          <w:color w:val="222222"/>
          <w:kern w:val="2"/>
          <w:shd w:val="clear" w:color="auto" w:fill="FFFFFF"/>
          <w:lang w:val="en-GB"/>
          <w14:ligatures w14:val="standardContextual"/>
        </w:rPr>
        <w:t xml:space="preserve">244. </w:t>
      </w:r>
      <w:r w:rsidR="0004360F" w:rsidRPr="00440DF2">
        <w:rPr>
          <w:rFonts w:ascii="Arial" w:eastAsia="Calibri" w:hAnsi="Arial" w:cs="Arial"/>
          <w:color w:val="222222"/>
          <w:kern w:val="2"/>
          <w:shd w:val="clear" w:color="auto" w:fill="FFFFFF"/>
          <w:lang w:val="en-GB"/>
          <w14:ligatures w14:val="standardContextual"/>
        </w:rPr>
        <w:t>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30" w:history="1">
        <w:r w:rsidRPr="00440DF2">
          <w:rPr>
            <w:rFonts w:ascii="Arial" w:eastAsia="Calibri" w:hAnsi="Arial" w:cs="Arial"/>
            <w:color w:val="0563C1"/>
            <w:kern w:val="2"/>
            <w:u w:val="single"/>
            <w:shd w:val="clear" w:color="auto" w:fill="FFFFFF"/>
            <w:lang w:val="en-GB"/>
            <w14:ligatures w14:val="standardContextual"/>
          </w:rPr>
          <w:t>https://academic.oup.com/jacamr/article/7/6/dlaf244/8380917?login=false</w:t>
        </w:r>
      </w:hyperlink>
    </w:p>
    <w:p w14:paraId="5FD97485" w14:textId="40A10944" w:rsidR="00015625" w:rsidRDefault="00015625" w:rsidP="00440DF2">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015625">
        <w:rPr>
          <w:rFonts w:ascii="Arial" w:eastAsia="Calibri" w:hAnsi="Arial" w:cs="Arial"/>
          <w:color w:val="222222"/>
          <w:kern w:val="2"/>
          <w:shd w:val="clear" w:color="auto" w:fill="FFFFFF"/>
          <w14:ligatures w14:val="standardContextual"/>
        </w:rPr>
        <w:t>Kursite</w:t>
      </w:r>
      <w:proofErr w:type="spellEnd"/>
      <w:r w:rsidRPr="00015625">
        <w:rPr>
          <w:rFonts w:ascii="Arial" w:eastAsia="Calibri" w:hAnsi="Arial" w:cs="Arial"/>
          <w:color w:val="222222"/>
          <w:kern w:val="2"/>
          <w:shd w:val="clear" w:color="auto" w:fill="FFFFFF"/>
          <w14:ligatures w14:val="standardContextual"/>
        </w:rPr>
        <w:t>, M.</w:t>
      </w:r>
      <w:r>
        <w:rPr>
          <w:rFonts w:ascii="Arial" w:eastAsia="Calibri" w:hAnsi="Arial" w:cs="Arial"/>
          <w:color w:val="222222"/>
          <w:kern w:val="2"/>
          <w:shd w:val="clear" w:color="auto" w:fill="FFFFFF"/>
          <w14:ligatures w14:val="standardContextual"/>
        </w:rPr>
        <w:t xml:space="preserve">, </w:t>
      </w:r>
      <w:r w:rsidRPr="00015625">
        <w:rPr>
          <w:rFonts w:ascii="Arial" w:eastAsia="Calibri" w:hAnsi="Arial" w:cs="Arial"/>
          <w:color w:val="222222"/>
          <w:kern w:val="2"/>
          <w:shd w:val="clear" w:color="auto" w:fill="FFFFFF"/>
          <w14:ligatures w14:val="standardContextual"/>
        </w:rPr>
        <w:t xml:space="preserve">Stars, I., Gobina, I., Springe, L. and </w:t>
      </w:r>
      <w:proofErr w:type="spellStart"/>
      <w:r w:rsidRPr="00015625">
        <w:rPr>
          <w:rFonts w:ascii="Arial" w:eastAsia="Calibri" w:hAnsi="Arial" w:cs="Arial"/>
          <w:color w:val="222222"/>
          <w:kern w:val="2"/>
          <w:shd w:val="clear" w:color="auto" w:fill="FFFFFF"/>
          <w14:ligatures w14:val="standardContextual"/>
        </w:rPr>
        <w:t>Villerusa</w:t>
      </w:r>
      <w:proofErr w:type="spellEnd"/>
      <w:r w:rsidRPr="00015625">
        <w:rPr>
          <w:rFonts w:ascii="Arial" w:eastAsia="Calibri" w:hAnsi="Arial" w:cs="Arial"/>
          <w:color w:val="222222"/>
          <w:kern w:val="2"/>
          <w:shd w:val="clear" w:color="auto" w:fill="FFFFFF"/>
          <w14:ligatures w14:val="standardContextual"/>
        </w:rPr>
        <w:t>, A.</w:t>
      </w:r>
      <w:r>
        <w:rPr>
          <w:rFonts w:ascii="Arial" w:eastAsia="Calibri" w:hAnsi="Arial" w:cs="Arial"/>
          <w:color w:val="222222"/>
          <w:kern w:val="2"/>
          <w:shd w:val="clear" w:color="auto" w:fill="FFFFFF"/>
          <w14:ligatures w14:val="standardContextual"/>
        </w:rPr>
        <w:t xml:space="preserve"> </w:t>
      </w:r>
      <w:r w:rsidRPr="00015625">
        <w:rPr>
          <w:rFonts w:ascii="Arial" w:eastAsia="Calibri" w:hAnsi="Arial" w:cs="Arial"/>
          <w:color w:val="222222"/>
          <w:kern w:val="2"/>
          <w:shd w:val="clear" w:color="auto" w:fill="FFFFFF"/>
          <w14:ligatures w14:val="standardContextual"/>
        </w:rPr>
        <w:t xml:space="preserve">(2021) </w:t>
      </w:r>
      <w:r>
        <w:rPr>
          <w:rFonts w:ascii="Arial" w:eastAsia="Calibri" w:hAnsi="Arial" w:cs="Arial"/>
          <w:color w:val="222222"/>
          <w:kern w:val="2"/>
          <w:shd w:val="clear" w:color="auto" w:fill="FFFFFF"/>
          <w14:ligatures w14:val="standardContextual"/>
        </w:rPr>
        <w:t>‘</w:t>
      </w:r>
      <w:r w:rsidRPr="00015625">
        <w:rPr>
          <w:rFonts w:ascii="Arial" w:eastAsia="Calibri" w:hAnsi="Arial" w:cs="Arial"/>
          <w:color w:val="222222"/>
          <w:kern w:val="2"/>
          <w:shd w:val="clear" w:color="auto" w:fill="FFFFFF"/>
          <w14:ligatures w14:val="standardContextual"/>
        </w:rPr>
        <w:t>Internal communication within the healthcare system during the COVID-19 pandemic in Latvia,</w:t>
      </w:r>
      <w:r>
        <w:rPr>
          <w:rFonts w:ascii="Arial" w:eastAsia="Calibri" w:hAnsi="Arial" w:cs="Arial"/>
          <w:color w:val="222222"/>
          <w:kern w:val="2"/>
          <w:shd w:val="clear" w:color="auto" w:fill="FFFFFF"/>
          <w14:ligatures w14:val="standardContextual"/>
        </w:rPr>
        <w:t>’</w:t>
      </w:r>
      <w:r w:rsidRPr="00015625">
        <w:rPr>
          <w:rFonts w:ascii="Arial" w:eastAsia="Calibri" w:hAnsi="Arial" w:cs="Arial"/>
          <w:color w:val="222222"/>
          <w:kern w:val="2"/>
          <w:shd w:val="clear" w:color="auto" w:fill="FFFFFF"/>
          <w14:ligatures w14:val="standardContextual"/>
        </w:rPr>
        <w:t> </w:t>
      </w:r>
      <w:r w:rsidRPr="00015625">
        <w:rPr>
          <w:rFonts w:ascii="Arial" w:eastAsia="Calibri" w:hAnsi="Arial" w:cs="Arial"/>
          <w:i/>
          <w:iCs/>
          <w:color w:val="222222"/>
          <w:kern w:val="2"/>
          <w:shd w:val="clear" w:color="auto" w:fill="FFFFFF"/>
          <w14:ligatures w14:val="standardContextual"/>
        </w:rPr>
        <w:t xml:space="preserve">European </w:t>
      </w:r>
      <w:r>
        <w:rPr>
          <w:rFonts w:ascii="Arial" w:eastAsia="Calibri" w:hAnsi="Arial" w:cs="Arial"/>
          <w:i/>
          <w:iCs/>
          <w:color w:val="222222"/>
          <w:kern w:val="2"/>
          <w:shd w:val="clear" w:color="auto" w:fill="FFFFFF"/>
          <w14:ligatures w14:val="standardContextual"/>
        </w:rPr>
        <w:t>J</w:t>
      </w:r>
      <w:r w:rsidRPr="00015625">
        <w:rPr>
          <w:rFonts w:ascii="Arial" w:eastAsia="Calibri" w:hAnsi="Arial" w:cs="Arial"/>
          <w:i/>
          <w:iCs/>
          <w:color w:val="222222"/>
          <w:kern w:val="2"/>
          <w:shd w:val="clear" w:color="auto" w:fill="FFFFFF"/>
          <w14:ligatures w14:val="standardContextual"/>
        </w:rPr>
        <w:t xml:space="preserve">ournal of </w:t>
      </w:r>
      <w:r>
        <w:rPr>
          <w:rFonts w:ascii="Arial" w:eastAsia="Calibri" w:hAnsi="Arial" w:cs="Arial"/>
          <w:i/>
          <w:iCs/>
          <w:color w:val="222222"/>
          <w:kern w:val="2"/>
          <w:shd w:val="clear" w:color="auto" w:fill="FFFFFF"/>
          <w14:ligatures w14:val="standardContextual"/>
        </w:rPr>
        <w:t>Public Health</w:t>
      </w:r>
      <w:r w:rsidRPr="00015625">
        <w:rPr>
          <w:rFonts w:ascii="Arial" w:eastAsia="Calibri" w:hAnsi="Arial" w:cs="Arial"/>
          <w:color w:val="222222"/>
          <w:kern w:val="2"/>
          <w:shd w:val="clear" w:color="auto" w:fill="FFFFFF"/>
          <w14:ligatures w14:val="standardContextual"/>
        </w:rPr>
        <w:t xml:space="preserve">, 31(Supplement_3). Available at: </w:t>
      </w:r>
      <w:hyperlink r:id="rId31" w:history="1">
        <w:r w:rsidRPr="002823CE">
          <w:rPr>
            <w:rStyle w:val="Hyperlink"/>
            <w:rFonts w:ascii="Arial" w:eastAsia="Calibri" w:hAnsi="Arial" w:cs="Arial"/>
            <w:kern w:val="2"/>
            <w:shd w:val="clear" w:color="auto" w:fill="FFFFFF"/>
            <w14:ligatures w14:val="standardContextual"/>
          </w:rPr>
          <w:t>https://doi.org/10.1093/eurpub/ckab164.582</w:t>
        </w:r>
      </w:hyperlink>
    </w:p>
    <w:p w14:paraId="32B305B4" w14:textId="3954E06E" w:rsidR="009F50FE" w:rsidRDefault="009F50FE" w:rsidP="00440DF2">
      <w:pPr>
        <w:spacing w:before="240" w:after="160" w:line="360" w:lineRule="auto"/>
        <w:jc w:val="both"/>
        <w:rPr>
          <w:rFonts w:ascii="Arial" w:eastAsia="Calibri" w:hAnsi="Arial" w:cs="Arial"/>
          <w:color w:val="222222"/>
          <w:kern w:val="2"/>
          <w:shd w:val="clear" w:color="auto" w:fill="FFFFFF"/>
          <w14:ligatures w14:val="standardContextual"/>
        </w:rPr>
      </w:pPr>
      <w:r w:rsidRPr="009F50FE">
        <w:rPr>
          <w:rFonts w:ascii="Arial" w:eastAsia="Calibri" w:hAnsi="Arial" w:cs="Arial"/>
          <w:color w:val="222222"/>
          <w:kern w:val="2"/>
          <w:shd w:val="clear" w:color="auto" w:fill="FFFFFF"/>
          <w14:ligatures w14:val="standardContextual"/>
        </w:rPr>
        <w:t>Lee, B.</w:t>
      </w:r>
      <w:proofErr w:type="gramStart"/>
      <w:r>
        <w:rPr>
          <w:rFonts w:ascii="Arial" w:eastAsia="Calibri" w:hAnsi="Arial" w:cs="Arial"/>
          <w:color w:val="222222"/>
          <w:kern w:val="2"/>
          <w:shd w:val="clear" w:color="auto" w:fill="FFFFFF"/>
          <w14:ligatures w14:val="standardContextual"/>
        </w:rPr>
        <w:t xml:space="preserve">, </w:t>
      </w:r>
      <w:r w:rsidRPr="009F50FE">
        <w:rPr>
          <w:rFonts w:ascii="Arial" w:eastAsia="Calibri" w:hAnsi="Arial" w:cs="Arial"/>
          <w:color w:val="222222"/>
          <w:kern w:val="2"/>
          <w:shd w:val="clear" w:color="auto" w:fill="FFFFFF"/>
          <w14:ligatures w14:val="standardContextual"/>
        </w:rPr>
        <w:t xml:space="preserve"> Zhao</w:t>
      </w:r>
      <w:proofErr w:type="gramEnd"/>
      <w:r w:rsidRPr="009F50FE">
        <w:rPr>
          <w:rFonts w:ascii="Arial" w:eastAsia="Calibri" w:hAnsi="Arial" w:cs="Arial"/>
          <w:color w:val="222222"/>
          <w:kern w:val="2"/>
          <w:shd w:val="clear" w:color="auto" w:fill="FFFFFF"/>
          <w14:ligatures w14:val="standardContextual"/>
        </w:rPr>
        <w:t>, W., Yang, K.C., Ahn, Y.Y. and Perry, B.L.</w:t>
      </w:r>
      <w:r>
        <w:rPr>
          <w:rFonts w:ascii="Arial" w:eastAsia="Calibri" w:hAnsi="Arial" w:cs="Arial"/>
          <w:color w:val="222222"/>
          <w:kern w:val="2"/>
          <w:shd w:val="clear" w:color="auto" w:fill="FFFFFF"/>
          <w14:ligatures w14:val="standardContextual"/>
        </w:rPr>
        <w:t xml:space="preserve"> </w:t>
      </w:r>
      <w:r w:rsidRPr="009F50FE">
        <w:rPr>
          <w:rFonts w:ascii="Arial" w:eastAsia="Calibri" w:hAnsi="Arial" w:cs="Arial"/>
          <w:color w:val="222222"/>
          <w:kern w:val="2"/>
          <w:shd w:val="clear" w:color="auto" w:fill="FFFFFF"/>
          <w14:ligatures w14:val="standardContextual"/>
        </w:rPr>
        <w:t xml:space="preserve">(2021) </w:t>
      </w:r>
      <w:r>
        <w:rPr>
          <w:rFonts w:ascii="Arial" w:eastAsia="Calibri" w:hAnsi="Arial" w:cs="Arial"/>
          <w:color w:val="222222"/>
          <w:kern w:val="2"/>
          <w:shd w:val="clear" w:color="auto" w:fill="FFFFFF"/>
          <w14:ligatures w14:val="standardContextual"/>
        </w:rPr>
        <w:t>‘</w:t>
      </w:r>
      <w:r w:rsidRPr="009F50FE">
        <w:rPr>
          <w:rFonts w:ascii="Arial" w:eastAsia="Calibri" w:hAnsi="Arial" w:cs="Arial"/>
          <w:color w:val="222222"/>
          <w:kern w:val="2"/>
          <w:shd w:val="clear" w:color="auto" w:fill="FFFFFF"/>
          <w14:ligatures w14:val="standardContextual"/>
        </w:rPr>
        <w:t>Systematic Evaluation of State Policy Interventions Targeting the US Opioid Epidemic, 2007-2018,</w:t>
      </w:r>
      <w:r>
        <w:rPr>
          <w:rFonts w:ascii="Arial" w:eastAsia="Calibri" w:hAnsi="Arial" w:cs="Arial"/>
          <w:color w:val="222222"/>
          <w:kern w:val="2"/>
          <w:shd w:val="clear" w:color="auto" w:fill="FFFFFF"/>
          <w14:ligatures w14:val="standardContextual"/>
        </w:rPr>
        <w:t>’</w:t>
      </w:r>
      <w:r w:rsidRPr="009F50FE">
        <w:rPr>
          <w:rFonts w:ascii="Arial" w:eastAsia="Calibri" w:hAnsi="Arial" w:cs="Arial"/>
          <w:color w:val="222222"/>
          <w:kern w:val="2"/>
          <w:shd w:val="clear" w:color="auto" w:fill="FFFFFF"/>
          <w14:ligatures w14:val="standardContextual"/>
        </w:rPr>
        <w:t> </w:t>
      </w:r>
      <w:r w:rsidRPr="009F50FE">
        <w:rPr>
          <w:rFonts w:ascii="Arial" w:eastAsia="Calibri" w:hAnsi="Arial" w:cs="Arial"/>
          <w:i/>
          <w:iCs/>
          <w:color w:val="222222"/>
          <w:kern w:val="2"/>
          <w:shd w:val="clear" w:color="auto" w:fill="FFFFFF"/>
          <w14:ligatures w14:val="standardContextual"/>
        </w:rPr>
        <w:t xml:space="preserve">JAMA </w:t>
      </w:r>
      <w:r>
        <w:rPr>
          <w:rFonts w:ascii="Arial" w:eastAsia="Calibri" w:hAnsi="Arial" w:cs="Arial"/>
          <w:i/>
          <w:iCs/>
          <w:color w:val="222222"/>
          <w:kern w:val="2"/>
          <w:shd w:val="clear" w:color="auto" w:fill="FFFFFF"/>
          <w14:ligatures w14:val="standardContextual"/>
        </w:rPr>
        <w:t>Network Open</w:t>
      </w:r>
      <w:r w:rsidRPr="009F50FE">
        <w:rPr>
          <w:rFonts w:ascii="Arial" w:eastAsia="Calibri" w:hAnsi="Arial" w:cs="Arial"/>
          <w:color w:val="222222"/>
          <w:kern w:val="2"/>
          <w:shd w:val="clear" w:color="auto" w:fill="FFFFFF"/>
          <w14:ligatures w14:val="standardContextual"/>
        </w:rPr>
        <w:t xml:space="preserve">, 4(2), p. e2036687. Available at: </w:t>
      </w:r>
      <w:hyperlink r:id="rId32" w:history="1">
        <w:r w:rsidRPr="006F222E">
          <w:rPr>
            <w:rStyle w:val="Hyperlink"/>
            <w:rFonts w:ascii="Arial" w:eastAsia="Calibri" w:hAnsi="Arial" w:cs="Arial"/>
            <w:kern w:val="2"/>
            <w:shd w:val="clear" w:color="auto" w:fill="FFFFFF"/>
            <w14:ligatures w14:val="standardContextual"/>
          </w:rPr>
          <w:t>https://doi.org/10.1001/jamanetworkopen.2020.36687</w:t>
        </w:r>
      </w:hyperlink>
    </w:p>
    <w:p w14:paraId="6C678ED9" w14:textId="75E37957"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lastRenderedPageBreak/>
        <w:t xml:space="preserve">Mak, L.Y., Liu, K., </w:t>
      </w:r>
      <w:proofErr w:type="spellStart"/>
      <w:r w:rsidRPr="00440DF2">
        <w:rPr>
          <w:rFonts w:ascii="Arial" w:eastAsia="Calibri" w:hAnsi="Arial" w:cs="Arial"/>
          <w:color w:val="222222"/>
          <w:kern w:val="2"/>
          <w:shd w:val="clear" w:color="auto" w:fill="FFFFFF"/>
          <w:lang w:val="en-GB"/>
          <w14:ligatures w14:val="standardContextual"/>
        </w:rPr>
        <w:t>Chirapongsathorn</w:t>
      </w:r>
      <w:proofErr w:type="spellEnd"/>
      <w:r w:rsidRPr="00440DF2">
        <w:rPr>
          <w:rFonts w:ascii="Arial" w:eastAsia="Calibri" w:hAnsi="Arial" w:cs="Arial"/>
          <w:color w:val="222222"/>
          <w:kern w:val="2"/>
          <w:shd w:val="clear" w:color="auto" w:fill="FFFFFF"/>
          <w:lang w:val="en-GB"/>
          <w14:ligatures w14:val="standardContextual"/>
        </w:rPr>
        <w:t>, S., Yew, K.C., Tamaki, N., Rajaram, R.B., Panlilio, M.T., Lui, R., Lee, H.W., Lai, J.C.T. and Kulkarni, A.V. (2024) ‘Liver diseases and hepatocellular carcinoma in the Asia-Pacific region: burden, trends, challenges and future directions.</w:t>
      </w:r>
      <w:r w:rsidR="009C4F00"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 xml:space="preserve">Nature </w:t>
      </w:r>
      <w:r w:rsidR="009C4F00" w:rsidRPr="00440DF2">
        <w:rPr>
          <w:rFonts w:ascii="Arial" w:eastAsia="Calibri" w:hAnsi="Arial" w:cs="Arial"/>
          <w:i/>
          <w:iCs/>
          <w:color w:val="222222"/>
          <w:kern w:val="2"/>
          <w:shd w:val="clear" w:color="auto" w:fill="FFFFFF"/>
          <w:lang w:val="en-GB"/>
          <w14:ligatures w14:val="standardContextual"/>
        </w:rPr>
        <w:t>Reviews</w:t>
      </w:r>
      <w:r w:rsidRPr="00440DF2">
        <w:rPr>
          <w:rFonts w:ascii="Arial" w:eastAsia="Calibri" w:hAnsi="Arial" w:cs="Arial"/>
          <w:i/>
          <w:iCs/>
          <w:color w:val="222222"/>
          <w:kern w:val="2"/>
          <w:shd w:val="clear" w:color="auto" w:fill="FFFFFF"/>
          <w:lang w:val="en-GB"/>
          <w14:ligatures w14:val="standardContextual"/>
        </w:rPr>
        <w:t xml:space="preserve"> Gastroenterology &amp; </w:t>
      </w:r>
      <w:r w:rsidR="009C4F00" w:rsidRPr="00440DF2">
        <w:rPr>
          <w:rFonts w:ascii="Arial" w:eastAsia="Calibri" w:hAnsi="Arial" w:cs="Arial"/>
          <w:i/>
          <w:iCs/>
          <w:color w:val="222222"/>
          <w:kern w:val="2"/>
          <w:shd w:val="clear" w:color="auto" w:fill="FFFFFF"/>
          <w:lang w:val="en-GB"/>
          <w14:ligatures w14:val="standardContextual"/>
        </w:rPr>
        <w:t>Hepatology</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21</w:t>
      </w:r>
      <w:r w:rsidRPr="00440DF2">
        <w:rPr>
          <w:rFonts w:ascii="Arial" w:eastAsia="Calibri" w:hAnsi="Arial" w:cs="Arial"/>
          <w:color w:val="222222"/>
          <w:kern w:val="2"/>
          <w:shd w:val="clear" w:color="auto" w:fill="FFFFFF"/>
          <w:lang w:val="en-GB"/>
          <w14:ligatures w14:val="standardContextual"/>
        </w:rPr>
        <w:t>(12), pp.834-851.</w:t>
      </w:r>
      <w:r w:rsidR="0004360F"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 xml:space="preserve">vailable at: </w:t>
      </w:r>
      <w:hyperlink r:id="rId33" w:history="1">
        <w:r w:rsidRPr="00440DF2">
          <w:rPr>
            <w:rFonts w:ascii="Arial" w:eastAsia="Calibri" w:hAnsi="Arial" w:cs="Arial"/>
            <w:color w:val="0563C1"/>
            <w:kern w:val="2"/>
            <w:u w:val="single"/>
            <w:shd w:val="clear" w:color="auto" w:fill="FFFFFF"/>
            <w:lang w:val="en-GB"/>
            <w14:ligatures w14:val="standardContextual"/>
          </w:rPr>
          <w:t>https://www.nature.com/articles/s41575-024-00967-4</w:t>
        </w:r>
      </w:hyperlink>
    </w:p>
    <w:p w14:paraId="5BE002DD" w14:textId="52845DDE"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Marie, A. (2022) ‘A case study exploration of patient safety culture within an Acute NHS Trust, utilising Open Systems Theory.</w:t>
      </w:r>
      <w:r w:rsidR="0004360F" w:rsidRPr="00440DF2">
        <w:rPr>
          <w:rFonts w:ascii="Arial" w:eastAsia="Calibri" w:hAnsi="Arial" w:cs="Arial"/>
          <w:color w:val="222222"/>
          <w:kern w:val="2"/>
          <w:shd w:val="clear" w:color="auto" w:fill="FFFFFF"/>
          <w:lang w:val="en-GB"/>
          <w14:ligatures w14:val="standardContextual"/>
        </w:rPr>
        <w:t>’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34" w:history="1">
        <w:r w:rsidRPr="00440DF2">
          <w:rPr>
            <w:rFonts w:ascii="Arial" w:eastAsia="Calibri" w:hAnsi="Arial" w:cs="Arial"/>
            <w:color w:val="0563C1"/>
            <w:kern w:val="2"/>
            <w:u w:val="single"/>
            <w:shd w:val="clear" w:color="auto" w:fill="FFFFFF"/>
            <w:lang w:val="en-GB"/>
            <w14:ligatures w14:val="standardContextual"/>
          </w:rPr>
          <w:t>https://researchportal.lsbu.ac.uk/en/publications/a-case-study-exploration-of-patient-safety-culture-within-an-acut-2/</w:t>
        </w:r>
      </w:hyperlink>
      <w:r w:rsidRPr="00440DF2">
        <w:rPr>
          <w:rFonts w:ascii="Arial" w:eastAsia="Calibri" w:hAnsi="Arial" w:cs="Arial"/>
          <w:color w:val="222222"/>
          <w:kern w:val="2"/>
          <w:shd w:val="clear" w:color="auto" w:fill="FFFFFF"/>
          <w:lang w:val="en-GB"/>
          <w14:ligatures w14:val="standardContextual"/>
        </w:rPr>
        <w:t xml:space="preserve"> </w:t>
      </w:r>
    </w:p>
    <w:p w14:paraId="3BDAAEAE" w14:textId="43D4C497"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Marshall, F., Gordon, A., Gladman, J.R. and Bishop, S. (2021) ‘Care homes, their communities, and resilience in the face of the COVID-19 pandemic: interim findings from a qualitative study’. </w:t>
      </w:r>
      <w:r w:rsidRPr="00440DF2">
        <w:rPr>
          <w:rFonts w:ascii="Arial" w:eastAsia="Calibri" w:hAnsi="Arial" w:cs="Arial"/>
          <w:i/>
          <w:iCs/>
          <w:color w:val="222222"/>
          <w:kern w:val="2"/>
          <w:shd w:val="clear" w:color="auto" w:fill="FFFFFF"/>
          <w:lang w:val="en-GB"/>
          <w14:ligatures w14:val="standardContextual"/>
        </w:rPr>
        <w:t xml:space="preserve">BMC </w:t>
      </w:r>
      <w:r w:rsidR="009C4F00" w:rsidRPr="00440DF2">
        <w:rPr>
          <w:rFonts w:ascii="Arial" w:eastAsia="Calibri" w:hAnsi="Arial" w:cs="Arial"/>
          <w:i/>
          <w:iCs/>
          <w:color w:val="222222"/>
          <w:kern w:val="2"/>
          <w:shd w:val="clear" w:color="auto" w:fill="FFFFFF"/>
          <w:lang w:val="en-GB"/>
          <w14:ligatures w14:val="standardContextual"/>
        </w:rPr>
        <w:t>G</w:t>
      </w:r>
      <w:r w:rsidRPr="00440DF2">
        <w:rPr>
          <w:rFonts w:ascii="Arial" w:eastAsia="Calibri" w:hAnsi="Arial" w:cs="Arial"/>
          <w:i/>
          <w:iCs/>
          <w:color w:val="222222"/>
          <w:kern w:val="2"/>
          <w:shd w:val="clear" w:color="auto" w:fill="FFFFFF"/>
          <w:lang w:val="en-GB"/>
          <w14:ligatures w14:val="standardContextual"/>
        </w:rPr>
        <w:t>eriatrics</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21</w:t>
      </w:r>
      <w:r w:rsidRPr="00440DF2">
        <w:rPr>
          <w:rFonts w:ascii="Arial" w:eastAsia="Calibri" w:hAnsi="Arial" w:cs="Arial"/>
          <w:color w:val="222222"/>
          <w:kern w:val="2"/>
          <w:shd w:val="clear" w:color="auto" w:fill="FFFFFF"/>
          <w:lang w:val="en-GB"/>
          <w14:ligatures w14:val="standardContextual"/>
        </w:rPr>
        <w:t>(1), p.102.</w:t>
      </w:r>
      <w:r w:rsidR="0004360F"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35" w:history="1">
        <w:r w:rsidRPr="00440DF2">
          <w:rPr>
            <w:rFonts w:ascii="Arial" w:eastAsia="Calibri" w:hAnsi="Arial" w:cs="Arial"/>
            <w:color w:val="0563C1"/>
            <w:kern w:val="2"/>
            <w:u w:val="single"/>
            <w:shd w:val="clear" w:color="auto" w:fill="FFFFFF"/>
            <w:lang w:val="en-GB"/>
            <w14:ligatures w14:val="standardContextual"/>
          </w:rPr>
          <w:t>https://link.springer.com/article/10.1186/s12877-021-02053-9</w:t>
        </w:r>
      </w:hyperlink>
      <w:r w:rsidRPr="00440DF2">
        <w:rPr>
          <w:rFonts w:ascii="Arial" w:eastAsia="Calibri" w:hAnsi="Arial" w:cs="Arial"/>
          <w:color w:val="222222"/>
          <w:kern w:val="2"/>
          <w:shd w:val="clear" w:color="auto" w:fill="FFFFFF"/>
          <w:lang w:val="en-GB"/>
          <w14:ligatures w14:val="standardContextual"/>
        </w:rPr>
        <w:t xml:space="preserve"> </w:t>
      </w:r>
    </w:p>
    <w:p w14:paraId="4F6C0D3F" w14:textId="6E266F3C"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Martin-Cook, K., Palmer, L., Thornton, L., Rush, A.J., Tamminga, C.A. and Ibrahim, H.M., (2021) ‘Setting measurement-based care in motion: practical lessons in the implementation and integration of measurement-based care in psychiatry clinical practice.</w:t>
      </w:r>
      <w:r w:rsidR="0004360F"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 xml:space="preserve">Neuropsychiatric </w:t>
      </w:r>
      <w:r w:rsidR="0004360F" w:rsidRPr="00440DF2">
        <w:rPr>
          <w:rFonts w:ascii="Arial" w:eastAsia="Calibri" w:hAnsi="Arial" w:cs="Arial"/>
          <w:i/>
          <w:iCs/>
          <w:color w:val="222222"/>
          <w:kern w:val="2"/>
          <w:shd w:val="clear" w:color="auto" w:fill="FFFFFF"/>
          <w:lang w:val="en-GB"/>
          <w14:ligatures w14:val="standardContextual"/>
        </w:rPr>
        <w:t>Disease</w:t>
      </w:r>
      <w:r w:rsidRPr="00440DF2">
        <w:rPr>
          <w:rFonts w:ascii="Arial" w:eastAsia="Calibri" w:hAnsi="Arial" w:cs="Arial"/>
          <w:i/>
          <w:iCs/>
          <w:color w:val="222222"/>
          <w:kern w:val="2"/>
          <w:shd w:val="clear" w:color="auto" w:fill="FFFFFF"/>
          <w:lang w:val="en-GB"/>
          <w14:ligatures w14:val="standardContextual"/>
        </w:rPr>
        <w:t xml:space="preserve"> and </w:t>
      </w:r>
      <w:r w:rsidR="0004360F" w:rsidRPr="00440DF2">
        <w:rPr>
          <w:rFonts w:ascii="Arial" w:eastAsia="Calibri" w:hAnsi="Arial" w:cs="Arial"/>
          <w:i/>
          <w:iCs/>
          <w:color w:val="222222"/>
          <w:kern w:val="2"/>
          <w:shd w:val="clear" w:color="auto" w:fill="FFFFFF"/>
          <w:lang w:val="en-GB"/>
          <w14:ligatures w14:val="standardContextual"/>
        </w:rPr>
        <w:t>Treatment</w:t>
      </w:r>
      <w:r w:rsidRPr="00440DF2">
        <w:rPr>
          <w:rFonts w:ascii="Arial" w:eastAsia="Calibri" w:hAnsi="Arial" w:cs="Arial"/>
          <w:color w:val="222222"/>
          <w:kern w:val="2"/>
          <w:shd w:val="clear" w:color="auto" w:fill="FFFFFF"/>
          <w:lang w:val="en-GB"/>
          <w14:ligatures w14:val="standardContextual"/>
        </w:rPr>
        <w:t>, pp.1621-1631.</w:t>
      </w:r>
      <w:r w:rsidR="0004360F"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36" w:history="1">
        <w:r w:rsidRPr="00440DF2">
          <w:rPr>
            <w:rFonts w:ascii="Arial" w:eastAsia="Calibri" w:hAnsi="Arial" w:cs="Arial"/>
            <w:color w:val="0563C1"/>
            <w:kern w:val="2"/>
            <w:u w:val="single"/>
            <w:shd w:val="clear" w:color="auto" w:fill="FFFFFF"/>
            <w:lang w:val="en-GB"/>
            <w14:ligatures w14:val="standardContextual"/>
          </w:rPr>
          <w:t>https://www.tandfonline.com/doi/full/10.2147/NDT.S308615</w:t>
        </w:r>
      </w:hyperlink>
      <w:r w:rsidRPr="00440DF2">
        <w:rPr>
          <w:rFonts w:ascii="Arial" w:eastAsia="Calibri" w:hAnsi="Arial" w:cs="Arial"/>
          <w:color w:val="222222"/>
          <w:kern w:val="2"/>
          <w:shd w:val="clear" w:color="auto" w:fill="FFFFFF"/>
          <w:lang w:val="en-GB"/>
          <w14:ligatures w14:val="standardContextual"/>
        </w:rPr>
        <w:t xml:space="preserve"> </w:t>
      </w:r>
    </w:p>
    <w:p w14:paraId="7F450106" w14:textId="454A616C"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Martin, G., Chew, S., McCarthy, I., Dawson, J. and Dixon-Woods, M. (2023) ‘Encouraging openness in health care: Policy and practice implications of a mixed-methods study in the English National Health Service.</w:t>
      </w:r>
      <w:r w:rsidR="0004360F"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Journal of Health Services Research &amp; Policy</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28</w:t>
      </w:r>
      <w:r w:rsidRPr="00440DF2">
        <w:rPr>
          <w:rFonts w:ascii="Arial" w:eastAsia="Calibri" w:hAnsi="Arial" w:cs="Arial"/>
          <w:color w:val="222222"/>
          <w:kern w:val="2"/>
          <w:shd w:val="clear" w:color="auto" w:fill="FFFFFF"/>
          <w:lang w:val="en-GB"/>
          <w14:ligatures w14:val="standardContextual"/>
        </w:rPr>
        <w:t>(1), pp.14-24.</w:t>
      </w:r>
      <w:r w:rsidR="0004360F"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37" w:history="1">
        <w:r w:rsidRPr="00440DF2">
          <w:rPr>
            <w:rFonts w:ascii="Arial" w:eastAsia="Calibri" w:hAnsi="Arial" w:cs="Arial"/>
            <w:color w:val="0563C1"/>
            <w:kern w:val="2"/>
            <w:u w:val="single"/>
            <w:shd w:val="clear" w:color="auto" w:fill="FFFFFF"/>
            <w:lang w:val="en-GB"/>
            <w14:ligatures w14:val="standardContextual"/>
          </w:rPr>
          <w:t>https://journals.sagepub.com/doi/full/10.1177/13558196221109053</w:t>
        </w:r>
      </w:hyperlink>
      <w:r w:rsidRPr="00440DF2">
        <w:rPr>
          <w:rFonts w:ascii="Arial" w:eastAsia="Calibri" w:hAnsi="Arial" w:cs="Arial"/>
          <w:color w:val="222222"/>
          <w:kern w:val="2"/>
          <w:shd w:val="clear" w:color="auto" w:fill="FFFFFF"/>
          <w:lang w:val="en-GB"/>
          <w14:ligatures w14:val="standardContextual"/>
        </w:rPr>
        <w:t xml:space="preserve"> </w:t>
      </w:r>
    </w:p>
    <w:p w14:paraId="58438966" w14:textId="59697865" w:rsidR="00521758" w:rsidRDefault="00521758" w:rsidP="00440DF2">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521758">
        <w:rPr>
          <w:rFonts w:ascii="Arial" w:eastAsia="Calibri" w:hAnsi="Arial" w:cs="Arial"/>
          <w:color w:val="222222"/>
          <w:kern w:val="2"/>
          <w:shd w:val="clear" w:color="auto" w:fill="FFFFFF"/>
          <w14:ligatures w14:val="standardContextual"/>
        </w:rPr>
        <w:t>Ohrling</w:t>
      </w:r>
      <w:proofErr w:type="spellEnd"/>
      <w:r w:rsidRPr="00521758">
        <w:rPr>
          <w:rFonts w:ascii="Arial" w:eastAsia="Calibri" w:hAnsi="Arial" w:cs="Arial"/>
          <w:color w:val="222222"/>
          <w:kern w:val="2"/>
          <w:shd w:val="clear" w:color="auto" w:fill="FFFFFF"/>
          <w14:ligatures w14:val="standardContextual"/>
        </w:rPr>
        <w:t xml:space="preserve">, M. (2026) </w:t>
      </w:r>
      <w:r>
        <w:rPr>
          <w:rFonts w:ascii="Arial" w:eastAsia="Calibri" w:hAnsi="Arial" w:cs="Arial"/>
          <w:color w:val="222222"/>
          <w:kern w:val="2"/>
          <w:shd w:val="clear" w:color="auto" w:fill="FFFFFF"/>
          <w14:ligatures w14:val="standardContextual"/>
        </w:rPr>
        <w:t>‘</w:t>
      </w:r>
      <w:r w:rsidRPr="00521758">
        <w:rPr>
          <w:rFonts w:ascii="Arial" w:eastAsia="Calibri" w:hAnsi="Arial" w:cs="Arial"/>
          <w:color w:val="222222"/>
          <w:kern w:val="2"/>
          <w:shd w:val="clear" w:color="auto" w:fill="FFFFFF"/>
          <w14:ligatures w14:val="standardContextual"/>
        </w:rPr>
        <w:t>Having and eating the cake? The centralisation paradox in decentralised healthcare governance: a scoping review,</w:t>
      </w:r>
      <w:r>
        <w:rPr>
          <w:rFonts w:ascii="Arial" w:eastAsia="Calibri" w:hAnsi="Arial" w:cs="Arial"/>
          <w:color w:val="222222"/>
          <w:kern w:val="2"/>
          <w:shd w:val="clear" w:color="auto" w:fill="FFFFFF"/>
          <w14:ligatures w14:val="standardContextual"/>
        </w:rPr>
        <w:t>’</w:t>
      </w:r>
      <w:r w:rsidRPr="00521758">
        <w:rPr>
          <w:rFonts w:ascii="Arial" w:eastAsia="Calibri" w:hAnsi="Arial" w:cs="Arial"/>
          <w:color w:val="222222"/>
          <w:kern w:val="2"/>
          <w:shd w:val="clear" w:color="auto" w:fill="FFFFFF"/>
          <w14:ligatures w14:val="standardContextual"/>
        </w:rPr>
        <w:t> </w:t>
      </w:r>
      <w:r w:rsidRPr="00521758">
        <w:rPr>
          <w:rFonts w:ascii="Arial" w:eastAsia="Calibri" w:hAnsi="Arial" w:cs="Arial"/>
          <w:i/>
          <w:iCs/>
          <w:color w:val="222222"/>
          <w:kern w:val="2"/>
          <w:shd w:val="clear" w:color="auto" w:fill="FFFFFF"/>
          <w14:ligatures w14:val="standardContextual"/>
        </w:rPr>
        <w:t xml:space="preserve">BMC </w:t>
      </w:r>
      <w:r>
        <w:rPr>
          <w:rFonts w:ascii="Arial" w:eastAsia="Calibri" w:hAnsi="Arial" w:cs="Arial"/>
          <w:i/>
          <w:iCs/>
          <w:color w:val="222222"/>
          <w:kern w:val="2"/>
          <w:shd w:val="clear" w:color="auto" w:fill="FFFFFF"/>
          <w14:ligatures w14:val="standardContextual"/>
        </w:rPr>
        <w:t>H</w:t>
      </w:r>
      <w:r w:rsidRPr="00521758">
        <w:rPr>
          <w:rFonts w:ascii="Arial" w:eastAsia="Calibri" w:hAnsi="Arial" w:cs="Arial"/>
          <w:i/>
          <w:iCs/>
          <w:color w:val="222222"/>
          <w:kern w:val="2"/>
          <w:shd w:val="clear" w:color="auto" w:fill="FFFFFF"/>
          <w14:ligatures w14:val="standardContextual"/>
        </w:rPr>
        <w:t xml:space="preserve">ealth </w:t>
      </w:r>
      <w:r>
        <w:rPr>
          <w:rFonts w:ascii="Arial" w:eastAsia="Calibri" w:hAnsi="Arial" w:cs="Arial"/>
          <w:i/>
          <w:iCs/>
          <w:color w:val="222222"/>
          <w:kern w:val="2"/>
          <w:shd w:val="clear" w:color="auto" w:fill="FFFFFF"/>
          <w14:ligatures w14:val="standardContextual"/>
        </w:rPr>
        <w:t>Services Research</w:t>
      </w:r>
      <w:r w:rsidRPr="00521758">
        <w:rPr>
          <w:rFonts w:ascii="Arial" w:eastAsia="Calibri" w:hAnsi="Arial" w:cs="Arial"/>
          <w:color w:val="222222"/>
          <w:kern w:val="2"/>
          <w:shd w:val="clear" w:color="auto" w:fill="FFFFFF"/>
          <w14:ligatures w14:val="standardContextual"/>
        </w:rPr>
        <w:t xml:space="preserve">, 26(1), p. 1020. Available at: </w:t>
      </w:r>
      <w:hyperlink r:id="rId38" w:history="1">
        <w:r w:rsidRPr="002823CE">
          <w:rPr>
            <w:rStyle w:val="Hyperlink"/>
            <w:rFonts w:ascii="Arial" w:eastAsia="Calibri" w:hAnsi="Arial" w:cs="Arial"/>
            <w:kern w:val="2"/>
            <w:shd w:val="clear" w:color="auto" w:fill="FFFFFF"/>
            <w14:ligatures w14:val="standardContextual"/>
          </w:rPr>
          <w:t>https://doi.org/10.1186/s12913-026-15162-1</w:t>
        </w:r>
      </w:hyperlink>
    </w:p>
    <w:p w14:paraId="15454CE7" w14:textId="581928EA"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Parker, L., Ryan, R., Young, S. and Hill, S. (2021) ‘Medications and doctor-patient communication.</w:t>
      </w:r>
      <w:r w:rsidR="0004360F"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 xml:space="preserve">Australian </w:t>
      </w:r>
      <w:r w:rsidR="0004360F" w:rsidRPr="00440DF2">
        <w:rPr>
          <w:rFonts w:ascii="Arial" w:eastAsia="Calibri" w:hAnsi="Arial" w:cs="Arial"/>
          <w:i/>
          <w:iCs/>
          <w:color w:val="222222"/>
          <w:kern w:val="2"/>
          <w:shd w:val="clear" w:color="auto" w:fill="FFFFFF"/>
          <w:lang w:val="en-GB"/>
          <w14:ligatures w14:val="standardContextual"/>
        </w:rPr>
        <w:t>Journal</w:t>
      </w:r>
      <w:r w:rsidRPr="00440DF2">
        <w:rPr>
          <w:rFonts w:ascii="Arial" w:eastAsia="Calibri" w:hAnsi="Arial" w:cs="Arial"/>
          <w:i/>
          <w:iCs/>
          <w:color w:val="222222"/>
          <w:kern w:val="2"/>
          <w:shd w:val="clear" w:color="auto" w:fill="FFFFFF"/>
          <w:lang w:val="en-GB"/>
          <w14:ligatures w14:val="standardContextual"/>
        </w:rPr>
        <w:t xml:space="preserve"> of </w:t>
      </w:r>
      <w:r w:rsidR="0004360F" w:rsidRPr="00440DF2">
        <w:rPr>
          <w:rFonts w:ascii="Arial" w:eastAsia="Calibri" w:hAnsi="Arial" w:cs="Arial"/>
          <w:i/>
          <w:iCs/>
          <w:color w:val="222222"/>
          <w:kern w:val="2"/>
          <w:shd w:val="clear" w:color="auto" w:fill="FFFFFF"/>
          <w:lang w:val="en-GB"/>
          <w14:ligatures w14:val="standardContextual"/>
        </w:rPr>
        <w:t>General Practice</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50</w:t>
      </w:r>
      <w:r w:rsidRPr="00440DF2">
        <w:rPr>
          <w:rFonts w:ascii="Arial" w:eastAsia="Calibri" w:hAnsi="Arial" w:cs="Arial"/>
          <w:color w:val="222222"/>
          <w:kern w:val="2"/>
          <w:shd w:val="clear" w:color="auto" w:fill="FFFFFF"/>
          <w:lang w:val="en-GB"/>
          <w14:ligatures w14:val="standardContextual"/>
        </w:rPr>
        <w:t xml:space="preserve">(10), pp.709-714. </w:t>
      </w:r>
      <w:r w:rsidR="0004360F" w:rsidRPr="00440DF2">
        <w:rPr>
          <w:rFonts w:ascii="Arial" w:eastAsia="Calibri" w:hAnsi="Arial" w:cs="Arial"/>
          <w:color w:val="222222"/>
          <w:kern w:val="2"/>
          <w:shd w:val="clear" w:color="auto" w:fill="FFFFFF"/>
          <w:lang w:val="en-GB"/>
          <w14:ligatures w14:val="standardContextual"/>
        </w:rPr>
        <w:t>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39" w:history="1">
        <w:r w:rsidRPr="00440DF2">
          <w:rPr>
            <w:rFonts w:ascii="Arial" w:eastAsia="Calibri" w:hAnsi="Arial" w:cs="Arial"/>
            <w:color w:val="0563C1"/>
            <w:kern w:val="2"/>
            <w:u w:val="single"/>
            <w:shd w:val="clear" w:color="auto" w:fill="FFFFFF"/>
            <w:lang w:val="en-GB"/>
            <w14:ligatures w14:val="standardContextual"/>
          </w:rPr>
          <w:t>https://search.informit.org/doi/abs/10.3316/informit.079370789996250</w:t>
        </w:r>
      </w:hyperlink>
      <w:r w:rsidRPr="00440DF2">
        <w:rPr>
          <w:rFonts w:ascii="Arial" w:eastAsia="Calibri" w:hAnsi="Arial" w:cs="Arial"/>
          <w:color w:val="222222"/>
          <w:kern w:val="2"/>
          <w:shd w:val="clear" w:color="auto" w:fill="FFFFFF"/>
          <w:lang w:val="en-GB"/>
          <w14:ligatures w14:val="standardContextual"/>
        </w:rPr>
        <w:t xml:space="preserve"> </w:t>
      </w:r>
    </w:p>
    <w:p w14:paraId="1EA3E800" w14:textId="609F20FC"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 xml:space="preserve">Ramsey, L., Sheard, L., Waring, J., McHugh, S., Simms-Ellis, R., Louch, G., Ludwin, K. and O’Hara, J.K. </w:t>
      </w:r>
      <w:r w:rsidR="006F2D05"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2025</w:t>
      </w:r>
      <w:r w:rsidR="006F2D05"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xml:space="preserve"> </w:t>
      </w:r>
      <w:r w:rsidR="006F2D05" w:rsidRPr="00440DF2">
        <w:rPr>
          <w:rFonts w:ascii="Arial" w:eastAsia="Calibri" w:hAnsi="Arial" w:cs="Arial"/>
          <w:color w:val="222222"/>
          <w:kern w:val="2"/>
          <w:shd w:val="clear" w:color="auto" w:fill="FFFFFF"/>
          <w:lang w:val="en-GB"/>
          <w14:ligatures w14:val="standardContextual"/>
        </w:rPr>
        <w:t>‘</w:t>
      </w:r>
      <w:r w:rsidR="003878FA" w:rsidRPr="00440DF2">
        <w:rPr>
          <w:rFonts w:ascii="Arial" w:eastAsia="Calibri" w:hAnsi="Arial" w:cs="Arial"/>
          <w:color w:val="222222"/>
          <w:kern w:val="2"/>
          <w:shd w:val="clear" w:color="auto" w:fill="FFFFFF"/>
          <w:lang w:val="en-GB"/>
          <w14:ligatures w14:val="standardContextual"/>
        </w:rPr>
        <w:t>Humanising</w:t>
      </w:r>
      <w:r w:rsidRPr="00440DF2">
        <w:rPr>
          <w:rFonts w:ascii="Arial" w:eastAsia="Calibri" w:hAnsi="Arial" w:cs="Arial"/>
          <w:color w:val="222222"/>
          <w:kern w:val="2"/>
          <w:shd w:val="clear" w:color="auto" w:fill="FFFFFF"/>
          <w:lang w:val="en-GB"/>
          <w14:ligatures w14:val="standardContextual"/>
        </w:rPr>
        <w:t xml:space="preserve"> processes after harm part 1: patient safety incident investigations, litigation and the experiences of those affected.</w:t>
      </w:r>
      <w:r w:rsidR="006F2D05"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Frontiers in Health Services</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4</w:t>
      </w:r>
      <w:r w:rsidRPr="00440DF2">
        <w:rPr>
          <w:rFonts w:ascii="Arial" w:eastAsia="Calibri" w:hAnsi="Arial" w:cs="Arial"/>
          <w:color w:val="222222"/>
          <w:kern w:val="2"/>
          <w:shd w:val="clear" w:color="auto" w:fill="FFFFFF"/>
          <w:lang w:val="en-GB"/>
          <w14:ligatures w14:val="standardContextual"/>
        </w:rPr>
        <w:t xml:space="preserve">, </w:t>
      </w:r>
      <w:r w:rsidRPr="00440DF2">
        <w:rPr>
          <w:rFonts w:ascii="Arial" w:eastAsia="Calibri" w:hAnsi="Arial" w:cs="Arial"/>
          <w:color w:val="222222"/>
          <w:kern w:val="2"/>
          <w:shd w:val="clear" w:color="auto" w:fill="FFFFFF"/>
          <w:lang w:val="en-GB"/>
          <w14:ligatures w14:val="standardContextual"/>
        </w:rPr>
        <w:lastRenderedPageBreak/>
        <w:t xml:space="preserve">p.1473256. </w:t>
      </w:r>
      <w:r w:rsidR="006F2D05" w:rsidRPr="00440DF2">
        <w:rPr>
          <w:rFonts w:ascii="Arial" w:eastAsia="Calibri" w:hAnsi="Arial" w:cs="Arial"/>
          <w:color w:val="222222"/>
          <w:kern w:val="2"/>
          <w:shd w:val="clear" w:color="auto" w:fill="FFFFFF"/>
          <w:lang w:val="en-GB"/>
          <w14:ligatures w14:val="standardContextual"/>
        </w:rPr>
        <w:t>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40" w:history="1">
        <w:r w:rsidRPr="00440DF2">
          <w:rPr>
            <w:rFonts w:ascii="Arial" w:eastAsia="Calibri" w:hAnsi="Arial" w:cs="Arial"/>
            <w:color w:val="0563C1"/>
            <w:kern w:val="2"/>
            <w:u w:val="single"/>
            <w:shd w:val="clear" w:color="auto" w:fill="FFFFFF"/>
            <w:lang w:val="en-GB"/>
            <w14:ligatures w14:val="standardContextual"/>
          </w:rPr>
          <w:t>https://www.frontiersin.org/journals/health-services/articles/10.3389/frhs.2024.1473256/full</w:t>
        </w:r>
      </w:hyperlink>
      <w:r w:rsidRPr="00440DF2">
        <w:rPr>
          <w:rFonts w:ascii="Arial" w:eastAsia="Calibri" w:hAnsi="Arial" w:cs="Arial"/>
          <w:color w:val="222222"/>
          <w:kern w:val="2"/>
          <w:shd w:val="clear" w:color="auto" w:fill="FFFFFF"/>
          <w:lang w:val="en-GB"/>
          <w14:ligatures w14:val="standardContextual"/>
        </w:rPr>
        <w:t xml:space="preserve"> </w:t>
      </w:r>
    </w:p>
    <w:p w14:paraId="110816AE" w14:textId="6395D82C"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Storey, J. and Holti, R. (2020). </w:t>
      </w:r>
      <w:r w:rsidRPr="00440DF2">
        <w:rPr>
          <w:rFonts w:ascii="Arial" w:eastAsia="Calibri" w:hAnsi="Arial" w:cs="Arial"/>
          <w:i/>
          <w:iCs/>
          <w:color w:val="222222"/>
          <w:kern w:val="2"/>
          <w:shd w:val="clear" w:color="auto" w:fill="FFFFFF"/>
          <w:lang w:val="en-GB"/>
          <w14:ligatures w14:val="standardContextual"/>
        </w:rPr>
        <w:t>Innovating healthcare: the role of political, managerial and clinical leadership</w:t>
      </w:r>
      <w:r w:rsidRPr="00440DF2">
        <w:rPr>
          <w:rFonts w:ascii="Arial" w:eastAsia="Calibri" w:hAnsi="Arial" w:cs="Arial"/>
          <w:color w:val="222222"/>
          <w:kern w:val="2"/>
          <w:shd w:val="clear" w:color="auto" w:fill="FFFFFF"/>
          <w:lang w:val="en-GB"/>
          <w14:ligatures w14:val="standardContextual"/>
        </w:rPr>
        <w:t> (p. 210). Taylor &amp; Francis.</w:t>
      </w:r>
      <w:r w:rsidR="006F2D05"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 xml:space="preserve">vailable at: </w:t>
      </w:r>
      <w:hyperlink r:id="rId41" w:history="1">
        <w:r w:rsidRPr="00440DF2">
          <w:rPr>
            <w:rFonts w:ascii="Arial" w:eastAsia="Calibri" w:hAnsi="Arial" w:cs="Arial"/>
            <w:color w:val="0563C1"/>
            <w:kern w:val="2"/>
            <w:u w:val="single"/>
            <w:shd w:val="clear" w:color="auto" w:fill="FFFFFF"/>
            <w:lang w:val="en-GB"/>
            <w14:ligatures w14:val="standardContextual"/>
          </w:rPr>
          <w:t>https://library.oapen.org/handle/20.500.12657/50893</w:t>
        </w:r>
      </w:hyperlink>
      <w:r w:rsidRPr="00440DF2">
        <w:rPr>
          <w:rFonts w:ascii="Arial" w:eastAsia="Calibri" w:hAnsi="Arial" w:cs="Arial"/>
          <w:color w:val="222222"/>
          <w:kern w:val="2"/>
          <w:shd w:val="clear" w:color="auto" w:fill="FFFFFF"/>
          <w:lang w:val="en-GB"/>
          <w14:ligatures w14:val="standardContextual"/>
        </w:rPr>
        <w:t xml:space="preserve"> </w:t>
      </w:r>
    </w:p>
    <w:p w14:paraId="7E5ABA0B" w14:textId="78A46252"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Sutherland, A., Gerrard, W.S., Patel, A., Randall, M. and Weston, E. (2022) ‘The impact of drug error reduction software on preventing harmful adverse drug events in England: a retrospective database study’. </w:t>
      </w:r>
      <w:r w:rsidRPr="00440DF2">
        <w:rPr>
          <w:rFonts w:ascii="Arial" w:eastAsia="Calibri" w:hAnsi="Arial" w:cs="Arial"/>
          <w:i/>
          <w:iCs/>
          <w:color w:val="222222"/>
          <w:kern w:val="2"/>
          <w:shd w:val="clear" w:color="auto" w:fill="FFFFFF"/>
          <w:lang w:val="en-GB"/>
          <w14:ligatures w14:val="standardContextual"/>
        </w:rPr>
        <w:t>BMJ Open Quality</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11</w:t>
      </w:r>
      <w:r w:rsidRPr="00440DF2">
        <w:rPr>
          <w:rFonts w:ascii="Arial" w:eastAsia="Calibri" w:hAnsi="Arial" w:cs="Arial"/>
          <w:color w:val="222222"/>
          <w:kern w:val="2"/>
          <w:shd w:val="clear" w:color="auto" w:fill="FFFFFF"/>
          <w:lang w:val="en-GB"/>
          <w14:ligatures w14:val="standardContextual"/>
        </w:rPr>
        <w:t>(3).</w:t>
      </w:r>
      <w:r w:rsidR="006F2D05"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42" w:history="1">
        <w:r w:rsidRPr="00440DF2">
          <w:rPr>
            <w:rFonts w:ascii="Arial" w:eastAsia="Calibri" w:hAnsi="Arial" w:cs="Arial"/>
            <w:color w:val="0563C1"/>
            <w:kern w:val="2"/>
            <w:u w:val="single"/>
            <w:shd w:val="clear" w:color="auto" w:fill="FFFFFF"/>
            <w:lang w:val="en-GB"/>
            <w14:ligatures w14:val="standardContextual"/>
          </w:rPr>
          <w:t>https://ejhp.bmj.com/content/27/1/3.abstract</w:t>
        </w:r>
      </w:hyperlink>
    </w:p>
    <w:p w14:paraId="79A037F8" w14:textId="17C5DA37"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 xml:space="preserve">Ward, J., Ward, B. and Kerr, P. (2025) ‘Whither the centre? Tracing centralisation and fragmentation in UK </w:t>
      </w:r>
      <w:r w:rsidR="003878FA" w:rsidRPr="00440DF2">
        <w:rPr>
          <w:rFonts w:ascii="Arial" w:eastAsia="Calibri" w:hAnsi="Arial" w:cs="Arial"/>
          <w:color w:val="222222"/>
          <w:kern w:val="2"/>
          <w:shd w:val="clear" w:color="auto" w:fill="FFFFFF"/>
          <w:lang w:val="en-GB"/>
          <w14:ligatures w14:val="standardContextual"/>
        </w:rPr>
        <w:t>politics</w:t>
      </w:r>
      <w:r w:rsidRPr="00440DF2">
        <w:rPr>
          <w:rFonts w:ascii="Arial" w:eastAsia="Calibri" w:hAnsi="Arial" w:cs="Arial"/>
          <w:color w:val="222222"/>
          <w:kern w:val="2"/>
          <w:shd w:val="clear" w:color="auto" w:fill="FFFFFF"/>
          <w:lang w:val="en-GB"/>
          <w14:ligatures w14:val="standardContextual"/>
        </w:rPr>
        <w:t>.</w:t>
      </w:r>
      <w:r w:rsidR="003878FA"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Political Studies Review</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23</w:t>
      </w:r>
      <w:r w:rsidRPr="00440DF2">
        <w:rPr>
          <w:rFonts w:ascii="Arial" w:eastAsia="Calibri" w:hAnsi="Arial" w:cs="Arial"/>
          <w:color w:val="222222"/>
          <w:kern w:val="2"/>
          <w:shd w:val="clear" w:color="auto" w:fill="FFFFFF"/>
          <w:lang w:val="en-GB"/>
          <w14:ligatures w14:val="standardContextual"/>
        </w:rPr>
        <w:t xml:space="preserve">(2), pp.445-460. </w:t>
      </w:r>
      <w:r w:rsidR="00245DFF" w:rsidRPr="00440DF2">
        <w:rPr>
          <w:rFonts w:ascii="Arial" w:eastAsia="Calibri" w:hAnsi="Arial" w:cs="Arial"/>
          <w:color w:val="222222"/>
          <w:kern w:val="2"/>
          <w:shd w:val="clear" w:color="auto" w:fill="FFFFFF"/>
          <w:lang w:val="en-GB"/>
          <w14:ligatures w14:val="standardContextual"/>
        </w:rPr>
        <w:t>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43" w:history="1">
        <w:r w:rsidRPr="00440DF2">
          <w:rPr>
            <w:rFonts w:ascii="Arial" w:eastAsia="Calibri" w:hAnsi="Arial" w:cs="Arial"/>
            <w:color w:val="0563C1"/>
            <w:kern w:val="2"/>
            <w:u w:val="single"/>
            <w:shd w:val="clear" w:color="auto" w:fill="FFFFFF"/>
            <w:lang w:val="en-GB"/>
            <w14:ligatures w14:val="standardContextual"/>
          </w:rPr>
          <w:t>https://journals.sagepub.com/doi/full/10.1177/14789299241258629</w:t>
        </w:r>
      </w:hyperlink>
      <w:r w:rsidRPr="00440DF2">
        <w:rPr>
          <w:rFonts w:ascii="Arial" w:eastAsia="Calibri" w:hAnsi="Arial" w:cs="Arial"/>
          <w:color w:val="222222"/>
          <w:kern w:val="2"/>
          <w:shd w:val="clear" w:color="auto" w:fill="FFFFFF"/>
          <w:lang w:val="en-GB"/>
          <w14:ligatures w14:val="standardContextual"/>
        </w:rPr>
        <w:t xml:space="preserve"> </w:t>
      </w:r>
    </w:p>
    <w:p w14:paraId="12902E97" w14:textId="3E54290A"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Williams, S.J. and Best, S. (2022) ‘What does a systems approach to quality improvement look like in practice?</w:t>
      </w:r>
      <w:r w:rsidR="003878FA"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 xml:space="preserve">International </w:t>
      </w:r>
      <w:r w:rsidR="003878FA" w:rsidRPr="00440DF2">
        <w:rPr>
          <w:rFonts w:ascii="Arial" w:eastAsia="Calibri" w:hAnsi="Arial" w:cs="Arial"/>
          <w:i/>
          <w:iCs/>
          <w:color w:val="222222"/>
          <w:kern w:val="2"/>
          <w:shd w:val="clear" w:color="auto" w:fill="FFFFFF"/>
          <w:lang w:val="en-GB"/>
          <w14:ligatures w14:val="standardContextual"/>
        </w:rPr>
        <w:t>Journal</w:t>
      </w:r>
      <w:r w:rsidRPr="00440DF2">
        <w:rPr>
          <w:rFonts w:ascii="Arial" w:eastAsia="Calibri" w:hAnsi="Arial" w:cs="Arial"/>
          <w:i/>
          <w:iCs/>
          <w:color w:val="222222"/>
          <w:kern w:val="2"/>
          <w:shd w:val="clear" w:color="auto" w:fill="FFFFFF"/>
          <w:lang w:val="en-GB"/>
          <w14:ligatures w14:val="standardContextual"/>
        </w:rPr>
        <w:t xml:space="preserve"> of </w:t>
      </w:r>
      <w:r w:rsidR="003878FA" w:rsidRPr="00440DF2">
        <w:rPr>
          <w:rFonts w:ascii="Arial" w:eastAsia="Calibri" w:hAnsi="Arial" w:cs="Arial"/>
          <w:i/>
          <w:iCs/>
          <w:color w:val="222222"/>
          <w:kern w:val="2"/>
          <w:shd w:val="clear" w:color="auto" w:fill="FFFFFF"/>
          <w:lang w:val="en-GB"/>
          <w14:ligatures w14:val="standardContextual"/>
        </w:rPr>
        <w:t>Environmental Research</w:t>
      </w:r>
      <w:r w:rsidRPr="00440DF2">
        <w:rPr>
          <w:rFonts w:ascii="Arial" w:eastAsia="Calibri" w:hAnsi="Arial" w:cs="Arial"/>
          <w:i/>
          <w:iCs/>
          <w:color w:val="222222"/>
          <w:kern w:val="2"/>
          <w:shd w:val="clear" w:color="auto" w:fill="FFFFFF"/>
          <w:lang w:val="en-GB"/>
          <w14:ligatures w14:val="standardContextual"/>
        </w:rPr>
        <w:t xml:space="preserve"> and </w:t>
      </w:r>
      <w:r w:rsidR="003878FA" w:rsidRPr="00440DF2">
        <w:rPr>
          <w:rFonts w:ascii="Arial" w:eastAsia="Calibri" w:hAnsi="Arial" w:cs="Arial"/>
          <w:i/>
          <w:iCs/>
          <w:color w:val="222222"/>
          <w:kern w:val="2"/>
          <w:shd w:val="clear" w:color="auto" w:fill="FFFFFF"/>
          <w:lang w:val="en-GB"/>
          <w14:ligatures w14:val="standardContextual"/>
        </w:rPr>
        <w:t>Public Health</w:t>
      </w:r>
      <w:r w:rsidRPr="00440DF2">
        <w:rPr>
          <w:rFonts w:ascii="Arial" w:eastAsia="Calibri" w:hAnsi="Arial" w:cs="Arial"/>
          <w:color w:val="222222"/>
          <w:kern w:val="2"/>
          <w:shd w:val="clear" w:color="auto" w:fill="FFFFFF"/>
          <w:lang w:val="en-GB"/>
          <w14:ligatures w14:val="standardContextual"/>
        </w:rPr>
        <w:t>, </w:t>
      </w:r>
      <w:r w:rsidRPr="00440DF2">
        <w:rPr>
          <w:rFonts w:ascii="Arial" w:eastAsia="Calibri" w:hAnsi="Arial" w:cs="Arial"/>
          <w:i/>
          <w:iCs/>
          <w:color w:val="222222"/>
          <w:kern w:val="2"/>
          <w:shd w:val="clear" w:color="auto" w:fill="FFFFFF"/>
          <w:lang w:val="en-GB"/>
          <w14:ligatures w14:val="standardContextual"/>
        </w:rPr>
        <w:t>19</w:t>
      </w:r>
      <w:r w:rsidRPr="00440DF2">
        <w:rPr>
          <w:rFonts w:ascii="Arial" w:eastAsia="Calibri" w:hAnsi="Arial" w:cs="Arial"/>
          <w:color w:val="222222"/>
          <w:kern w:val="2"/>
          <w:shd w:val="clear" w:color="auto" w:fill="FFFFFF"/>
          <w:lang w:val="en-GB"/>
          <w14:ligatures w14:val="standardContextual"/>
        </w:rPr>
        <w:t xml:space="preserve">(2), p.747. </w:t>
      </w:r>
      <w:r w:rsidR="008503CD" w:rsidRPr="00440DF2">
        <w:rPr>
          <w:rFonts w:ascii="Arial" w:eastAsia="Calibri" w:hAnsi="Arial" w:cs="Arial"/>
          <w:color w:val="222222"/>
          <w:kern w:val="2"/>
          <w:shd w:val="clear" w:color="auto" w:fill="FFFFFF"/>
          <w:lang w:val="en-GB"/>
          <w14:ligatures w14:val="standardContextual"/>
        </w:rPr>
        <w:t>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44" w:history="1">
        <w:r w:rsidRPr="00440DF2">
          <w:rPr>
            <w:rFonts w:ascii="Arial" w:eastAsia="Calibri" w:hAnsi="Arial" w:cs="Arial"/>
            <w:color w:val="0563C1"/>
            <w:kern w:val="2"/>
            <w:u w:val="single"/>
            <w:shd w:val="clear" w:color="auto" w:fill="FFFFFF"/>
            <w:lang w:val="en-GB"/>
            <w14:ligatures w14:val="standardContextual"/>
          </w:rPr>
          <w:t>https://www.mdpi.com/1660-4601/19/2/747</w:t>
        </w:r>
      </w:hyperlink>
      <w:r w:rsidRPr="00440DF2">
        <w:rPr>
          <w:rFonts w:ascii="Arial" w:eastAsia="Calibri" w:hAnsi="Arial" w:cs="Arial"/>
          <w:color w:val="222222"/>
          <w:kern w:val="2"/>
          <w:shd w:val="clear" w:color="auto" w:fill="FFFFFF"/>
          <w:lang w:val="en-GB"/>
          <w14:ligatures w14:val="standardContextual"/>
        </w:rPr>
        <w:t xml:space="preserve"> </w:t>
      </w:r>
    </w:p>
    <w:p w14:paraId="40581652" w14:textId="3DB73615"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 xml:space="preserve">World Health </w:t>
      </w:r>
      <w:r w:rsidR="003878FA" w:rsidRPr="00440DF2">
        <w:rPr>
          <w:rFonts w:ascii="Arial" w:eastAsia="Calibri" w:hAnsi="Arial" w:cs="Arial"/>
          <w:color w:val="222222"/>
          <w:kern w:val="2"/>
          <w:shd w:val="clear" w:color="auto" w:fill="FFFFFF"/>
          <w:lang w:val="en-GB"/>
          <w14:ligatures w14:val="standardContextual"/>
        </w:rPr>
        <w:t>Organisation</w:t>
      </w:r>
      <w:r w:rsidRPr="00440DF2">
        <w:rPr>
          <w:rFonts w:ascii="Arial" w:eastAsia="Calibri" w:hAnsi="Arial" w:cs="Arial"/>
          <w:color w:val="222222"/>
          <w:kern w:val="2"/>
          <w:shd w:val="clear" w:color="auto" w:fill="FFFFFF"/>
          <w:lang w:val="en-GB"/>
          <w14:ligatures w14:val="standardContextual"/>
        </w:rPr>
        <w:t xml:space="preserve"> (2021) </w:t>
      </w:r>
      <w:r w:rsidRPr="00440DF2">
        <w:rPr>
          <w:rFonts w:ascii="Arial" w:eastAsia="Calibri" w:hAnsi="Arial" w:cs="Arial"/>
          <w:i/>
          <w:iCs/>
          <w:color w:val="222222"/>
          <w:kern w:val="2"/>
          <w:shd w:val="clear" w:color="auto" w:fill="FFFFFF"/>
          <w:lang w:val="en-GB"/>
          <w14:ligatures w14:val="standardContextual"/>
        </w:rPr>
        <w:t>Global patient safety action plan 2021-2030: towards eliminating avoidable harm in health care</w:t>
      </w:r>
      <w:r w:rsidRPr="00440DF2">
        <w:rPr>
          <w:rFonts w:ascii="Arial" w:eastAsia="Calibri" w:hAnsi="Arial" w:cs="Arial"/>
          <w:color w:val="222222"/>
          <w:kern w:val="2"/>
          <w:shd w:val="clear" w:color="auto" w:fill="FFFFFF"/>
          <w:lang w:val="en-GB"/>
          <w14:ligatures w14:val="standardContextual"/>
        </w:rPr>
        <w:t xml:space="preserve">. World Health </w:t>
      </w:r>
      <w:r w:rsidR="003878FA" w:rsidRPr="00440DF2">
        <w:rPr>
          <w:rFonts w:ascii="Arial" w:eastAsia="Calibri" w:hAnsi="Arial" w:cs="Arial"/>
          <w:color w:val="222222"/>
          <w:kern w:val="2"/>
          <w:shd w:val="clear" w:color="auto" w:fill="FFFFFF"/>
          <w:lang w:val="en-GB"/>
          <w14:ligatures w14:val="standardContextual"/>
        </w:rPr>
        <w:t>Organisation</w:t>
      </w:r>
      <w:r w:rsidRPr="00440DF2">
        <w:rPr>
          <w:rFonts w:ascii="Arial" w:eastAsia="Calibri" w:hAnsi="Arial" w:cs="Arial"/>
          <w:color w:val="222222"/>
          <w:kern w:val="2"/>
          <w:shd w:val="clear" w:color="auto" w:fill="FFFFFF"/>
          <w:lang w:val="en-GB"/>
          <w14:ligatures w14:val="standardContextual"/>
        </w:rPr>
        <w:t xml:space="preserve">. </w:t>
      </w:r>
      <w:r w:rsidR="008503CD" w:rsidRPr="00440DF2">
        <w:rPr>
          <w:rFonts w:ascii="Arial" w:eastAsia="Calibri" w:hAnsi="Arial" w:cs="Arial"/>
          <w:color w:val="222222"/>
          <w:kern w:val="2"/>
          <w:shd w:val="clear" w:color="auto" w:fill="FFFFFF"/>
          <w:lang w:val="en-GB"/>
          <w14:ligatures w14:val="standardContextual"/>
        </w:rPr>
        <w:t>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45" w:anchor="v=onepage&amp;q=Incidents%20of%20patient%20safety%20have%20been%20a%20significant%20concern%20with%20the%20health%20and%20social%20care%20systems%20worldwide&amp;f=false" w:history="1">
        <w:r w:rsidRPr="00440DF2">
          <w:rPr>
            <w:rFonts w:ascii="Arial" w:eastAsia="Calibri" w:hAnsi="Arial" w:cs="Arial"/>
            <w:color w:val="0563C1"/>
            <w:kern w:val="2"/>
            <w:u w:val="single"/>
            <w:shd w:val="clear" w:color="auto" w:fill="FFFFFF"/>
            <w:lang w:val="en-GB"/>
            <w14:ligatures w14:val="standardContextual"/>
          </w:rPr>
          <w:t>https://books.google.co.in/books?hl=en&amp;lr=&amp;id=csZqEAAAQBAJ&amp;oi=fnd&amp;pg=PR7&amp;dq=Incidents+of+patient+safety+have+been+a+significant+concern+with+the+health+and+social+care+systems+worldwide&amp;ots=xKYY53hpvw&amp;sig=XOFfRTKAUQIvNlbfzqYw0rLlcKc&amp;redir_esc=y#v=onepage&amp;q=Incidents%20of%20patient%20safety%20have%20been%20a%20significant%20concern%20with%20the%20health%20and%20social%20care%20systems%20worldwide&amp;f=false</w:t>
        </w:r>
      </w:hyperlink>
      <w:r w:rsidRPr="00440DF2">
        <w:rPr>
          <w:rFonts w:ascii="Arial" w:eastAsia="Calibri" w:hAnsi="Arial" w:cs="Arial"/>
          <w:color w:val="222222"/>
          <w:kern w:val="2"/>
          <w:shd w:val="clear" w:color="auto" w:fill="FFFFFF"/>
          <w:lang w:val="en-GB"/>
          <w14:ligatures w14:val="standardContextual"/>
        </w:rPr>
        <w:t xml:space="preserve"> </w:t>
      </w:r>
      <w:r w:rsidR="008503CD" w:rsidRPr="00440DF2">
        <w:rPr>
          <w:rFonts w:ascii="Arial" w:eastAsia="Calibri" w:hAnsi="Arial" w:cs="Arial"/>
          <w:color w:val="222222"/>
          <w:kern w:val="2"/>
          <w:shd w:val="clear" w:color="auto" w:fill="FFFFFF"/>
          <w:lang w:val="en-GB"/>
          <w14:ligatures w14:val="standardContextual"/>
        </w:rPr>
        <w:t>(A</w:t>
      </w:r>
      <w:r w:rsidRPr="00440DF2">
        <w:rPr>
          <w:rFonts w:ascii="Arial" w:eastAsia="Calibri" w:hAnsi="Arial" w:cs="Arial"/>
          <w:color w:val="222222"/>
          <w:kern w:val="2"/>
          <w:shd w:val="clear" w:color="auto" w:fill="FFFFFF"/>
          <w:lang w:val="en-GB"/>
          <w14:ligatures w14:val="standardContextual"/>
        </w:rPr>
        <w:t>ccessed</w:t>
      </w:r>
      <w:r w:rsidR="008503CD"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xml:space="preserve"> 2</w:t>
      </w:r>
      <w:r w:rsidR="008503CD" w:rsidRPr="00440DF2">
        <w:rPr>
          <w:rFonts w:ascii="Arial" w:eastAsia="Calibri" w:hAnsi="Arial" w:cs="Arial"/>
          <w:color w:val="222222"/>
          <w:kern w:val="2"/>
          <w:shd w:val="clear" w:color="auto" w:fill="FFFFFF"/>
          <w:lang w:val="en-GB"/>
          <w14:ligatures w14:val="standardContextual"/>
        </w:rPr>
        <w:t>8</w:t>
      </w:r>
      <w:r w:rsidRPr="00440DF2">
        <w:rPr>
          <w:rFonts w:ascii="Arial" w:eastAsia="Calibri" w:hAnsi="Arial" w:cs="Arial"/>
          <w:color w:val="222222"/>
          <w:kern w:val="2"/>
          <w:shd w:val="clear" w:color="auto" w:fill="FFFFFF"/>
          <w:lang w:val="en-GB"/>
          <w14:ligatures w14:val="standardContextual"/>
        </w:rPr>
        <w:t xml:space="preserve"> June 2026).</w:t>
      </w:r>
    </w:p>
    <w:p w14:paraId="0E5D1BDD" w14:textId="579FAD21" w:rsidR="00E0036E" w:rsidRPr="00440DF2" w:rsidRDefault="00E0036E" w:rsidP="00440DF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440DF2">
        <w:rPr>
          <w:rFonts w:ascii="Arial" w:eastAsia="Calibri" w:hAnsi="Arial" w:cs="Arial"/>
          <w:color w:val="222222"/>
          <w:kern w:val="2"/>
          <w:shd w:val="clear" w:color="auto" w:fill="FFFFFF"/>
          <w:lang w:val="en-GB"/>
          <w14:ligatures w14:val="standardContextual"/>
        </w:rPr>
        <w:t xml:space="preserve">World Health </w:t>
      </w:r>
      <w:r w:rsidR="003878FA" w:rsidRPr="00440DF2">
        <w:rPr>
          <w:rFonts w:ascii="Arial" w:eastAsia="Calibri" w:hAnsi="Arial" w:cs="Arial"/>
          <w:color w:val="222222"/>
          <w:kern w:val="2"/>
          <w:shd w:val="clear" w:color="auto" w:fill="FFFFFF"/>
          <w:lang w:val="en-GB"/>
          <w14:ligatures w14:val="standardContextual"/>
        </w:rPr>
        <w:t>Organisation</w:t>
      </w:r>
      <w:r w:rsidRPr="00440DF2">
        <w:rPr>
          <w:rFonts w:ascii="Arial" w:eastAsia="Calibri" w:hAnsi="Arial" w:cs="Arial"/>
          <w:color w:val="222222"/>
          <w:kern w:val="2"/>
          <w:shd w:val="clear" w:color="auto" w:fill="FFFFFF"/>
          <w:lang w:val="en-GB"/>
          <w14:ligatures w14:val="standardContextual"/>
        </w:rPr>
        <w:t xml:space="preserve"> (2024) </w:t>
      </w:r>
      <w:r w:rsidRPr="00440DF2">
        <w:rPr>
          <w:rFonts w:ascii="Arial" w:eastAsia="Calibri" w:hAnsi="Arial" w:cs="Arial"/>
          <w:i/>
          <w:iCs/>
          <w:color w:val="222222"/>
          <w:kern w:val="2"/>
          <w:shd w:val="clear" w:color="auto" w:fill="FFFFFF"/>
          <w:lang w:val="en-GB"/>
          <w14:ligatures w14:val="standardContextual"/>
        </w:rPr>
        <w:t>Global patient safety report 2024</w:t>
      </w:r>
      <w:r w:rsidRPr="00440DF2">
        <w:rPr>
          <w:rFonts w:ascii="Arial" w:eastAsia="Calibri" w:hAnsi="Arial" w:cs="Arial"/>
          <w:color w:val="222222"/>
          <w:kern w:val="2"/>
          <w:shd w:val="clear" w:color="auto" w:fill="FFFFFF"/>
          <w:lang w:val="en-GB"/>
          <w14:ligatures w14:val="standardContextual"/>
        </w:rPr>
        <w:t xml:space="preserve">. World Health </w:t>
      </w:r>
      <w:r w:rsidR="003878FA" w:rsidRPr="00440DF2">
        <w:rPr>
          <w:rFonts w:ascii="Arial" w:eastAsia="Calibri" w:hAnsi="Arial" w:cs="Arial"/>
          <w:color w:val="222222"/>
          <w:kern w:val="2"/>
          <w:shd w:val="clear" w:color="auto" w:fill="FFFFFF"/>
          <w:lang w:val="en-GB"/>
          <w14:ligatures w14:val="standardContextual"/>
        </w:rPr>
        <w:t>Organisation</w:t>
      </w:r>
      <w:r w:rsidRPr="00440DF2">
        <w:rPr>
          <w:rFonts w:ascii="Arial" w:eastAsia="Calibri" w:hAnsi="Arial" w:cs="Arial"/>
          <w:color w:val="222222"/>
          <w:kern w:val="2"/>
          <w:shd w:val="clear" w:color="auto" w:fill="FFFFFF"/>
          <w:lang w:val="en-GB"/>
          <w14:ligatures w14:val="standardContextual"/>
        </w:rPr>
        <w:t>.</w:t>
      </w:r>
      <w:r w:rsidR="008503CD" w:rsidRPr="00440DF2">
        <w:rPr>
          <w:rFonts w:ascii="Arial" w:eastAsia="Calibri" w:hAnsi="Arial" w:cs="Arial"/>
          <w:color w:val="222222"/>
          <w:kern w:val="2"/>
          <w:shd w:val="clear" w:color="auto" w:fill="FFFFFF"/>
          <w:lang w:val="en-GB"/>
          <w14:ligatures w14:val="standardContextual"/>
        </w:rPr>
        <w:t xml:space="preserve"> A</w:t>
      </w:r>
      <w:r w:rsidRPr="00440DF2">
        <w:rPr>
          <w:rFonts w:ascii="Arial" w:eastAsia="Calibri" w:hAnsi="Arial" w:cs="Arial"/>
          <w:color w:val="222222"/>
          <w:kern w:val="2"/>
          <w:shd w:val="clear" w:color="auto" w:fill="FFFFFF"/>
          <w:lang w:val="en-GB"/>
          <w14:ligatures w14:val="standardContextual"/>
        </w:rPr>
        <w:t>vailable at:</w:t>
      </w:r>
      <w:r w:rsidRPr="00440DF2">
        <w:rPr>
          <w:rFonts w:ascii="Arial" w:eastAsia="Calibri" w:hAnsi="Arial" w:cs="Arial"/>
          <w:kern w:val="2"/>
          <w:lang w:val="en-GB"/>
          <w14:ligatures w14:val="standardContextual"/>
        </w:rPr>
        <w:t xml:space="preserve"> </w:t>
      </w:r>
      <w:hyperlink r:id="rId46" w:anchor="v=onepage&amp;q&amp;f=false" w:history="1">
        <w:r w:rsidRPr="00440DF2">
          <w:rPr>
            <w:rFonts w:ascii="Arial" w:eastAsia="Calibri" w:hAnsi="Arial" w:cs="Arial"/>
            <w:color w:val="0563C1"/>
            <w:kern w:val="2"/>
            <w:u w:val="single"/>
            <w:shd w:val="clear" w:color="auto" w:fill="FFFFFF"/>
            <w:lang w:val="en-GB"/>
            <w14:ligatures w14:val="standardContextual"/>
          </w:rPr>
          <w:t>https://books.google.co.in/books?hl=en&amp;lr=&amp;id=waMOEQAAQBAJ&amp;oi=fnd&amp;pg=PR7&amp;dq=the+World+Health+Organisation+(WHO)+as+follows:+1+in+10+patients+and+half+of+the+injuries+are+preventable+uk+based+&amp;ots=4b1wbvXIEf&amp;sig=8xnngG_qIS_T3rXLmtq-NxuaRSA&amp;redir_esc=y#v=onepage&amp;q&amp;f=false</w:t>
        </w:r>
      </w:hyperlink>
      <w:r w:rsidRPr="00440DF2">
        <w:rPr>
          <w:rFonts w:ascii="Arial" w:eastAsia="Calibri" w:hAnsi="Arial" w:cs="Arial"/>
          <w:color w:val="222222"/>
          <w:kern w:val="2"/>
          <w:shd w:val="clear" w:color="auto" w:fill="FFFFFF"/>
          <w:lang w:val="en-GB"/>
          <w14:ligatures w14:val="standardContextual"/>
        </w:rPr>
        <w:t xml:space="preserve"> (</w:t>
      </w:r>
      <w:r w:rsidR="008503CD" w:rsidRPr="00440DF2">
        <w:rPr>
          <w:rFonts w:ascii="Arial" w:eastAsia="Calibri" w:hAnsi="Arial" w:cs="Arial"/>
          <w:color w:val="222222"/>
          <w:kern w:val="2"/>
          <w:shd w:val="clear" w:color="auto" w:fill="FFFFFF"/>
          <w:lang w:val="en-GB"/>
          <w14:ligatures w14:val="standardContextual"/>
        </w:rPr>
        <w:t>A</w:t>
      </w:r>
      <w:r w:rsidRPr="00440DF2">
        <w:rPr>
          <w:rFonts w:ascii="Arial" w:eastAsia="Calibri" w:hAnsi="Arial" w:cs="Arial"/>
          <w:color w:val="222222"/>
          <w:kern w:val="2"/>
          <w:shd w:val="clear" w:color="auto" w:fill="FFFFFF"/>
          <w:lang w:val="en-GB"/>
          <w14:ligatures w14:val="standardContextual"/>
        </w:rPr>
        <w:t>ccessed</w:t>
      </w:r>
      <w:r w:rsidR="008503CD" w:rsidRPr="00440DF2">
        <w:rPr>
          <w:rFonts w:ascii="Arial" w:eastAsia="Calibri" w:hAnsi="Arial" w:cs="Arial"/>
          <w:color w:val="222222"/>
          <w:kern w:val="2"/>
          <w:shd w:val="clear" w:color="auto" w:fill="FFFFFF"/>
          <w:lang w:val="en-GB"/>
          <w14:ligatures w14:val="standardContextual"/>
        </w:rPr>
        <w:t>:</w:t>
      </w:r>
      <w:r w:rsidRPr="00440DF2">
        <w:rPr>
          <w:rFonts w:ascii="Arial" w:eastAsia="Calibri" w:hAnsi="Arial" w:cs="Arial"/>
          <w:color w:val="222222"/>
          <w:kern w:val="2"/>
          <w:shd w:val="clear" w:color="auto" w:fill="FFFFFF"/>
          <w:lang w:val="en-GB"/>
          <w14:ligatures w14:val="standardContextual"/>
        </w:rPr>
        <w:t xml:space="preserve"> 2</w:t>
      </w:r>
      <w:r w:rsidR="008503CD" w:rsidRPr="00440DF2">
        <w:rPr>
          <w:rFonts w:ascii="Arial" w:eastAsia="Calibri" w:hAnsi="Arial" w:cs="Arial"/>
          <w:color w:val="222222"/>
          <w:kern w:val="2"/>
          <w:shd w:val="clear" w:color="auto" w:fill="FFFFFF"/>
          <w:lang w:val="en-GB"/>
          <w14:ligatures w14:val="standardContextual"/>
        </w:rPr>
        <w:t>9</w:t>
      </w:r>
      <w:r w:rsidRPr="00440DF2">
        <w:rPr>
          <w:rFonts w:ascii="Arial" w:eastAsia="Calibri" w:hAnsi="Arial" w:cs="Arial"/>
          <w:color w:val="222222"/>
          <w:kern w:val="2"/>
          <w:shd w:val="clear" w:color="auto" w:fill="FFFFFF"/>
          <w:lang w:val="en-GB"/>
          <w14:ligatures w14:val="standardContextual"/>
        </w:rPr>
        <w:t xml:space="preserve"> June 2026).</w:t>
      </w:r>
    </w:p>
    <w:p w14:paraId="2502991F" w14:textId="77777777" w:rsidR="00E0036E" w:rsidRPr="00440DF2" w:rsidRDefault="00E0036E" w:rsidP="00440DF2">
      <w:pPr>
        <w:spacing w:after="160" w:line="360" w:lineRule="auto"/>
        <w:jc w:val="both"/>
        <w:rPr>
          <w:rFonts w:ascii="Arial" w:eastAsia="Times New Roman" w:hAnsi="Arial" w:cs="Arial"/>
          <w:b/>
          <w:bCs/>
          <w:color w:val="2F5496"/>
          <w:kern w:val="2"/>
          <w:lang w:val="en-GB"/>
          <w14:ligatures w14:val="standardContextual"/>
        </w:rPr>
      </w:pPr>
      <w:bookmarkStart w:id="86" w:name="_Toc233119325"/>
      <w:r w:rsidRPr="00440DF2">
        <w:rPr>
          <w:rFonts w:ascii="Arial" w:eastAsia="Calibri" w:hAnsi="Arial" w:cs="Arial"/>
          <w:b/>
          <w:bCs/>
          <w:kern w:val="2"/>
          <w:lang w:val="en-GB"/>
          <w14:ligatures w14:val="standardContextual"/>
        </w:rPr>
        <w:br w:type="page"/>
      </w:r>
    </w:p>
    <w:p w14:paraId="6FB8F7B3" w14:textId="77777777" w:rsidR="00E0036E" w:rsidRPr="00F95CE5" w:rsidRDefault="00E0036E" w:rsidP="00E0036E">
      <w:pPr>
        <w:keepNext/>
        <w:keepLines/>
        <w:spacing w:before="240" w:after="80" w:line="360" w:lineRule="auto"/>
        <w:jc w:val="both"/>
        <w:outlineLvl w:val="0"/>
        <w:rPr>
          <w:rFonts w:ascii="Arial" w:eastAsia="Times New Roman" w:hAnsi="Arial" w:cs="Arial"/>
          <w:b/>
          <w:bCs/>
          <w:color w:val="2F5496"/>
          <w:kern w:val="2"/>
          <w:lang w:val="en-GB"/>
          <w14:ligatures w14:val="standardContextual"/>
        </w:rPr>
      </w:pPr>
      <w:bookmarkStart w:id="87" w:name="_Toc235204143"/>
      <w:bookmarkStart w:id="88" w:name="_Toc235204395"/>
      <w:bookmarkStart w:id="89" w:name="_Toc235204796"/>
      <w:r w:rsidRPr="00F95CE5">
        <w:rPr>
          <w:rFonts w:ascii="Arial" w:eastAsia="Times New Roman" w:hAnsi="Arial" w:cs="Arial"/>
          <w:b/>
          <w:bCs/>
          <w:color w:val="2F5496"/>
          <w:kern w:val="2"/>
          <w:lang w:val="en-GB"/>
          <w14:ligatures w14:val="standardContextual"/>
        </w:rPr>
        <w:lastRenderedPageBreak/>
        <w:t>9. Appendix</w:t>
      </w:r>
      <w:bookmarkEnd w:id="86"/>
      <w:bookmarkEnd w:id="87"/>
      <w:bookmarkEnd w:id="88"/>
      <w:bookmarkEnd w:id="89"/>
      <w:r w:rsidRPr="00F95CE5">
        <w:rPr>
          <w:rFonts w:ascii="Arial" w:eastAsia="Times New Roman" w:hAnsi="Arial" w:cs="Arial"/>
          <w:b/>
          <w:bCs/>
          <w:color w:val="2F5496"/>
          <w:kern w:val="2"/>
          <w:lang w:val="en-GB"/>
          <w14:ligatures w14:val="standardContextual"/>
        </w:rPr>
        <w:t xml:space="preserve"> </w:t>
      </w:r>
    </w:p>
    <w:p w14:paraId="26038C22" w14:textId="77777777" w:rsidR="00E0036E" w:rsidRPr="00F95CE5" w:rsidRDefault="00E0036E" w:rsidP="00E0036E">
      <w:pPr>
        <w:autoSpaceDE w:val="0"/>
        <w:autoSpaceDN w:val="0"/>
        <w:adjustRightInd w:val="0"/>
        <w:spacing w:before="240" w:after="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t>APPENDIX A – RICH PICTURE OF THE LEN CASE</w:t>
      </w:r>
    </w:p>
    <w:p w14:paraId="7123C2CC"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37760" behindDoc="0" locked="0" layoutInCell="1" allowOverlap="1" wp14:anchorId="61068BAC" wp14:editId="5329349A">
                <wp:simplePos x="0" y="0"/>
                <wp:positionH relativeFrom="column">
                  <wp:posOffset>1182624</wp:posOffset>
                </wp:positionH>
                <wp:positionV relativeFrom="paragraph">
                  <wp:posOffset>190373</wp:posOffset>
                </wp:positionV>
                <wp:extent cx="2535936" cy="487680"/>
                <wp:effectExtent l="0" t="0" r="17145" b="7620"/>
                <wp:wrapNone/>
                <wp:docPr id="1143236713" name="Oval 3"/>
                <wp:cNvGraphicFramePr/>
                <a:graphic xmlns:a="http://schemas.openxmlformats.org/drawingml/2006/main">
                  <a:graphicData uri="http://schemas.microsoft.com/office/word/2010/wordprocessingShape">
                    <wps:wsp>
                      <wps:cNvSpPr/>
                      <wps:spPr>
                        <a:xfrm>
                          <a:off x="0" y="0"/>
                          <a:ext cx="2535936" cy="487680"/>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3EADD460" w14:textId="77777777" w:rsidR="00E0036E" w:rsidRDefault="00E0036E" w:rsidP="00E0036E">
                            <w:pPr>
                              <w:jc w:val="center"/>
                            </w:pPr>
                            <w:r w:rsidRPr="000A0604">
                              <w:rPr>
                                <w:rFonts w:ascii="Arial" w:hAnsi="Arial" w:cs="Arial"/>
                                <w:lang w:val="en-GB"/>
                              </w:rPr>
                              <w:t>Patient (Len, 89</w:t>
                            </w:r>
                            <w:r>
                              <w:rPr>
                                <w:rFonts w:ascii="Arial" w:hAnsi="Arial" w:cs="Arial"/>
                                <w:lang w:val="en-GB"/>
                              </w:rPr>
                              <w:t>)</w:t>
                            </w:r>
                            <w:r w:rsidRPr="000A0604">
                              <w:rPr>
                                <w:rFonts w:ascii="Arial" w:hAnsi="Arial" w:cs="Arial"/>
                                <w:lang w:val="en-GB"/>
                              </w:rPr>
                              <w:t xml:space="preserve"> years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068BAC" id="Oval 3" o:spid="_x0000_s1026" style="position:absolute;left:0;text-align:left;margin-left:93.1pt;margin-top:15pt;width:199.7pt;height:38.4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" fillcolor="#4472c4" strokecolor="#172c51" strokeweight="1pt">
                <v:stroke joinstyle="miter"/>
                <v:textbox>
                  <w:txbxContent>
                    <w:p w14:paraId="3EADD460" w14:textId="77777777" w:rsidR="00E0036E" w:rsidRDefault="00E0036E" w:rsidP="00E0036E">
                      <w:pPr>
                        <w:jc w:val="center"/>
                      </w:pPr>
                      <w:r w:rsidRPr="000A0604">
                        <w:rPr>
                          <w:rFonts w:ascii="Arial" w:hAnsi="Arial" w:cs="Arial"/>
                          <w:lang w:val="en-GB"/>
                        </w:rPr>
                        <w:t>Patient (Len, 89</w:t>
                      </w:r>
                      <w:r>
                        <w:rPr>
                          <w:rFonts w:ascii="Arial" w:hAnsi="Arial" w:cs="Arial"/>
                          <w:lang w:val="en-GB"/>
                        </w:rPr>
                        <w:t>)</w:t>
                      </w:r>
                      <w:r w:rsidRPr="000A0604">
                        <w:rPr>
                          <w:rFonts w:ascii="Arial" w:hAnsi="Arial" w:cs="Arial"/>
                          <w:lang w:val="en-GB"/>
                        </w:rPr>
                        <w:t xml:space="preserve"> years</w:t>
                      </w:r>
                    </w:p>
                  </w:txbxContent>
                </v:textbox>
              </v:oval>
            </w:pict>
          </mc:Fallback>
        </mc:AlternateContent>
      </w:r>
    </w:p>
    <w:p w14:paraId="03F51322"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62336" behindDoc="0" locked="0" layoutInCell="1" allowOverlap="1" wp14:anchorId="5148E4FD" wp14:editId="7485A9E1">
                <wp:simplePos x="0" y="0"/>
                <wp:positionH relativeFrom="column">
                  <wp:posOffset>2450592</wp:posOffset>
                </wp:positionH>
                <wp:positionV relativeFrom="paragraph">
                  <wp:posOffset>234315</wp:posOffset>
                </wp:positionV>
                <wp:extent cx="0" cy="402336"/>
                <wp:effectExtent l="63500" t="0" r="38100" b="29845"/>
                <wp:wrapNone/>
                <wp:docPr id="135083572" name="Straight Arrow Connector 15"/>
                <wp:cNvGraphicFramePr/>
                <a:graphic xmlns:a="http://schemas.openxmlformats.org/drawingml/2006/main">
                  <a:graphicData uri="http://schemas.microsoft.com/office/word/2010/wordprocessingShape">
                    <wps:wsp>
                      <wps:cNvCnPr/>
                      <wps:spPr>
                        <a:xfrm>
                          <a:off x="0" y="0"/>
                          <a:ext cx="0" cy="402336"/>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type w14:anchorId="1423EBFC" id="_x0000_t32" coordsize="21600,21600" o:spt="32" o:oned="t" path="m,l21600,21600e" filled="f">
                <v:path arrowok="t" fillok="f" o:connecttype="none"/>
                <o:lock v:ext="edit" shapetype="t"/>
              </v:shapetype>
              <v:shape id="Straight Arrow Connector 15" o:spid="_x0000_s1026" type="#_x0000_t32" style="position:absolute;margin-left:192.95pt;margin-top:18.45pt;width:0;height:31.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" strokecolor="windowText" strokeweight="1pt">
                <v:stroke endarrow="block" joinstyle="miter"/>
              </v:shape>
            </w:pict>
          </mc:Fallback>
        </mc:AlternateContent>
      </w:r>
    </w:p>
    <w:p w14:paraId="6BEBBF1D"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39808" behindDoc="0" locked="0" layoutInCell="1" allowOverlap="1" wp14:anchorId="1D7F09BF" wp14:editId="2DA5B11D">
                <wp:simplePos x="0" y="0"/>
                <wp:positionH relativeFrom="column">
                  <wp:posOffset>986917</wp:posOffset>
                </wp:positionH>
                <wp:positionV relativeFrom="paragraph">
                  <wp:posOffset>306070</wp:posOffset>
                </wp:positionV>
                <wp:extent cx="2962656" cy="658368"/>
                <wp:effectExtent l="0" t="0" r="9525" b="15240"/>
                <wp:wrapNone/>
                <wp:docPr id="237663357" name="Oval 4"/>
                <wp:cNvGraphicFramePr/>
                <a:graphic xmlns:a="http://schemas.openxmlformats.org/drawingml/2006/main">
                  <a:graphicData uri="http://schemas.microsoft.com/office/word/2010/wordprocessingShape">
                    <wps:wsp>
                      <wps:cNvSpPr/>
                      <wps:spPr>
                        <a:xfrm>
                          <a:off x="0" y="0"/>
                          <a:ext cx="2962656" cy="658368"/>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343FBD52" w14:textId="77777777" w:rsidR="00E0036E" w:rsidRDefault="00E0036E" w:rsidP="00E0036E">
                            <w:pPr>
                              <w:jc w:val="center"/>
                            </w:pPr>
                            <w:r w:rsidRPr="000A0604">
                              <w:rPr>
                                <w:rFonts w:ascii="Arial" w:hAnsi="Arial" w:cs="Arial"/>
                                <w:lang w:val="en-GB"/>
                              </w:rPr>
                              <w:t>Fall, chest pain and breathlessness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7F09BF" id="Oval 4" o:spid="_x0000_s1027" style="position:absolute;left:0;text-align:left;margin-left:77.7pt;margin-top:24.1pt;width:233.3pt;height:51.8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" fillcolor="#4472c4" strokecolor="#172c51" strokeweight="1pt">
                <v:stroke joinstyle="miter"/>
                <v:textbox>
                  <w:txbxContent>
                    <w:p w14:paraId="343FBD52" w14:textId="77777777" w:rsidR="00E0036E" w:rsidRDefault="00E0036E" w:rsidP="00E0036E">
                      <w:pPr>
                        <w:jc w:val="center"/>
                      </w:pPr>
                      <w:r w:rsidRPr="000A0604">
                        <w:rPr>
                          <w:rFonts w:ascii="Arial" w:hAnsi="Arial" w:cs="Arial"/>
                          <w:lang w:val="en-GB"/>
                        </w:rPr>
                        <w:t>Fall, chest pain and breathlessness</w:t>
                      </w:r>
                    </w:p>
                  </w:txbxContent>
                </v:textbox>
              </v:oval>
            </w:pict>
          </mc:Fallback>
        </mc:AlternateContent>
      </w:r>
    </w:p>
    <w:p w14:paraId="4E0FAB7A"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p>
    <w:p w14:paraId="4A324F8C"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MS Gothic" w:hAnsi="Arial" w:cs="Arial"/>
          <w:noProof/>
          <w:lang w:eastAsia="en-IN"/>
          <w14:ligatures w14:val="standardContextual"/>
        </w:rPr>
        <mc:AlternateContent>
          <mc:Choice Requires="wps">
            <w:drawing>
              <wp:anchor distT="0" distB="0" distL="114300" distR="114300" simplePos="0" relativeHeight="251664384" behindDoc="0" locked="0" layoutInCell="1" allowOverlap="1" wp14:anchorId="77AA6F3F" wp14:editId="607AB879">
                <wp:simplePos x="0" y="0"/>
                <wp:positionH relativeFrom="column">
                  <wp:posOffset>2453132</wp:posOffset>
                </wp:positionH>
                <wp:positionV relativeFrom="paragraph">
                  <wp:posOffset>161798</wp:posOffset>
                </wp:positionV>
                <wp:extent cx="0" cy="365760"/>
                <wp:effectExtent l="63500" t="0" r="38100" b="27940"/>
                <wp:wrapNone/>
                <wp:docPr id="1072081914" name="Straight Arrow Connector 17"/>
                <wp:cNvGraphicFramePr/>
                <a:graphic xmlns:a="http://schemas.openxmlformats.org/drawingml/2006/main">
                  <a:graphicData uri="http://schemas.microsoft.com/office/word/2010/wordprocessingShape">
                    <wps:wsp>
                      <wps:cNvCnPr/>
                      <wps:spPr>
                        <a:xfrm>
                          <a:off x="0" y="0"/>
                          <a:ext cx="0" cy="36576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7C3DF10F" id="Straight Arrow Connector 17" o:spid="_x0000_s1026" type="#_x0000_t32" style="position:absolute;margin-left:193.15pt;margin-top:12.75pt;width:0;height:28.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" strokecolor="windowText" strokeweight="1pt">
                <v:stroke endarrow="block" joinstyle="miter"/>
              </v:shape>
            </w:pict>
          </mc:Fallback>
        </mc:AlternateContent>
      </w:r>
    </w:p>
    <w:p w14:paraId="07227ABD"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MS Gothic" w:hAnsi="Arial" w:cs="Arial"/>
          <w:noProof/>
          <w:lang w:eastAsia="en-IN"/>
          <w14:ligatures w14:val="standardContextual"/>
        </w:rPr>
        <mc:AlternateContent>
          <mc:Choice Requires="wps">
            <w:drawing>
              <wp:anchor distT="0" distB="0" distL="114300" distR="114300" simplePos="0" relativeHeight="251641856" behindDoc="0" locked="0" layoutInCell="1" allowOverlap="1" wp14:anchorId="1FBBDFCD" wp14:editId="058586A1">
                <wp:simplePos x="0" y="0"/>
                <wp:positionH relativeFrom="column">
                  <wp:posOffset>853440</wp:posOffset>
                </wp:positionH>
                <wp:positionV relativeFrom="paragraph">
                  <wp:posOffset>111125</wp:posOffset>
                </wp:positionV>
                <wp:extent cx="3205988" cy="707136"/>
                <wp:effectExtent l="0" t="0" r="7620" b="17145"/>
                <wp:wrapNone/>
                <wp:docPr id="344676206" name="Oval 5"/>
                <wp:cNvGraphicFramePr/>
                <a:graphic xmlns:a="http://schemas.openxmlformats.org/drawingml/2006/main">
                  <a:graphicData uri="http://schemas.microsoft.com/office/word/2010/wordprocessingShape">
                    <wps:wsp>
                      <wps:cNvSpPr/>
                      <wps:spPr>
                        <a:xfrm>
                          <a:off x="0" y="0"/>
                          <a:ext cx="3205988" cy="707136"/>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4557F64F" w14:textId="77777777" w:rsidR="00E0036E" w:rsidRPr="000A0604" w:rsidRDefault="00E0036E" w:rsidP="00E0036E">
                            <w:pPr>
                              <w:spacing w:before="240" w:line="360" w:lineRule="auto"/>
                              <w:jc w:val="center"/>
                              <w:rPr>
                                <w:rFonts w:ascii="MS Gothic" w:eastAsia="MS Gothic" w:hAnsi="MS Gothic" w:cs="MS Gothic"/>
                                <w:lang w:val="en-GB"/>
                              </w:rPr>
                            </w:pPr>
                            <w:r w:rsidRPr="000A0604">
                              <w:rPr>
                                <w:rFonts w:ascii="Arial" w:hAnsi="Arial" w:cs="Arial"/>
                                <w:lang w:val="en-GB"/>
                              </w:rPr>
                              <w:t>GP consultation</w:t>
                            </w:r>
                            <w:r w:rsidRPr="000A0604">
                              <w:rPr>
                                <w:rFonts w:ascii="MS Gothic" w:eastAsia="MS Gothic" w:hAnsi="MS Gothic" w:cs="MS Gothic" w:hint="eastAsia"/>
                                <w:lang w:val="en-GB"/>
                              </w:rPr>
                              <w:t> </w:t>
                            </w:r>
                          </w:p>
                          <w:p w14:paraId="5A91052C" w14:textId="77777777" w:rsidR="00E0036E" w:rsidRDefault="00E0036E" w:rsidP="00E003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BBDFCD" id="Oval 5" o:spid="_x0000_s1028" style="position:absolute;left:0;text-align:left;margin-left:67.2pt;margin-top:8.75pt;width:252.45pt;height:55.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" fillcolor="#4472c4" strokecolor="#172c51" strokeweight="1pt">
                <v:stroke joinstyle="miter"/>
                <v:textbox>
                  <w:txbxContent>
                    <w:p w14:paraId="4557F64F" w14:textId="77777777" w:rsidR="00E0036E" w:rsidRPr="000A0604" w:rsidRDefault="00E0036E" w:rsidP="00E0036E">
                      <w:pPr>
                        <w:spacing w:before="240" w:line="360" w:lineRule="auto"/>
                        <w:jc w:val="center"/>
                        <w:rPr>
                          <w:rFonts w:ascii="MS Gothic" w:eastAsia="MS Gothic" w:hAnsi="MS Gothic" w:cs="MS Gothic"/>
                          <w:lang w:val="en-GB"/>
                        </w:rPr>
                      </w:pPr>
                      <w:r w:rsidRPr="000A0604">
                        <w:rPr>
                          <w:rFonts w:ascii="Arial" w:hAnsi="Arial" w:cs="Arial"/>
                          <w:lang w:val="en-GB"/>
                        </w:rPr>
                        <w:t>GP consultation</w:t>
                      </w:r>
                      <w:r w:rsidRPr="000A0604">
                        <w:rPr>
                          <w:rFonts w:ascii="MS Gothic" w:eastAsia="MS Gothic" w:hAnsi="MS Gothic" w:cs="MS Gothic" w:hint="eastAsia"/>
                          <w:lang w:val="en-GB"/>
                        </w:rPr>
                        <w:t> </w:t>
                      </w:r>
                    </w:p>
                    <w:p w14:paraId="5A91052C" w14:textId="77777777" w:rsidR="00E0036E" w:rsidRDefault="00E0036E" w:rsidP="00E0036E">
                      <w:pPr>
                        <w:jc w:val="center"/>
                      </w:pPr>
                    </w:p>
                  </w:txbxContent>
                </v:textbox>
              </v:oval>
            </w:pict>
          </mc:Fallback>
        </mc:AlternateContent>
      </w:r>
      <w:r w:rsidRPr="00F95CE5">
        <w:rPr>
          <w:rFonts w:ascii="MS Gothic" w:eastAsia="MS Gothic" w:hAnsi="MS Gothic" w:cs="MS Gothic"/>
          <w:lang w:val="en-GB"/>
          <w14:ligatures w14:val="standardContextual"/>
        </w:rPr>
        <w:t> </w:t>
      </w:r>
    </w:p>
    <w:p w14:paraId="50CB6612"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MS Gothic" w:hAnsi="Arial" w:cs="Arial"/>
          <w:noProof/>
          <w:lang w:eastAsia="en-IN"/>
          <w14:ligatures w14:val="standardContextual"/>
        </w:rPr>
        <mc:AlternateContent>
          <mc:Choice Requires="wps">
            <w:drawing>
              <wp:anchor distT="0" distB="0" distL="114300" distR="114300" simplePos="0" relativeHeight="251666432" behindDoc="0" locked="0" layoutInCell="1" allowOverlap="1" wp14:anchorId="53B9C61E" wp14:editId="18F23E80">
                <wp:simplePos x="0" y="0"/>
                <wp:positionH relativeFrom="column">
                  <wp:posOffset>2453005</wp:posOffset>
                </wp:positionH>
                <wp:positionV relativeFrom="paragraph">
                  <wp:posOffset>504825</wp:posOffset>
                </wp:positionV>
                <wp:extent cx="0" cy="426720"/>
                <wp:effectExtent l="63500" t="0" r="50800" b="30480"/>
                <wp:wrapNone/>
                <wp:docPr id="2004739682" name="Straight Arrow Connector 19"/>
                <wp:cNvGraphicFramePr/>
                <a:graphic xmlns:a="http://schemas.openxmlformats.org/drawingml/2006/main">
                  <a:graphicData uri="http://schemas.microsoft.com/office/word/2010/wordprocessingShape">
                    <wps:wsp>
                      <wps:cNvCnPr/>
                      <wps:spPr>
                        <a:xfrm>
                          <a:off x="0" y="0"/>
                          <a:ext cx="0" cy="42672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4BBF3CFD" id="Straight Arrow Connector 19" o:spid="_x0000_s1026" type="#_x0000_t32" style="position:absolute;margin-left:193.15pt;margin-top:39.75pt;width:0;height:33.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" strokecolor="windowText" strokeweight="1pt">
                <v:stroke endarrow="block" joinstyle="miter"/>
              </v:shape>
            </w:pict>
          </mc:Fallback>
        </mc:AlternateContent>
      </w:r>
    </w:p>
    <w:p w14:paraId="2617B055"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p>
    <w:p w14:paraId="75D48704"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45952" behindDoc="0" locked="0" layoutInCell="1" allowOverlap="1" wp14:anchorId="571F7E45" wp14:editId="6E3BEFB6">
                <wp:simplePos x="0" y="0"/>
                <wp:positionH relativeFrom="column">
                  <wp:posOffset>942213</wp:posOffset>
                </wp:positionH>
                <wp:positionV relativeFrom="paragraph">
                  <wp:posOffset>165227</wp:posOffset>
                </wp:positionV>
                <wp:extent cx="3009773" cy="706755"/>
                <wp:effectExtent l="0" t="0" r="13335" b="17145"/>
                <wp:wrapNone/>
                <wp:docPr id="209261078" name="Oval 7"/>
                <wp:cNvGraphicFramePr/>
                <a:graphic xmlns:a="http://schemas.openxmlformats.org/drawingml/2006/main">
                  <a:graphicData uri="http://schemas.microsoft.com/office/word/2010/wordprocessingShape">
                    <wps:wsp>
                      <wps:cNvSpPr/>
                      <wps:spPr>
                        <a:xfrm>
                          <a:off x="0" y="0"/>
                          <a:ext cx="3009773" cy="706755"/>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3C0924E5" w14:textId="77777777" w:rsidR="00E0036E" w:rsidRDefault="00E0036E" w:rsidP="00E0036E">
                            <w:pPr>
                              <w:jc w:val="center"/>
                            </w:pPr>
                            <w:r w:rsidRPr="000A0604">
                              <w:rPr>
                                <w:rFonts w:ascii="Arial" w:hAnsi="Arial" w:cs="Arial"/>
                                <w:lang w:val="en-GB"/>
                              </w:rPr>
                              <w:t>Morphine oral solution prescribed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1F7E45" id="Oval 7" o:spid="_x0000_s1029" style="position:absolute;left:0;text-align:left;margin-left:74.2pt;margin-top:13pt;width:237pt;height:55.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" fillcolor="#4472c4" strokecolor="#172c51" strokeweight="1pt">
                <v:stroke joinstyle="miter"/>
                <v:textbox>
                  <w:txbxContent>
                    <w:p w14:paraId="3C0924E5" w14:textId="77777777" w:rsidR="00E0036E" w:rsidRDefault="00E0036E" w:rsidP="00E0036E">
                      <w:pPr>
                        <w:jc w:val="center"/>
                      </w:pPr>
                      <w:r w:rsidRPr="000A0604">
                        <w:rPr>
                          <w:rFonts w:ascii="Arial" w:hAnsi="Arial" w:cs="Arial"/>
                          <w:lang w:val="en-GB"/>
                        </w:rPr>
                        <w:t>Morphine oral solution prescribed</w:t>
                      </w:r>
                    </w:p>
                  </w:txbxContent>
                </v:textbox>
              </v:oval>
            </w:pict>
          </mc:Fallback>
        </mc:AlternateContent>
      </w:r>
      <w:r w:rsidRPr="00F95CE5">
        <w:rPr>
          <w:rFonts w:ascii="MS Gothic" w:eastAsia="MS Gothic" w:hAnsi="MS Gothic" w:cs="MS Gothic"/>
          <w:lang w:val="en-GB"/>
          <w14:ligatures w14:val="standardContextual"/>
        </w:rPr>
        <w:t> </w:t>
      </w:r>
    </w:p>
    <w:p w14:paraId="754C91FF"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1589D30F"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MS Gothic" w:hAnsi="Arial" w:cs="Arial"/>
          <w:noProof/>
          <w:lang w:eastAsia="en-IN"/>
          <w14:ligatures w14:val="standardContextual"/>
        </w:rPr>
        <mc:AlternateContent>
          <mc:Choice Requires="wps">
            <w:drawing>
              <wp:anchor distT="0" distB="0" distL="114300" distR="114300" simplePos="0" relativeHeight="251668480" behindDoc="0" locked="0" layoutInCell="1" allowOverlap="1" wp14:anchorId="7ADDFA67" wp14:editId="30DC4A77">
                <wp:simplePos x="0" y="0"/>
                <wp:positionH relativeFrom="column">
                  <wp:posOffset>2453132</wp:posOffset>
                </wp:positionH>
                <wp:positionV relativeFrom="paragraph">
                  <wp:posOffset>8128</wp:posOffset>
                </wp:positionV>
                <wp:extent cx="0" cy="475488"/>
                <wp:effectExtent l="63500" t="0" r="76200" b="33020"/>
                <wp:wrapNone/>
                <wp:docPr id="154084450" name="Straight Arrow Connector 20"/>
                <wp:cNvGraphicFramePr/>
                <a:graphic xmlns:a="http://schemas.openxmlformats.org/drawingml/2006/main">
                  <a:graphicData uri="http://schemas.microsoft.com/office/word/2010/wordprocessingShape">
                    <wps:wsp>
                      <wps:cNvCnPr/>
                      <wps:spPr>
                        <a:xfrm>
                          <a:off x="0" y="0"/>
                          <a:ext cx="0" cy="475488"/>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1B4E5887" id="Straight Arrow Connector 20" o:spid="_x0000_s1026" type="#_x0000_t32" style="position:absolute;margin-left:193.15pt;margin-top:.65pt;width:0;height:37.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" strokecolor="windowText" strokeweight="1pt">
                <v:stroke endarrow="block" joinstyle="miter"/>
              </v:shape>
            </w:pict>
          </mc:Fallback>
        </mc:AlternateContent>
      </w:r>
    </w:p>
    <w:p w14:paraId="63729DD2"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43904" behindDoc="0" locked="0" layoutInCell="1" allowOverlap="1" wp14:anchorId="384B2789" wp14:editId="363875E8">
                <wp:simplePos x="0" y="0"/>
                <wp:positionH relativeFrom="column">
                  <wp:posOffset>939800</wp:posOffset>
                </wp:positionH>
                <wp:positionV relativeFrom="paragraph">
                  <wp:posOffset>165735</wp:posOffset>
                </wp:positionV>
                <wp:extent cx="3010408" cy="646176"/>
                <wp:effectExtent l="0" t="0" r="12700" b="14605"/>
                <wp:wrapNone/>
                <wp:docPr id="289346332" name="Oval 6"/>
                <wp:cNvGraphicFramePr/>
                <a:graphic xmlns:a="http://schemas.openxmlformats.org/drawingml/2006/main">
                  <a:graphicData uri="http://schemas.microsoft.com/office/word/2010/wordprocessingShape">
                    <wps:wsp>
                      <wps:cNvSpPr/>
                      <wps:spPr>
                        <a:xfrm>
                          <a:off x="0" y="0"/>
                          <a:ext cx="3010408" cy="646176"/>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37518A3D" w14:textId="77777777" w:rsidR="00E0036E" w:rsidRPr="000A0604" w:rsidRDefault="00E0036E" w:rsidP="00E0036E">
                            <w:pPr>
                              <w:spacing w:before="240" w:line="360" w:lineRule="auto"/>
                              <w:jc w:val="center"/>
                              <w:rPr>
                                <w:rFonts w:ascii="Arial" w:eastAsia="MS Gothic" w:hAnsi="Arial" w:cs="Arial"/>
                                <w:lang w:val="en-GB"/>
                              </w:rPr>
                            </w:pPr>
                            <w:r w:rsidRPr="000A0604">
                              <w:rPr>
                                <w:rFonts w:ascii="Arial" w:hAnsi="Arial" w:cs="Arial"/>
                                <w:lang w:val="en-GB"/>
                              </w:rPr>
                              <w:t>Hospital assessment</w:t>
                            </w:r>
                            <w:r w:rsidRPr="000A0604">
                              <w:rPr>
                                <w:rFonts w:ascii="MS Gothic" w:eastAsia="MS Gothic" w:hAnsi="MS Gothic" w:cs="MS Gothic" w:hint="eastAsia"/>
                                <w:lang w:val="en-GB"/>
                              </w:rPr>
                              <w:t> </w:t>
                            </w:r>
                          </w:p>
                          <w:p w14:paraId="4E311775" w14:textId="77777777" w:rsidR="00E0036E" w:rsidRDefault="00E0036E" w:rsidP="00E003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4B2789" id="Oval 6" o:spid="_x0000_s1030" style="position:absolute;left:0;text-align:left;margin-left:74pt;margin-top:13.05pt;width:237.05pt;height:50.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" fillcolor="#4472c4" strokecolor="#172c51" strokeweight="1pt">
                <v:stroke joinstyle="miter"/>
                <v:textbox>
                  <w:txbxContent>
                    <w:p w14:paraId="37518A3D" w14:textId="77777777" w:rsidR="00E0036E" w:rsidRPr="000A0604" w:rsidRDefault="00E0036E" w:rsidP="00E0036E">
                      <w:pPr>
                        <w:spacing w:before="240" w:line="360" w:lineRule="auto"/>
                        <w:jc w:val="center"/>
                        <w:rPr>
                          <w:rFonts w:ascii="Arial" w:eastAsia="MS Gothic" w:hAnsi="Arial" w:cs="Arial"/>
                          <w:lang w:val="en-GB"/>
                        </w:rPr>
                      </w:pPr>
                      <w:r w:rsidRPr="000A0604">
                        <w:rPr>
                          <w:rFonts w:ascii="Arial" w:hAnsi="Arial" w:cs="Arial"/>
                          <w:lang w:val="en-GB"/>
                        </w:rPr>
                        <w:t>Hospital assessment</w:t>
                      </w:r>
                      <w:r w:rsidRPr="000A0604">
                        <w:rPr>
                          <w:rFonts w:ascii="MS Gothic" w:eastAsia="MS Gothic" w:hAnsi="MS Gothic" w:cs="MS Gothic" w:hint="eastAsia"/>
                          <w:lang w:val="en-GB"/>
                        </w:rPr>
                        <w:t> </w:t>
                      </w:r>
                    </w:p>
                    <w:p w14:paraId="4E311775" w14:textId="77777777" w:rsidR="00E0036E" w:rsidRDefault="00E0036E" w:rsidP="00E0036E">
                      <w:pPr>
                        <w:jc w:val="center"/>
                      </w:pPr>
                    </w:p>
                  </w:txbxContent>
                </v:textbox>
              </v:oval>
            </w:pict>
          </mc:Fallback>
        </mc:AlternateContent>
      </w:r>
      <w:r w:rsidRPr="00F95CE5">
        <w:rPr>
          <w:rFonts w:ascii="MS Gothic" w:eastAsia="MS Gothic" w:hAnsi="MS Gothic" w:cs="MS Gothic"/>
          <w:lang w:val="en-GB"/>
          <w14:ligatures w14:val="standardContextual"/>
        </w:rPr>
        <w:t> </w:t>
      </w:r>
    </w:p>
    <w:p w14:paraId="3F1D640C"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p>
    <w:p w14:paraId="6593E345"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48000" behindDoc="0" locked="0" layoutInCell="1" allowOverlap="1" wp14:anchorId="13F780C7" wp14:editId="191414AF">
                <wp:simplePos x="0" y="0"/>
                <wp:positionH relativeFrom="column">
                  <wp:posOffset>792480</wp:posOffset>
                </wp:positionH>
                <wp:positionV relativeFrom="paragraph">
                  <wp:posOffset>435483</wp:posOffset>
                </wp:positionV>
                <wp:extent cx="3498723" cy="779780"/>
                <wp:effectExtent l="0" t="0" r="6985" b="7620"/>
                <wp:wrapNone/>
                <wp:docPr id="1342225471" name="Oval 8"/>
                <wp:cNvGraphicFramePr/>
                <a:graphic xmlns:a="http://schemas.openxmlformats.org/drawingml/2006/main">
                  <a:graphicData uri="http://schemas.microsoft.com/office/word/2010/wordprocessingShape">
                    <wps:wsp>
                      <wps:cNvSpPr/>
                      <wps:spPr>
                        <a:xfrm>
                          <a:off x="0" y="0"/>
                          <a:ext cx="3498723" cy="779780"/>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43AB8557" w14:textId="77777777" w:rsidR="00E0036E" w:rsidRDefault="00E0036E" w:rsidP="00E0036E">
                            <w:pPr>
                              <w:jc w:val="center"/>
                            </w:pPr>
                            <w:r w:rsidRPr="000A0604">
                              <w:rPr>
                                <w:rFonts w:ascii="Arial" w:hAnsi="Arial" w:cs="Arial"/>
                                <w:lang w:val="en-GB"/>
                              </w:rPr>
                              <w:t>Medication label and instructions provided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F780C7" id="Oval 8" o:spid="_x0000_s1031" style="position:absolute;left:0;text-align:left;margin-left:62.4pt;margin-top:34.3pt;width:275.5pt;height:61.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" fillcolor="#4472c4" strokecolor="#172c51" strokeweight="1pt">
                <v:stroke joinstyle="miter"/>
                <v:textbox>
                  <w:txbxContent>
                    <w:p w14:paraId="43AB8557" w14:textId="77777777" w:rsidR="00E0036E" w:rsidRDefault="00E0036E" w:rsidP="00E0036E">
                      <w:pPr>
                        <w:jc w:val="center"/>
                      </w:pPr>
                      <w:r w:rsidRPr="000A0604">
                        <w:rPr>
                          <w:rFonts w:ascii="Arial" w:hAnsi="Arial" w:cs="Arial"/>
                          <w:lang w:val="en-GB"/>
                        </w:rPr>
                        <w:t>Medication label and instructions provided</w:t>
                      </w:r>
                    </w:p>
                  </w:txbxContent>
                </v:textbox>
              </v:oval>
            </w:pict>
          </mc:Fallback>
        </mc:AlternateContent>
      </w: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70528" behindDoc="0" locked="0" layoutInCell="1" allowOverlap="1" wp14:anchorId="326A2E81" wp14:editId="2E86D5CB">
                <wp:simplePos x="0" y="0"/>
                <wp:positionH relativeFrom="column">
                  <wp:posOffset>2453132</wp:posOffset>
                </wp:positionH>
                <wp:positionV relativeFrom="paragraph">
                  <wp:posOffset>8763</wp:posOffset>
                </wp:positionV>
                <wp:extent cx="0" cy="341376"/>
                <wp:effectExtent l="63500" t="0" r="38100" b="27305"/>
                <wp:wrapNone/>
                <wp:docPr id="1920410331" name="Straight Arrow Connector 22"/>
                <wp:cNvGraphicFramePr/>
                <a:graphic xmlns:a="http://schemas.openxmlformats.org/drawingml/2006/main">
                  <a:graphicData uri="http://schemas.microsoft.com/office/word/2010/wordprocessingShape">
                    <wps:wsp>
                      <wps:cNvCnPr/>
                      <wps:spPr>
                        <a:xfrm>
                          <a:off x="0" y="0"/>
                          <a:ext cx="0" cy="341376"/>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2D66729A" id="Straight Arrow Connector 22" o:spid="_x0000_s1026" type="#_x0000_t32" style="position:absolute;margin-left:193.15pt;margin-top:.7pt;width:0;height:26.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" strokecolor="windowText" strokeweight="1pt">
                <v:stroke endarrow="block" joinstyle="miter"/>
              </v:shape>
            </w:pict>
          </mc:Fallback>
        </mc:AlternateContent>
      </w:r>
      <w:r w:rsidRPr="00F95CE5">
        <w:rPr>
          <w:rFonts w:ascii="MS Gothic" w:eastAsia="MS Gothic" w:hAnsi="MS Gothic" w:cs="MS Gothic"/>
          <w:lang w:val="en-GB"/>
          <w14:ligatures w14:val="standardContextual"/>
        </w:rPr>
        <w:t> </w:t>
      </w:r>
    </w:p>
    <w:p w14:paraId="7582AFC5"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319E1360"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72576" behindDoc="0" locked="0" layoutInCell="1" allowOverlap="1" wp14:anchorId="0185FAC5" wp14:editId="0BF20739">
                <wp:simplePos x="0" y="0"/>
                <wp:positionH relativeFrom="column">
                  <wp:posOffset>2453132</wp:posOffset>
                </wp:positionH>
                <wp:positionV relativeFrom="paragraph">
                  <wp:posOffset>412496</wp:posOffset>
                </wp:positionV>
                <wp:extent cx="0" cy="438912"/>
                <wp:effectExtent l="63500" t="0" r="50800" b="31115"/>
                <wp:wrapNone/>
                <wp:docPr id="1879544646" name="Straight Arrow Connector 23"/>
                <wp:cNvGraphicFramePr/>
                <a:graphic xmlns:a="http://schemas.openxmlformats.org/drawingml/2006/main">
                  <a:graphicData uri="http://schemas.microsoft.com/office/word/2010/wordprocessingShape">
                    <wps:wsp>
                      <wps:cNvCnPr/>
                      <wps:spPr>
                        <a:xfrm>
                          <a:off x="0" y="0"/>
                          <a:ext cx="0" cy="438912"/>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37E434B6" id="Straight Arrow Connector 23" o:spid="_x0000_s1026" type="#_x0000_t32" style="position:absolute;margin-left:193.15pt;margin-top:32.5pt;width:0;height:34.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" strokecolor="windowText" strokeweight="1pt">
                <v:stroke endarrow="block" joinstyle="miter"/>
              </v:shape>
            </w:pict>
          </mc:Fallback>
        </mc:AlternateContent>
      </w:r>
    </w:p>
    <w:p w14:paraId="185A18A1"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536F884B"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50048" behindDoc="0" locked="0" layoutInCell="1" allowOverlap="1" wp14:anchorId="0FC5D024" wp14:editId="32CEBFA2">
                <wp:simplePos x="0" y="0"/>
                <wp:positionH relativeFrom="column">
                  <wp:posOffset>389763</wp:posOffset>
                </wp:positionH>
                <wp:positionV relativeFrom="paragraph">
                  <wp:posOffset>93091</wp:posOffset>
                </wp:positionV>
                <wp:extent cx="4388866" cy="829056"/>
                <wp:effectExtent l="0" t="0" r="18415" b="9525"/>
                <wp:wrapNone/>
                <wp:docPr id="1682469850" name="Oval 9"/>
                <wp:cNvGraphicFramePr/>
                <a:graphic xmlns:a="http://schemas.openxmlformats.org/drawingml/2006/main">
                  <a:graphicData uri="http://schemas.microsoft.com/office/word/2010/wordprocessingShape">
                    <wps:wsp>
                      <wps:cNvSpPr/>
                      <wps:spPr>
                        <a:xfrm>
                          <a:off x="0" y="0"/>
                          <a:ext cx="4388866" cy="829056"/>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46AF86A2" w14:textId="77777777" w:rsidR="00E0036E" w:rsidRDefault="00E0036E" w:rsidP="00E0036E">
                            <w:pPr>
                              <w:jc w:val="center"/>
                            </w:pPr>
                            <w:r w:rsidRPr="000A0604">
                              <w:rPr>
                                <w:rFonts w:ascii="Arial" w:hAnsi="Arial" w:cs="Arial"/>
                                <w:lang w:val="en-GB"/>
                              </w:rPr>
                              <w:t>Communication gap between healthcare professionals and patient/carer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C5D024" id="Oval 9" o:spid="_x0000_s1032" style="position:absolute;left:0;text-align:left;margin-left:30.7pt;margin-top:7.35pt;width:345.6pt;height:65.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" fillcolor="#4472c4" strokecolor="#172c51" strokeweight="1pt">
                <v:stroke joinstyle="miter"/>
                <v:textbox>
                  <w:txbxContent>
                    <w:p w14:paraId="46AF86A2" w14:textId="77777777" w:rsidR="00E0036E" w:rsidRDefault="00E0036E" w:rsidP="00E0036E">
                      <w:pPr>
                        <w:jc w:val="center"/>
                      </w:pPr>
                      <w:r w:rsidRPr="000A0604">
                        <w:rPr>
                          <w:rFonts w:ascii="Arial" w:hAnsi="Arial" w:cs="Arial"/>
                          <w:lang w:val="en-GB"/>
                        </w:rPr>
                        <w:t>Communication gap between healthcare professionals and patient/carer</w:t>
                      </w:r>
                    </w:p>
                  </w:txbxContent>
                </v:textbox>
              </v:oval>
            </w:pict>
          </mc:Fallback>
        </mc:AlternateContent>
      </w:r>
    </w:p>
    <w:p w14:paraId="78CC7ABC"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578D882A"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6BAD957D"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w:lastRenderedPageBreak/>
        <mc:AlternateContent>
          <mc:Choice Requires="wps">
            <w:drawing>
              <wp:anchor distT="0" distB="0" distL="114300" distR="114300" simplePos="0" relativeHeight="251674624" behindDoc="0" locked="0" layoutInCell="1" allowOverlap="1" wp14:anchorId="06D928A5" wp14:editId="53F8FE7C">
                <wp:simplePos x="0" y="0"/>
                <wp:positionH relativeFrom="column">
                  <wp:posOffset>2450084</wp:posOffset>
                </wp:positionH>
                <wp:positionV relativeFrom="paragraph">
                  <wp:posOffset>-816864</wp:posOffset>
                </wp:positionV>
                <wp:extent cx="0" cy="682752"/>
                <wp:effectExtent l="63500" t="0" r="76200" b="28575"/>
                <wp:wrapNone/>
                <wp:docPr id="1171609476" name="Straight Arrow Connector 24"/>
                <wp:cNvGraphicFramePr/>
                <a:graphic xmlns:a="http://schemas.openxmlformats.org/drawingml/2006/main">
                  <a:graphicData uri="http://schemas.microsoft.com/office/word/2010/wordprocessingShape">
                    <wps:wsp>
                      <wps:cNvCnPr/>
                      <wps:spPr>
                        <a:xfrm>
                          <a:off x="0" y="0"/>
                          <a:ext cx="0" cy="682752"/>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5D866CA9" id="Straight Arrow Connector 24" o:spid="_x0000_s1026" type="#_x0000_t32" style="position:absolute;margin-left:192.9pt;margin-top:-64.3pt;width:0;height:53.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" strokecolor="windowText" strokeweight="1pt">
                <v:stroke endarrow="block" joinstyle="miter"/>
              </v:shape>
            </w:pict>
          </mc:Fallback>
        </mc:AlternateContent>
      </w: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52096" behindDoc="0" locked="0" layoutInCell="1" allowOverlap="1" wp14:anchorId="1247ABE6" wp14:editId="629A49A7">
                <wp:simplePos x="0" y="0"/>
                <wp:positionH relativeFrom="column">
                  <wp:posOffset>328295</wp:posOffset>
                </wp:positionH>
                <wp:positionV relativeFrom="paragraph">
                  <wp:posOffset>97536</wp:posOffset>
                </wp:positionV>
                <wp:extent cx="4291330" cy="999744"/>
                <wp:effectExtent l="0" t="0" r="13970" b="16510"/>
                <wp:wrapNone/>
                <wp:docPr id="992856999" name="Oval 10"/>
                <wp:cNvGraphicFramePr/>
                <a:graphic xmlns:a="http://schemas.openxmlformats.org/drawingml/2006/main">
                  <a:graphicData uri="http://schemas.microsoft.com/office/word/2010/wordprocessingShape">
                    <wps:wsp>
                      <wps:cNvSpPr/>
                      <wps:spPr>
                        <a:xfrm>
                          <a:off x="0" y="0"/>
                          <a:ext cx="4291330" cy="999744"/>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096196A4" w14:textId="77777777" w:rsidR="00E0036E" w:rsidRPr="000A0604" w:rsidRDefault="00E0036E" w:rsidP="00E0036E">
                            <w:pPr>
                              <w:spacing w:before="240" w:line="360" w:lineRule="auto"/>
                              <w:jc w:val="center"/>
                              <w:rPr>
                                <w:rFonts w:ascii="Arial" w:eastAsia="MS Gothic" w:hAnsi="Arial" w:cs="Arial"/>
                                <w:lang w:val="en-GB"/>
                              </w:rPr>
                            </w:pPr>
                            <w:r w:rsidRPr="000A0604">
                              <w:rPr>
                                <w:rFonts w:ascii="Arial" w:hAnsi="Arial" w:cs="Arial"/>
                                <w:lang w:val="en-GB"/>
                              </w:rPr>
                              <w:t>Patient and wife misunderstood dosage instructions</w:t>
                            </w:r>
                            <w:r w:rsidRPr="000A0604">
                              <w:rPr>
                                <w:rFonts w:ascii="MS Gothic" w:eastAsia="MS Gothic" w:hAnsi="MS Gothic" w:cs="MS Gothic" w:hint="eastAsia"/>
                                <w:lang w:val="en-GB"/>
                              </w:rPr>
                              <w:t> </w:t>
                            </w:r>
                          </w:p>
                          <w:p w14:paraId="7FDCCC2B" w14:textId="77777777" w:rsidR="00E0036E" w:rsidRDefault="00E0036E" w:rsidP="00E003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47ABE6" id="Oval 10" o:spid="_x0000_s1033" style="position:absolute;left:0;text-align:left;margin-left:25.85pt;margin-top:7.7pt;width:337.9pt;height:78.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" fillcolor="#4472c4" strokecolor="#172c51" strokeweight="1pt">
                <v:stroke joinstyle="miter"/>
                <v:textbox>
                  <w:txbxContent>
                    <w:p w14:paraId="096196A4" w14:textId="77777777" w:rsidR="00E0036E" w:rsidRPr="000A0604" w:rsidRDefault="00E0036E" w:rsidP="00E0036E">
                      <w:pPr>
                        <w:spacing w:before="240" w:line="360" w:lineRule="auto"/>
                        <w:jc w:val="center"/>
                        <w:rPr>
                          <w:rFonts w:ascii="Arial" w:eastAsia="MS Gothic" w:hAnsi="Arial" w:cs="Arial"/>
                          <w:lang w:val="en-GB"/>
                        </w:rPr>
                      </w:pPr>
                      <w:r w:rsidRPr="000A0604">
                        <w:rPr>
                          <w:rFonts w:ascii="Arial" w:hAnsi="Arial" w:cs="Arial"/>
                          <w:lang w:val="en-GB"/>
                        </w:rPr>
                        <w:t>Patient and wife misunderstood dosage instructions</w:t>
                      </w:r>
                      <w:r w:rsidRPr="000A0604">
                        <w:rPr>
                          <w:rFonts w:ascii="MS Gothic" w:eastAsia="MS Gothic" w:hAnsi="MS Gothic" w:cs="MS Gothic" w:hint="eastAsia"/>
                          <w:lang w:val="en-GB"/>
                        </w:rPr>
                        <w:t> </w:t>
                      </w:r>
                    </w:p>
                    <w:p w14:paraId="7FDCCC2B" w14:textId="77777777" w:rsidR="00E0036E" w:rsidRDefault="00E0036E" w:rsidP="00E0036E">
                      <w:pPr>
                        <w:jc w:val="center"/>
                      </w:pPr>
                    </w:p>
                  </w:txbxContent>
                </v:textbox>
              </v:oval>
            </w:pict>
          </mc:Fallback>
        </mc:AlternateContent>
      </w:r>
    </w:p>
    <w:p w14:paraId="7D4CBB44"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03B91E69"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MS Gothic" w:eastAsia="MS Gothic" w:hAnsi="MS Gothic" w:cs="MS Gothic"/>
          <w:lang w:val="en-GB"/>
          <w14:ligatures w14:val="standardContextual"/>
        </w:rPr>
        <w:t> </w:t>
      </w:r>
    </w:p>
    <w:p w14:paraId="6FD05B9D"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MS Gothic" w:hAnsi="Arial" w:cs="Arial"/>
          <w:noProof/>
          <w:lang w:eastAsia="en-IN"/>
          <w14:ligatures w14:val="standardContextual"/>
        </w:rPr>
        <mc:AlternateContent>
          <mc:Choice Requires="wps">
            <w:drawing>
              <wp:anchor distT="0" distB="0" distL="114300" distR="114300" simplePos="0" relativeHeight="251676672" behindDoc="0" locked="0" layoutInCell="1" allowOverlap="1" wp14:anchorId="17EFC263" wp14:editId="64010FE0">
                <wp:simplePos x="0" y="0"/>
                <wp:positionH relativeFrom="column">
                  <wp:posOffset>2490216</wp:posOffset>
                </wp:positionH>
                <wp:positionV relativeFrom="paragraph">
                  <wp:posOffset>62865</wp:posOffset>
                </wp:positionV>
                <wp:extent cx="0" cy="548640"/>
                <wp:effectExtent l="63500" t="0" r="38100" b="35560"/>
                <wp:wrapNone/>
                <wp:docPr id="1718782374" name="Straight Arrow Connector 25"/>
                <wp:cNvGraphicFramePr/>
                <a:graphic xmlns:a="http://schemas.openxmlformats.org/drawingml/2006/main">
                  <a:graphicData uri="http://schemas.microsoft.com/office/word/2010/wordprocessingShape">
                    <wps:wsp>
                      <wps:cNvCnPr/>
                      <wps:spPr>
                        <a:xfrm>
                          <a:off x="0" y="0"/>
                          <a:ext cx="0" cy="54864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6E2BDC4A" id="Straight Arrow Connector 25" o:spid="_x0000_s1026" type="#_x0000_t32" style="position:absolute;margin-left:196.1pt;margin-top:4.95pt;width:0;height:43.2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" strokecolor="windowText" strokeweight="1pt">
                <v:stroke endarrow="block" joinstyle="miter"/>
              </v:shape>
            </w:pict>
          </mc:Fallback>
        </mc:AlternateContent>
      </w:r>
    </w:p>
    <w:p w14:paraId="27577C17"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6240411D"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54144" behindDoc="0" locked="0" layoutInCell="1" allowOverlap="1" wp14:anchorId="67E1C7EB" wp14:editId="5BBF75E9">
                <wp:simplePos x="0" y="0"/>
                <wp:positionH relativeFrom="column">
                  <wp:posOffset>596900</wp:posOffset>
                </wp:positionH>
                <wp:positionV relativeFrom="paragraph">
                  <wp:posOffset>31242</wp:posOffset>
                </wp:positionV>
                <wp:extent cx="3888740" cy="755904"/>
                <wp:effectExtent l="0" t="0" r="10160" b="19050"/>
                <wp:wrapNone/>
                <wp:docPr id="367115814" name="Oval 11"/>
                <wp:cNvGraphicFramePr/>
                <a:graphic xmlns:a="http://schemas.openxmlformats.org/drawingml/2006/main">
                  <a:graphicData uri="http://schemas.microsoft.com/office/word/2010/wordprocessingShape">
                    <wps:wsp>
                      <wps:cNvSpPr/>
                      <wps:spPr>
                        <a:xfrm>
                          <a:off x="0" y="0"/>
                          <a:ext cx="3888740" cy="755904"/>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6F39E68D" w14:textId="77777777" w:rsidR="00E0036E" w:rsidRPr="000A0604" w:rsidRDefault="00E0036E" w:rsidP="00E0036E">
                            <w:pPr>
                              <w:spacing w:before="240" w:line="360" w:lineRule="auto"/>
                              <w:jc w:val="center"/>
                              <w:rPr>
                                <w:rFonts w:ascii="Arial" w:eastAsia="MS Gothic" w:hAnsi="Arial" w:cs="Arial"/>
                                <w:lang w:val="en-GB"/>
                              </w:rPr>
                            </w:pPr>
                            <w:r w:rsidRPr="000A0604">
                              <w:rPr>
                                <w:rFonts w:ascii="Arial" w:hAnsi="Arial" w:cs="Arial"/>
                                <w:lang w:val="en-GB"/>
                              </w:rPr>
                              <w:t>Excess morphine consumption</w:t>
                            </w:r>
                          </w:p>
                          <w:p w14:paraId="1B4EA802" w14:textId="77777777" w:rsidR="00E0036E" w:rsidRDefault="00E0036E" w:rsidP="00E003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E1C7EB" id="Oval 11" o:spid="_x0000_s1034" style="position:absolute;left:0;text-align:left;margin-left:47pt;margin-top:2.45pt;width:306.2pt;height:5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" fillcolor="#4472c4" strokecolor="#172c51" strokeweight="1pt">
                <v:stroke joinstyle="miter"/>
                <v:textbox>
                  <w:txbxContent>
                    <w:p w14:paraId="6F39E68D" w14:textId="77777777" w:rsidR="00E0036E" w:rsidRPr="000A0604" w:rsidRDefault="00E0036E" w:rsidP="00E0036E">
                      <w:pPr>
                        <w:spacing w:before="240" w:line="360" w:lineRule="auto"/>
                        <w:jc w:val="center"/>
                        <w:rPr>
                          <w:rFonts w:ascii="Arial" w:eastAsia="MS Gothic" w:hAnsi="Arial" w:cs="Arial"/>
                          <w:lang w:val="en-GB"/>
                        </w:rPr>
                      </w:pPr>
                      <w:r w:rsidRPr="000A0604">
                        <w:rPr>
                          <w:rFonts w:ascii="Arial" w:hAnsi="Arial" w:cs="Arial"/>
                          <w:lang w:val="en-GB"/>
                        </w:rPr>
                        <w:t>Excess morphine consumption</w:t>
                      </w:r>
                    </w:p>
                    <w:p w14:paraId="1B4EA802" w14:textId="77777777" w:rsidR="00E0036E" w:rsidRDefault="00E0036E" w:rsidP="00E0036E">
                      <w:pPr>
                        <w:jc w:val="center"/>
                      </w:pPr>
                    </w:p>
                  </w:txbxContent>
                </v:textbox>
              </v:oval>
            </w:pict>
          </mc:Fallback>
        </mc:AlternateContent>
      </w:r>
    </w:p>
    <w:p w14:paraId="560EEFAB"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160D4FCF"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78720" behindDoc="0" locked="0" layoutInCell="1" allowOverlap="1" wp14:anchorId="14B5AE35" wp14:editId="18E8E05A">
                <wp:simplePos x="0" y="0"/>
                <wp:positionH relativeFrom="column">
                  <wp:posOffset>2486533</wp:posOffset>
                </wp:positionH>
                <wp:positionV relativeFrom="paragraph">
                  <wp:posOffset>167894</wp:posOffset>
                </wp:positionV>
                <wp:extent cx="45719" cy="597408"/>
                <wp:effectExtent l="25400" t="0" r="43815" b="25400"/>
                <wp:wrapNone/>
                <wp:docPr id="364484409" name="Straight Arrow Connector 26"/>
                <wp:cNvGraphicFramePr/>
                <a:graphic xmlns:a="http://schemas.openxmlformats.org/drawingml/2006/main">
                  <a:graphicData uri="http://schemas.microsoft.com/office/word/2010/wordprocessingShape">
                    <wps:wsp>
                      <wps:cNvCnPr/>
                      <wps:spPr>
                        <a:xfrm>
                          <a:off x="0" y="0"/>
                          <a:ext cx="45719" cy="597408"/>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B7C379" id="Straight Arrow Connector 26" o:spid="_x0000_s1026" type="#_x0000_t32" style="position:absolute;margin-left:195.8pt;margin-top:13.2pt;width:3.6pt;height:47.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" strokecolor="windowText" strokeweight="1pt">
                <v:stroke endarrow="block" joinstyle="miter"/>
              </v:shape>
            </w:pict>
          </mc:Fallback>
        </mc:AlternateContent>
      </w:r>
    </w:p>
    <w:p w14:paraId="17BB8621"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10154FDF"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56192" behindDoc="0" locked="0" layoutInCell="1" allowOverlap="1" wp14:anchorId="70CA09FB" wp14:editId="11EDCD2F">
                <wp:simplePos x="0" y="0"/>
                <wp:positionH relativeFrom="column">
                  <wp:posOffset>657352</wp:posOffset>
                </wp:positionH>
                <wp:positionV relativeFrom="paragraph">
                  <wp:posOffset>175260</wp:posOffset>
                </wp:positionV>
                <wp:extent cx="3888867" cy="999744"/>
                <wp:effectExtent l="0" t="0" r="10160" b="16510"/>
                <wp:wrapNone/>
                <wp:docPr id="321434974" name="Oval 12"/>
                <wp:cNvGraphicFramePr/>
                <a:graphic xmlns:a="http://schemas.openxmlformats.org/drawingml/2006/main">
                  <a:graphicData uri="http://schemas.microsoft.com/office/word/2010/wordprocessingShape">
                    <wps:wsp>
                      <wps:cNvSpPr/>
                      <wps:spPr>
                        <a:xfrm>
                          <a:off x="0" y="0"/>
                          <a:ext cx="3888867" cy="999744"/>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3C37CF48" w14:textId="77777777" w:rsidR="00E0036E" w:rsidRPr="006E1E54" w:rsidRDefault="00E0036E" w:rsidP="00E0036E">
                            <w:pPr>
                              <w:spacing w:before="240" w:line="360" w:lineRule="auto"/>
                              <w:jc w:val="center"/>
                              <w:rPr>
                                <w:rFonts w:ascii="Arial" w:eastAsia="MS Gothic" w:hAnsi="Arial" w:cs="Arial"/>
                                <w:lang w:val="en-GB"/>
                              </w:rPr>
                            </w:pPr>
                            <w:r w:rsidRPr="006E1E54">
                              <w:rPr>
                                <w:rFonts w:ascii="Arial" w:hAnsi="Arial" w:cs="Arial"/>
                                <w:lang w:val="en-GB"/>
                              </w:rPr>
                              <w:t>Hospital admission (suspected overdose, pneumonia, worsening CMT)</w:t>
                            </w:r>
                            <w:r w:rsidRPr="006E1E54">
                              <w:rPr>
                                <w:rFonts w:ascii="MS Gothic" w:eastAsia="MS Gothic" w:hAnsi="MS Gothic" w:cs="MS Gothic" w:hint="eastAsia"/>
                                <w:lang w:val="en-GB"/>
                              </w:rPr>
                              <w:t> </w:t>
                            </w:r>
                          </w:p>
                          <w:p w14:paraId="4417CCA8" w14:textId="77777777" w:rsidR="00E0036E" w:rsidRDefault="00E0036E" w:rsidP="00E003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CA09FB" id="Oval 12" o:spid="_x0000_s1035" style="position:absolute;left:0;text-align:left;margin-left:51.75pt;margin-top:13.8pt;width:306.2pt;height:78.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" fillcolor="#4472c4" strokecolor="#172c51" strokeweight="1pt">
                <v:stroke joinstyle="miter"/>
                <v:textbox>
                  <w:txbxContent>
                    <w:p w14:paraId="3C37CF48" w14:textId="77777777" w:rsidR="00E0036E" w:rsidRPr="006E1E54" w:rsidRDefault="00E0036E" w:rsidP="00E0036E">
                      <w:pPr>
                        <w:spacing w:before="240" w:line="360" w:lineRule="auto"/>
                        <w:jc w:val="center"/>
                        <w:rPr>
                          <w:rFonts w:ascii="Arial" w:eastAsia="MS Gothic" w:hAnsi="Arial" w:cs="Arial"/>
                          <w:lang w:val="en-GB"/>
                        </w:rPr>
                      </w:pPr>
                      <w:r w:rsidRPr="006E1E54">
                        <w:rPr>
                          <w:rFonts w:ascii="Arial" w:hAnsi="Arial" w:cs="Arial"/>
                          <w:lang w:val="en-GB"/>
                        </w:rPr>
                        <w:t>Hospital admission (suspected overdose, pneumonia, worsening CMT)</w:t>
                      </w:r>
                      <w:r w:rsidRPr="006E1E54">
                        <w:rPr>
                          <w:rFonts w:ascii="MS Gothic" w:eastAsia="MS Gothic" w:hAnsi="MS Gothic" w:cs="MS Gothic" w:hint="eastAsia"/>
                          <w:lang w:val="en-GB"/>
                        </w:rPr>
                        <w:t> </w:t>
                      </w:r>
                    </w:p>
                    <w:p w14:paraId="4417CCA8" w14:textId="77777777" w:rsidR="00E0036E" w:rsidRDefault="00E0036E" w:rsidP="00E0036E">
                      <w:pPr>
                        <w:jc w:val="center"/>
                      </w:pPr>
                    </w:p>
                  </w:txbxContent>
                </v:textbox>
              </v:oval>
            </w:pict>
          </mc:Fallback>
        </mc:AlternateContent>
      </w:r>
    </w:p>
    <w:p w14:paraId="1CA5D41D"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20C7158F" w14:textId="77777777"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80768" behindDoc="0" locked="0" layoutInCell="1" allowOverlap="1" wp14:anchorId="225FB4BD" wp14:editId="4CA569FC">
                <wp:simplePos x="0" y="0"/>
                <wp:positionH relativeFrom="column">
                  <wp:posOffset>2512060</wp:posOffset>
                </wp:positionH>
                <wp:positionV relativeFrom="paragraph">
                  <wp:posOffset>443738</wp:posOffset>
                </wp:positionV>
                <wp:extent cx="0" cy="499872"/>
                <wp:effectExtent l="63500" t="0" r="50800" b="33655"/>
                <wp:wrapNone/>
                <wp:docPr id="239595841" name="Straight Arrow Connector 27"/>
                <wp:cNvGraphicFramePr/>
                <a:graphic xmlns:a="http://schemas.openxmlformats.org/drawingml/2006/main">
                  <a:graphicData uri="http://schemas.microsoft.com/office/word/2010/wordprocessingShape">
                    <wps:wsp>
                      <wps:cNvCnPr/>
                      <wps:spPr>
                        <a:xfrm>
                          <a:off x="0" y="0"/>
                          <a:ext cx="0" cy="499872"/>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44834AB8" id="Straight Arrow Connector 27" o:spid="_x0000_s1026" type="#_x0000_t32" style="position:absolute;margin-left:197.8pt;margin-top:34.95pt;width:0;height:39.3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" strokecolor="windowText" strokeweight="1pt">
                <v:stroke endarrow="block" joinstyle="miter"/>
              </v:shape>
            </w:pict>
          </mc:Fallback>
        </mc:AlternateContent>
      </w: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58240" behindDoc="0" locked="0" layoutInCell="1" allowOverlap="1" wp14:anchorId="00DFD2A6" wp14:editId="25A0E593">
                <wp:simplePos x="0" y="0"/>
                <wp:positionH relativeFrom="column">
                  <wp:posOffset>840613</wp:posOffset>
                </wp:positionH>
                <wp:positionV relativeFrom="paragraph">
                  <wp:posOffset>1153795</wp:posOffset>
                </wp:positionV>
                <wp:extent cx="3279648" cy="987552"/>
                <wp:effectExtent l="0" t="0" r="10160" b="15875"/>
                <wp:wrapNone/>
                <wp:docPr id="2083319772" name="Oval 13"/>
                <wp:cNvGraphicFramePr/>
                <a:graphic xmlns:a="http://schemas.openxmlformats.org/drawingml/2006/main">
                  <a:graphicData uri="http://schemas.microsoft.com/office/word/2010/wordprocessingShape">
                    <wps:wsp>
                      <wps:cNvSpPr/>
                      <wps:spPr>
                        <a:xfrm>
                          <a:off x="0" y="0"/>
                          <a:ext cx="3279648" cy="987552"/>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5792892D" w14:textId="77777777" w:rsidR="00E0036E" w:rsidRPr="000A0604" w:rsidRDefault="00E0036E" w:rsidP="00E0036E">
                            <w:pPr>
                              <w:spacing w:before="240" w:line="360" w:lineRule="auto"/>
                              <w:jc w:val="both"/>
                              <w:rPr>
                                <w:rFonts w:ascii="Arial" w:eastAsia="MS Gothic" w:hAnsi="Arial" w:cs="Arial"/>
                                <w:lang w:val="en-GB"/>
                              </w:rPr>
                            </w:pPr>
                            <w:r w:rsidRPr="000A0604">
                              <w:rPr>
                                <w:rFonts w:ascii="Arial" w:hAnsi="Arial" w:cs="Arial"/>
                                <w:lang w:val="en-GB"/>
                              </w:rPr>
                              <w:t>Clinical deterioration and death</w:t>
                            </w:r>
                          </w:p>
                          <w:p w14:paraId="2BA56A9A" w14:textId="77777777" w:rsidR="00E0036E" w:rsidRDefault="00E0036E" w:rsidP="00E003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DFD2A6" id="Oval 13" o:spid="_x0000_s1036" style="position:absolute;left:0;text-align:left;margin-left:66.2pt;margin-top:90.85pt;width:258.25pt;height:7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" fillcolor="#4472c4" strokecolor="#172c51" strokeweight="1pt">
                <v:stroke joinstyle="miter"/>
                <v:textbox>
                  <w:txbxContent>
                    <w:p w14:paraId="5792892D" w14:textId="77777777" w:rsidR="00E0036E" w:rsidRPr="000A0604" w:rsidRDefault="00E0036E" w:rsidP="00E0036E">
                      <w:pPr>
                        <w:spacing w:before="240" w:line="360" w:lineRule="auto"/>
                        <w:jc w:val="both"/>
                        <w:rPr>
                          <w:rFonts w:ascii="Arial" w:eastAsia="MS Gothic" w:hAnsi="Arial" w:cs="Arial"/>
                          <w:lang w:val="en-GB"/>
                        </w:rPr>
                      </w:pPr>
                      <w:r w:rsidRPr="000A0604">
                        <w:rPr>
                          <w:rFonts w:ascii="Arial" w:hAnsi="Arial" w:cs="Arial"/>
                          <w:lang w:val="en-GB"/>
                        </w:rPr>
                        <w:t>Clinical deterioration and death</w:t>
                      </w:r>
                    </w:p>
                    <w:p w14:paraId="2BA56A9A" w14:textId="77777777" w:rsidR="00E0036E" w:rsidRDefault="00E0036E" w:rsidP="00E0036E">
                      <w:pPr>
                        <w:jc w:val="center"/>
                      </w:pPr>
                    </w:p>
                  </w:txbxContent>
                </v:textbox>
              </v:oval>
            </w:pict>
          </mc:Fallback>
        </mc:AlternateContent>
      </w: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81792" behindDoc="0" locked="0" layoutInCell="1" allowOverlap="1" wp14:anchorId="289405E2" wp14:editId="51B26709">
                <wp:simplePos x="0" y="0"/>
                <wp:positionH relativeFrom="column">
                  <wp:posOffset>2526792</wp:posOffset>
                </wp:positionH>
                <wp:positionV relativeFrom="paragraph">
                  <wp:posOffset>2276094</wp:posOffset>
                </wp:positionV>
                <wp:extent cx="0" cy="633984"/>
                <wp:effectExtent l="38100" t="0" r="50800" b="39370"/>
                <wp:wrapNone/>
                <wp:docPr id="1942624127" name="Straight Arrow Connector 28"/>
                <wp:cNvGraphicFramePr/>
                <a:graphic xmlns:a="http://schemas.openxmlformats.org/drawingml/2006/main">
                  <a:graphicData uri="http://schemas.microsoft.com/office/word/2010/wordprocessingShape">
                    <wps:wsp>
                      <wps:cNvCnPr/>
                      <wps:spPr>
                        <a:xfrm>
                          <a:off x="0" y="0"/>
                          <a:ext cx="0" cy="633984"/>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24D857E0" id="Straight Arrow Connector 28" o:spid="_x0000_s1026" type="#_x0000_t32" style="position:absolute;margin-left:198.95pt;margin-top:179.2pt;width:0;height:49.9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" strokecolor="windowText" strokeweight="1pt">
                <v:stroke endarrow="block" joinstyle="miter"/>
              </v:shape>
            </w:pict>
          </mc:Fallback>
        </mc:AlternateContent>
      </w: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60288" behindDoc="0" locked="0" layoutInCell="1" allowOverlap="1" wp14:anchorId="4427A1BE" wp14:editId="3F74D389">
                <wp:simplePos x="0" y="0"/>
                <wp:positionH relativeFrom="column">
                  <wp:posOffset>901573</wp:posOffset>
                </wp:positionH>
                <wp:positionV relativeFrom="paragraph">
                  <wp:posOffset>3117215</wp:posOffset>
                </wp:positionV>
                <wp:extent cx="3218307" cy="621665"/>
                <wp:effectExtent l="0" t="0" r="7620" b="13335"/>
                <wp:wrapNone/>
                <wp:docPr id="1783234880" name="Oval 14"/>
                <wp:cNvGraphicFramePr/>
                <a:graphic xmlns:a="http://schemas.openxmlformats.org/drawingml/2006/main">
                  <a:graphicData uri="http://schemas.microsoft.com/office/word/2010/wordprocessingShape">
                    <wps:wsp>
                      <wps:cNvSpPr/>
                      <wps:spPr>
                        <a:xfrm>
                          <a:off x="0" y="0"/>
                          <a:ext cx="3218307" cy="621665"/>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428331FD" w14:textId="77777777" w:rsidR="00E0036E" w:rsidRDefault="00E0036E" w:rsidP="00E0036E">
                            <w:pPr>
                              <w:jc w:val="center"/>
                            </w:pPr>
                            <w:r w:rsidRPr="000A0604">
                              <w:rPr>
                                <w:rFonts w:ascii="Arial" w:hAnsi="Arial" w:cs="Arial"/>
                                <w:lang w:val="en-GB"/>
                              </w:rPr>
                              <w:t>HSSIB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427A1BE" id="Oval 14" o:spid="_x0000_s1037" style="position:absolute;left:0;text-align:left;margin-left:71pt;margin-top:245.45pt;width:253.4pt;height:48.9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" fillcolor="#4472c4" strokecolor="#172c51" strokeweight="1pt">
                <v:stroke joinstyle="miter"/>
                <v:textbox>
                  <w:txbxContent>
                    <w:p w14:paraId="428331FD" w14:textId="77777777" w:rsidR="00E0036E" w:rsidRDefault="00E0036E" w:rsidP="00E0036E">
                      <w:pPr>
                        <w:jc w:val="center"/>
                      </w:pPr>
                      <w:r w:rsidRPr="000A0604">
                        <w:rPr>
                          <w:rFonts w:ascii="Arial" w:hAnsi="Arial" w:cs="Arial"/>
                          <w:lang w:val="en-GB"/>
                        </w:rPr>
                        <w:t>HSSIB investigation</w:t>
                      </w:r>
                    </w:p>
                  </w:txbxContent>
                </v:textbox>
              </v:oval>
            </w:pict>
          </mc:Fallback>
        </mc:AlternateContent>
      </w:r>
      <w:r w:rsidRPr="00F95CE5">
        <w:rPr>
          <w:rFonts w:ascii="Arial" w:eastAsia="Calibri" w:hAnsi="Arial" w:cs="Arial"/>
          <w:kern w:val="2"/>
          <w:lang w:val="en-GB"/>
          <w14:ligatures w14:val="standardContextual"/>
        </w:rPr>
        <w:br w:type="page"/>
      </w:r>
    </w:p>
    <w:p w14:paraId="1092CB32" w14:textId="77777777" w:rsidR="00E0036E" w:rsidRPr="00F95CE5" w:rsidRDefault="00E0036E" w:rsidP="00E0036E">
      <w:pPr>
        <w:autoSpaceDE w:val="0"/>
        <w:autoSpaceDN w:val="0"/>
        <w:adjustRightInd w:val="0"/>
        <w:spacing w:before="240" w:after="16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lastRenderedPageBreak/>
        <w:t>APPENDIX B – WHO MEDICATION ERROR STATISTICS</w:t>
      </w:r>
    </w:p>
    <w:p w14:paraId="6A89F223" w14:textId="77777777" w:rsidR="00E0036E" w:rsidRPr="00F95CE5" w:rsidRDefault="00E0036E" w:rsidP="00E0036E">
      <w:pPr>
        <w:autoSpaceDE w:val="0"/>
        <w:autoSpaceDN w:val="0"/>
        <w:adjustRightInd w:val="0"/>
        <w:spacing w:before="240" w:after="16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t>Table B1: Global Medication Safety Data</w:t>
      </w:r>
    </w:p>
    <w:tbl>
      <w:tblPr>
        <w:tblStyle w:val="GridTable2-Accent41"/>
        <w:tblW w:w="0" w:type="auto"/>
        <w:tblLayout w:type="fixed"/>
        <w:tblLook w:val="0000" w:firstRow="0" w:lastRow="0" w:firstColumn="0" w:lastColumn="0" w:noHBand="0" w:noVBand="0"/>
      </w:tblPr>
      <w:tblGrid>
        <w:gridCol w:w="4428"/>
        <w:gridCol w:w="4320"/>
      </w:tblGrid>
      <w:tr w:rsidR="00E0036E" w:rsidRPr="00F95CE5" w14:paraId="780152DB"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491B12AA"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b/>
                <w:bCs/>
                <w:sz w:val="22"/>
                <w:szCs w:val="22"/>
                <w:lang w:val="en-GB"/>
              </w:rPr>
              <w:t>Indicator</w:t>
            </w:r>
          </w:p>
        </w:tc>
        <w:tc>
          <w:tcPr>
            <w:tcW w:w="4320" w:type="dxa"/>
          </w:tcPr>
          <w:p w14:paraId="2EA7D774"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b/>
                <w:bCs/>
                <w:sz w:val="22"/>
                <w:szCs w:val="22"/>
                <w:lang w:val="en-GB"/>
              </w:rPr>
              <w:t>Statistic</w:t>
            </w:r>
          </w:p>
        </w:tc>
      </w:tr>
      <w:tr w:rsidR="00E0036E" w:rsidRPr="00F95CE5" w14:paraId="79A6AB38" w14:textId="77777777" w:rsidTr="00283EC7">
        <w:tc>
          <w:tcPr>
            <w:cnfStyle w:val="000010000000" w:firstRow="0" w:lastRow="0" w:firstColumn="0" w:lastColumn="0" w:oddVBand="1" w:evenVBand="0" w:oddHBand="0" w:evenHBand="0" w:firstRowFirstColumn="0" w:firstRowLastColumn="0" w:lastRowFirstColumn="0" w:lastRowLastColumn="0"/>
            <w:tcW w:w="4428" w:type="dxa"/>
          </w:tcPr>
          <w:p w14:paraId="65D493F7"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Annual global cost of medication-related harm</w:t>
            </w:r>
          </w:p>
        </w:tc>
        <w:tc>
          <w:tcPr>
            <w:tcW w:w="4320" w:type="dxa"/>
          </w:tcPr>
          <w:p w14:paraId="273D670A" w14:textId="77777777" w:rsidR="00E0036E" w:rsidRPr="00F95CE5" w:rsidRDefault="00E0036E" w:rsidP="00E0036E">
            <w:pPr>
              <w:autoSpaceDE w:val="0"/>
              <w:autoSpaceDN w:val="0"/>
              <w:adjustRightInd w:val="0"/>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US$42 billion</w:t>
            </w:r>
          </w:p>
        </w:tc>
      </w:tr>
      <w:tr w:rsidR="00E0036E" w:rsidRPr="00F95CE5" w14:paraId="4435E580"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0A037337"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Preventable patient harm ranking</w:t>
            </w:r>
          </w:p>
        </w:tc>
        <w:tc>
          <w:tcPr>
            <w:tcW w:w="4320" w:type="dxa"/>
          </w:tcPr>
          <w:p w14:paraId="4167BFCD"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One of the leading causes of avoidable harm globally</w:t>
            </w:r>
          </w:p>
        </w:tc>
      </w:tr>
      <w:tr w:rsidR="00E0036E" w:rsidRPr="00F95CE5" w14:paraId="0BEB6B62" w14:textId="77777777" w:rsidTr="00283EC7">
        <w:tc>
          <w:tcPr>
            <w:cnfStyle w:val="000010000000" w:firstRow="0" w:lastRow="0" w:firstColumn="0" w:lastColumn="0" w:oddVBand="1" w:evenVBand="0" w:oddHBand="0" w:evenHBand="0" w:firstRowFirstColumn="0" w:firstRowLastColumn="0" w:lastRowFirstColumn="0" w:lastRowLastColumn="0"/>
            <w:tcW w:w="4428" w:type="dxa"/>
          </w:tcPr>
          <w:p w14:paraId="62B24B05"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Estimated deaths from medication errors</w:t>
            </w:r>
          </w:p>
        </w:tc>
        <w:tc>
          <w:tcPr>
            <w:tcW w:w="4320" w:type="dxa"/>
          </w:tcPr>
          <w:p w14:paraId="6CF4F1C1" w14:textId="77777777" w:rsidR="00E0036E" w:rsidRPr="00F95CE5" w:rsidRDefault="00E0036E" w:rsidP="00E0036E">
            <w:pPr>
              <w:autoSpaceDE w:val="0"/>
              <w:autoSpaceDN w:val="0"/>
              <w:adjustRightInd w:val="0"/>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At least one death every day globally</w:t>
            </w:r>
          </w:p>
        </w:tc>
      </w:tr>
      <w:tr w:rsidR="00E0036E" w:rsidRPr="00F95CE5" w14:paraId="5B25065B"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6183423A"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Patients affected annually</w:t>
            </w:r>
          </w:p>
        </w:tc>
        <w:tc>
          <w:tcPr>
            <w:tcW w:w="4320" w:type="dxa"/>
          </w:tcPr>
          <w:p w14:paraId="03908AAF"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Millions worldwide</w:t>
            </w:r>
          </w:p>
        </w:tc>
      </w:tr>
    </w:tbl>
    <w:p w14:paraId="3671C666" w14:textId="24AFE36E" w:rsidR="00E0036E" w:rsidRPr="00F95CE5" w:rsidRDefault="00E0036E" w:rsidP="00E0036E">
      <w:pPr>
        <w:autoSpaceDE w:val="0"/>
        <w:autoSpaceDN w:val="0"/>
        <w:adjustRightInd w:val="0"/>
        <w:spacing w:before="240" w:after="160" w:line="360" w:lineRule="auto"/>
        <w:jc w:val="center"/>
        <w:rPr>
          <w:rFonts w:ascii="Arial" w:eastAsia="Calibri" w:hAnsi="Arial" w:cs="Arial"/>
          <w:b/>
          <w:bCs/>
          <w:i/>
          <w:iCs/>
          <w:lang w:val="en-GB"/>
          <w14:ligatures w14:val="standardContextual"/>
        </w:rPr>
      </w:pPr>
      <w:r w:rsidRPr="00F95CE5">
        <w:rPr>
          <w:rFonts w:ascii="Arial" w:eastAsia="Calibri" w:hAnsi="Arial" w:cs="Arial"/>
          <w:b/>
          <w:bCs/>
          <w:i/>
          <w:iCs/>
          <w:lang w:val="en-GB"/>
          <w14:ligatures w14:val="standardContextual"/>
        </w:rPr>
        <w:t>Source: World Health Organi</w:t>
      </w:r>
      <w:r w:rsidR="003878FA">
        <w:rPr>
          <w:rFonts w:ascii="Arial" w:eastAsia="Calibri" w:hAnsi="Arial" w:cs="Arial"/>
          <w:b/>
          <w:bCs/>
          <w:i/>
          <w:iCs/>
          <w:lang w:val="en-GB"/>
          <w14:ligatures w14:val="standardContextual"/>
        </w:rPr>
        <w:t>s</w:t>
      </w:r>
      <w:r w:rsidRPr="00F95CE5">
        <w:rPr>
          <w:rFonts w:ascii="Arial" w:eastAsia="Calibri" w:hAnsi="Arial" w:cs="Arial"/>
          <w:b/>
          <w:bCs/>
          <w:i/>
          <w:iCs/>
          <w:lang w:val="en-GB"/>
          <w14:ligatures w14:val="standardContextual"/>
        </w:rPr>
        <w:t>ation (WHO), Medication Without Harm Global Patient Safety Challenge.</w:t>
      </w:r>
    </w:p>
    <w:p w14:paraId="45D4FBC4" w14:textId="77777777" w:rsidR="00E0036E" w:rsidRPr="00F95CE5" w:rsidRDefault="00E0036E" w:rsidP="00E0036E">
      <w:pPr>
        <w:autoSpaceDE w:val="0"/>
        <w:autoSpaceDN w:val="0"/>
        <w:adjustRightInd w:val="0"/>
        <w:spacing w:before="240" w:after="16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t>APPENDIX C – NHS MEDICATION INCIDENT DATA</w:t>
      </w:r>
    </w:p>
    <w:p w14:paraId="16CB5756" w14:textId="77777777" w:rsidR="00E0036E" w:rsidRPr="00F95CE5" w:rsidRDefault="00E0036E" w:rsidP="00E0036E">
      <w:pPr>
        <w:autoSpaceDE w:val="0"/>
        <w:autoSpaceDN w:val="0"/>
        <w:adjustRightInd w:val="0"/>
        <w:spacing w:before="240" w:after="16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t>Table C1: NHS Medication Safety Indicators</w:t>
      </w:r>
    </w:p>
    <w:tbl>
      <w:tblPr>
        <w:tblStyle w:val="GridTable3-Accent61"/>
        <w:tblW w:w="0" w:type="auto"/>
        <w:tblLayout w:type="fixed"/>
        <w:tblLook w:val="0000" w:firstRow="0" w:lastRow="0" w:firstColumn="0" w:lastColumn="0" w:noHBand="0" w:noVBand="0"/>
      </w:tblPr>
      <w:tblGrid>
        <w:gridCol w:w="4428"/>
        <w:gridCol w:w="4320"/>
      </w:tblGrid>
      <w:tr w:rsidR="00E0036E" w:rsidRPr="00F95CE5" w14:paraId="1705FE9A"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11E23C83"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b/>
                <w:bCs/>
                <w:sz w:val="22"/>
                <w:szCs w:val="22"/>
                <w:lang w:val="en-GB"/>
              </w:rPr>
              <w:t>Indicator</w:t>
            </w:r>
          </w:p>
        </w:tc>
        <w:tc>
          <w:tcPr>
            <w:tcW w:w="4320" w:type="dxa"/>
          </w:tcPr>
          <w:p w14:paraId="2F381EE5"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b/>
                <w:bCs/>
                <w:sz w:val="22"/>
                <w:szCs w:val="22"/>
                <w:lang w:val="en-GB"/>
              </w:rPr>
              <w:t>Findings</w:t>
            </w:r>
          </w:p>
        </w:tc>
      </w:tr>
      <w:tr w:rsidR="00E0036E" w:rsidRPr="00F95CE5" w14:paraId="44DCBEE0" w14:textId="77777777" w:rsidTr="00283EC7">
        <w:tc>
          <w:tcPr>
            <w:cnfStyle w:val="000010000000" w:firstRow="0" w:lastRow="0" w:firstColumn="0" w:lastColumn="0" w:oddVBand="1" w:evenVBand="0" w:oddHBand="0" w:evenHBand="0" w:firstRowFirstColumn="0" w:firstRowLastColumn="0" w:lastRowFirstColumn="0" w:lastRowLastColumn="0"/>
            <w:tcW w:w="4428" w:type="dxa"/>
          </w:tcPr>
          <w:p w14:paraId="5C051164"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Medication incidents</w:t>
            </w:r>
          </w:p>
        </w:tc>
        <w:tc>
          <w:tcPr>
            <w:tcW w:w="4320" w:type="dxa"/>
          </w:tcPr>
          <w:p w14:paraId="4979130D" w14:textId="77777777" w:rsidR="00E0036E" w:rsidRPr="00F95CE5" w:rsidRDefault="00E0036E" w:rsidP="00E0036E">
            <w:pPr>
              <w:autoSpaceDE w:val="0"/>
              <w:autoSpaceDN w:val="0"/>
              <w:adjustRightInd w:val="0"/>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Among the most frequently reported patient safety incidents</w:t>
            </w:r>
          </w:p>
        </w:tc>
      </w:tr>
      <w:tr w:rsidR="00E0036E" w:rsidRPr="00F95CE5" w14:paraId="4C788C08"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63937974"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High-risk groups</w:t>
            </w:r>
          </w:p>
        </w:tc>
        <w:tc>
          <w:tcPr>
            <w:tcW w:w="4320" w:type="dxa"/>
          </w:tcPr>
          <w:p w14:paraId="2BA74E6E"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Older adults and patients with multiple conditions</w:t>
            </w:r>
          </w:p>
        </w:tc>
      </w:tr>
      <w:tr w:rsidR="00E0036E" w:rsidRPr="00F95CE5" w14:paraId="5A52E8A1" w14:textId="77777777" w:rsidTr="00283EC7">
        <w:tc>
          <w:tcPr>
            <w:cnfStyle w:val="000010000000" w:firstRow="0" w:lastRow="0" w:firstColumn="0" w:lastColumn="0" w:oddVBand="1" w:evenVBand="0" w:oddHBand="0" w:evenHBand="0" w:firstRowFirstColumn="0" w:firstRowLastColumn="0" w:lastRowFirstColumn="0" w:lastRowLastColumn="0"/>
            <w:tcW w:w="4428" w:type="dxa"/>
          </w:tcPr>
          <w:p w14:paraId="47A0DFFB"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Common causes</w:t>
            </w:r>
          </w:p>
        </w:tc>
        <w:tc>
          <w:tcPr>
            <w:tcW w:w="4320" w:type="dxa"/>
          </w:tcPr>
          <w:p w14:paraId="01BD6832" w14:textId="0AB4B653" w:rsidR="00E0036E" w:rsidRPr="00F95CE5" w:rsidRDefault="00E0036E" w:rsidP="00E0036E">
            <w:pPr>
              <w:autoSpaceDE w:val="0"/>
              <w:autoSpaceDN w:val="0"/>
              <w:adjustRightInd w:val="0"/>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 xml:space="preserve">Communication failures, prescribing errors, </w:t>
            </w:r>
            <w:r w:rsidR="003878FA">
              <w:rPr>
                <w:rFonts w:ascii="Arial" w:eastAsia="Calibri" w:hAnsi="Arial" w:cs="Arial"/>
                <w:sz w:val="22"/>
                <w:szCs w:val="22"/>
                <w:lang w:val="en-GB"/>
              </w:rPr>
              <w:t xml:space="preserve">and </w:t>
            </w:r>
            <w:r w:rsidRPr="00F95CE5">
              <w:rPr>
                <w:rFonts w:ascii="Arial" w:eastAsia="Calibri" w:hAnsi="Arial" w:cs="Arial"/>
                <w:sz w:val="22"/>
                <w:szCs w:val="22"/>
                <w:lang w:val="en-GB"/>
              </w:rPr>
              <w:t>administration errors</w:t>
            </w:r>
          </w:p>
        </w:tc>
      </w:tr>
      <w:tr w:rsidR="00E0036E" w:rsidRPr="00F95CE5" w14:paraId="75C79612"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39B3579C"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Key concern</w:t>
            </w:r>
          </w:p>
        </w:tc>
        <w:tc>
          <w:tcPr>
            <w:tcW w:w="4320" w:type="dxa"/>
          </w:tcPr>
          <w:p w14:paraId="3034D477"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Inadequate patient understanding of medicines</w:t>
            </w:r>
          </w:p>
        </w:tc>
      </w:tr>
    </w:tbl>
    <w:p w14:paraId="04D51D44" w14:textId="77777777" w:rsidR="00E0036E" w:rsidRPr="00F95CE5" w:rsidRDefault="00E0036E" w:rsidP="00E0036E">
      <w:pPr>
        <w:autoSpaceDE w:val="0"/>
        <w:autoSpaceDN w:val="0"/>
        <w:adjustRightInd w:val="0"/>
        <w:spacing w:before="240" w:after="160" w:line="360" w:lineRule="auto"/>
        <w:jc w:val="center"/>
        <w:rPr>
          <w:rFonts w:ascii="Arial" w:eastAsia="Calibri" w:hAnsi="Arial" w:cs="Arial"/>
          <w:b/>
          <w:bCs/>
          <w:i/>
          <w:iCs/>
          <w:lang w:val="en-GB"/>
          <w14:ligatures w14:val="standardContextual"/>
        </w:rPr>
      </w:pPr>
      <w:r w:rsidRPr="00F95CE5">
        <w:rPr>
          <w:rFonts w:ascii="Arial" w:eastAsia="Calibri" w:hAnsi="Arial" w:cs="Arial"/>
          <w:b/>
          <w:bCs/>
          <w:i/>
          <w:iCs/>
          <w:lang w:val="en-GB"/>
          <w14:ligatures w14:val="standardContextual"/>
        </w:rPr>
        <w:t>Source: NHS England Patient Safety Incident Reports.</w:t>
      </w:r>
    </w:p>
    <w:p w14:paraId="7ED05C64" w14:textId="77777777" w:rsidR="00E0036E" w:rsidRPr="00F95CE5" w:rsidRDefault="00E0036E" w:rsidP="00E0036E">
      <w:pPr>
        <w:spacing w:after="160" w:line="278" w:lineRule="auto"/>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br w:type="page"/>
      </w:r>
    </w:p>
    <w:p w14:paraId="1A756C5B" w14:textId="77777777" w:rsidR="00E0036E" w:rsidRPr="00F95CE5" w:rsidRDefault="00E0036E" w:rsidP="00E0036E">
      <w:pPr>
        <w:autoSpaceDE w:val="0"/>
        <w:autoSpaceDN w:val="0"/>
        <w:adjustRightInd w:val="0"/>
        <w:spacing w:before="240" w:after="16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lastRenderedPageBreak/>
        <w:t>APPENDIX D – NHS STAFF SURVEY DATA</w:t>
      </w:r>
    </w:p>
    <w:p w14:paraId="25CA94A2" w14:textId="77777777" w:rsidR="00E0036E" w:rsidRPr="00F95CE5" w:rsidRDefault="00E0036E" w:rsidP="00E0036E">
      <w:pPr>
        <w:autoSpaceDE w:val="0"/>
        <w:autoSpaceDN w:val="0"/>
        <w:adjustRightInd w:val="0"/>
        <w:spacing w:before="240" w:after="16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t>Table D1: Patient Safety Culture Indicators</w:t>
      </w:r>
    </w:p>
    <w:tbl>
      <w:tblPr>
        <w:tblStyle w:val="GridTable5Dark-Accent21"/>
        <w:tblW w:w="0" w:type="auto"/>
        <w:tblLayout w:type="fixed"/>
        <w:tblLook w:val="0000" w:firstRow="0" w:lastRow="0" w:firstColumn="0" w:lastColumn="0" w:noHBand="0" w:noVBand="0"/>
      </w:tblPr>
      <w:tblGrid>
        <w:gridCol w:w="4428"/>
        <w:gridCol w:w="4320"/>
      </w:tblGrid>
      <w:tr w:rsidR="00E0036E" w:rsidRPr="00F95CE5" w14:paraId="64E0E5F4"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67B4DFD1"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b/>
                <w:bCs/>
                <w:sz w:val="22"/>
                <w:szCs w:val="22"/>
                <w:lang w:val="en-GB"/>
              </w:rPr>
              <w:t>Indicator</w:t>
            </w:r>
          </w:p>
        </w:tc>
        <w:tc>
          <w:tcPr>
            <w:tcW w:w="4320" w:type="dxa"/>
          </w:tcPr>
          <w:p w14:paraId="20FB5462"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b/>
                <w:bCs/>
                <w:sz w:val="22"/>
                <w:szCs w:val="22"/>
                <w:lang w:val="en-GB"/>
              </w:rPr>
              <w:t>Relevance</w:t>
            </w:r>
          </w:p>
        </w:tc>
      </w:tr>
      <w:tr w:rsidR="00E0036E" w:rsidRPr="00F95CE5" w14:paraId="371CABF3" w14:textId="77777777" w:rsidTr="00283EC7">
        <w:tc>
          <w:tcPr>
            <w:cnfStyle w:val="000010000000" w:firstRow="0" w:lastRow="0" w:firstColumn="0" w:lastColumn="0" w:oddVBand="1" w:evenVBand="0" w:oddHBand="0" w:evenHBand="0" w:firstRowFirstColumn="0" w:firstRowLastColumn="0" w:lastRowFirstColumn="0" w:lastRowLastColumn="0"/>
            <w:tcW w:w="4428" w:type="dxa"/>
          </w:tcPr>
          <w:p w14:paraId="22E29DE1"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Staff confidence in reporting incidents</w:t>
            </w:r>
          </w:p>
        </w:tc>
        <w:tc>
          <w:tcPr>
            <w:tcW w:w="4320" w:type="dxa"/>
          </w:tcPr>
          <w:p w14:paraId="6ACF8B37" w14:textId="77777777" w:rsidR="00E0036E" w:rsidRPr="00F95CE5" w:rsidRDefault="00E0036E" w:rsidP="00E0036E">
            <w:pPr>
              <w:autoSpaceDE w:val="0"/>
              <w:autoSpaceDN w:val="0"/>
              <w:adjustRightInd w:val="0"/>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Measures safety culture</w:t>
            </w:r>
          </w:p>
        </w:tc>
      </w:tr>
      <w:tr w:rsidR="00E0036E" w:rsidRPr="00F95CE5" w14:paraId="76FD00C5"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61FD6390"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Staff willingness to speak up</w:t>
            </w:r>
          </w:p>
        </w:tc>
        <w:tc>
          <w:tcPr>
            <w:tcW w:w="4320" w:type="dxa"/>
          </w:tcPr>
          <w:p w14:paraId="50E186CB"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Indicates organisational openness</w:t>
            </w:r>
          </w:p>
        </w:tc>
      </w:tr>
      <w:tr w:rsidR="00E0036E" w:rsidRPr="00F95CE5" w14:paraId="588A10F5" w14:textId="77777777" w:rsidTr="00283EC7">
        <w:tc>
          <w:tcPr>
            <w:cnfStyle w:val="000010000000" w:firstRow="0" w:lastRow="0" w:firstColumn="0" w:lastColumn="0" w:oddVBand="1" w:evenVBand="0" w:oddHBand="0" w:evenHBand="0" w:firstRowFirstColumn="0" w:firstRowLastColumn="0" w:lastRowFirstColumn="0" w:lastRowLastColumn="0"/>
            <w:tcW w:w="4428" w:type="dxa"/>
          </w:tcPr>
          <w:p w14:paraId="63137C67"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Patient safety perception</w:t>
            </w:r>
          </w:p>
        </w:tc>
        <w:tc>
          <w:tcPr>
            <w:tcW w:w="4320" w:type="dxa"/>
          </w:tcPr>
          <w:p w14:paraId="7D98588D" w14:textId="77777777" w:rsidR="00E0036E" w:rsidRPr="00F95CE5" w:rsidRDefault="00E0036E" w:rsidP="00E0036E">
            <w:pPr>
              <w:autoSpaceDE w:val="0"/>
              <w:autoSpaceDN w:val="0"/>
              <w:adjustRightInd w:val="0"/>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Reflects leadership effectiveness</w:t>
            </w:r>
          </w:p>
        </w:tc>
      </w:tr>
      <w:tr w:rsidR="00E0036E" w:rsidRPr="00F95CE5" w14:paraId="6D714F98"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43B96B09"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Learning from incidents</w:t>
            </w:r>
          </w:p>
        </w:tc>
        <w:tc>
          <w:tcPr>
            <w:tcW w:w="4320" w:type="dxa"/>
          </w:tcPr>
          <w:p w14:paraId="3B4BFE8E"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Supports continuous improvement</w:t>
            </w:r>
          </w:p>
        </w:tc>
      </w:tr>
    </w:tbl>
    <w:p w14:paraId="2F077B65" w14:textId="77777777" w:rsidR="00E0036E" w:rsidRPr="00F95CE5" w:rsidRDefault="00E0036E" w:rsidP="00E0036E">
      <w:pPr>
        <w:autoSpaceDE w:val="0"/>
        <w:autoSpaceDN w:val="0"/>
        <w:adjustRightInd w:val="0"/>
        <w:spacing w:before="240" w:after="160" w:line="360" w:lineRule="auto"/>
        <w:jc w:val="center"/>
        <w:rPr>
          <w:rFonts w:ascii="Arial" w:eastAsia="Calibri" w:hAnsi="Arial" w:cs="Arial"/>
          <w:b/>
          <w:bCs/>
          <w:i/>
          <w:iCs/>
          <w:lang w:val="en-GB"/>
          <w14:ligatures w14:val="standardContextual"/>
        </w:rPr>
      </w:pPr>
      <w:r w:rsidRPr="00F95CE5">
        <w:rPr>
          <w:rFonts w:ascii="Arial" w:eastAsia="Calibri" w:hAnsi="Arial" w:cs="Arial"/>
          <w:b/>
          <w:bCs/>
          <w:i/>
          <w:iCs/>
          <w:lang w:val="en-GB"/>
          <w14:ligatures w14:val="standardContextual"/>
        </w:rPr>
        <w:t>Source: NHS Staff Survey.</w:t>
      </w:r>
    </w:p>
    <w:p w14:paraId="4D15B139" w14:textId="77777777"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p>
    <w:p w14:paraId="543CC840" w14:textId="77777777" w:rsidR="006E66D0" w:rsidRPr="00F95CE5" w:rsidRDefault="006E66D0">
      <w:pPr>
        <w:rPr>
          <w:lang w:val="en-GB"/>
        </w:rPr>
      </w:pPr>
    </w:p>
    <w:sectPr w:rsidR="006E66D0" w:rsidRPr="00F95CE5">
      <w:footerReference w:type="even"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E8BA5" w14:textId="77777777" w:rsidR="00A85024" w:rsidRDefault="00A85024">
      <w:pPr>
        <w:spacing w:after="0" w:line="240" w:lineRule="auto"/>
      </w:pPr>
      <w:r>
        <w:separator/>
      </w:r>
    </w:p>
  </w:endnote>
  <w:endnote w:type="continuationSeparator" w:id="0">
    <w:p w14:paraId="0E9825C6" w14:textId="77777777" w:rsidR="00A85024" w:rsidRDefault="00A85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02521252"/>
      <w:docPartObj>
        <w:docPartGallery w:val="Page Numbers (Bottom of Page)"/>
        <w:docPartUnique/>
      </w:docPartObj>
    </w:sdtPr>
    <w:sdtEndPr>
      <w:rPr>
        <w:rStyle w:val="PageNumber"/>
      </w:rPr>
    </w:sdtEndPr>
    <w:sdtContent>
      <w:p w14:paraId="5797E3F1" w14:textId="77777777" w:rsidR="006E66D0" w:rsidRDefault="007F1A35" w:rsidP="004147A1">
        <w:pPr>
          <w:pStyle w:val="Footer1"/>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1078E0" w14:textId="77777777" w:rsidR="006E66D0" w:rsidRDefault="006E66D0">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6820922"/>
      <w:docPartObj>
        <w:docPartGallery w:val="Page Numbers (Bottom of Page)"/>
        <w:docPartUnique/>
      </w:docPartObj>
    </w:sdtPr>
    <w:sdtEndPr>
      <w:rPr>
        <w:rStyle w:val="PageNumber"/>
      </w:rPr>
    </w:sdtEndPr>
    <w:sdtContent>
      <w:p w14:paraId="2458F63C" w14:textId="77777777" w:rsidR="006E66D0" w:rsidRDefault="007F1A35" w:rsidP="004147A1">
        <w:pPr>
          <w:pStyle w:val="Footer1"/>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3816A8">
          <w:rPr>
            <w:rStyle w:val="PageNumber"/>
            <w:noProof/>
          </w:rPr>
          <w:t>1</w:t>
        </w:r>
        <w:r>
          <w:rPr>
            <w:rStyle w:val="PageNumber"/>
          </w:rPr>
          <w:fldChar w:fldCharType="end"/>
        </w:r>
      </w:p>
    </w:sdtContent>
  </w:sdt>
  <w:p w14:paraId="03EB1FB0" w14:textId="77777777" w:rsidR="006E66D0" w:rsidRDefault="006E66D0">
    <w:pPr>
      <w:pStyle w:val="Footer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8443F" w14:textId="77777777" w:rsidR="00A85024" w:rsidRDefault="00A85024">
      <w:pPr>
        <w:spacing w:after="0" w:line="240" w:lineRule="auto"/>
      </w:pPr>
      <w:r>
        <w:separator/>
      </w:r>
    </w:p>
  </w:footnote>
  <w:footnote w:type="continuationSeparator" w:id="0">
    <w:p w14:paraId="3B6E9BF9" w14:textId="77777777" w:rsidR="00A85024" w:rsidRDefault="00A850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E6E0C"/>
    <w:multiLevelType w:val="hybridMultilevel"/>
    <w:tmpl w:val="26642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C0CD6"/>
    <w:multiLevelType w:val="hybridMultilevel"/>
    <w:tmpl w:val="B5A04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AA3CE1"/>
    <w:multiLevelType w:val="hybridMultilevel"/>
    <w:tmpl w:val="8FAADBB6"/>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B5963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3855300"/>
    <w:multiLevelType w:val="multilevel"/>
    <w:tmpl w:val="72E09EFA"/>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B4D666E"/>
    <w:multiLevelType w:val="multilevel"/>
    <w:tmpl w:val="BCF2195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5D254E9"/>
    <w:multiLevelType w:val="hybridMultilevel"/>
    <w:tmpl w:val="7032B69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014A35"/>
    <w:multiLevelType w:val="multilevel"/>
    <w:tmpl w:val="21C4E1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24027894">
    <w:abstractNumId w:val="0"/>
  </w:num>
  <w:num w:numId="2" w16cid:durableId="484516194">
    <w:abstractNumId w:val="2"/>
  </w:num>
  <w:num w:numId="3" w16cid:durableId="2145654653">
    <w:abstractNumId w:val="6"/>
  </w:num>
  <w:num w:numId="4" w16cid:durableId="706759899">
    <w:abstractNumId w:val="1"/>
  </w:num>
  <w:num w:numId="5" w16cid:durableId="1815222428">
    <w:abstractNumId w:val="3"/>
  </w:num>
  <w:num w:numId="6" w16cid:durableId="436029161">
    <w:abstractNumId w:val="4"/>
  </w:num>
  <w:num w:numId="7" w16cid:durableId="53625676">
    <w:abstractNumId w:val="5"/>
  </w:num>
  <w:num w:numId="8" w16cid:durableId="18447794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36E"/>
    <w:rsid w:val="00007C59"/>
    <w:rsid w:val="00015625"/>
    <w:rsid w:val="00033186"/>
    <w:rsid w:val="0004360F"/>
    <w:rsid w:val="00047E01"/>
    <w:rsid w:val="00080C93"/>
    <w:rsid w:val="00083A8E"/>
    <w:rsid w:val="000F5EAE"/>
    <w:rsid w:val="00116495"/>
    <w:rsid w:val="00146A07"/>
    <w:rsid w:val="001843C3"/>
    <w:rsid w:val="001C2722"/>
    <w:rsid w:val="00204A3D"/>
    <w:rsid w:val="002120FB"/>
    <w:rsid w:val="00245DFF"/>
    <w:rsid w:val="00262143"/>
    <w:rsid w:val="0029227C"/>
    <w:rsid w:val="00292D50"/>
    <w:rsid w:val="002A1E29"/>
    <w:rsid w:val="002A4448"/>
    <w:rsid w:val="002F7E96"/>
    <w:rsid w:val="00310603"/>
    <w:rsid w:val="003379E3"/>
    <w:rsid w:val="00360507"/>
    <w:rsid w:val="003619FB"/>
    <w:rsid w:val="003816A8"/>
    <w:rsid w:val="003878FA"/>
    <w:rsid w:val="003B4D62"/>
    <w:rsid w:val="003E4DF6"/>
    <w:rsid w:val="003E621C"/>
    <w:rsid w:val="003F3EF7"/>
    <w:rsid w:val="00440DF2"/>
    <w:rsid w:val="004779EC"/>
    <w:rsid w:val="004B348C"/>
    <w:rsid w:val="004C4548"/>
    <w:rsid w:val="004C5D6C"/>
    <w:rsid w:val="004E1C70"/>
    <w:rsid w:val="00521758"/>
    <w:rsid w:val="005247CF"/>
    <w:rsid w:val="005746A6"/>
    <w:rsid w:val="00586126"/>
    <w:rsid w:val="0059501A"/>
    <w:rsid w:val="005957FF"/>
    <w:rsid w:val="005C35F9"/>
    <w:rsid w:val="005C7A32"/>
    <w:rsid w:val="005E348B"/>
    <w:rsid w:val="005F3210"/>
    <w:rsid w:val="0061157B"/>
    <w:rsid w:val="00613BA7"/>
    <w:rsid w:val="00632ECA"/>
    <w:rsid w:val="00650DF3"/>
    <w:rsid w:val="00656749"/>
    <w:rsid w:val="00664E29"/>
    <w:rsid w:val="00690E93"/>
    <w:rsid w:val="006A5612"/>
    <w:rsid w:val="006B43A4"/>
    <w:rsid w:val="006B5F98"/>
    <w:rsid w:val="006C4CCE"/>
    <w:rsid w:val="006C5B78"/>
    <w:rsid w:val="006E66D0"/>
    <w:rsid w:val="006F2D05"/>
    <w:rsid w:val="007109F6"/>
    <w:rsid w:val="007135C3"/>
    <w:rsid w:val="0072586C"/>
    <w:rsid w:val="00745855"/>
    <w:rsid w:val="00761C0B"/>
    <w:rsid w:val="007906E4"/>
    <w:rsid w:val="007A47A4"/>
    <w:rsid w:val="007B2C60"/>
    <w:rsid w:val="007F1A20"/>
    <w:rsid w:val="007F1A35"/>
    <w:rsid w:val="008241A5"/>
    <w:rsid w:val="008338DD"/>
    <w:rsid w:val="008503CD"/>
    <w:rsid w:val="0085623A"/>
    <w:rsid w:val="008944B1"/>
    <w:rsid w:val="008A14FE"/>
    <w:rsid w:val="008B509C"/>
    <w:rsid w:val="008C6262"/>
    <w:rsid w:val="008D6A5E"/>
    <w:rsid w:val="008E29AB"/>
    <w:rsid w:val="008E4C43"/>
    <w:rsid w:val="00901B6A"/>
    <w:rsid w:val="0098417D"/>
    <w:rsid w:val="00995E08"/>
    <w:rsid w:val="009C4F00"/>
    <w:rsid w:val="009F50FE"/>
    <w:rsid w:val="00A006DC"/>
    <w:rsid w:val="00A22B34"/>
    <w:rsid w:val="00A35DAF"/>
    <w:rsid w:val="00A514F8"/>
    <w:rsid w:val="00A85024"/>
    <w:rsid w:val="00AB05F6"/>
    <w:rsid w:val="00AC14A8"/>
    <w:rsid w:val="00AD4559"/>
    <w:rsid w:val="00AE267A"/>
    <w:rsid w:val="00B00BB6"/>
    <w:rsid w:val="00B018C5"/>
    <w:rsid w:val="00B267B8"/>
    <w:rsid w:val="00B47997"/>
    <w:rsid w:val="00B700C6"/>
    <w:rsid w:val="00B83A76"/>
    <w:rsid w:val="00BC0567"/>
    <w:rsid w:val="00BC2417"/>
    <w:rsid w:val="00C00B7E"/>
    <w:rsid w:val="00C314F4"/>
    <w:rsid w:val="00C6397D"/>
    <w:rsid w:val="00C654B8"/>
    <w:rsid w:val="00C66792"/>
    <w:rsid w:val="00C746FC"/>
    <w:rsid w:val="00C8508C"/>
    <w:rsid w:val="00CE3CF5"/>
    <w:rsid w:val="00CF01C3"/>
    <w:rsid w:val="00D00144"/>
    <w:rsid w:val="00D2781E"/>
    <w:rsid w:val="00D30D41"/>
    <w:rsid w:val="00D47788"/>
    <w:rsid w:val="00D83852"/>
    <w:rsid w:val="00E0036E"/>
    <w:rsid w:val="00E07C75"/>
    <w:rsid w:val="00E4137F"/>
    <w:rsid w:val="00E45B4D"/>
    <w:rsid w:val="00E47354"/>
    <w:rsid w:val="00E5275E"/>
    <w:rsid w:val="00E618FF"/>
    <w:rsid w:val="00F204F6"/>
    <w:rsid w:val="00F65D4F"/>
    <w:rsid w:val="00F85AEC"/>
    <w:rsid w:val="00F86072"/>
    <w:rsid w:val="00F95CE5"/>
    <w:rsid w:val="00FA4615"/>
    <w:rsid w:val="00FE20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27D96"/>
  <w15:docId w15:val="{0489EC5F-4EEE-44B7-9638-E376062F3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36E"/>
    <w:pPr>
      <w:keepNext/>
      <w:keepLines/>
      <w:spacing w:before="480" w:after="0"/>
      <w:outlineLvl w:val="0"/>
    </w:pPr>
    <w:rPr>
      <w:rFonts w:ascii="Calibri Light" w:eastAsia="Times New Roman" w:hAnsi="Calibri Light" w:cs="Times New Roman"/>
      <w:color w:val="2F5496"/>
      <w:sz w:val="40"/>
      <w:szCs w:val="40"/>
    </w:rPr>
  </w:style>
  <w:style w:type="paragraph" w:styleId="Heading2">
    <w:name w:val="heading 2"/>
    <w:basedOn w:val="Normal"/>
    <w:next w:val="Normal"/>
    <w:link w:val="Heading2Char"/>
    <w:uiPriority w:val="9"/>
    <w:semiHidden/>
    <w:unhideWhenUsed/>
    <w:qFormat/>
    <w:rsid w:val="00E0036E"/>
    <w:pPr>
      <w:keepNext/>
      <w:keepLines/>
      <w:spacing w:before="200" w:after="0"/>
      <w:outlineLvl w:val="1"/>
    </w:pPr>
    <w:rPr>
      <w:rFonts w:ascii="Calibri Light" w:eastAsia="Times New Roman" w:hAnsi="Calibri Light" w:cs="Times New Roman"/>
      <w:color w:val="2F5496"/>
      <w:sz w:val="32"/>
      <w:szCs w:val="32"/>
    </w:rPr>
  </w:style>
  <w:style w:type="paragraph" w:styleId="Heading3">
    <w:name w:val="heading 3"/>
    <w:basedOn w:val="Normal"/>
    <w:next w:val="Normal"/>
    <w:link w:val="Heading3Char"/>
    <w:uiPriority w:val="9"/>
    <w:semiHidden/>
    <w:unhideWhenUsed/>
    <w:qFormat/>
    <w:rsid w:val="00E0036E"/>
    <w:pPr>
      <w:keepNext/>
      <w:keepLines/>
      <w:spacing w:before="200" w:after="0"/>
      <w:outlineLvl w:val="2"/>
    </w:pPr>
    <w:rPr>
      <w:rFonts w:eastAsia="Times New Roman" w:cs="Times New Roman"/>
      <w:color w:val="2F5496"/>
      <w:sz w:val="28"/>
      <w:szCs w:val="28"/>
    </w:rPr>
  </w:style>
  <w:style w:type="paragraph" w:styleId="Heading4">
    <w:name w:val="heading 4"/>
    <w:basedOn w:val="Normal"/>
    <w:next w:val="Normal"/>
    <w:link w:val="Heading4Char"/>
    <w:uiPriority w:val="9"/>
    <w:semiHidden/>
    <w:unhideWhenUsed/>
    <w:qFormat/>
    <w:rsid w:val="00E0036E"/>
    <w:pPr>
      <w:keepNext/>
      <w:keepLines/>
      <w:spacing w:before="200" w:after="0"/>
      <w:outlineLvl w:val="3"/>
    </w:pPr>
    <w:rPr>
      <w:rFonts w:eastAsia="Times New Roman" w:cs="Times New Roman"/>
      <w:i/>
      <w:iCs/>
      <w:color w:val="2F5496"/>
    </w:rPr>
  </w:style>
  <w:style w:type="paragraph" w:styleId="Heading5">
    <w:name w:val="heading 5"/>
    <w:basedOn w:val="Normal"/>
    <w:next w:val="Normal"/>
    <w:link w:val="Heading5Char"/>
    <w:uiPriority w:val="9"/>
    <w:semiHidden/>
    <w:unhideWhenUsed/>
    <w:qFormat/>
    <w:rsid w:val="00E0036E"/>
    <w:pPr>
      <w:keepNext/>
      <w:keepLines/>
      <w:spacing w:before="200" w:after="0"/>
      <w:outlineLvl w:val="4"/>
    </w:pPr>
    <w:rPr>
      <w:rFonts w:eastAsia="Times New Roman" w:cs="Times New Roman"/>
      <w:color w:val="2F5496"/>
    </w:rPr>
  </w:style>
  <w:style w:type="paragraph" w:styleId="Heading6">
    <w:name w:val="heading 6"/>
    <w:basedOn w:val="Normal"/>
    <w:next w:val="Normal"/>
    <w:link w:val="Heading6Char"/>
    <w:uiPriority w:val="9"/>
    <w:semiHidden/>
    <w:unhideWhenUsed/>
    <w:qFormat/>
    <w:rsid w:val="00E0036E"/>
    <w:pPr>
      <w:keepNext/>
      <w:keepLines/>
      <w:spacing w:before="20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E0036E"/>
    <w:pPr>
      <w:keepNext/>
      <w:keepLines/>
      <w:spacing w:before="20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E0036E"/>
    <w:pPr>
      <w:keepNext/>
      <w:keepLines/>
      <w:spacing w:before="20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E0036E"/>
    <w:pPr>
      <w:keepNext/>
      <w:keepLines/>
      <w:spacing w:before="200"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rsid w:val="00E0036E"/>
    <w:pPr>
      <w:keepNext/>
      <w:keepLines/>
      <w:spacing w:before="360" w:after="80" w:line="278" w:lineRule="auto"/>
      <w:outlineLvl w:val="0"/>
    </w:pPr>
    <w:rPr>
      <w:rFonts w:ascii="Calibri Light" w:eastAsia="Times New Roman" w:hAnsi="Calibri Light" w:cs="Times New Roman"/>
      <w:color w:val="2F5496"/>
      <w:kern w:val="2"/>
      <w:sz w:val="40"/>
      <w:szCs w:val="40"/>
      <w14:ligatures w14:val="standardContextual"/>
    </w:rPr>
  </w:style>
  <w:style w:type="paragraph" w:customStyle="1" w:styleId="Heading21">
    <w:name w:val="Heading 21"/>
    <w:basedOn w:val="Normal"/>
    <w:next w:val="Normal"/>
    <w:uiPriority w:val="9"/>
    <w:unhideWhenUsed/>
    <w:qFormat/>
    <w:rsid w:val="00E0036E"/>
    <w:pPr>
      <w:keepNext/>
      <w:keepLines/>
      <w:spacing w:before="160" w:after="80" w:line="278" w:lineRule="auto"/>
      <w:outlineLvl w:val="1"/>
    </w:pPr>
    <w:rPr>
      <w:rFonts w:ascii="Calibri Light" w:eastAsia="Times New Roman" w:hAnsi="Calibri Light" w:cs="Times New Roman"/>
      <w:color w:val="2F5496"/>
      <w:kern w:val="2"/>
      <w:sz w:val="32"/>
      <w:szCs w:val="32"/>
      <w14:ligatures w14:val="standardContextual"/>
    </w:rPr>
  </w:style>
  <w:style w:type="paragraph" w:customStyle="1" w:styleId="Heading31">
    <w:name w:val="Heading 31"/>
    <w:basedOn w:val="Normal"/>
    <w:next w:val="Normal"/>
    <w:uiPriority w:val="9"/>
    <w:semiHidden/>
    <w:unhideWhenUsed/>
    <w:qFormat/>
    <w:rsid w:val="00E0036E"/>
    <w:pPr>
      <w:keepNext/>
      <w:keepLines/>
      <w:spacing w:before="160" w:after="80" w:line="278" w:lineRule="auto"/>
      <w:outlineLvl w:val="2"/>
    </w:pPr>
    <w:rPr>
      <w:rFonts w:eastAsia="Times New Roman" w:cs="Times New Roman"/>
      <w:color w:val="2F5496"/>
      <w:kern w:val="2"/>
      <w:sz w:val="28"/>
      <w:szCs w:val="28"/>
      <w14:ligatures w14:val="standardContextual"/>
    </w:rPr>
  </w:style>
  <w:style w:type="paragraph" w:customStyle="1" w:styleId="Heading41">
    <w:name w:val="Heading 41"/>
    <w:basedOn w:val="Normal"/>
    <w:next w:val="Normal"/>
    <w:uiPriority w:val="9"/>
    <w:semiHidden/>
    <w:unhideWhenUsed/>
    <w:qFormat/>
    <w:rsid w:val="00E0036E"/>
    <w:pPr>
      <w:keepNext/>
      <w:keepLines/>
      <w:spacing w:before="80" w:after="40" w:line="278" w:lineRule="auto"/>
      <w:outlineLvl w:val="3"/>
    </w:pPr>
    <w:rPr>
      <w:rFonts w:eastAsia="Times New Roman" w:cs="Times New Roman"/>
      <w:i/>
      <w:iCs/>
      <w:color w:val="2F5496"/>
      <w:kern w:val="2"/>
      <w:sz w:val="24"/>
      <w:szCs w:val="24"/>
      <w14:ligatures w14:val="standardContextual"/>
    </w:rPr>
  </w:style>
  <w:style w:type="paragraph" w:customStyle="1" w:styleId="Heading51">
    <w:name w:val="Heading 51"/>
    <w:basedOn w:val="Normal"/>
    <w:next w:val="Normal"/>
    <w:uiPriority w:val="9"/>
    <w:semiHidden/>
    <w:unhideWhenUsed/>
    <w:qFormat/>
    <w:rsid w:val="00E0036E"/>
    <w:pPr>
      <w:keepNext/>
      <w:keepLines/>
      <w:spacing w:before="80" w:after="40" w:line="278" w:lineRule="auto"/>
      <w:outlineLvl w:val="4"/>
    </w:pPr>
    <w:rPr>
      <w:rFonts w:eastAsia="Times New Roman" w:cs="Times New Roman"/>
      <w:color w:val="2F5496"/>
      <w:kern w:val="2"/>
      <w:sz w:val="24"/>
      <w:szCs w:val="24"/>
      <w14:ligatures w14:val="standardContextual"/>
    </w:rPr>
  </w:style>
  <w:style w:type="paragraph" w:customStyle="1" w:styleId="Heading61">
    <w:name w:val="Heading 61"/>
    <w:basedOn w:val="Normal"/>
    <w:next w:val="Normal"/>
    <w:uiPriority w:val="9"/>
    <w:semiHidden/>
    <w:unhideWhenUsed/>
    <w:qFormat/>
    <w:rsid w:val="00E0036E"/>
    <w:pPr>
      <w:keepNext/>
      <w:keepLines/>
      <w:spacing w:before="40" w:after="0" w:line="278" w:lineRule="auto"/>
      <w:outlineLvl w:val="5"/>
    </w:pPr>
    <w:rPr>
      <w:rFonts w:eastAsia="Times New Roman" w:cs="Times New Roman"/>
      <w:i/>
      <w:iCs/>
      <w:color w:val="595959"/>
      <w:kern w:val="2"/>
      <w:sz w:val="24"/>
      <w:szCs w:val="24"/>
      <w14:ligatures w14:val="standardContextual"/>
    </w:rPr>
  </w:style>
  <w:style w:type="paragraph" w:customStyle="1" w:styleId="Heading71">
    <w:name w:val="Heading 71"/>
    <w:basedOn w:val="Normal"/>
    <w:next w:val="Normal"/>
    <w:uiPriority w:val="9"/>
    <w:semiHidden/>
    <w:unhideWhenUsed/>
    <w:qFormat/>
    <w:rsid w:val="00E0036E"/>
    <w:pPr>
      <w:keepNext/>
      <w:keepLines/>
      <w:spacing w:before="40" w:after="0" w:line="278" w:lineRule="auto"/>
      <w:outlineLvl w:val="6"/>
    </w:pPr>
    <w:rPr>
      <w:rFonts w:eastAsia="Times New Roman" w:cs="Times New Roman"/>
      <w:color w:val="595959"/>
      <w:kern w:val="2"/>
      <w:sz w:val="24"/>
      <w:szCs w:val="24"/>
      <w14:ligatures w14:val="standardContextual"/>
    </w:rPr>
  </w:style>
  <w:style w:type="paragraph" w:customStyle="1" w:styleId="Heading81">
    <w:name w:val="Heading 81"/>
    <w:basedOn w:val="Normal"/>
    <w:next w:val="Normal"/>
    <w:uiPriority w:val="9"/>
    <w:semiHidden/>
    <w:unhideWhenUsed/>
    <w:qFormat/>
    <w:rsid w:val="00E0036E"/>
    <w:pPr>
      <w:keepNext/>
      <w:keepLines/>
      <w:spacing w:after="0" w:line="278" w:lineRule="auto"/>
      <w:outlineLvl w:val="7"/>
    </w:pPr>
    <w:rPr>
      <w:rFonts w:eastAsia="Times New Roman" w:cs="Times New Roman"/>
      <w:i/>
      <w:iCs/>
      <w:color w:val="272727"/>
      <w:kern w:val="2"/>
      <w:sz w:val="24"/>
      <w:szCs w:val="24"/>
      <w14:ligatures w14:val="standardContextual"/>
    </w:rPr>
  </w:style>
  <w:style w:type="paragraph" w:customStyle="1" w:styleId="Heading91">
    <w:name w:val="Heading 91"/>
    <w:basedOn w:val="Normal"/>
    <w:next w:val="Normal"/>
    <w:uiPriority w:val="9"/>
    <w:semiHidden/>
    <w:unhideWhenUsed/>
    <w:qFormat/>
    <w:rsid w:val="00E0036E"/>
    <w:pPr>
      <w:keepNext/>
      <w:keepLines/>
      <w:spacing w:after="0" w:line="278" w:lineRule="auto"/>
      <w:outlineLvl w:val="8"/>
    </w:pPr>
    <w:rPr>
      <w:rFonts w:eastAsia="Times New Roman" w:cs="Times New Roman"/>
      <w:color w:val="272727"/>
      <w:kern w:val="2"/>
      <w:sz w:val="24"/>
      <w:szCs w:val="24"/>
      <w14:ligatures w14:val="standardContextual"/>
    </w:rPr>
  </w:style>
  <w:style w:type="numbering" w:customStyle="1" w:styleId="NoList1">
    <w:name w:val="No List1"/>
    <w:next w:val="NoList"/>
    <w:uiPriority w:val="99"/>
    <w:semiHidden/>
    <w:unhideWhenUsed/>
    <w:rsid w:val="00E0036E"/>
  </w:style>
  <w:style w:type="character" w:customStyle="1" w:styleId="Heading1Char">
    <w:name w:val="Heading 1 Char"/>
    <w:basedOn w:val="DefaultParagraphFont"/>
    <w:link w:val="Heading1"/>
    <w:uiPriority w:val="9"/>
    <w:rsid w:val="00E0036E"/>
    <w:rPr>
      <w:rFonts w:ascii="Calibri Light" w:eastAsia="Times New Roman" w:hAnsi="Calibri Light" w:cs="Times New Roman"/>
      <w:color w:val="2F5496"/>
      <w:sz w:val="40"/>
      <w:szCs w:val="40"/>
    </w:rPr>
  </w:style>
  <w:style w:type="character" w:customStyle="1" w:styleId="Heading2Char">
    <w:name w:val="Heading 2 Char"/>
    <w:basedOn w:val="DefaultParagraphFont"/>
    <w:link w:val="Heading2"/>
    <w:uiPriority w:val="9"/>
    <w:rsid w:val="00E0036E"/>
    <w:rPr>
      <w:rFonts w:ascii="Calibri Light" w:eastAsia="Times New Roman" w:hAnsi="Calibri Light" w:cs="Times New Roman"/>
      <w:color w:val="2F5496"/>
      <w:sz w:val="32"/>
      <w:szCs w:val="32"/>
    </w:rPr>
  </w:style>
  <w:style w:type="character" w:customStyle="1" w:styleId="Heading3Char">
    <w:name w:val="Heading 3 Char"/>
    <w:basedOn w:val="DefaultParagraphFont"/>
    <w:link w:val="Heading3"/>
    <w:uiPriority w:val="9"/>
    <w:semiHidden/>
    <w:rsid w:val="00E0036E"/>
    <w:rPr>
      <w:rFonts w:eastAsia="Times New Roman" w:cs="Times New Roman"/>
      <w:color w:val="2F5496"/>
      <w:sz w:val="28"/>
      <w:szCs w:val="28"/>
    </w:rPr>
  </w:style>
  <w:style w:type="character" w:customStyle="1" w:styleId="Heading4Char">
    <w:name w:val="Heading 4 Char"/>
    <w:basedOn w:val="DefaultParagraphFont"/>
    <w:link w:val="Heading4"/>
    <w:uiPriority w:val="9"/>
    <w:semiHidden/>
    <w:rsid w:val="00E0036E"/>
    <w:rPr>
      <w:rFonts w:eastAsia="Times New Roman" w:cs="Times New Roman"/>
      <w:i/>
      <w:iCs/>
      <w:color w:val="2F5496"/>
    </w:rPr>
  </w:style>
  <w:style w:type="character" w:customStyle="1" w:styleId="Heading5Char">
    <w:name w:val="Heading 5 Char"/>
    <w:basedOn w:val="DefaultParagraphFont"/>
    <w:link w:val="Heading5"/>
    <w:uiPriority w:val="9"/>
    <w:semiHidden/>
    <w:rsid w:val="00E0036E"/>
    <w:rPr>
      <w:rFonts w:eastAsia="Times New Roman" w:cs="Times New Roman"/>
      <w:color w:val="2F5496"/>
    </w:rPr>
  </w:style>
  <w:style w:type="character" w:customStyle="1" w:styleId="Heading6Char">
    <w:name w:val="Heading 6 Char"/>
    <w:basedOn w:val="DefaultParagraphFont"/>
    <w:link w:val="Heading6"/>
    <w:uiPriority w:val="9"/>
    <w:semiHidden/>
    <w:rsid w:val="00E0036E"/>
    <w:rPr>
      <w:rFonts w:eastAsia="Times New Roman" w:cs="Times New Roman"/>
      <w:i/>
      <w:iCs/>
      <w:color w:val="595959"/>
    </w:rPr>
  </w:style>
  <w:style w:type="character" w:customStyle="1" w:styleId="Heading7Char">
    <w:name w:val="Heading 7 Char"/>
    <w:basedOn w:val="DefaultParagraphFont"/>
    <w:link w:val="Heading7"/>
    <w:uiPriority w:val="9"/>
    <w:semiHidden/>
    <w:rsid w:val="00E0036E"/>
    <w:rPr>
      <w:rFonts w:eastAsia="Times New Roman" w:cs="Times New Roman"/>
      <w:color w:val="595959"/>
    </w:rPr>
  </w:style>
  <w:style w:type="character" w:customStyle="1" w:styleId="Heading8Char">
    <w:name w:val="Heading 8 Char"/>
    <w:basedOn w:val="DefaultParagraphFont"/>
    <w:link w:val="Heading8"/>
    <w:uiPriority w:val="9"/>
    <w:semiHidden/>
    <w:rsid w:val="00E0036E"/>
    <w:rPr>
      <w:rFonts w:eastAsia="Times New Roman" w:cs="Times New Roman"/>
      <w:i/>
      <w:iCs/>
      <w:color w:val="272727"/>
    </w:rPr>
  </w:style>
  <w:style w:type="character" w:customStyle="1" w:styleId="Heading9Char">
    <w:name w:val="Heading 9 Char"/>
    <w:basedOn w:val="DefaultParagraphFont"/>
    <w:link w:val="Heading9"/>
    <w:uiPriority w:val="9"/>
    <w:semiHidden/>
    <w:rsid w:val="00E0036E"/>
    <w:rPr>
      <w:rFonts w:eastAsia="Times New Roman" w:cs="Times New Roman"/>
      <w:color w:val="272727"/>
    </w:rPr>
  </w:style>
  <w:style w:type="paragraph" w:customStyle="1" w:styleId="Title1">
    <w:name w:val="Title1"/>
    <w:basedOn w:val="Normal"/>
    <w:next w:val="Normal"/>
    <w:uiPriority w:val="10"/>
    <w:qFormat/>
    <w:rsid w:val="00E0036E"/>
    <w:pPr>
      <w:spacing w:after="80" w:line="240" w:lineRule="auto"/>
      <w:contextualSpacing/>
    </w:pPr>
    <w:rPr>
      <w:rFonts w:ascii="Calibri Light" w:eastAsia="Times New Roman" w:hAnsi="Calibri Light" w:cs="Times New Roman"/>
      <w:spacing w:val="-10"/>
      <w:kern w:val="28"/>
      <w:sz w:val="56"/>
      <w:szCs w:val="56"/>
      <w14:ligatures w14:val="standardContextual"/>
    </w:rPr>
  </w:style>
  <w:style w:type="character" w:customStyle="1" w:styleId="TitleChar">
    <w:name w:val="Title Char"/>
    <w:basedOn w:val="DefaultParagraphFont"/>
    <w:link w:val="Title"/>
    <w:uiPriority w:val="10"/>
    <w:rsid w:val="00E0036E"/>
    <w:rPr>
      <w:rFonts w:ascii="Calibri Light" w:eastAsia="Times New Roman" w:hAnsi="Calibri Light" w:cs="Times New Roman"/>
      <w:spacing w:val="-10"/>
      <w:kern w:val="28"/>
      <w:sz w:val="56"/>
      <w:szCs w:val="56"/>
    </w:rPr>
  </w:style>
  <w:style w:type="paragraph" w:customStyle="1" w:styleId="Subtitle1">
    <w:name w:val="Subtitle1"/>
    <w:basedOn w:val="Normal"/>
    <w:next w:val="Normal"/>
    <w:uiPriority w:val="11"/>
    <w:qFormat/>
    <w:rsid w:val="00E0036E"/>
    <w:pPr>
      <w:numPr>
        <w:ilvl w:val="1"/>
      </w:numPr>
      <w:spacing w:after="160" w:line="278" w:lineRule="auto"/>
    </w:pPr>
    <w:rPr>
      <w:rFonts w:eastAsia="Times New Roman" w:cs="Times New Roman"/>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E0036E"/>
    <w:rPr>
      <w:rFonts w:eastAsia="Times New Roman" w:cs="Times New Roman"/>
      <w:color w:val="595959"/>
      <w:spacing w:val="15"/>
      <w:sz w:val="28"/>
      <w:szCs w:val="28"/>
    </w:rPr>
  </w:style>
  <w:style w:type="paragraph" w:customStyle="1" w:styleId="Quote1">
    <w:name w:val="Quote1"/>
    <w:basedOn w:val="Normal"/>
    <w:next w:val="Normal"/>
    <w:uiPriority w:val="29"/>
    <w:qFormat/>
    <w:rsid w:val="00E0036E"/>
    <w:pPr>
      <w:spacing w:before="160" w:after="160" w:line="278" w:lineRule="auto"/>
      <w:jc w:val="center"/>
    </w:pPr>
    <w:rPr>
      <w:i/>
      <w:iCs/>
      <w:color w:val="404040"/>
      <w:kern w:val="2"/>
      <w:sz w:val="24"/>
      <w:szCs w:val="24"/>
      <w14:ligatures w14:val="standardContextual"/>
    </w:rPr>
  </w:style>
  <w:style w:type="character" w:customStyle="1" w:styleId="QuoteChar">
    <w:name w:val="Quote Char"/>
    <w:basedOn w:val="DefaultParagraphFont"/>
    <w:link w:val="Quote"/>
    <w:uiPriority w:val="29"/>
    <w:rsid w:val="00E0036E"/>
    <w:rPr>
      <w:i/>
      <w:iCs/>
      <w:color w:val="404040"/>
    </w:rPr>
  </w:style>
  <w:style w:type="paragraph" w:customStyle="1" w:styleId="ListParagraph1">
    <w:name w:val="List Paragraph1"/>
    <w:basedOn w:val="Normal"/>
    <w:next w:val="ListParagraph"/>
    <w:uiPriority w:val="34"/>
    <w:qFormat/>
    <w:rsid w:val="00E0036E"/>
    <w:pPr>
      <w:spacing w:after="160" w:line="278" w:lineRule="auto"/>
      <w:ind w:left="720"/>
      <w:contextualSpacing/>
    </w:pPr>
    <w:rPr>
      <w:kern w:val="2"/>
      <w:sz w:val="24"/>
      <w:szCs w:val="24"/>
      <w14:ligatures w14:val="standardContextual"/>
    </w:rPr>
  </w:style>
  <w:style w:type="character" w:customStyle="1" w:styleId="IntenseEmphasis1">
    <w:name w:val="Intense Emphasis1"/>
    <w:basedOn w:val="DefaultParagraphFont"/>
    <w:uiPriority w:val="21"/>
    <w:qFormat/>
    <w:rsid w:val="00E0036E"/>
    <w:rPr>
      <w:i/>
      <w:iCs/>
      <w:color w:val="2F5496"/>
    </w:rPr>
  </w:style>
  <w:style w:type="paragraph" w:customStyle="1" w:styleId="IntenseQuote1">
    <w:name w:val="Intense Quote1"/>
    <w:basedOn w:val="Normal"/>
    <w:next w:val="Normal"/>
    <w:uiPriority w:val="30"/>
    <w:qFormat/>
    <w:rsid w:val="00E0036E"/>
    <w:pPr>
      <w:pBdr>
        <w:top w:val="single" w:sz="4" w:space="10" w:color="2F5496"/>
        <w:bottom w:val="single" w:sz="4" w:space="10" w:color="2F5496"/>
      </w:pBdr>
      <w:spacing w:before="360" w:after="360" w:line="278" w:lineRule="auto"/>
      <w:ind w:left="864" w:right="864"/>
      <w:jc w:val="center"/>
    </w:pPr>
    <w:rPr>
      <w:i/>
      <w:iCs/>
      <w:color w:val="2F5496"/>
      <w:kern w:val="2"/>
      <w:sz w:val="24"/>
      <w:szCs w:val="24"/>
      <w14:ligatures w14:val="standardContextual"/>
    </w:rPr>
  </w:style>
  <w:style w:type="character" w:customStyle="1" w:styleId="IntenseQuoteChar">
    <w:name w:val="Intense Quote Char"/>
    <w:basedOn w:val="DefaultParagraphFont"/>
    <w:link w:val="IntenseQuote"/>
    <w:uiPriority w:val="30"/>
    <w:rsid w:val="00E0036E"/>
    <w:rPr>
      <w:i/>
      <w:iCs/>
      <w:color w:val="2F5496"/>
    </w:rPr>
  </w:style>
  <w:style w:type="character" w:customStyle="1" w:styleId="IntenseReference1">
    <w:name w:val="Intense Reference1"/>
    <w:basedOn w:val="DefaultParagraphFont"/>
    <w:uiPriority w:val="32"/>
    <w:qFormat/>
    <w:rsid w:val="00E0036E"/>
    <w:rPr>
      <w:b/>
      <w:bCs/>
      <w:smallCaps/>
      <w:color w:val="2F5496"/>
      <w:spacing w:val="5"/>
    </w:rPr>
  </w:style>
  <w:style w:type="paragraph" w:customStyle="1" w:styleId="Footer1">
    <w:name w:val="Footer1"/>
    <w:basedOn w:val="Normal"/>
    <w:next w:val="Footer"/>
    <w:link w:val="FooterChar"/>
    <w:uiPriority w:val="99"/>
    <w:unhideWhenUsed/>
    <w:rsid w:val="00E0036E"/>
    <w:pPr>
      <w:tabs>
        <w:tab w:val="center" w:pos="4513"/>
        <w:tab w:val="right" w:pos="9026"/>
      </w:tabs>
      <w:spacing w:after="0" w:line="240" w:lineRule="auto"/>
    </w:pPr>
  </w:style>
  <w:style w:type="character" w:customStyle="1" w:styleId="FooterChar">
    <w:name w:val="Footer Char"/>
    <w:basedOn w:val="DefaultParagraphFont"/>
    <w:link w:val="Footer1"/>
    <w:uiPriority w:val="99"/>
    <w:rsid w:val="00E0036E"/>
  </w:style>
  <w:style w:type="character" w:styleId="PageNumber">
    <w:name w:val="page number"/>
    <w:basedOn w:val="DefaultParagraphFont"/>
    <w:uiPriority w:val="99"/>
    <w:semiHidden/>
    <w:unhideWhenUsed/>
    <w:rsid w:val="00E0036E"/>
  </w:style>
  <w:style w:type="table" w:customStyle="1" w:styleId="TableGrid1">
    <w:name w:val="Table Grid1"/>
    <w:basedOn w:val="TableNormal"/>
    <w:next w:val="TableGrid"/>
    <w:uiPriority w:val="39"/>
    <w:rsid w:val="00E0036E"/>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51">
    <w:name w:val="Grid Table 2 - Accent 51"/>
    <w:basedOn w:val="TableNormal"/>
    <w:uiPriority w:val="47"/>
    <w:rsid w:val="00E0036E"/>
    <w:pPr>
      <w:spacing w:after="0" w:line="240" w:lineRule="auto"/>
    </w:pPr>
    <w:rPr>
      <w:kern w:val="2"/>
      <w:sz w:val="24"/>
      <w:szCs w:val="24"/>
      <w14:ligatures w14:val="standardContextual"/>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PlainTable21">
    <w:name w:val="Plain Table 21"/>
    <w:basedOn w:val="TableNormal"/>
    <w:uiPriority w:val="42"/>
    <w:rsid w:val="00E0036E"/>
    <w:pPr>
      <w:spacing w:after="0" w:line="240" w:lineRule="auto"/>
    </w:pPr>
    <w:rPr>
      <w:kern w:val="2"/>
      <w:sz w:val="24"/>
      <w:szCs w:val="24"/>
      <w14:ligatures w14:val="standardContextu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GridTable1Light-Accent51">
    <w:name w:val="Grid Table 1 Light - Accent 51"/>
    <w:basedOn w:val="TableNormal"/>
    <w:uiPriority w:val="46"/>
    <w:rsid w:val="00E0036E"/>
    <w:pPr>
      <w:spacing w:after="0" w:line="240" w:lineRule="auto"/>
    </w:pPr>
    <w:rPr>
      <w:kern w:val="2"/>
      <w:sz w:val="24"/>
      <w:szCs w:val="24"/>
      <w14:ligatures w14:val="standardContextu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GridTable2-Accent41">
    <w:name w:val="Grid Table 2 - Accent 41"/>
    <w:basedOn w:val="TableNormal"/>
    <w:uiPriority w:val="47"/>
    <w:rsid w:val="00E0036E"/>
    <w:pPr>
      <w:spacing w:after="0" w:line="240" w:lineRule="auto"/>
    </w:pPr>
    <w:rPr>
      <w:kern w:val="2"/>
      <w:sz w:val="24"/>
      <w:szCs w:val="24"/>
      <w14:ligatures w14:val="standardContextual"/>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GridTable3-Accent61">
    <w:name w:val="Grid Table 3 - Accent 61"/>
    <w:basedOn w:val="TableNormal"/>
    <w:uiPriority w:val="48"/>
    <w:rsid w:val="00E0036E"/>
    <w:pPr>
      <w:spacing w:after="0" w:line="240" w:lineRule="auto"/>
    </w:pPr>
    <w:rPr>
      <w:kern w:val="2"/>
      <w:sz w:val="24"/>
      <w:szCs w:val="24"/>
      <w14:ligatures w14:val="standardContextua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GridTable3-Accent41">
    <w:name w:val="Grid Table 3 - Accent 41"/>
    <w:basedOn w:val="TableNormal"/>
    <w:uiPriority w:val="48"/>
    <w:rsid w:val="00E0036E"/>
    <w:pPr>
      <w:spacing w:after="0" w:line="240" w:lineRule="auto"/>
    </w:pPr>
    <w:rPr>
      <w:kern w:val="2"/>
      <w:sz w:val="24"/>
      <w:szCs w:val="24"/>
      <w14:ligatures w14:val="standardContextual"/>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GridTable5Dark-Accent21">
    <w:name w:val="Grid Table 5 Dark - Accent 21"/>
    <w:basedOn w:val="TableNormal"/>
    <w:uiPriority w:val="50"/>
    <w:rsid w:val="00E0036E"/>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character" w:customStyle="1" w:styleId="Hyperlink1">
    <w:name w:val="Hyperlink1"/>
    <w:basedOn w:val="DefaultParagraphFont"/>
    <w:uiPriority w:val="99"/>
    <w:unhideWhenUsed/>
    <w:rsid w:val="00E0036E"/>
    <w:rPr>
      <w:color w:val="0563C1"/>
      <w:u w:val="single"/>
    </w:rPr>
  </w:style>
  <w:style w:type="character" w:customStyle="1" w:styleId="UnresolvedMention1">
    <w:name w:val="Unresolved Mention1"/>
    <w:basedOn w:val="DefaultParagraphFont"/>
    <w:uiPriority w:val="99"/>
    <w:semiHidden/>
    <w:unhideWhenUsed/>
    <w:rsid w:val="00E0036E"/>
    <w:rPr>
      <w:color w:val="605E5C"/>
      <w:shd w:val="clear" w:color="auto" w:fill="E1DFDD"/>
    </w:rPr>
  </w:style>
  <w:style w:type="paragraph" w:customStyle="1" w:styleId="TOCHeading1">
    <w:name w:val="TOC Heading1"/>
    <w:basedOn w:val="Heading1"/>
    <w:next w:val="Normal"/>
    <w:uiPriority w:val="39"/>
    <w:unhideWhenUsed/>
    <w:qFormat/>
    <w:rsid w:val="00E0036E"/>
  </w:style>
  <w:style w:type="paragraph" w:customStyle="1" w:styleId="TOC11">
    <w:name w:val="TOC 11"/>
    <w:basedOn w:val="Normal"/>
    <w:next w:val="Normal"/>
    <w:autoRedefine/>
    <w:uiPriority w:val="39"/>
    <w:unhideWhenUsed/>
    <w:rsid w:val="00E0036E"/>
    <w:pPr>
      <w:spacing w:after="100" w:line="278" w:lineRule="auto"/>
    </w:pPr>
    <w:rPr>
      <w:kern w:val="2"/>
      <w:sz w:val="24"/>
      <w:szCs w:val="24"/>
      <w14:ligatures w14:val="standardContextual"/>
    </w:rPr>
  </w:style>
  <w:style w:type="paragraph" w:customStyle="1" w:styleId="BalloonText1">
    <w:name w:val="Balloon Text1"/>
    <w:basedOn w:val="Normal"/>
    <w:next w:val="BalloonText"/>
    <w:link w:val="BalloonTextChar"/>
    <w:uiPriority w:val="99"/>
    <w:semiHidden/>
    <w:unhideWhenUsed/>
    <w:rsid w:val="00E003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1"/>
    <w:uiPriority w:val="99"/>
    <w:semiHidden/>
    <w:rsid w:val="00E0036E"/>
    <w:rPr>
      <w:rFonts w:ascii="Tahoma" w:hAnsi="Tahoma" w:cs="Tahoma"/>
      <w:sz w:val="16"/>
      <w:szCs w:val="16"/>
    </w:rPr>
  </w:style>
  <w:style w:type="character" w:customStyle="1" w:styleId="UnresolvedMention2">
    <w:name w:val="Unresolved Mention2"/>
    <w:basedOn w:val="DefaultParagraphFont"/>
    <w:uiPriority w:val="99"/>
    <w:semiHidden/>
    <w:unhideWhenUsed/>
    <w:rsid w:val="00E0036E"/>
    <w:rPr>
      <w:color w:val="605E5C"/>
      <w:shd w:val="clear" w:color="auto" w:fill="E1DFDD"/>
    </w:rPr>
  </w:style>
  <w:style w:type="paragraph" w:customStyle="1" w:styleId="TOC21">
    <w:name w:val="TOC 21"/>
    <w:basedOn w:val="Normal"/>
    <w:next w:val="Normal"/>
    <w:autoRedefine/>
    <w:uiPriority w:val="39"/>
    <w:unhideWhenUsed/>
    <w:rsid w:val="00E0036E"/>
    <w:pPr>
      <w:tabs>
        <w:tab w:val="right" w:leader="dot" w:pos="9016"/>
      </w:tabs>
      <w:spacing w:after="240" w:line="360" w:lineRule="auto"/>
      <w:ind w:left="240"/>
      <w:jc w:val="both"/>
    </w:pPr>
    <w:rPr>
      <w:kern w:val="2"/>
      <w:sz w:val="24"/>
      <w:szCs w:val="24"/>
      <w14:ligatures w14:val="standardContextual"/>
    </w:rPr>
  </w:style>
  <w:style w:type="character" w:customStyle="1" w:styleId="Heading1Char1">
    <w:name w:val="Heading 1 Char1"/>
    <w:basedOn w:val="DefaultParagraphFont"/>
    <w:uiPriority w:val="9"/>
    <w:rsid w:val="00E0036E"/>
    <w:rPr>
      <w:rFonts w:asciiTheme="majorHAnsi" w:eastAsiaTheme="majorEastAsia" w:hAnsiTheme="majorHAnsi" w:cstheme="majorBidi"/>
      <w:b/>
      <w:bCs/>
      <w:color w:val="365F91" w:themeColor="accent1" w:themeShade="BF"/>
      <w:sz w:val="28"/>
      <w:szCs w:val="28"/>
    </w:rPr>
  </w:style>
  <w:style w:type="character" w:customStyle="1" w:styleId="Heading2Char1">
    <w:name w:val="Heading 2 Char1"/>
    <w:basedOn w:val="DefaultParagraphFont"/>
    <w:uiPriority w:val="9"/>
    <w:semiHidden/>
    <w:rsid w:val="00E0036E"/>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E0036E"/>
    <w:rPr>
      <w:rFonts w:asciiTheme="majorHAnsi" w:eastAsiaTheme="majorEastAsia" w:hAnsiTheme="majorHAnsi" w:cstheme="majorBidi"/>
      <w:b/>
      <w:bCs/>
      <w:color w:val="4F81BD" w:themeColor="accent1"/>
    </w:rPr>
  </w:style>
  <w:style w:type="character" w:customStyle="1" w:styleId="Heading4Char1">
    <w:name w:val="Heading 4 Char1"/>
    <w:basedOn w:val="DefaultParagraphFont"/>
    <w:uiPriority w:val="9"/>
    <w:semiHidden/>
    <w:rsid w:val="00E0036E"/>
    <w:rPr>
      <w:rFonts w:asciiTheme="majorHAnsi" w:eastAsiaTheme="majorEastAsia" w:hAnsiTheme="majorHAnsi" w:cstheme="majorBidi"/>
      <w:b/>
      <w:bCs/>
      <w:i/>
      <w:iCs/>
      <w:color w:val="4F81BD" w:themeColor="accent1"/>
    </w:rPr>
  </w:style>
  <w:style w:type="character" w:customStyle="1" w:styleId="Heading5Char1">
    <w:name w:val="Heading 5 Char1"/>
    <w:basedOn w:val="DefaultParagraphFont"/>
    <w:uiPriority w:val="9"/>
    <w:semiHidden/>
    <w:rsid w:val="00E0036E"/>
    <w:rPr>
      <w:rFonts w:asciiTheme="majorHAnsi" w:eastAsiaTheme="majorEastAsia" w:hAnsiTheme="majorHAnsi" w:cstheme="majorBidi"/>
      <w:color w:val="243F60" w:themeColor="accent1" w:themeShade="7F"/>
    </w:rPr>
  </w:style>
  <w:style w:type="character" w:customStyle="1" w:styleId="Heading6Char1">
    <w:name w:val="Heading 6 Char1"/>
    <w:basedOn w:val="DefaultParagraphFont"/>
    <w:uiPriority w:val="9"/>
    <w:semiHidden/>
    <w:rsid w:val="00E0036E"/>
    <w:rPr>
      <w:rFonts w:asciiTheme="majorHAnsi" w:eastAsiaTheme="majorEastAsia" w:hAnsiTheme="majorHAnsi" w:cstheme="majorBidi"/>
      <w:i/>
      <w:iCs/>
      <w:color w:val="243F60" w:themeColor="accent1" w:themeShade="7F"/>
    </w:rPr>
  </w:style>
  <w:style w:type="character" w:customStyle="1" w:styleId="Heading7Char1">
    <w:name w:val="Heading 7 Char1"/>
    <w:basedOn w:val="DefaultParagraphFont"/>
    <w:uiPriority w:val="9"/>
    <w:semiHidden/>
    <w:rsid w:val="00E0036E"/>
    <w:rPr>
      <w:rFonts w:asciiTheme="majorHAnsi" w:eastAsiaTheme="majorEastAsia" w:hAnsiTheme="majorHAnsi" w:cstheme="majorBidi"/>
      <w:i/>
      <w:iCs/>
      <w:color w:val="404040" w:themeColor="text1" w:themeTint="BF"/>
    </w:rPr>
  </w:style>
  <w:style w:type="character" w:customStyle="1" w:styleId="Heading8Char1">
    <w:name w:val="Heading 8 Char1"/>
    <w:basedOn w:val="DefaultParagraphFont"/>
    <w:uiPriority w:val="9"/>
    <w:semiHidden/>
    <w:rsid w:val="00E0036E"/>
    <w:rPr>
      <w:rFonts w:asciiTheme="majorHAnsi" w:eastAsiaTheme="majorEastAsia" w:hAnsiTheme="majorHAnsi" w:cstheme="majorBidi"/>
      <w:color w:val="404040" w:themeColor="text1" w:themeTint="BF"/>
      <w:sz w:val="20"/>
      <w:szCs w:val="20"/>
    </w:rPr>
  </w:style>
  <w:style w:type="character" w:customStyle="1" w:styleId="Heading9Char1">
    <w:name w:val="Heading 9 Char1"/>
    <w:basedOn w:val="DefaultParagraphFont"/>
    <w:uiPriority w:val="9"/>
    <w:semiHidden/>
    <w:rsid w:val="00E0036E"/>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0036E"/>
    <w:pPr>
      <w:pBdr>
        <w:bottom w:val="single" w:sz="8" w:space="4" w:color="4F81BD" w:themeColor="accent1"/>
      </w:pBdr>
      <w:spacing w:after="300" w:line="240" w:lineRule="auto"/>
      <w:contextualSpacing/>
    </w:pPr>
    <w:rPr>
      <w:rFonts w:ascii="Calibri Light" w:eastAsia="Times New Roman" w:hAnsi="Calibri Light" w:cs="Times New Roman"/>
      <w:spacing w:val="-10"/>
      <w:kern w:val="28"/>
      <w:sz w:val="56"/>
      <w:szCs w:val="56"/>
    </w:rPr>
  </w:style>
  <w:style w:type="character" w:customStyle="1" w:styleId="TitleChar1">
    <w:name w:val="Title Char1"/>
    <w:basedOn w:val="DefaultParagraphFont"/>
    <w:uiPriority w:val="10"/>
    <w:rsid w:val="00E0036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0036E"/>
    <w:pPr>
      <w:numPr>
        <w:ilvl w:val="1"/>
      </w:numPr>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E0036E"/>
    <w:rPr>
      <w:rFonts w:asciiTheme="majorHAnsi" w:eastAsiaTheme="majorEastAsia" w:hAnsiTheme="majorHAnsi" w:cstheme="majorBidi"/>
      <w:i/>
      <w:iCs/>
      <w:color w:val="4F81BD" w:themeColor="accent1"/>
      <w:spacing w:val="15"/>
      <w:sz w:val="24"/>
      <w:szCs w:val="24"/>
    </w:rPr>
  </w:style>
  <w:style w:type="paragraph" w:styleId="Quote">
    <w:name w:val="Quote"/>
    <w:basedOn w:val="Normal"/>
    <w:next w:val="Normal"/>
    <w:link w:val="QuoteChar"/>
    <w:uiPriority w:val="29"/>
    <w:qFormat/>
    <w:rsid w:val="00E0036E"/>
    <w:rPr>
      <w:i/>
      <w:iCs/>
      <w:color w:val="404040"/>
    </w:rPr>
  </w:style>
  <w:style w:type="character" w:customStyle="1" w:styleId="QuoteChar1">
    <w:name w:val="Quote Char1"/>
    <w:basedOn w:val="DefaultParagraphFont"/>
    <w:uiPriority w:val="29"/>
    <w:rsid w:val="00E0036E"/>
    <w:rPr>
      <w:i/>
      <w:iCs/>
      <w:color w:val="000000" w:themeColor="text1"/>
    </w:rPr>
  </w:style>
  <w:style w:type="paragraph" w:styleId="ListParagraph">
    <w:name w:val="List Paragraph"/>
    <w:basedOn w:val="Normal"/>
    <w:uiPriority w:val="34"/>
    <w:qFormat/>
    <w:rsid w:val="00E0036E"/>
    <w:pPr>
      <w:ind w:left="720"/>
      <w:contextualSpacing/>
    </w:pPr>
  </w:style>
  <w:style w:type="character" w:styleId="IntenseEmphasis">
    <w:name w:val="Intense Emphasis"/>
    <w:basedOn w:val="DefaultParagraphFont"/>
    <w:uiPriority w:val="21"/>
    <w:qFormat/>
    <w:rsid w:val="00E0036E"/>
    <w:rPr>
      <w:b/>
      <w:bCs/>
      <w:i/>
      <w:iCs/>
      <w:color w:val="4F81BD" w:themeColor="accent1"/>
    </w:rPr>
  </w:style>
  <w:style w:type="paragraph" w:styleId="IntenseQuote">
    <w:name w:val="Intense Quote"/>
    <w:basedOn w:val="Normal"/>
    <w:next w:val="Normal"/>
    <w:link w:val="IntenseQuoteChar"/>
    <w:uiPriority w:val="30"/>
    <w:qFormat/>
    <w:rsid w:val="00E0036E"/>
    <w:pPr>
      <w:pBdr>
        <w:bottom w:val="single" w:sz="4" w:space="4" w:color="4F81BD" w:themeColor="accent1"/>
      </w:pBdr>
      <w:spacing w:before="200" w:after="280"/>
      <w:ind w:left="936" w:right="936"/>
    </w:pPr>
    <w:rPr>
      <w:i/>
      <w:iCs/>
      <w:color w:val="2F5496"/>
    </w:rPr>
  </w:style>
  <w:style w:type="character" w:customStyle="1" w:styleId="IntenseQuoteChar1">
    <w:name w:val="Intense Quote Char1"/>
    <w:basedOn w:val="DefaultParagraphFont"/>
    <w:uiPriority w:val="30"/>
    <w:rsid w:val="00E0036E"/>
    <w:rPr>
      <w:b/>
      <w:bCs/>
      <w:i/>
      <w:iCs/>
      <w:color w:val="4F81BD" w:themeColor="accent1"/>
    </w:rPr>
  </w:style>
  <w:style w:type="character" w:styleId="IntenseReference">
    <w:name w:val="Intense Reference"/>
    <w:basedOn w:val="DefaultParagraphFont"/>
    <w:uiPriority w:val="32"/>
    <w:qFormat/>
    <w:rsid w:val="00E0036E"/>
    <w:rPr>
      <w:b/>
      <w:bCs/>
      <w:smallCaps/>
      <w:color w:val="C0504D" w:themeColor="accent2"/>
      <w:spacing w:val="5"/>
      <w:u w:val="single"/>
    </w:rPr>
  </w:style>
  <w:style w:type="paragraph" w:styleId="Footer">
    <w:name w:val="footer"/>
    <w:basedOn w:val="Normal"/>
    <w:link w:val="FooterChar1"/>
    <w:uiPriority w:val="99"/>
    <w:unhideWhenUsed/>
    <w:rsid w:val="00E0036E"/>
    <w:pPr>
      <w:tabs>
        <w:tab w:val="center" w:pos="4513"/>
        <w:tab w:val="right" w:pos="9026"/>
      </w:tabs>
      <w:spacing w:after="0" w:line="240" w:lineRule="auto"/>
    </w:pPr>
  </w:style>
  <w:style w:type="character" w:customStyle="1" w:styleId="FooterChar1">
    <w:name w:val="Footer Char1"/>
    <w:basedOn w:val="DefaultParagraphFont"/>
    <w:link w:val="Footer"/>
    <w:uiPriority w:val="99"/>
    <w:rsid w:val="00E0036E"/>
  </w:style>
  <w:style w:type="table" w:styleId="TableGrid">
    <w:name w:val="Table Grid"/>
    <w:basedOn w:val="TableNormal"/>
    <w:uiPriority w:val="59"/>
    <w:rsid w:val="00E00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036E"/>
    <w:rPr>
      <w:color w:val="0000FF" w:themeColor="hyperlink"/>
      <w:u w:val="single"/>
    </w:rPr>
  </w:style>
  <w:style w:type="paragraph" w:styleId="BalloonText">
    <w:name w:val="Balloon Text"/>
    <w:basedOn w:val="Normal"/>
    <w:link w:val="BalloonTextChar1"/>
    <w:uiPriority w:val="99"/>
    <w:semiHidden/>
    <w:unhideWhenUsed/>
    <w:rsid w:val="00E0036E"/>
    <w:pPr>
      <w:spacing w:after="0" w:line="240" w:lineRule="auto"/>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E0036E"/>
    <w:rPr>
      <w:rFonts w:ascii="Tahoma" w:hAnsi="Tahoma" w:cs="Tahoma"/>
      <w:sz w:val="16"/>
      <w:szCs w:val="16"/>
    </w:rPr>
  </w:style>
  <w:style w:type="paragraph" w:styleId="TOC2">
    <w:name w:val="toc 2"/>
    <w:basedOn w:val="Normal"/>
    <w:next w:val="Normal"/>
    <w:autoRedefine/>
    <w:uiPriority w:val="39"/>
    <w:unhideWhenUsed/>
    <w:rsid w:val="00901B6A"/>
    <w:pPr>
      <w:spacing w:after="100"/>
      <w:ind w:left="220"/>
    </w:pPr>
  </w:style>
  <w:style w:type="paragraph" w:styleId="TOC1">
    <w:name w:val="toc 1"/>
    <w:basedOn w:val="Normal"/>
    <w:next w:val="Normal"/>
    <w:autoRedefine/>
    <w:uiPriority w:val="39"/>
    <w:unhideWhenUsed/>
    <w:rsid w:val="00901B6A"/>
    <w:pPr>
      <w:spacing w:after="100"/>
    </w:pPr>
  </w:style>
  <w:style w:type="paragraph" w:styleId="TOCHeading">
    <w:name w:val="TOC Heading"/>
    <w:basedOn w:val="Heading1"/>
    <w:next w:val="Normal"/>
    <w:uiPriority w:val="39"/>
    <w:unhideWhenUsed/>
    <w:qFormat/>
    <w:rsid w:val="007F1A35"/>
    <w:pPr>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Header">
    <w:name w:val="header"/>
    <w:basedOn w:val="Normal"/>
    <w:link w:val="HeaderChar"/>
    <w:uiPriority w:val="99"/>
    <w:unhideWhenUsed/>
    <w:rsid w:val="00212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0FB"/>
  </w:style>
  <w:style w:type="character" w:styleId="UnresolvedMention">
    <w:name w:val="Unresolved Mention"/>
    <w:basedOn w:val="DefaultParagraphFont"/>
    <w:uiPriority w:val="99"/>
    <w:semiHidden/>
    <w:unhideWhenUsed/>
    <w:rsid w:val="006B5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mjleader.bmj.com/content/4/3/128" TargetMode="External"/><Relationship Id="rId18" Type="http://schemas.openxmlformats.org/officeDocument/2006/relationships/hyperlink" Target="https://journals.sagepub.com/doi/full/10.1177/2158244019900568" TargetMode="External"/><Relationship Id="rId26" Type="http://schemas.openxmlformats.org/officeDocument/2006/relationships/hyperlink" Target="https://link.springer.com/article/10.1186/s12916-020-01774-9" TargetMode="External"/><Relationship Id="rId39" Type="http://schemas.openxmlformats.org/officeDocument/2006/relationships/hyperlink" Target="https://search.informit.org/doi/abs/10.3316/informit.079370789996250" TargetMode="External"/><Relationship Id="rId21" Type="http://schemas.openxmlformats.org/officeDocument/2006/relationships/hyperlink" Target="https://doi.org/10.1111/inr.70166" TargetMode="External"/><Relationship Id="rId34" Type="http://schemas.openxmlformats.org/officeDocument/2006/relationships/hyperlink" Target="https://researchportal.lsbu.ac.uk/en/publications/a-case-study-exploration-of-patient-safety-culture-within-an-acut-2/" TargetMode="External"/><Relationship Id="rId42" Type="http://schemas.openxmlformats.org/officeDocument/2006/relationships/hyperlink" Target="https://ejhp.bmj.com/content/27/1/3.abstract"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sagepub.com/doi/full/10.1177/0269881119889296" TargetMode="External"/><Relationship Id="rId29" Type="http://schemas.openxmlformats.org/officeDocument/2006/relationships/hyperlink" Target="https://doi.org/10.1310/hpj4109-888" TargetMode="External"/><Relationship Id="rId11" Type="http://schemas.openxmlformats.org/officeDocument/2006/relationships/hyperlink" Target="https://iris.who.int/bitstream/handle/10665/354075/Hit-24-1-2022-eng.pdf" TargetMode="External"/><Relationship Id="rId24" Type="http://schemas.openxmlformats.org/officeDocument/2006/relationships/hyperlink" Target="https://link.springer.com/article/10.1007/s43441-022-00394-0" TargetMode="External"/><Relationship Id="rId32" Type="http://schemas.openxmlformats.org/officeDocument/2006/relationships/hyperlink" Target="https://doi.org/10.1001/jamanetworkopen.2020.36687" TargetMode="External"/><Relationship Id="rId37" Type="http://schemas.openxmlformats.org/officeDocument/2006/relationships/hyperlink" Target="https://journals.sagepub.com/doi/full/10.1177/13558196221109053" TargetMode="External"/><Relationship Id="rId40" Type="http://schemas.openxmlformats.org/officeDocument/2006/relationships/hyperlink" Target="https://www.frontiersin.org/journals/health-services/articles/10.3389/frhs.2024.1473256/full" TargetMode="External"/><Relationship Id="rId45" Type="http://schemas.openxmlformats.org/officeDocument/2006/relationships/hyperlink" Target="https://books.google.co.in/books?hl=en&amp;lr=&amp;id=csZqEAAAQBAJ&amp;oi=fnd&amp;pg=PR7&amp;dq=Incidents+of+patient+safety+have+been+a+significant+concern+with+the+health+and+social+care+systems+worldwide&amp;ots=xKYY53hpvw&amp;sig=XOFfRTKAUQIvNlbfzqYw0rLlcKc&amp;redir_esc=y" TargetMode="External"/><Relationship Id="rId5" Type="http://schemas.openxmlformats.org/officeDocument/2006/relationships/webSettings" Target="webSettings.xml"/><Relationship Id="rId15" Type="http://schemas.openxmlformats.org/officeDocument/2006/relationships/hyperlink" Target="https://onlinelibrary.wiley.com/doi/abs/10.1111/hex.14095?__cf_chl_tk=OMswryobqjkLZ5KUyUulwEZi34njtkJ4xcvpi6yctBo-1782205815-1.0.1.1-dANPg7ph.O4o4TLOJYwQ5AaI2TbOg77zXrOnmTZF_c0" TargetMode="External"/><Relationship Id="rId23" Type="http://schemas.openxmlformats.org/officeDocument/2006/relationships/hyperlink" Target="https://qualitysafety.bmj.com/content/30/2/96.abstract" TargetMode="External"/><Relationship Id="rId28" Type="http://schemas.openxmlformats.org/officeDocument/2006/relationships/hyperlink" Target="https://www.thelancet.com/journals/lanres/article/PIIS2213-2600(25)00205-X/fulltext" TargetMode="External"/><Relationship Id="rId36" Type="http://schemas.openxmlformats.org/officeDocument/2006/relationships/hyperlink" Target="https://www.tandfonline.com/doi/full/10.2147/NDT.S308615" TargetMode="External"/><Relationship Id="rId49" Type="http://schemas.openxmlformats.org/officeDocument/2006/relationships/fontTable" Target="fontTable.xml"/><Relationship Id="rId10" Type="http://schemas.openxmlformats.org/officeDocument/2006/relationships/hyperlink" Target="https://doi.org/10.3390/healthcare14131840" TargetMode="External"/><Relationship Id="rId19" Type="http://schemas.openxmlformats.org/officeDocument/2006/relationships/hyperlink" Target="https://link.springer.com/article/10.1186/s12913-022-07757-1" TargetMode="External"/><Relationship Id="rId31" Type="http://schemas.openxmlformats.org/officeDocument/2006/relationships/hyperlink" Target="https://doi.org/10.1093/eurpub/ckab164.582" TargetMode="External"/><Relationship Id="rId44" Type="http://schemas.openxmlformats.org/officeDocument/2006/relationships/hyperlink" Target="https://www.mdpi.com/1660-4601/19/2/747"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proquest.com/openview/5104f61a86e92429b8b5e8358e71de55/1?pq-origsite=gscholar&amp;cbl=54484" TargetMode="External"/><Relationship Id="rId22" Type="http://schemas.openxmlformats.org/officeDocument/2006/relationships/hyperlink" Target="https://doi.org/10.1108/LHS-07-2025-0116" TargetMode="External"/><Relationship Id="rId27" Type="http://schemas.openxmlformats.org/officeDocument/2006/relationships/hyperlink" Target="https://www.frontiersin.org/journals/medicine/articles/10.3389/fmed.2025.1592010/full" TargetMode="External"/><Relationship Id="rId30" Type="http://schemas.openxmlformats.org/officeDocument/2006/relationships/hyperlink" Target="https://academic.oup.com/jacamr/article/7/6/dlaf244/8380917?login=false" TargetMode="External"/><Relationship Id="rId35" Type="http://schemas.openxmlformats.org/officeDocument/2006/relationships/hyperlink" Target="https://link.springer.com/article/10.1186/s12877-021-02053-9" TargetMode="External"/><Relationship Id="rId43" Type="http://schemas.openxmlformats.org/officeDocument/2006/relationships/hyperlink" Target="https://journals.sagepub.com/doi/full/10.1177/14789299241258629"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researchgate.net/profile/Hubert-Annen/publication/373545258_Positive_Psychology_in_the_Military/links/64f0991cc40f1d22df7d1555/Positive-Psychology-in-the-Military.pdf" TargetMode="External"/><Relationship Id="rId17" Type="http://schemas.openxmlformats.org/officeDocument/2006/relationships/hyperlink" Target="https://bmjopen.bmj.com/content/13/5/e066757.abstract" TargetMode="External"/><Relationship Id="rId25" Type="http://schemas.openxmlformats.org/officeDocument/2006/relationships/hyperlink" Target="https://www.elgaronline.com/edcollchap/book/9781800886254/book-part-9781800886254-20.xml" TargetMode="External"/><Relationship Id="rId33" Type="http://schemas.openxmlformats.org/officeDocument/2006/relationships/hyperlink" Target="https://www.nature.com/articles/s41575-024-00967-4" TargetMode="External"/><Relationship Id="rId38" Type="http://schemas.openxmlformats.org/officeDocument/2006/relationships/hyperlink" Target="https://doi.org/10.1186/s12913-026-15162-1" TargetMode="External"/><Relationship Id="rId46" Type="http://schemas.openxmlformats.org/officeDocument/2006/relationships/hyperlink" Target="https://books.google.co.in/books?hl=en&amp;lr=&amp;id=waMOEQAAQBAJ&amp;oi=fnd&amp;pg=PR7&amp;dq=the+World+Health+Organisation+(WHO)+as+follows:+1+in+10+patients+and+half+of+the+injuries+are+preventable+uk+based+&amp;ots=4b1wbvXIEf&amp;sig=8xnngG_qIS_T3rXLmtq-NxuaRSA&amp;redir_esc=y" TargetMode="External"/><Relationship Id="rId20" Type="http://schemas.openxmlformats.org/officeDocument/2006/relationships/hyperlink" Target="https://www.oecd.org/content/dam/oecd/en/publications/reports/2021/02/federalism-and-public-health-decentralisation-in-the-time-of-covid-19_57f95729/b78ec8bb-en.pdf" TargetMode="External"/><Relationship Id="rId41" Type="http://schemas.openxmlformats.org/officeDocument/2006/relationships/hyperlink" Target="https://library.oapen.org/handle/20.500.12657/50893"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3247F-616F-4BD8-A601-E4D6B94F9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3358</TotalTime>
  <Pages>27</Pages>
  <Words>8363</Words>
  <Characters>47670</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Marianna Florea (2244840)</cp:lastModifiedBy>
  <cp:revision>45</cp:revision>
  <dcterms:created xsi:type="dcterms:W3CDTF">2026-07-17T18:34:00Z</dcterms:created>
  <dcterms:modified xsi:type="dcterms:W3CDTF">2026-08-07T21:14:00Z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7b1c5b26-0e9f-4ea2-9296-1182f8308a4e</vt:lpwstr>
  </property>
</Properties>
</file>