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C338CE" w:rsidRDefault="00A051AB" w:rsidP="00C338CE">
      <w:pPr>
        <w:jc w:val="center"/>
        <w:rPr>
          <w:b/>
          <w:sz w:val="28"/>
          <w:u w:val="single"/>
        </w:rPr>
      </w:pPr>
      <w:r w:rsidRPr="00A051AB">
        <w:rPr>
          <w:b/>
          <w:sz w:val="28"/>
          <w:u w:val="single"/>
        </w:rPr>
        <w:t>Literature Review</w:t>
      </w:r>
      <w:r w:rsidR="00C338CE">
        <w:rPr>
          <w:b/>
          <w:sz w:val="28"/>
          <w:u w:val="single"/>
        </w:rPr>
        <w:t xml:space="preserve"> –</w:t>
      </w:r>
    </w:p>
    <w:p w:rsidR="00C338CE" w:rsidRDefault="00C338CE" w:rsidP="00C338CE">
      <w:pPr>
        <w:jc w:val="center"/>
        <w:rPr>
          <w:i/>
          <w:sz w:val="28"/>
          <w:u w:val="single"/>
        </w:rPr>
      </w:pPr>
      <w:r w:rsidRPr="00C338CE">
        <w:rPr>
          <w:b/>
          <w:sz w:val="36"/>
          <w:u w:val="single"/>
        </w:rPr>
        <w:t xml:space="preserve"> </w:t>
      </w:r>
      <w:r w:rsidRPr="00C338CE">
        <w:rPr>
          <w:i/>
          <w:sz w:val="28"/>
          <w:u w:val="single"/>
        </w:rPr>
        <w:t>How large of a demand does mental health related incidents have on policing and what is the solution to reducing the demand?’</w:t>
      </w:r>
    </w:p>
    <w:p w:rsidR="00C338CE" w:rsidRDefault="00C338CE" w:rsidP="00C338CE">
      <w:pPr>
        <w:jc w:val="center"/>
        <w:rPr>
          <w:i/>
          <w:sz w:val="28"/>
          <w:u w:val="single"/>
        </w:rPr>
      </w:pPr>
    </w:p>
    <w:p w:rsidR="00C338CE" w:rsidRDefault="00A74A65" w:rsidP="00C338CE">
      <w:r>
        <w:t xml:space="preserve">The </w:t>
      </w:r>
      <w:r w:rsidR="00CD68BC">
        <w:t>purpose</w:t>
      </w:r>
      <w:r>
        <w:t xml:space="preserve"> </w:t>
      </w:r>
      <w:r w:rsidR="00CD68BC">
        <w:t>of</w:t>
      </w:r>
      <w:r>
        <w:t xml:space="preserve"> this piece of writing is to discover and evaluate pieces of literature associated to the current mental health crisis in the UK, the impact this crisis is having upon the demand the police service and finally what possible solutions there are to reducing the demand on the service. This review wil</w:t>
      </w:r>
      <w:r w:rsidR="00F42C9E">
        <w:t>l critically investigate the literatures that are</w:t>
      </w:r>
      <w:r>
        <w:t xml:space="preserve"> specifically</w:t>
      </w:r>
      <w:r w:rsidR="00F42C9E">
        <w:t xml:space="preserve"> linked </w:t>
      </w:r>
      <w:r>
        <w:t xml:space="preserve">to mental health and policing. All literature from this review has been obtained from several sources including UWTSD’s online library and Google Scholar. </w:t>
      </w:r>
    </w:p>
    <w:p w:rsidR="0048203A" w:rsidRDefault="0048203A" w:rsidP="00C338CE"/>
    <w:p w:rsidR="0091616B" w:rsidRDefault="00CA72B3" w:rsidP="00C338CE">
      <w:r>
        <w:t>T</w:t>
      </w:r>
      <w:r w:rsidR="00D23058">
        <w:t>o</w:t>
      </w:r>
      <w:r w:rsidR="00C6332F">
        <w:t xml:space="preserve"> understand how large of a demand mental health incidents has on the police, the context of how large an issue of persons suffering from poor mental health in the UK must be investigated and taken into consideration. T</w:t>
      </w:r>
      <w:r>
        <w:t>he crisis of persons suffering with poo</w:t>
      </w:r>
      <w:r w:rsidR="00C6332F">
        <w:t>r mental health within the UK appears to have been</w:t>
      </w:r>
      <w:r>
        <w:t xml:space="preserve"> consistently growing</w:t>
      </w:r>
      <w:r w:rsidR="00C6332F">
        <w:t xml:space="preserve"> year on year</w:t>
      </w:r>
      <w:r>
        <w:t xml:space="preserve">. </w:t>
      </w:r>
      <w:r w:rsidR="000C37EE">
        <w:t>The most recent census published on 2014 by the UK Parliament (</w:t>
      </w:r>
      <w:r w:rsidR="00932E55">
        <w:t xml:space="preserve">Kane, </w:t>
      </w:r>
      <w:r w:rsidR="000C37EE">
        <w:t>2021) c</w:t>
      </w:r>
      <w:r w:rsidR="000C4C89">
        <w:t>aptures how every age group from</w:t>
      </w:r>
      <w:r w:rsidR="000C37EE">
        <w:t xml:space="preserve"> 1993-2014 </w:t>
      </w:r>
      <w:r w:rsidR="00C818EF">
        <w:t>had a sharp rise in common mental health conditions every 4 years. Baker (2020) discovered</w:t>
      </w:r>
      <w:r>
        <w:t xml:space="preserve"> that </w:t>
      </w:r>
      <w:r w:rsidR="00733DFB">
        <w:t>“An estimated 1 in 6 adults have experienced a ‘common mental health disorder’ like depression or anxiety in the past week”. This information is rather recent given that the literature was published in 2020. However, due to the conditions</w:t>
      </w:r>
      <w:r w:rsidR="00D23058">
        <w:t xml:space="preserve"> of the Covid-19 pandemic, it’s</w:t>
      </w:r>
      <w:bookmarkStart w:id="0" w:name="_GoBack"/>
      <w:bookmarkEnd w:id="0"/>
      <w:r w:rsidR="00733DFB">
        <w:t xml:space="preserve"> likely that this statistic is already outdated and the current data is possibly already much higher. On the other hand, at the time of writing this review there are no up-to-date </w:t>
      </w:r>
      <w:r w:rsidR="002E368E">
        <w:t xml:space="preserve">government </w:t>
      </w:r>
      <w:r w:rsidR="00733DFB">
        <w:t xml:space="preserve">pieces of literature that have </w:t>
      </w:r>
      <w:r w:rsidR="00A21ECB">
        <w:t>confirmed statistics, due to this,</w:t>
      </w:r>
      <w:r w:rsidR="0022683E">
        <w:t xml:space="preserve"> Baker’s writing is likely to be the most recent data publically available. </w:t>
      </w:r>
    </w:p>
    <w:p w:rsidR="001D1057" w:rsidRDefault="001D1057" w:rsidP="00C338CE"/>
    <w:p w:rsidR="00E00407" w:rsidRDefault="00E00407" w:rsidP="00E00407">
      <w:r>
        <w:t xml:space="preserve">It is vital to consider the causations of poor mental health, one model known as the ‘Generic Psychological Model’ (Davidson </w:t>
      </w:r>
      <w:r>
        <w:rPr>
          <w:i/>
        </w:rPr>
        <w:t>et al</w:t>
      </w:r>
      <w:r w:rsidR="007A4D77">
        <w:t>, 2017</w:t>
      </w:r>
      <w:r w:rsidR="00025FB8">
        <w:t>, P.25</w:t>
      </w:r>
      <w:r>
        <w:t xml:space="preserve">) which theorises that poor mental health can be “caused by a variety of biological, social and circumstantial factors”. </w:t>
      </w:r>
      <w:r w:rsidR="00FF6854">
        <w:t xml:space="preserve">The model provides a possible reason </w:t>
      </w:r>
      <w:r w:rsidR="00D860C4">
        <w:t xml:space="preserve">for how poor mental health conditions may be formed or exacerbated however, the author also acknowledges that “psychological theory and research are still developing” and that the model cannot be used in all circumstances. </w:t>
      </w:r>
      <w:r w:rsidR="00B40891">
        <w:t xml:space="preserve">The literature is very useful in providing relevant context </w:t>
      </w:r>
      <w:r w:rsidR="00060148">
        <w:t>to the question posed</w:t>
      </w:r>
      <w:r w:rsidR="0008490A">
        <w:t xml:space="preserve"> as it clearly illustrates what impact factors can change the rate of cases of peoples’ mental health</w:t>
      </w:r>
      <w:r w:rsidR="00060148">
        <w:t xml:space="preserve">.  </w:t>
      </w:r>
    </w:p>
    <w:p w:rsidR="00E00407" w:rsidRDefault="00E00407" w:rsidP="00C338CE"/>
    <w:p w:rsidR="00EC6E0C" w:rsidRDefault="0008490A" w:rsidP="00C338CE">
      <w:r>
        <w:t>The NHS (2022)</w:t>
      </w:r>
      <w:r w:rsidR="00885E58">
        <w:t xml:space="preserve"> provide </w:t>
      </w:r>
      <w:r w:rsidR="002E368E">
        <w:t>monthly data on the numbers of contacts made to the mental hea</w:t>
      </w:r>
      <w:r w:rsidR="0091492A">
        <w:t>lth services. In June 2022</w:t>
      </w:r>
      <w:r w:rsidR="002E368E">
        <w:t>, “1.61 million people were in contact with mental health services”.</w:t>
      </w:r>
      <w:r w:rsidR="00063EA4">
        <w:t xml:space="preserve"> </w:t>
      </w:r>
      <w:r w:rsidR="00617822">
        <w:t>Shockingly, “21,174 people were detained under the Mental Health Act”</w:t>
      </w:r>
      <w:r w:rsidR="00BF2E59">
        <w:t xml:space="preserve"> in that month</w:t>
      </w:r>
      <w:r w:rsidR="0091492A">
        <w:t xml:space="preserve"> alone</w:t>
      </w:r>
      <w:r w:rsidR="0021012C">
        <w:t xml:space="preserve">. These statistics clearly illustrate how large a demand the NHS faces each month from mental health contacts. </w:t>
      </w:r>
      <w:r w:rsidR="00885E58">
        <w:t xml:space="preserve">This source provides relevant contextual literature to bring to light how under pressure health services are currently which could explain a rise in cases over the years. </w:t>
      </w:r>
      <w:r w:rsidR="0091492A">
        <w:t>In comparison the NHS (2021</w:t>
      </w:r>
      <w:r w:rsidR="00BB2205">
        <w:t>) have provided data that from</w:t>
      </w:r>
      <w:r w:rsidR="0091492A">
        <w:t xml:space="preserve"> 2020-21 there were “53,239 new detentions under the Mental Health Act”. Unfortunately, the source</w:t>
      </w:r>
      <w:r w:rsidR="001477E3">
        <w:t xml:space="preserve"> for both pieces of information</w:t>
      </w:r>
      <w:r w:rsidR="0091492A">
        <w:t xml:space="preserve"> does not provide </w:t>
      </w:r>
      <w:r w:rsidR="00BB2205">
        <w:t>what public service</w:t>
      </w:r>
      <w:r w:rsidR="001477E3">
        <w:t xml:space="preserve"> </w:t>
      </w:r>
      <w:r w:rsidR="005F16EE">
        <w:t xml:space="preserve">detained the persons, it therefore cannot be confirmed whether the police service had any </w:t>
      </w:r>
      <w:r w:rsidR="005F16EE">
        <w:lastRenderedPageBreak/>
        <w:t xml:space="preserve">involvement in the cases. </w:t>
      </w:r>
      <w:r w:rsidR="00BB2205">
        <w:t xml:space="preserve">This opens up a gap within their research for potential development. </w:t>
      </w:r>
      <w:r w:rsidR="00685131">
        <w:t xml:space="preserve">The comparison on the other hand </w:t>
      </w:r>
      <w:r w:rsidR="00BB2205">
        <w:t xml:space="preserve">does </w:t>
      </w:r>
      <w:r w:rsidR="00685131">
        <w:t xml:space="preserve">provide a strong link </w:t>
      </w:r>
      <w:r w:rsidR="004C199F">
        <w:t>to persons suffering with their mental health as a result of Covid-19 lockdowns. Additionally, b</w:t>
      </w:r>
      <w:r w:rsidR="00063EA4">
        <w:t>oth pieces of</w:t>
      </w:r>
      <w:r w:rsidR="00444873">
        <w:t xml:space="preserve"> </w:t>
      </w:r>
      <w:r w:rsidR="005862D2">
        <w:t>literature are</w:t>
      </w:r>
      <w:r w:rsidR="00444873">
        <w:t xml:space="preserve"> very relevant to the main objec</w:t>
      </w:r>
      <w:r w:rsidR="004C199F">
        <w:t>tive of this investigation as they</w:t>
      </w:r>
      <w:r w:rsidR="00444873">
        <w:t xml:space="preserve"> provide important context to how large</w:t>
      </w:r>
      <w:r w:rsidR="004C199F">
        <w:t xml:space="preserve"> of</w:t>
      </w:r>
      <w:r w:rsidR="00444873">
        <w:t xml:space="preserve"> an issue</w:t>
      </w:r>
      <w:r w:rsidR="004C199F">
        <w:t xml:space="preserve"> </w:t>
      </w:r>
      <w:r w:rsidR="00DF205E">
        <w:t>poor</w:t>
      </w:r>
      <w:r w:rsidR="00444873">
        <w:t xml:space="preserve"> mental health is in today’s society.</w:t>
      </w:r>
    </w:p>
    <w:p w:rsidR="00DF205E" w:rsidRPr="00DF205E" w:rsidRDefault="00DF205E" w:rsidP="00C338CE">
      <w:pPr>
        <w:rPr>
          <w:u w:val="single"/>
        </w:rPr>
      </w:pPr>
    </w:p>
    <w:p w:rsidR="00EC6E0C" w:rsidRDefault="00EC6E0C" w:rsidP="00C338CE">
      <w:r>
        <w:t>The police service are also not absent from an incredible increase in demand over the years. The Office of National Statistics (2022) for example write that over the last 10 years, there has been a great increase in crime of 44%</w:t>
      </w:r>
      <w:r w:rsidR="00C2563D">
        <w:t xml:space="preserve"> overall</w:t>
      </w:r>
      <w:r>
        <w:t>.</w:t>
      </w:r>
      <w:r w:rsidR="00C2563D">
        <w:t xml:space="preserve"> Although some areas of crime show a decrease, it is clear that this is unprecedented demand that the service has not seen before. There is a clear </w:t>
      </w:r>
      <w:r w:rsidR="004E0719">
        <w:t>gap in these statistics</w:t>
      </w:r>
      <w:r w:rsidR="005E6E16">
        <w:t xml:space="preserve"> however as the results do not</w:t>
      </w:r>
      <w:r w:rsidR="004E0719">
        <w:t xml:space="preserve"> highlight the full demand the police face yearly as opposed to only confirmed crimes, although the research does provide some limited context to the question. </w:t>
      </w:r>
    </w:p>
    <w:p w:rsidR="00EC6E0C" w:rsidRDefault="00EC6E0C" w:rsidP="00C338CE">
      <w:r>
        <w:t xml:space="preserve"> </w:t>
      </w:r>
    </w:p>
    <w:p w:rsidR="001406E3" w:rsidRDefault="00BA2D13" w:rsidP="00C93CA5">
      <w:r>
        <w:t xml:space="preserve">Unfortunately, it is often the case that persons suffering from associated mental health issues come into contact with the police. </w:t>
      </w:r>
      <w:r w:rsidR="00C93CA5">
        <w:t xml:space="preserve">Senior </w:t>
      </w:r>
      <w:r w:rsidR="00C93CA5">
        <w:rPr>
          <w:i/>
        </w:rPr>
        <w:t xml:space="preserve">et al </w:t>
      </w:r>
      <w:r w:rsidR="00C93CA5">
        <w:t xml:space="preserve">(2014) outlines the role of the police to “exist to detect and investigate crime and aid the prosecution of suspected offenders”. This is arguably the core role of which the police were created. However, as time has progressed, the role has since adapted to become focused on the safety and welfare of people as opposed to crime and disorder. Senior acknowledges </w:t>
      </w:r>
      <w:r w:rsidR="00AF0DAA">
        <w:t>this necessary adaptation by writing</w:t>
      </w:r>
      <w:r w:rsidR="00C93CA5">
        <w:t xml:space="preserve"> “dealing with people with healthcare needs, especially mental health and substance misuse need</w:t>
      </w:r>
      <w:r w:rsidR="00815B61">
        <w:t>s, becomes central to policing”</w:t>
      </w:r>
      <w:r w:rsidR="00AF0DAA">
        <w:t xml:space="preserve">. </w:t>
      </w:r>
      <w:r w:rsidR="0053062E">
        <w:t xml:space="preserve">The source provides a clear outline </w:t>
      </w:r>
      <w:r w:rsidR="00A6144A">
        <w:t xml:space="preserve">to the role and how the job itself has had to adapt to the mental health crisis that is occurring within society. </w:t>
      </w:r>
      <w:r w:rsidR="009E4B84">
        <w:t>However, the source although</w:t>
      </w:r>
      <w:r w:rsidR="001406E3">
        <w:t xml:space="preserve"> is</w:t>
      </w:r>
      <w:r w:rsidR="009E4B84">
        <w:t xml:space="preserve"> relevant</w:t>
      </w:r>
      <w:r w:rsidR="001406E3">
        <w:t>, it</w:t>
      </w:r>
      <w:r w:rsidR="009E4B84">
        <w:t xml:space="preserve"> is not </w:t>
      </w:r>
      <w:r w:rsidR="001406E3">
        <w:t>necessarily</w:t>
      </w:r>
      <w:r w:rsidR="009E4B84">
        <w:t xml:space="preserve"> recent. This casts an issue upon the source as the opinion is somewhat dated and old fashioned</w:t>
      </w:r>
      <w:r w:rsidR="00CC4ADC">
        <w:t xml:space="preserve"> as the police have had to </w:t>
      </w:r>
      <w:r w:rsidR="001406E3">
        <w:t xml:space="preserve">continue to </w:t>
      </w:r>
      <w:r w:rsidR="00CC4ADC">
        <w:t>adapt to fit a number of roles in society when dealing with various people.</w:t>
      </w:r>
      <w:r w:rsidR="00C2563D">
        <w:t xml:space="preserve"> </w:t>
      </w:r>
      <w:r w:rsidR="00286358">
        <w:t>Therefore, there is again a clear gap within this research due to the time lapse since the publication which would be beneficial to the question.</w:t>
      </w:r>
      <w:r w:rsidR="00B93286">
        <w:t xml:space="preserve"> </w:t>
      </w:r>
      <w:r w:rsidR="00E37C3D">
        <w:t xml:space="preserve">Morgan </w:t>
      </w:r>
      <w:r w:rsidR="00E93917">
        <w:t xml:space="preserve">and Paterson </w:t>
      </w:r>
      <w:r w:rsidR="00E37C3D">
        <w:t xml:space="preserve">(2019) also support the author with the topic of police intervening in the care of mental health patients as they describe previous criticisms of the NHS for preventing the police from leaving a mental health patient in the care of A&amp;E staff due to “absence of available beds or doctors”. </w:t>
      </w:r>
    </w:p>
    <w:p w:rsidR="001406E3" w:rsidRDefault="001406E3" w:rsidP="00C93CA5"/>
    <w:p w:rsidR="00B65103" w:rsidRDefault="00B93286" w:rsidP="00C338CE">
      <w:r>
        <w:rPr>
          <w:rFonts w:cstheme="minorHAnsi"/>
          <w:shd w:val="clear" w:color="auto" w:fill="FFFFFF"/>
        </w:rPr>
        <w:t>Investigating the impact</w:t>
      </w:r>
      <w:r w:rsidRPr="00B93286">
        <w:rPr>
          <w:rFonts w:cstheme="minorHAnsi"/>
          <w:shd w:val="clear" w:color="auto" w:fill="FFFFFF"/>
        </w:rPr>
        <w:t xml:space="preserve"> mental health related calls </w:t>
      </w:r>
      <w:r>
        <w:rPr>
          <w:rFonts w:cstheme="minorHAnsi"/>
          <w:shd w:val="clear" w:color="auto" w:fill="FFFFFF"/>
        </w:rPr>
        <w:t xml:space="preserve">has on police resources is a key factor to the question. </w:t>
      </w:r>
      <w:r w:rsidRPr="00B93286">
        <w:rPr>
          <w:rFonts w:cstheme="minorHAnsi"/>
          <w:shd w:val="clear" w:color="auto" w:fill="FFFFFF"/>
        </w:rPr>
        <w:t>Wondemaghen (2021)</w:t>
      </w:r>
      <w:r w:rsidR="00646180">
        <w:rPr>
          <w:rFonts w:cstheme="minorHAnsi"/>
          <w:shd w:val="clear" w:color="auto" w:fill="FFFFFF"/>
        </w:rPr>
        <w:t xml:space="preserve"> highlights that “t</w:t>
      </w:r>
      <w:r w:rsidR="00646180" w:rsidRPr="00646180">
        <w:rPr>
          <w:rFonts w:cstheme="minorHAnsi"/>
          <w:shd w:val="clear" w:color="auto" w:fill="FFFFFF"/>
        </w:rPr>
        <w:t>here is little empirical r</w:t>
      </w:r>
      <w:r w:rsidR="00646180">
        <w:rPr>
          <w:rFonts w:cstheme="minorHAnsi"/>
          <w:shd w:val="clear" w:color="auto" w:fill="FFFFFF"/>
        </w:rPr>
        <w:t xml:space="preserve">esearch from the UK on this issue” illustrating firstly the lack of vital research into the subject but also secondly the importance of the investigation so that the significance of the problem can be explored. Wondemaghen does include a College of Policing statistic </w:t>
      </w:r>
      <w:r w:rsidR="00693634">
        <w:rPr>
          <w:rFonts w:cstheme="minorHAnsi"/>
          <w:shd w:val="clear" w:color="auto" w:fill="FFFFFF"/>
        </w:rPr>
        <w:t xml:space="preserve">that officers spend “at least 20% of their time dealing with a mental health concern”. </w:t>
      </w:r>
      <w:r w:rsidR="00646180">
        <w:rPr>
          <w:rFonts w:cstheme="minorHAnsi"/>
          <w:shd w:val="clear" w:color="auto" w:fill="FFFFFF"/>
        </w:rPr>
        <w:t xml:space="preserve"> </w:t>
      </w:r>
      <w:r w:rsidR="00693634">
        <w:rPr>
          <w:rFonts w:cstheme="minorHAnsi"/>
          <w:shd w:val="clear" w:color="auto" w:fill="FFFFFF"/>
        </w:rPr>
        <w:t xml:space="preserve">Due to only providing a rough figure, it provides an indication that this topic has not been investigated thoroughly or potentially even considered to be an issue. Section 136 Mental Health Act 1983 provides a sense of controversy amongst some officers firstly due to its limitations, secondly that officers may not feel that they are sufficiently trained to deal with some persons going through a mental health crisis and thirdly, that there is a large responsibility put onto officers to assess the patient and the officer would be held to account if their decision led to harm of the person. Within Wondermaghen’s study, the author </w:t>
      </w:r>
      <w:r w:rsidR="00400DE9">
        <w:rPr>
          <w:rFonts w:cstheme="minorHAnsi"/>
          <w:shd w:val="clear" w:color="auto" w:fill="FFFFFF"/>
        </w:rPr>
        <w:t xml:space="preserve">asked mental health nurses their thoughts on the police’s use of Section 136, interestingly one nurse stated </w:t>
      </w:r>
      <w:r w:rsidR="00400DE9" w:rsidRPr="00400DE9">
        <w:rPr>
          <w:rFonts w:cstheme="minorHAnsi"/>
          <w:shd w:val="clear" w:color="auto" w:fill="FFFFFF"/>
        </w:rPr>
        <w:t>“[Giving police this responsibility] clogs up huge parts of the mental-health system … there’s such a backlog</w:t>
      </w:r>
      <w:r w:rsidR="00400DE9">
        <w:rPr>
          <w:rFonts w:cstheme="minorHAnsi"/>
          <w:shd w:val="clear" w:color="auto" w:fill="FFFFFF"/>
        </w:rPr>
        <w:t xml:space="preserve">”. </w:t>
      </w:r>
      <w:r w:rsidR="00BC44CF">
        <w:rPr>
          <w:rFonts w:cstheme="minorHAnsi"/>
          <w:shd w:val="clear" w:color="auto" w:fill="FFFFFF"/>
        </w:rPr>
        <w:t xml:space="preserve">Lane (2019) provides a </w:t>
      </w:r>
      <w:r w:rsidR="00BC44CF">
        <w:rPr>
          <w:rFonts w:cstheme="minorHAnsi"/>
          <w:shd w:val="clear" w:color="auto" w:fill="FFFFFF"/>
        </w:rPr>
        <w:lastRenderedPageBreak/>
        <w:t xml:space="preserve">slightly different view to the demand on the police as they state that approximately “15% of UK police incidents involve persons with a mental health concern”. </w:t>
      </w:r>
      <w:r w:rsidR="00693634" w:rsidRPr="00400DE9">
        <w:rPr>
          <w:rFonts w:cstheme="minorHAnsi"/>
          <w:shd w:val="clear" w:color="auto" w:fill="FFFFFF"/>
        </w:rPr>
        <w:t xml:space="preserve"> </w:t>
      </w:r>
      <w:r w:rsidR="00970D07">
        <w:rPr>
          <w:rFonts w:cstheme="minorHAnsi"/>
          <w:shd w:val="clear" w:color="auto" w:fill="FFFFFF"/>
        </w:rPr>
        <w:t xml:space="preserve">Additionally, </w:t>
      </w:r>
      <w:r w:rsidR="00DE5949">
        <w:rPr>
          <w:rFonts w:cstheme="minorHAnsi"/>
          <w:shd w:val="clear" w:color="auto" w:fill="FFFFFF"/>
        </w:rPr>
        <w:t xml:space="preserve">Lane believes that their findings suggest “that mental health work is not perceived to be a valid part of the police role”. </w:t>
      </w:r>
      <w:r w:rsidR="00CE0F03">
        <w:t xml:space="preserve">Lane’s research fits in well with the question posed as the author highlights that mental health incidents are very prevalent within the communities </w:t>
      </w:r>
      <w:r w:rsidR="00933787">
        <w:t xml:space="preserve">but also that Lane holds a view that mental health work is not a part of professional policing. </w:t>
      </w:r>
      <w:r w:rsidR="00075A77">
        <w:t xml:space="preserve">Lane does leave a gap within her research </w:t>
      </w:r>
      <w:r w:rsidR="00B65103">
        <w:t>however. Although the author occasionally makes reference to improvements of police training and awareness,</w:t>
      </w:r>
      <w:r w:rsidR="00075A77">
        <w:t xml:space="preserve"> Lane does not explore any possible solution to helping reduce the demand on the service</w:t>
      </w:r>
      <w:r w:rsidR="00457513">
        <w:t xml:space="preserve"> </w:t>
      </w:r>
      <w:r w:rsidR="00430040">
        <w:t xml:space="preserve">or whether any form of programme or scheme has already been attempted. The article also allows for further research into </w:t>
      </w:r>
      <w:r w:rsidR="001F1519">
        <w:t xml:space="preserve">what schemes are in development to assist with the issue. </w:t>
      </w:r>
    </w:p>
    <w:p w:rsidR="00EE2C6B" w:rsidRDefault="00EE2C6B" w:rsidP="00C338CE"/>
    <w:p w:rsidR="00B64C4A" w:rsidRDefault="00722144" w:rsidP="00C338CE">
      <w:r>
        <w:t>Baker (2016</w:t>
      </w:r>
      <w:r w:rsidR="00B932FD">
        <w:t>, P. 32</w:t>
      </w:r>
      <w:r>
        <w:t xml:space="preserve">) brings to light the serious consequences of what can happen when officers do not spot signs of a serious mental health condition. </w:t>
      </w:r>
      <w:r w:rsidR="00243217">
        <w:t>The author presents an arguably unbalanced argument against the police appearing biase</w:t>
      </w:r>
      <w:r w:rsidR="00D06C4B">
        <w:t xml:space="preserve">d in nature by discussing </w:t>
      </w:r>
      <w:r w:rsidR="0099250F">
        <w:t xml:space="preserve">certain instances of </w:t>
      </w:r>
      <w:r w:rsidR="00D06C4B">
        <w:t xml:space="preserve">failure of the police </w:t>
      </w:r>
      <w:r w:rsidR="0099250F">
        <w:t xml:space="preserve">when attending incidents and subsequently the subject of the call passing away whether it be in police custody or at home. This type of incident is classed as a ‘Death </w:t>
      </w:r>
      <w:r w:rsidR="00F8591D">
        <w:t>after</w:t>
      </w:r>
      <w:r w:rsidR="0099250F">
        <w:t xml:space="preserve"> Police Contact’. </w:t>
      </w:r>
      <w:r w:rsidR="006618ED">
        <w:t xml:space="preserve">Baker does concede however that </w:t>
      </w:r>
      <w:r w:rsidR="00E21960">
        <w:t xml:space="preserve">“when mental health practitioners feel they do not legitimately have capacity to use force the last resort is to ‘call the cops’. </w:t>
      </w:r>
      <w:r w:rsidR="00D70773">
        <w:t>Baker therefore theorie</w:t>
      </w:r>
      <w:r w:rsidR="00E21960">
        <w:t xml:space="preserve">s that the police are sometimes used </w:t>
      </w:r>
      <w:r w:rsidR="00D70773">
        <w:t xml:space="preserve">as means of a scapegoat to legally use force upon a mental health patient. This argument creates a valuable insight into </w:t>
      </w:r>
      <w:r w:rsidR="00471842">
        <w:t xml:space="preserve">how the police can be exploited to use their use of force powers to enforce treatment upon patients. </w:t>
      </w:r>
      <w:r w:rsidR="0099250F">
        <w:t>Although Baker</w:t>
      </w:r>
      <w:r w:rsidR="006618ED">
        <w:t>’s writing</w:t>
      </w:r>
      <w:r w:rsidR="0099250F">
        <w:t xml:space="preserve"> does appear biased, the author does </w:t>
      </w:r>
      <w:r w:rsidR="00F8591D">
        <w:t xml:space="preserve">highlight a valid argument that without the appropriate training, unfortunately there are naturally occasions where the most case scenario occurs. </w:t>
      </w:r>
    </w:p>
    <w:p w:rsidR="00B64C4A" w:rsidRDefault="00B64C4A" w:rsidP="00C338CE"/>
    <w:p w:rsidR="00EE2C6B" w:rsidRDefault="005313CD" w:rsidP="00C338CE">
      <w:r>
        <w:t xml:space="preserve">McDaniel </w:t>
      </w:r>
      <w:r w:rsidR="00815B61">
        <w:t>(2020</w:t>
      </w:r>
      <w:r w:rsidR="001B3205">
        <w:t>, P.1</w:t>
      </w:r>
      <w:r w:rsidR="00815B61">
        <w:t xml:space="preserve">) </w:t>
      </w:r>
      <w:r>
        <w:t xml:space="preserve">provides a balanced argument that the response from the service is encouraging as training and independent initiatives are being implemented to raise awareness of the issue. However, McDaniel suggests that the narrative of the literature is negative towards to the police as he goes onto say that “many problems remain unsolved”. </w:t>
      </w:r>
      <w:r w:rsidR="00E95306">
        <w:t xml:space="preserve">In reference to detention rates under Section 136 (Mental Health Act 1983) McDaniel suggests that a possible reason for the rise in numbers over the years could be down to the lack of </w:t>
      </w:r>
      <w:r w:rsidR="00046B3C">
        <w:t xml:space="preserve">available resources. The author touches upon that </w:t>
      </w:r>
      <w:r w:rsidR="00EF2366">
        <w:t>if there is not direct access to mental health services, persons “may present with more serious illness when they finally gain access”</w:t>
      </w:r>
      <w:r w:rsidR="001B3205">
        <w:t xml:space="preserve"> (P.150)</w:t>
      </w:r>
      <w:r w:rsidR="00EF2366">
        <w:t xml:space="preserve">. </w:t>
      </w:r>
      <w:r w:rsidR="000E01F6">
        <w:t xml:space="preserve">Therefore, it could be the case that </w:t>
      </w:r>
      <w:r w:rsidR="00217A36">
        <w:t>the lack of funding to intervene has worsened the situation for patients creating an increase in demand from the police service.</w:t>
      </w:r>
      <w:r w:rsidR="00277BA9">
        <w:t xml:space="preserve"> A further possible frustration is that although Section 136 allows officers to detain persons to receive urgent mental health treatment</w:t>
      </w:r>
      <w:r w:rsidR="00651FD2">
        <w:t xml:space="preserve">, the patients themselves have to “volunteer to undergo treatment”. </w:t>
      </w:r>
      <w:r w:rsidR="00815B61">
        <w:t xml:space="preserve">The source is very relevant to the question as the author clearly shows that the processes in place for the police to care for the subject are not sufficient. Crucially, the source is also fairly recent meaning that the information regarding processes is likely to still be in place providing a realistic picture of the current policies and procedures in place today. </w:t>
      </w:r>
    </w:p>
    <w:p w:rsidR="00CD68BC" w:rsidRDefault="00CD68BC" w:rsidP="00C338CE"/>
    <w:p w:rsidR="0047440E" w:rsidRDefault="00954DD6" w:rsidP="00C338CE">
      <w:r>
        <w:t xml:space="preserve">Janopaul-Naylor </w:t>
      </w:r>
      <w:r w:rsidR="000063F5">
        <w:t>(</w:t>
      </w:r>
      <w:r>
        <w:t>2019</w:t>
      </w:r>
      <w:r w:rsidR="007F30C2">
        <w:t xml:space="preserve">) and </w:t>
      </w:r>
      <w:r w:rsidR="00B65103">
        <w:t xml:space="preserve">Rodgers </w:t>
      </w:r>
      <w:r w:rsidR="00B65103">
        <w:rPr>
          <w:i/>
        </w:rPr>
        <w:t xml:space="preserve">et al. </w:t>
      </w:r>
      <w:r w:rsidR="000063F5">
        <w:t>(</w:t>
      </w:r>
      <w:r>
        <w:t>2019</w:t>
      </w:r>
      <w:r w:rsidR="000063F5">
        <w:t>)</w:t>
      </w:r>
      <w:r>
        <w:t xml:space="preserve"> touch</w:t>
      </w:r>
      <w:r w:rsidR="00B65103">
        <w:t xml:space="preserve"> upon police interventions in conjunction with “working in partnership with mental health professionals”</w:t>
      </w:r>
      <w:r w:rsidR="00357F91">
        <w:t xml:space="preserve">. </w:t>
      </w:r>
      <w:r>
        <w:t xml:space="preserve">Janopaul-Naylor </w:t>
      </w:r>
      <w:r w:rsidR="00E33705">
        <w:t xml:space="preserve">highlights a partnership between the police and mental health services formed as “Cambridge Safety Net Collaborative”. </w:t>
      </w:r>
      <w:r w:rsidR="003B739E">
        <w:t xml:space="preserve">Importantly, the literature delivers a primary focus on how the rate of arrests </w:t>
      </w:r>
      <w:r w:rsidR="003B739E">
        <w:lastRenderedPageBreak/>
        <w:t xml:space="preserve">decreased in youths whom suffered from mental health issues. </w:t>
      </w:r>
      <w:r w:rsidR="00357F91">
        <w:t xml:space="preserve">Within </w:t>
      </w:r>
      <w:r>
        <w:t>Rodgers’</w:t>
      </w:r>
      <w:r w:rsidR="00357F91">
        <w:t xml:space="preserve"> research, he discovered that this partnership overall had a positive impact upon the “rate of detentions and resources”. This investigation is very beneficial to the question of how to reduce demand on the police, although </w:t>
      </w:r>
      <w:r w:rsidR="00BE5498">
        <w:t>both pieces of literature are</w:t>
      </w:r>
      <w:r w:rsidR="00357F91">
        <w:t xml:space="preserve"> very limited as the evidence gathered is very minor, it does promote one </w:t>
      </w:r>
      <w:r w:rsidR="00BE5498">
        <w:t xml:space="preserve">promising </w:t>
      </w:r>
      <w:r w:rsidR="00357F91">
        <w:t xml:space="preserve">possible solution. It could therefore be argued that if more investment and research were to be put into this </w:t>
      </w:r>
      <w:r w:rsidR="00BD658D">
        <w:t xml:space="preserve">partnership, it is possible that more persons could receive the appropriate help. </w:t>
      </w:r>
      <w:r w:rsidR="000A7012">
        <w:t xml:space="preserve">On the other hand, Rodgers </w:t>
      </w:r>
      <w:r w:rsidR="00BE5498">
        <w:t xml:space="preserve">for example, </w:t>
      </w:r>
      <w:r w:rsidR="000A7012">
        <w:t>does also acknowledge that the study was difficult to produce without bias being avoided, although this does not necessarily impact the study, it can bring into question its validity. The research does provide a gap for further research into other effective ways to reduce police intervention with mental health related calls.</w:t>
      </w:r>
      <w:r>
        <w:t xml:space="preserve"> </w:t>
      </w:r>
    </w:p>
    <w:p w:rsidR="000063F5" w:rsidRDefault="000063F5" w:rsidP="00C338CE"/>
    <w:p w:rsidR="000063F5" w:rsidRDefault="006502E5" w:rsidP="00C338CE">
      <w:r>
        <w:t>Blais</w:t>
      </w:r>
      <w:r w:rsidR="00E93917">
        <w:t xml:space="preserve"> and Brisebois</w:t>
      </w:r>
      <w:r>
        <w:t xml:space="preserve"> (2021) </w:t>
      </w:r>
      <w:r w:rsidR="007F30C2">
        <w:t xml:space="preserve">and Puntis (2018) </w:t>
      </w:r>
      <w:r>
        <w:t xml:space="preserve">makes reference to a promising scheme known as ‘Street Triage’. The literature provides a relevant, relatively recent study which investigates how </w:t>
      </w:r>
      <w:r w:rsidR="0005539E">
        <w:t xml:space="preserve">the scheme provides a positive impact upon both improving police resources as well as finding the correct support for mental health patients. </w:t>
      </w:r>
      <w:r w:rsidR="00626D9C">
        <w:t xml:space="preserve">The study’s results are limited as they do not cover a substantial period of time therefore limiting the scheme’s true effectiveness. The author also acknowledges that there are limitations to the investigation and concludes that “additional research is needed”. </w:t>
      </w:r>
      <w:r w:rsidR="00EB4BE4">
        <w:t xml:space="preserve">The literature is also based on how this scheme was implemented in Canada as opposed to the UK. Whilst it does provide some context to how it can assist police, the data does not reflect policing nor the demand on police in the UK therefore making the scheme helpful but not necessarily reflective of how effective the scheme will be in the UK. </w:t>
      </w:r>
      <w:r w:rsidR="007F30C2">
        <w:t>Puntis investigated the ‘Street Triage’ scheme from the UK perspective of policing and concluded that “street triage might reduce the number of people taken to a place of safety under Section 136”. Puntis however also acknowledges that there is also a clear “lack of evidence” to evaluate fully how useful the scheme is in reducing the demand upon the police service. O</w:t>
      </w:r>
      <w:r w:rsidR="00626D9C">
        <w:t xml:space="preserve">verall, </w:t>
      </w:r>
      <w:r w:rsidR="001741D7">
        <w:t xml:space="preserve">the source is valuable as it is key to the question posed. It highlights that schemes have been created previously and there have been cases of success in reducing demand upon the police. However, due to mental health becoming more prominent in more recent years, it could be argued that there has not been sufficient time for a well-established support network to have been created. </w:t>
      </w:r>
      <w:r w:rsidR="0047440E">
        <w:t xml:space="preserve">This is mirrored in these </w:t>
      </w:r>
      <w:r w:rsidR="005203F1">
        <w:t>2 studies where they both</w:t>
      </w:r>
      <w:r w:rsidR="0047440E">
        <w:t xml:space="preserve"> conclude similarly </w:t>
      </w:r>
      <w:r w:rsidR="00CC0136">
        <w:t xml:space="preserve">that further research would be required. </w:t>
      </w:r>
    </w:p>
    <w:p w:rsidR="000063F5" w:rsidRDefault="000063F5" w:rsidP="00C338CE"/>
    <w:p w:rsidR="00435AC3" w:rsidRDefault="00435AC3" w:rsidP="00435AC3">
      <w:r>
        <w:t xml:space="preserve">Marcus (2022) makes reference to a police model referred to as the “Crisis Intervention Team”.  Although it provided limited success, more interestingly however, Marcus states that “regarding interactions with police, most service users reported mixed, variable or negative experiences”. This would indicate that perhaps the police may not be the best service to engage with persons in crisis due to connotations associated with the police and the service user feeling as being treated like a prisoner. </w:t>
      </w:r>
    </w:p>
    <w:p w:rsidR="00435AC3" w:rsidRDefault="00435AC3" w:rsidP="00C338CE"/>
    <w:p w:rsidR="00CC0136" w:rsidRDefault="00392F3F" w:rsidP="00C338CE">
      <w:r>
        <w:t xml:space="preserve">Callender </w:t>
      </w:r>
      <w:r>
        <w:rPr>
          <w:i/>
        </w:rPr>
        <w:t xml:space="preserve">et al. </w:t>
      </w:r>
      <w:r w:rsidR="00285B3C">
        <w:t>(2019</w:t>
      </w:r>
      <w:r>
        <w:t>)</w:t>
      </w:r>
      <w:r w:rsidR="00B531B6">
        <w:t xml:space="preserve"> provides a less recent but</w:t>
      </w:r>
      <w:r w:rsidR="00285B3C">
        <w:t xml:space="preserve"> more focused piece of literature on the UK police in partnership with the NHS</w:t>
      </w:r>
      <w:r w:rsidR="00B531B6">
        <w:t xml:space="preserve">. </w:t>
      </w:r>
      <w:r w:rsidR="00E81656">
        <w:t xml:space="preserve">The author explores how the use of the ‘street triage’ resulted in “reduced use of detainment powers </w:t>
      </w:r>
      <w:r w:rsidR="00B728D8">
        <w:t>under Section 136”</w:t>
      </w:r>
      <w:r w:rsidR="00386222">
        <w:t>, the study provides a positive benefit to how demand can be reduced on the police when working in partnership with mental health services</w:t>
      </w:r>
      <w:r w:rsidR="009E6030">
        <w:t xml:space="preserve"> which brings to light a possible solution to certainly reducing the current demand upon the police</w:t>
      </w:r>
      <w:r w:rsidR="00B728D8">
        <w:t>.</w:t>
      </w:r>
      <w:r w:rsidR="009E6030">
        <w:t xml:space="preserve"> </w:t>
      </w:r>
      <w:r w:rsidR="002022F5">
        <w:t>Interestingly, the author goes onto say referring to the scheme as “it is also felt to be under-</w:t>
      </w:r>
      <w:r w:rsidR="002022F5">
        <w:lastRenderedPageBreak/>
        <w:t>resourced and under-developed”</w:t>
      </w:r>
      <w:r w:rsidR="00E91D6B">
        <w:t xml:space="preserve">. Although this theme has been emerging in all author’s pieces of writing, Callender goes a step further and covers an additional challenge to the model which has not been explored by other writers which is the requirement of sufficient resource. </w:t>
      </w:r>
      <w:r w:rsidR="006B399A">
        <w:t xml:space="preserve">However, the source is limited as the study firstly does not focus on the UK but rather only England. As the NHS in Wales is operated differently to that in the UK, the results cannot be related to Wales and the scheme’s effectiveness. </w:t>
      </w:r>
      <w:r w:rsidR="00AA4E66">
        <w:t xml:space="preserve">Moreover, the study conducts a controlled investigation by only selecting “three sites in England” which further limits the source as although the operation may have been successful in these precise locations, it is unclear if the scheme would be overrun in a busier city within the UK. </w:t>
      </w:r>
      <w:r w:rsidR="002022F5">
        <w:t xml:space="preserve"> </w:t>
      </w:r>
      <w:r w:rsidR="00386222">
        <w:t xml:space="preserve"> </w:t>
      </w:r>
      <w:r w:rsidR="00B728D8">
        <w:t xml:space="preserve"> </w:t>
      </w:r>
      <w:r w:rsidR="00285B3C">
        <w:t xml:space="preserve"> </w:t>
      </w:r>
      <w:r>
        <w:t xml:space="preserve"> </w:t>
      </w:r>
    </w:p>
    <w:p w:rsidR="00A2662E" w:rsidRPr="00392F3F" w:rsidRDefault="00A2662E" w:rsidP="00C338CE"/>
    <w:p w:rsidR="00CC0136" w:rsidRDefault="008B5776" w:rsidP="00C338CE">
      <w:r>
        <w:t xml:space="preserve">In conclusion, this literature review has provided an insight into how large an issue poor mental health is in the UK currently and that it does not appear to be </w:t>
      </w:r>
      <w:r w:rsidR="00E00407">
        <w:t xml:space="preserve">plateauing anytime soon. This then naturally leads to an increase in person’s being detained under the Mental Health Act. </w:t>
      </w:r>
      <w:r w:rsidR="004E24E2">
        <w:t xml:space="preserve">The research from authors such as Senior and McDaniel lean toward police being responsible for attending these types of incidents whereas Baker and Lane view this area as </w:t>
      </w:r>
      <w:r w:rsidR="0024068C">
        <w:t xml:space="preserve">the </w:t>
      </w:r>
      <w:r w:rsidR="004E24E2">
        <w:t>police being used as ‘scape goats’ as an emergency resource to assist the unequipped NHS</w:t>
      </w:r>
      <w:r w:rsidR="0024068C">
        <w:t xml:space="preserve">. </w:t>
      </w:r>
      <w:r w:rsidR="002D3760">
        <w:t>However, it is clear that schemes that have a NHS and police partnership approach have been attempted previously with some limited success</w:t>
      </w:r>
      <w:r w:rsidR="005C64F2">
        <w:t xml:space="preserve">. Furthermore, these authors all concede that their research is limited and encourage further studies before determining projects such as ‘street triage’ (Callender </w:t>
      </w:r>
      <w:r w:rsidR="005C64F2">
        <w:rPr>
          <w:i/>
        </w:rPr>
        <w:t xml:space="preserve">et al, </w:t>
      </w:r>
      <w:r w:rsidR="005C64F2">
        <w:t xml:space="preserve">2019) as effective. </w:t>
      </w:r>
      <w:r w:rsidR="002D3760">
        <w:t xml:space="preserve">There are evident gaps for future research in most of these literatures, this further research would allow </w:t>
      </w:r>
      <w:r w:rsidR="005C64F2">
        <w:t>for a more accurate and promising solution to the question presented.</w:t>
      </w:r>
      <w:r w:rsidR="002D3760">
        <w:t xml:space="preserve"> </w:t>
      </w:r>
    </w:p>
    <w:p w:rsidR="00A21ECB" w:rsidRDefault="00A21ECB" w:rsidP="00C338CE"/>
    <w:p w:rsidR="00F16032" w:rsidRDefault="005203F1" w:rsidP="00C338CE">
      <w:r>
        <w:t>WORD COUNT 2743</w:t>
      </w:r>
    </w:p>
    <w:p w:rsidR="0048203A" w:rsidRPr="002F6A47" w:rsidRDefault="0048203A" w:rsidP="00C338CE"/>
    <w:p w:rsidR="00B77D63" w:rsidRDefault="00D23058">
      <w:pPr>
        <w:rPr>
          <w:b/>
          <w:sz w:val="28"/>
          <w:u w:val="single"/>
        </w:rPr>
      </w:pPr>
    </w:p>
    <w:p w:rsidR="001E49A7" w:rsidRDefault="001E49A7">
      <w:pPr>
        <w:rPr>
          <w:b/>
          <w:sz w:val="28"/>
          <w:u w:val="single"/>
        </w:rPr>
      </w:pPr>
    </w:p>
    <w:p w:rsidR="00B65103" w:rsidRDefault="00B65103">
      <w:pPr>
        <w:rPr>
          <w:b/>
          <w:sz w:val="28"/>
          <w:u w:val="single"/>
        </w:rPr>
      </w:pPr>
    </w:p>
    <w:p w:rsidR="00B65103" w:rsidRDefault="00B65103">
      <w:pPr>
        <w:rPr>
          <w:b/>
          <w:sz w:val="28"/>
          <w:u w:val="single"/>
        </w:rPr>
      </w:pPr>
    </w:p>
    <w:p w:rsidR="00B65103" w:rsidRDefault="00B65103">
      <w:pPr>
        <w:rPr>
          <w:b/>
          <w:sz w:val="28"/>
          <w:u w:val="single"/>
        </w:rPr>
      </w:pPr>
    </w:p>
    <w:p w:rsidR="00B65103" w:rsidRDefault="00B65103">
      <w:pPr>
        <w:rPr>
          <w:b/>
          <w:sz w:val="28"/>
          <w:u w:val="single"/>
        </w:rPr>
      </w:pPr>
    </w:p>
    <w:p w:rsidR="00B65103" w:rsidRDefault="00B65103">
      <w:pPr>
        <w:rPr>
          <w:b/>
          <w:sz w:val="28"/>
          <w:u w:val="single"/>
        </w:rPr>
      </w:pPr>
    </w:p>
    <w:p w:rsidR="00954DD6" w:rsidRDefault="00954DD6">
      <w:pPr>
        <w:rPr>
          <w:b/>
          <w:sz w:val="28"/>
          <w:u w:val="single"/>
        </w:rPr>
      </w:pPr>
    </w:p>
    <w:p w:rsidR="00954DD6" w:rsidRDefault="00954DD6">
      <w:pPr>
        <w:rPr>
          <w:b/>
          <w:sz w:val="28"/>
          <w:u w:val="single"/>
        </w:rPr>
      </w:pPr>
    </w:p>
    <w:p w:rsidR="00954DD6" w:rsidRDefault="00954DD6">
      <w:pPr>
        <w:rPr>
          <w:b/>
          <w:sz w:val="28"/>
          <w:u w:val="single"/>
        </w:rPr>
      </w:pPr>
    </w:p>
    <w:p w:rsidR="00954DD6" w:rsidRDefault="00954DD6">
      <w:pPr>
        <w:rPr>
          <w:b/>
          <w:sz w:val="28"/>
          <w:u w:val="single"/>
        </w:rPr>
      </w:pPr>
    </w:p>
    <w:p w:rsidR="00954DD6" w:rsidRDefault="00954DD6">
      <w:pPr>
        <w:rPr>
          <w:b/>
          <w:sz w:val="28"/>
          <w:u w:val="single"/>
        </w:rPr>
      </w:pPr>
    </w:p>
    <w:p w:rsidR="001E49A7" w:rsidRPr="0044705C" w:rsidRDefault="0044705C">
      <w:pPr>
        <w:rPr>
          <w:sz w:val="28"/>
        </w:rPr>
      </w:pPr>
      <w:r>
        <w:rPr>
          <w:b/>
          <w:sz w:val="28"/>
          <w:u w:val="single"/>
        </w:rPr>
        <w:lastRenderedPageBreak/>
        <w:t>Bibliography</w:t>
      </w:r>
      <w:r>
        <w:rPr>
          <w:sz w:val="28"/>
        </w:rPr>
        <w:t xml:space="preserve"> </w:t>
      </w:r>
    </w:p>
    <w:p w:rsidR="0045295A" w:rsidRDefault="0045295A">
      <w:pPr>
        <w:rPr>
          <w:rFonts w:ascii="Arial" w:hAnsi="Arial" w:cs="Arial"/>
        </w:rPr>
      </w:pPr>
    </w:p>
    <w:p w:rsidR="0045295A" w:rsidRDefault="00291F51" w:rsidP="00291F51">
      <w:pPr>
        <w:rPr>
          <w:rFonts w:ascii="Arial" w:hAnsi="Arial" w:cs="Arial"/>
        </w:rPr>
      </w:pPr>
      <w:r w:rsidRPr="00291F51">
        <w:rPr>
          <w:rFonts w:ascii="Arial" w:hAnsi="Arial" w:cs="Arial"/>
        </w:rPr>
        <w:t xml:space="preserve">Baker, D. (2016) </w:t>
      </w:r>
      <w:r w:rsidR="00B932FD">
        <w:rPr>
          <w:rFonts w:ascii="Arial" w:hAnsi="Arial" w:cs="Arial"/>
        </w:rPr>
        <w:t>‘</w:t>
      </w:r>
      <w:r w:rsidRPr="00291F51">
        <w:rPr>
          <w:rFonts w:ascii="Arial" w:hAnsi="Arial" w:cs="Arial"/>
        </w:rPr>
        <w:t>Deaths After Police Contact Constructing Accountability in the 21st Century.</w:t>
      </w:r>
      <w:r w:rsidR="00B932FD">
        <w:rPr>
          <w:rFonts w:ascii="Arial" w:hAnsi="Arial" w:cs="Arial"/>
        </w:rPr>
        <w:t>’</w:t>
      </w:r>
      <w:r w:rsidRPr="00291F51">
        <w:rPr>
          <w:rFonts w:ascii="Arial" w:hAnsi="Arial" w:cs="Arial"/>
        </w:rPr>
        <w:t xml:space="preserve"> 1st ed. 2016. London: Palgrave Macmillan UK. Available at: </w:t>
      </w:r>
      <w:hyperlink r:id="rId6" w:history="1">
        <w:r w:rsidRPr="00DF7876">
          <w:rPr>
            <w:rStyle w:val="Hyperlink"/>
            <w:rFonts w:ascii="Arial" w:hAnsi="Arial" w:cs="Arial"/>
          </w:rPr>
          <w:t>https://doi.org/10.1057/978-1-137-58967-5</w:t>
        </w:r>
      </w:hyperlink>
      <w:r w:rsidRPr="00291F51">
        <w:rPr>
          <w:rFonts w:ascii="Arial" w:hAnsi="Arial" w:cs="Arial"/>
        </w:rPr>
        <w:t>.</w:t>
      </w:r>
      <w:r>
        <w:rPr>
          <w:rFonts w:ascii="Arial" w:hAnsi="Arial" w:cs="Arial"/>
        </w:rPr>
        <w:t xml:space="preserve"> </w:t>
      </w:r>
      <w:r w:rsidR="0045295A" w:rsidRPr="0045295A">
        <w:rPr>
          <w:rFonts w:ascii="Arial" w:hAnsi="Arial" w:cs="Arial"/>
        </w:rPr>
        <w:t>Accessed: 10/09/22</w:t>
      </w:r>
    </w:p>
    <w:p w:rsidR="0045295A" w:rsidRPr="0045295A" w:rsidRDefault="0045295A">
      <w:pPr>
        <w:rPr>
          <w:rFonts w:ascii="Arial" w:hAnsi="Arial" w:cs="Arial"/>
        </w:rPr>
      </w:pPr>
    </w:p>
    <w:p w:rsidR="0044705C" w:rsidRPr="00BD3F97" w:rsidRDefault="0044705C">
      <w:pPr>
        <w:rPr>
          <w:rFonts w:ascii="Arial" w:hAnsi="Arial" w:cs="Arial"/>
        </w:rPr>
      </w:pPr>
      <w:r w:rsidRPr="00BD3F97">
        <w:rPr>
          <w:rFonts w:ascii="Arial" w:hAnsi="Arial" w:cs="Arial"/>
          <w:shd w:val="clear" w:color="auto" w:fill="FFFFFF"/>
        </w:rPr>
        <w:t>Baker, C. (2020), ‘</w:t>
      </w:r>
      <w:r w:rsidRPr="00BD3F97">
        <w:rPr>
          <w:rFonts w:ascii="Arial" w:hAnsi="Arial" w:cs="Arial"/>
          <w:i/>
          <w:shd w:val="clear" w:color="auto" w:fill="FFFFFF"/>
        </w:rPr>
        <w:t>Mental health statistics for England: prevalence, services and funding</w:t>
      </w:r>
      <w:r w:rsidRPr="00BD3F97">
        <w:rPr>
          <w:rFonts w:ascii="Arial" w:hAnsi="Arial" w:cs="Arial"/>
          <w:i/>
          <w:color w:val="222222"/>
          <w:shd w:val="clear" w:color="auto" w:fill="FFFFFF"/>
        </w:rPr>
        <w:t>.’</w:t>
      </w:r>
      <w:r w:rsidRPr="00BD3F97">
        <w:rPr>
          <w:rFonts w:ascii="Arial" w:hAnsi="Arial" w:cs="Arial"/>
          <w:color w:val="222222"/>
          <w:shd w:val="clear" w:color="auto" w:fill="FFFFFF"/>
        </w:rPr>
        <w:t xml:space="preserve">  Available at: </w:t>
      </w:r>
      <w:hyperlink r:id="rId7" w:history="1">
        <w:r w:rsidRPr="00BD3F97">
          <w:rPr>
            <w:rStyle w:val="Hyperlink"/>
            <w:rFonts w:ascii="Arial" w:hAnsi="Arial" w:cs="Arial"/>
          </w:rPr>
          <w:t>Mental health statistics for England: prevalence, services and funding (ioe.ac.uk)</w:t>
        </w:r>
      </w:hyperlink>
      <w:r w:rsidRPr="00BD3F97">
        <w:rPr>
          <w:rStyle w:val="Hyperlink"/>
          <w:rFonts w:ascii="Arial" w:hAnsi="Arial" w:cs="Arial"/>
        </w:rPr>
        <w:t xml:space="preserve"> </w:t>
      </w:r>
      <w:r w:rsidRPr="00BD3F97">
        <w:rPr>
          <w:rFonts w:ascii="Arial" w:hAnsi="Arial" w:cs="Arial"/>
        </w:rPr>
        <w:t>Accessed: 13/9/22</w:t>
      </w:r>
    </w:p>
    <w:p w:rsidR="00BD3F97" w:rsidRDefault="00BD3F97">
      <w:pPr>
        <w:rPr>
          <w:rFonts w:ascii="Arial" w:hAnsi="Arial" w:cs="Arial"/>
        </w:rPr>
      </w:pPr>
    </w:p>
    <w:p w:rsidR="00FB3028" w:rsidRDefault="00291F51" w:rsidP="00291F51">
      <w:pPr>
        <w:rPr>
          <w:rFonts w:ascii="Arial" w:hAnsi="Arial" w:cs="Arial"/>
        </w:rPr>
      </w:pPr>
      <w:r w:rsidRPr="00291F51">
        <w:rPr>
          <w:rFonts w:ascii="Arial" w:hAnsi="Arial" w:cs="Arial"/>
        </w:rPr>
        <w:t>Blais, E. and Brisebois, D. (2021) ‘Improving police responses to suicide</w:t>
      </w:r>
      <w:r w:rsidRPr="00291F51">
        <w:rPr>
          <w:rFonts w:ascii="Cambria Math" w:hAnsi="Cambria Math" w:cs="Cambria Math"/>
        </w:rPr>
        <w:t>‐</w:t>
      </w:r>
      <w:r w:rsidRPr="00291F51">
        <w:rPr>
          <w:rFonts w:ascii="Arial" w:hAnsi="Arial" w:cs="Arial"/>
        </w:rPr>
        <w:t>related emergencies: New evidence on the effectiveness of co</w:t>
      </w:r>
      <w:r w:rsidRPr="00291F51">
        <w:rPr>
          <w:rFonts w:ascii="Cambria Math" w:hAnsi="Cambria Math" w:cs="Cambria Math"/>
        </w:rPr>
        <w:t>‐</w:t>
      </w:r>
      <w:r w:rsidRPr="00291F51">
        <w:rPr>
          <w:rFonts w:ascii="Arial" w:hAnsi="Arial" w:cs="Arial"/>
        </w:rPr>
        <w:t>response police</w:t>
      </w:r>
      <w:r w:rsidRPr="00291F51">
        <w:rPr>
          <w:rFonts w:ascii="Cambria Math" w:hAnsi="Cambria Math" w:cs="Cambria Math"/>
        </w:rPr>
        <w:t>‐</w:t>
      </w:r>
      <w:r w:rsidRPr="00291F51">
        <w:rPr>
          <w:rFonts w:ascii="Arial" w:hAnsi="Arial" w:cs="Arial"/>
        </w:rPr>
        <w:t xml:space="preserve">mental health programs’, Suicide &amp; life-threatening behavior, 51(6), pp. 1095–1105. Available at: </w:t>
      </w:r>
      <w:hyperlink r:id="rId8" w:history="1">
        <w:r w:rsidRPr="00DF7876">
          <w:rPr>
            <w:rStyle w:val="Hyperlink"/>
            <w:rFonts w:ascii="Arial" w:hAnsi="Arial" w:cs="Arial"/>
          </w:rPr>
          <w:t>https://doi.org/10.1111/sltb.12792</w:t>
        </w:r>
      </w:hyperlink>
      <w:r w:rsidR="00B36656">
        <w:rPr>
          <w:rFonts w:ascii="Arial" w:hAnsi="Arial" w:cs="Arial"/>
        </w:rPr>
        <w:t xml:space="preserve"> </w:t>
      </w:r>
      <w:r w:rsidR="00FB3028">
        <w:rPr>
          <w:rFonts w:ascii="Arial" w:hAnsi="Arial" w:cs="Arial"/>
        </w:rPr>
        <w:t>Accessed: 01/10/22</w:t>
      </w:r>
    </w:p>
    <w:p w:rsidR="00FB3028" w:rsidRPr="00BD3F97" w:rsidRDefault="00FB3028">
      <w:pPr>
        <w:rPr>
          <w:rFonts w:ascii="Arial" w:hAnsi="Arial" w:cs="Arial"/>
        </w:rPr>
      </w:pPr>
    </w:p>
    <w:p w:rsidR="00BD3F97" w:rsidRPr="00BD3F97" w:rsidRDefault="00BD3F97">
      <w:pPr>
        <w:rPr>
          <w:rFonts w:ascii="Arial" w:hAnsi="Arial" w:cs="Arial"/>
        </w:rPr>
      </w:pPr>
      <w:r w:rsidRPr="00BD3F97">
        <w:rPr>
          <w:rFonts w:ascii="Arial" w:hAnsi="Arial" w:cs="Arial"/>
        </w:rPr>
        <w:t xml:space="preserve">Callender, M. et al. (2021) ‘Mental health street triage: Comparing experiences of delivery across three sites’, Journal of psychiatric and mental health nursing, 28(1), pp. 16–27. Available at: </w:t>
      </w:r>
      <w:hyperlink r:id="rId9" w:history="1">
        <w:r w:rsidRPr="00BD3F97">
          <w:rPr>
            <w:rStyle w:val="Hyperlink"/>
            <w:rFonts w:ascii="Arial" w:hAnsi="Arial" w:cs="Arial"/>
          </w:rPr>
          <w:t>Mental health street triage: Comparing experiences of delivery across three sites - Callender - 2021 - Journal of Psychiatric and Mental Health Nursing - Wiley Online Library (uwtsd.ac.uk)</w:t>
        </w:r>
      </w:hyperlink>
      <w:r w:rsidRPr="00BD3F97">
        <w:rPr>
          <w:rFonts w:ascii="Arial" w:hAnsi="Arial" w:cs="Arial"/>
        </w:rPr>
        <w:t xml:space="preserve">  Accessed: 25/09/22</w:t>
      </w:r>
    </w:p>
    <w:tbl>
      <w:tblPr>
        <w:tblW w:w="6570" w:type="dxa"/>
        <w:shd w:val="clear" w:color="auto" w:fill="FFFFFF"/>
        <w:tblCellMar>
          <w:left w:w="0" w:type="dxa"/>
          <w:right w:w="0" w:type="dxa"/>
        </w:tblCellMar>
        <w:tblLook w:val="04A0" w:firstRow="1" w:lastRow="0" w:firstColumn="1" w:lastColumn="0" w:noHBand="0" w:noVBand="1"/>
      </w:tblPr>
      <w:tblGrid>
        <w:gridCol w:w="6414"/>
        <w:gridCol w:w="156"/>
      </w:tblGrid>
      <w:tr w:rsidR="00FF6854" w:rsidTr="00FF6854">
        <w:tc>
          <w:tcPr>
            <w:tcW w:w="0" w:type="auto"/>
            <w:shd w:val="clear" w:color="auto" w:fill="FFFFFF"/>
            <w:noWrap/>
            <w:tcMar>
              <w:top w:w="120" w:type="dxa"/>
              <w:left w:w="0" w:type="dxa"/>
              <w:bottom w:w="120" w:type="dxa"/>
              <w:right w:w="240" w:type="dxa"/>
            </w:tcMar>
            <w:hideMark/>
          </w:tcPr>
          <w:p w:rsidR="00FF6854" w:rsidRDefault="00FF6854" w:rsidP="00FF6854">
            <w:pPr>
              <w:rPr>
                <w:rFonts w:ascii="Arial" w:hAnsi="Arial" w:cs="Arial"/>
                <w:color w:val="777777"/>
                <w:sz w:val="20"/>
                <w:szCs w:val="20"/>
              </w:rPr>
            </w:pPr>
          </w:p>
        </w:tc>
        <w:tc>
          <w:tcPr>
            <w:tcW w:w="0" w:type="auto"/>
            <w:shd w:val="clear" w:color="auto" w:fill="FFFFFF"/>
            <w:tcMar>
              <w:top w:w="120" w:type="dxa"/>
              <w:left w:w="0" w:type="dxa"/>
              <w:bottom w:w="120" w:type="dxa"/>
              <w:right w:w="0" w:type="dxa"/>
            </w:tcMar>
            <w:hideMark/>
          </w:tcPr>
          <w:p w:rsidR="00FF6854" w:rsidRDefault="00FF6854">
            <w:pPr>
              <w:jc w:val="right"/>
              <w:rPr>
                <w:rFonts w:ascii="Arial" w:hAnsi="Arial" w:cs="Arial"/>
                <w:color w:val="777777"/>
                <w:sz w:val="20"/>
                <w:szCs w:val="20"/>
              </w:rPr>
            </w:pPr>
          </w:p>
        </w:tc>
      </w:tr>
    </w:tbl>
    <w:p w:rsidR="00F43E75" w:rsidRDefault="00F43E75" w:rsidP="00F43E75">
      <w:pPr>
        <w:rPr>
          <w:rFonts w:ascii="Arial" w:hAnsi="Arial" w:cs="Arial"/>
        </w:rPr>
      </w:pPr>
    </w:p>
    <w:p w:rsidR="00BD3F97" w:rsidRDefault="00F43E75" w:rsidP="00F43E75">
      <w:pPr>
        <w:rPr>
          <w:rFonts w:ascii="Arial" w:hAnsi="Arial" w:cs="Arial"/>
        </w:rPr>
      </w:pPr>
      <w:r w:rsidRPr="00F43E75">
        <w:rPr>
          <w:rFonts w:ascii="Arial" w:hAnsi="Arial" w:cs="Arial"/>
        </w:rPr>
        <w:t>Davidson, G. et al. (2016) Models of mental health. London: Palgrave Macmillan Education.</w:t>
      </w:r>
      <w:r w:rsidRPr="00F43E75">
        <w:rPr>
          <w:rFonts w:ascii="Arial" w:hAnsi="Arial" w:cs="Arial"/>
        </w:rPr>
        <w:t xml:space="preserve"> </w:t>
      </w:r>
      <w:r w:rsidR="00B36656">
        <w:rPr>
          <w:rFonts w:ascii="Arial" w:hAnsi="Arial" w:cs="Arial"/>
        </w:rPr>
        <w:t xml:space="preserve">Pg. 35. Available at: </w:t>
      </w:r>
      <w:hyperlink r:id="rId10" w:history="1">
        <w:r w:rsidR="00BD3F97" w:rsidRPr="00BD3F97">
          <w:rPr>
            <w:rStyle w:val="Hyperlink"/>
            <w:rFonts w:ascii="Arial" w:hAnsi="Arial" w:cs="Arial"/>
          </w:rPr>
          <w:t>https://ebookcentral.proquest.com/lib/trinity/detail.action?docID=4763795</w:t>
        </w:r>
      </w:hyperlink>
      <w:r w:rsidR="00BD3F97" w:rsidRPr="00BD3F97">
        <w:rPr>
          <w:rFonts w:ascii="Arial" w:hAnsi="Arial" w:cs="Arial"/>
        </w:rPr>
        <w:t xml:space="preserve"> Accessed: 19/09/22</w:t>
      </w:r>
    </w:p>
    <w:p w:rsidR="00856E33" w:rsidRPr="00BD3F97" w:rsidRDefault="00856E33">
      <w:pPr>
        <w:rPr>
          <w:rFonts w:ascii="Arial" w:hAnsi="Arial" w:cs="Arial"/>
        </w:rPr>
      </w:pPr>
    </w:p>
    <w:p w:rsidR="00856E33" w:rsidRDefault="00F43E75" w:rsidP="00F43E75">
      <w:pPr>
        <w:rPr>
          <w:rFonts w:ascii="Arial" w:hAnsi="Arial" w:cs="Arial"/>
        </w:rPr>
      </w:pPr>
      <w:r w:rsidRPr="00F43E75">
        <w:rPr>
          <w:rFonts w:ascii="Arial" w:hAnsi="Arial" w:cs="Arial"/>
        </w:rPr>
        <w:t xml:space="preserve">Janopaul-Naylor, E. et al. (2019) ‘Promising Approaches to Police-Mental Health Partnerships to Improve Service Utilization for At-Risk Youth’, Translational issues in psychological science, 5(2), pp. 206–215. Available at: </w:t>
      </w:r>
      <w:hyperlink r:id="rId11" w:history="1">
        <w:r w:rsidRPr="00DF7876">
          <w:rPr>
            <w:rStyle w:val="Hyperlink"/>
            <w:rFonts w:ascii="Arial" w:hAnsi="Arial" w:cs="Arial"/>
          </w:rPr>
          <w:t>https://doi.org/10.1037/tps0000196</w:t>
        </w:r>
      </w:hyperlink>
      <w:r w:rsidRPr="00F43E75">
        <w:rPr>
          <w:rFonts w:ascii="Arial" w:hAnsi="Arial" w:cs="Arial"/>
        </w:rPr>
        <w:t>.</w:t>
      </w:r>
      <w:r>
        <w:rPr>
          <w:rFonts w:ascii="Arial" w:hAnsi="Arial" w:cs="Arial"/>
        </w:rPr>
        <w:t xml:space="preserve"> </w:t>
      </w:r>
      <w:r w:rsidR="00856E33">
        <w:rPr>
          <w:rFonts w:ascii="Arial" w:hAnsi="Arial" w:cs="Arial"/>
        </w:rPr>
        <w:t>Accessed 22/09/22</w:t>
      </w:r>
    </w:p>
    <w:p w:rsidR="00856E33" w:rsidRDefault="00856E33">
      <w:pPr>
        <w:rPr>
          <w:rFonts w:ascii="Arial" w:hAnsi="Arial" w:cs="Arial"/>
        </w:rPr>
      </w:pPr>
    </w:p>
    <w:p w:rsidR="00932E55" w:rsidRDefault="00F43E75">
      <w:pPr>
        <w:rPr>
          <w:rFonts w:ascii="Arial" w:hAnsi="Arial" w:cs="Arial"/>
        </w:rPr>
      </w:pPr>
      <w:r w:rsidRPr="00F43E75">
        <w:rPr>
          <w:rFonts w:ascii="Arial" w:hAnsi="Arial" w:cs="Arial"/>
        </w:rPr>
        <w:t>Kane, E., Cattell, J. and Wire, J. (2021) ‘Mental health</w:t>
      </w:r>
      <w:r w:rsidRPr="00F43E75">
        <w:rPr>
          <w:rFonts w:ascii="Cambria Math" w:hAnsi="Cambria Math" w:cs="Cambria Math"/>
        </w:rPr>
        <w:t>‐</w:t>
      </w:r>
      <w:r w:rsidRPr="00F43E75">
        <w:rPr>
          <w:rFonts w:ascii="Arial" w:hAnsi="Arial" w:cs="Arial"/>
        </w:rPr>
        <w:t xml:space="preserve">related police incidents: Results of a national census exercise in England and Wales’, Criminal behaviour and mental health, 31(4), pp. 262–274. Available at: </w:t>
      </w:r>
      <w:hyperlink r:id="rId12" w:history="1">
        <w:r w:rsidRPr="00DF7876">
          <w:rPr>
            <w:rStyle w:val="Hyperlink"/>
            <w:rFonts w:ascii="Arial" w:hAnsi="Arial" w:cs="Arial"/>
          </w:rPr>
          <w:t>https://doi.org/10.1002/cbm.2206</w:t>
        </w:r>
      </w:hyperlink>
      <w:r w:rsidRPr="00F43E75">
        <w:rPr>
          <w:rFonts w:ascii="Arial" w:hAnsi="Arial" w:cs="Arial"/>
        </w:rPr>
        <w:t>.</w:t>
      </w:r>
      <w:r>
        <w:rPr>
          <w:rFonts w:ascii="Arial" w:hAnsi="Arial" w:cs="Arial"/>
        </w:rPr>
        <w:t xml:space="preserve"> </w:t>
      </w:r>
      <w:r w:rsidR="00932E55">
        <w:rPr>
          <w:rFonts w:ascii="Arial" w:hAnsi="Arial" w:cs="Arial"/>
        </w:rPr>
        <w:t>Accessed 27/09/22</w:t>
      </w:r>
    </w:p>
    <w:p w:rsidR="00F43E75" w:rsidRPr="00F43E75" w:rsidRDefault="00F43E75" w:rsidP="00F43E75">
      <w:pPr>
        <w:rPr>
          <w:rFonts w:ascii="Arial" w:hAnsi="Arial" w:cs="Arial"/>
        </w:rPr>
      </w:pPr>
    </w:p>
    <w:p w:rsidR="0045295A" w:rsidRDefault="00F43E75">
      <w:pPr>
        <w:rPr>
          <w:rFonts w:ascii="Arial" w:hAnsi="Arial" w:cs="Arial"/>
        </w:rPr>
      </w:pPr>
      <w:r w:rsidRPr="00F43E75">
        <w:rPr>
          <w:rFonts w:ascii="Arial" w:hAnsi="Arial" w:cs="Arial"/>
        </w:rPr>
        <w:t>Lane, R. (2019) ‘“I”m a police officer not a social worker or mental health nurse’: Online discourses of exclusion and resistance regarding mental health</w:t>
      </w:r>
      <w:r w:rsidRPr="00F43E75">
        <w:rPr>
          <w:rFonts w:ascii="Cambria Math" w:hAnsi="Cambria Math" w:cs="Cambria Math"/>
        </w:rPr>
        <w:t>‐</w:t>
      </w:r>
      <w:r w:rsidRPr="00F43E75">
        <w:rPr>
          <w:rFonts w:ascii="Arial" w:hAnsi="Arial" w:cs="Arial"/>
        </w:rPr>
        <w:t xml:space="preserve">related police work’, Journal of community &amp; applied social psychology, 29(5), pp. 429–442. Available at: </w:t>
      </w:r>
      <w:hyperlink r:id="rId13" w:history="1">
        <w:r w:rsidRPr="00DF7876">
          <w:rPr>
            <w:rStyle w:val="Hyperlink"/>
            <w:rFonts w:ascii="Arial" w:hAnsi="Arial" w:cs="Arial"/>
          </w:rPr>
          <w:t>https://doi.org/10.1002/casp.2410</w:t>
        </w:r>
      </w:hyperlink>
      <w:r w:rsidRPr="00F43E75">
        <w:rPr>
          <w:rFonts w:ascii="Arial" w:hAnsi="Arial" w:cs="Arial"/>
        </w:rPr>
        <w:t>.</w:t>
      </w:r>
      <w:r>
        <w:rPr>
          <w:rFonts w:ascii="Arial" w:hAnsi="Arial" w:cs="Arial"/>
        </w:rPr>
        <w:t xml:space="preserve"> </w:t>
      </w:r>
      <w:r w:rsidR="0045295A">
        <w:rPr>
          <w:rFonts w:ascii="Arial" w:hAnsi="Arial" w:cs="Arial"/>
        </w:rPr>
        <w:t>Accessed 18/10/22</w:t>
      </w:r>
    </w:p>
    <w:p w:rsidR="0063709E" w:rsidRPr="0063709E" w:rsidRDefault="0063709E" w:rsidP="0063709E">
      <w:pPr>
        <w:rPr>
          <w:rFonts w:ascii="Arial" w:hAnsi="Arial" w:cs="Arial"/>
        </w:rPr>
      </w:pPr>
    </w:p>
    <w:p w:rsidR="0063709E" w:rsidRDefault="0063709E" w:rsidP="0063709E">
      <w:pPr>
        <w:rPr>
          <w:rFonts w:ascii="Arial" w:hAnsi="Arial" w:cs="Arial"/>
        </w:rPr>
      </w:pPr>
      <w:r w:rsidRPr="0063709E">
        <w:rPr>
          <w:rFonts w:ascii="Arial" w:hAnsi="Arial" w:cs="Arial"/>
        </w:rPr>
        <w:t>Marcus, N. and Stergiopoulos, V. (2022) ‘</w:t>
      </w:r>
      <w:r w:rsidRPr="0063709E">
        <w:rPr>
          <w:rFonts w:ascii="Arial" w:hAnsi="Arial" w:cs="Arial"/>
          <w:i/>
        </w:rPr>
        <w:t>Re</w:t>
      </w:r>
      <w:r w:rsidRPr="0063709E">
        <w:rPr>
          <w:rFonts w:ascii="Cambria Math" w:hAnsi="Cambria Math" w:cs="Cambria Math"/>
          <w:i/>
        </w:rPr>
        <w:t>‐</w:t>
      </w:r>
      <w:r w:rsidRPr="0063709E">
        <w:rPr>
          <w:rFonts w:ascii="Arial" w:hAnsi="Arial" w:cs="Arial"/>
          <w:i/>
        </w:rPr>
        <w:t>examining mental health crisis intervention: A rapid review comparing outcomes across police, co</w:t>
      </w:r>
      <w:r w:rsidRPr="0063709E">
        <w:rPr>
          <w:rFonts w:ascii="Cambria Math" w:hAnsi="Cambria Math" w:cs="Cambria Math"/>
          <w:i/>
        </w:rPr>
        <w:t>‐</w:t>
      </w:r>
      <w:r w:rsidRPr="0063709E">
        <w:rPr>
          <w:rFonts w:ascii="Arial" w:hAnsi="Arial" w:cs="Arial"/>
          <w:i/>
        </w:rPr>
        <w:t>responder and non</w:t>
      </w:r>
      <w:r w:rsidRPr="0063709E">
        <w:rPr>
          <w:rFonts w:ascii="Cambria Math" w:hAnsi="Cambria Math" w:cs="Cambria Math"/>
          <w:i/>
        </w:rPr>
        <w:t>‐</w:t>
      </w:r>
      <w:r w:rsidRPr="0063709E">
        <w:rPr>
          <w:rFonts w:ascii="Arial" w:hAnsi="Arial" w:cs="Arial"/>
          <w:i/>
        </w:rPr>
        <w:t>police models’</w:t>
      </w:r>
      <w:r w:rsidRPr="0063709E">
        <w:rPr>
          <w:rFonts w:ascii="Arial" w:hAnsi="Arial" w:cs="Arial"/>
        </w:rPr>
        <w:t xml:space="preserve">, Health &amp; social care in the community, 30(5), pp. 1665–1679. Available at: </w:t>
      </w:r>
      <w:hyperlink r:id="rId14" w:history="1">
        <w:r w:rsidRPr="0063709E">
          <w:rPr>
            <w:rStyle w:val="Hyperlink"/>
            <w:rFonts w:ascii="Arial" w:hAnsi="Arial" w:cs="Arial"/>
          </w:rPr>
          <w:t>https://doi.org/10.1111/hsc.13731</w:t>
        </w:r>
      </w:hyperlink>
      <w:r w:rsidRPr="0063709E">
        <w:rPr>
          <w:rFonts w:ascii="Arial" w:hAnsi="Arial" w:cs="Arial"/>
        </w:rPr>
        <w:t>.</w:t>
      </w:r>
      <w:r>
        <w:rPr>
          <w:rFonts w:ascii="Arial" w:hAnsi="Arial" w:cs="Arial"/>
        </w:rPr>
        <w:t xml:space="preserve"> Accessed 17/09/22</w:t>
      </w:r>
    </w:p>
    <w:p w:rsidR="0063709E" w:rsidRDefault="0063709E" w:rsidP="0063709E">
      <w:pPr>
        <w:rPr>
          <w:rFonts w:ascii="Arial" w:hAnsi="Arial" w:cs="Arial"/>
        </w:rPr>
      </w:pPr>
    </w:p>
    <w:p w:rsidR="00694F4E" w:rsidRDefault="00F43E75" w:rsidP="00F43E75">
      <w:pPr>
        <w:rPr>
          <w:rFonts w:ascii="Arial" w:hAnsi="Arial" w:cs="Arial"/>
        </w:rPr>
      </w:pPr>
      <w:r w:rsidRPr="00F43E75">
        <w:rPr>
          <w:rFonts w:ascii="Arial" w:hAnsi="Arial" w:cs="Arial"/>
        </w:rPr>
        <w:t xml:space="preserve">McDaniel, J.L.M., Moss, K. and Pease, K. (2020) Policing and mental health : theory, policy and practice. Edited by J.L.M. McDaniel, K. Moss, and K. </w:t>
      </w:r>
      <w:r>
        <w:rPr>
          <w:rFonts w:ascii="Arial" w:hAnsi="Arial" w:cs="Arial"/>
        </w:rPr>
        <w:t>(Kenneth) Pease. Abingdon, Oxon</w:t>
      </w:r>
      <w:r w:rsidRPr="00F43E75">
        <w:rPr>
          <w:rFonts w:ascii="Arial" w:hAnsi="Arial" w:cs="Arial"/>
        </w:rPr>
        <w:t>;</w:t>
      </w:r>
      <w:r w:rsidRPr="00F43E75">
        <w:rPr>
          <w:rFonts w:ascii="Arial" w:hAnsi="Arial" w:cs="Arial"/>
        </w:rPr>
        <w:t xml:space="preserve"> Routledge. Available at: </w:t>
      </w:r>
      <w:hyperlink r:id="rId15" w:history="1">
        <w:r w:rsidRPr="00DF7876">
          <w:rPr>
            <w:rStyle w:val="Hyperlink"/>
            <w:rFonts w:ascii="Arial" w:hAnsi="Arial" w:cs="Arial"/>
          </w:rPr>
          <w:t>https://doi.org/10.4324/9780429470882</w:t>
        </w:r>
      </w:hyperlink>
      <w:r w:rsidRPr="00F43E75">
        <w:rPr>
          <w:rFonts w:ascii="Arial" w:hAnsi="Arial" w:cs="Arial"/>
        </w:rPr>
        <w:t>.</w:t>
      </w:r>
      <w:r>
        <w:rPr>
          <w:rFonts w:ascii="Arial" w:hAnsi="Arial" w:cs="Arial"/>
        </w:rPr>
        <w:t xml:space="preserve"> </w:t>
      </w:r>
      <w:r w:rsidR="00694F4E">
        <w:rPr>
          <w:rFonts w:ascii="Arial" w:hAnsi="Arial" w:cs="Arial"/>
        </w:rPr>
        <w:t>Accessed 12/10/22</w:t>
      </w:r>
    </w:p>
    <w:p w:rsidR="00527B74" w:rsidRDefault="00527B74" w:rsidP="00694F4E">
      <w:pPr>
        <w:rPr>
          <w:rFonts w:ascii="Arial" w:hAnsi="Arial" w:cs="Arial"/>
        </w:rPr>
      </w:pPr>
    </w:p>
    <w:p w:rsidR="00527B74" w:rsidRPr="00BD3F97" w:rsidRDefault="00527B74" w:rsidP="00527B74">
      <w:pPr>
        <w:rPr>
          <w:rFonts w:ascii="Arial" w:hAnsi="Arial" w:cs="Arial"/>
        </w:rPr>
      </w:pPr>
      <w:r w:rsidRPr="00BD3F97">
        <w:rPr>
          <w:rFonts w:ascii="Arial" w:hAnsi="Arial" w:cs="Arial"/>
        </w:rPr>
        <w:t>Morgan, M. and Paterson, C. (2019) ‘“It”s Mental Health, Not Mental Police’: A Human Rights Approach to Mental Health Triage and Section 136 of the Mental Health Act 1983’, Policing : a journal of policy and practice, 13(2), pp. 123–133.</w:t>
      </w:r>
      <w:r>
        <w:rPr>
          <w:rFonts w:ascii="Arial" w:hAnsi="Arial" w:cs="Arial"/>
        </w:rPr>
        <w:t xml:space="preserve"> Available at:</w:t>
      </w:r>
      <w:r w:rsidRPr="00BD3F97">
        <w:rPr>
          <w:rFonts w:ascii="Arial" w:hAnsi="Arial" w:cs="Arial"/>
        </w:rPr>
        <w:t xml:space="preserve">  </w:t>
      </w:r>
      <w:hyperlink r:id="rId16" w:history="1">
        <w:r w:rsidRPr="00BD3F97">
          <w:rPr>
            <w:rStyle w:val="Hyperlink"/>
            <w:rFonts w:ascii="Arial" w:hAnsi="Arial" w:cs="Arial"/>
          </w:rPr>
          <w:t>‘It’s Mental Health, Not Mental Police’: A Human Rights Approach to Mental Health Triage and Section 136 of the Mental Health Act 1983 | Policing: A Journal of Policy and Practice | Oxford Academic (oup.com)</w:t>
        </w:r>
      </w:hyperlink>
      <w:r>
        <w:rPr>
          <w:rFonts w:ascii="Arial" w:hAnsi="Arial" w:cs="Arial"/>
        </w:rPr>
        <w:t xml:space="preserve">  Accessed 22/09/22</w:t>
      </w:r>
    </w:p>
    <w:p w:rsidR="00694F4E" w:rsidRDefault="00694F4E">
      <w:pPr>
        <w:rPr>
          <w:rFonts w:ascii="Arial" w:hAnsi="Arial" w:cs="Arial"/>
        </w:rPr>
      </w:pPr>
    </w:p>
    <w:p w:rsidR="00BD3F97" w:rsidRDefault="00BD3F97" w:rsidP="00BD3F97">
      <w:pPr>
        <w:rPr>
          <w:rFonts w:ascii="Arial" w:hAnsi="Arial" w:cs="Arial"/>
        </w:rPr>
      </w:pPr>
      <w:r w:rsidRPr="00BD3F97">
        <w:rPr>
          <w:rFonts w:ascii="Arial" w:hAnsi="Arial" w:cs="Arial"/>
        </w:rPr>
        <w:t>NHS</w:t>
      </w:r>
      <w:r>
        <w:rPr>
          <w:rFonts w:ascii="Arial" w:hAnsi="Arial" w:cs="Arial"/>
        </w:rPr>
        <w:t>,</w:t>
      </w:r>
      <w:r w:rsidRPr="00BD3F97">
        <w:rPr>
          <w:rFonts w:ascii="Arial" w:hAnsi="Arial" w:cs="Arial"/>
        </w:rPr>
        <w:t xml:space="preserve"> (2021) </w:t>
      </w:r>
      <w:r w:rsidRPr="00BD3F97">
        <w:rPr>
          <w:rFonts w:ascii="Arial" w:hAnsi="Arial" w:cs="Arial"/>
          <w:i/>
        </w:rPr>
        <w:t>‘Mental Health Act Statistics 2020-2021</w:t>
      </w:r>
      <w:r>
        <w:rPr>
          <w:rFonts w:ascii="Arial" w:hAnsi="Arial" w:cs="Arial"/>
          <w:i/>
        </w:rPr>
        <w:t xml:space="preserve">’ </w:t>
      </w:r>
      <w:r>
        <w:rPr>
          <w:rFonts w:ascii="Arial" w:hAnsi="Arial" w:cs="Arial"/>
        </w:rPr>
        <w:t>Available at:</w:t>
      </w:r>
      <w:r w:rsidRPr="00BD3F97">
        <w:rPr>
          <w:rFonts w:ascii="Arial" w:hAnsi="Arial" w:cs="Arial"/>
        </w:rPr>
        <w:t xml:space="preserve"> </w:t>
      </w:r>
      <w:hyperlink r:id="rId17" w:history="1">
        <w:r w:rsidRPr="00BD3F97">
          <w:rPr>
            <w:rStyle w:val="Hyperlink"/>
            <w:rFonts w:ascii="Arial" w:hAnsi="Arial" w:cs="Arial"/>
          </w:rPr>
          <w:t>Mental Health Act Statistics, Annual Figures - 2020-21 - NHS Digital</w:t>
        </w:r>
      </w:hyperlink>
      <w:r>
        <w:rPr>
          <w:rFonts w:ascii="Arial" w:hAnsi="Arial" w:cs="Arial"/>
        </w:rPr>
        <w:t xml:space="preserve"> Accessed 20/09/22</w:t>
      </w:r>
    </w:p>
    <w:p w:rsidR="00B71466" w:rsidRDefault="00B71466" w:rsidP="00BD3F97">
      <w:pPr>
        <w:rPr>
          <w:rFonts w:ascii="Arial" w:hAnsi="Arial" w:cs="Arial"/>
        </w:rPr>
      </w:pPr>
    </w:p>
    <w:p w:rsidR="0045295A" w:rsidRDefault="0045295A" w:rsidP="00BD3F97">
      <w:pPr>
        <w:rPr>
          <w:rFonts w:ascii="Arial" w:hAnsi="Arial" w:cs="Arial"/>
        </w:rPr>
      </w:pPr>
      <w:r w:rsidRPr="00BD3F97">
        <w:rPr>
          <w:rFonts w:ascii="Arial" w:hAnsi="Arial" w:cs="Arial"/>
        </w:rPr>
        <w:t>NHS (2022)</w:t>
      </w:r>
      <w:r>
        <w:rPr>
          <w:rFonts w:ascii="Arial" w:hAnsi="Arial" w:cs="Arial"/>
        </w:rPr>
        <w:t xml:space="preserve"> ‘</w:t>
      </w:r>
      <w:r>
        <w:rPr>
          <w:rFonts w:ascii="Arial" w:hAnsi="Arial" w:cs="Arial"/>
          <w:i/>
        </w:rPr>
        <w:t xml:space="preserve">Mental Health Services Monthly Statistics, Performance June, Provisional July 2022’ </w:t>
      </w:r>
      <w:r>
        <w:rPr>
          <w:rFonts w:ascii="Arial" w:hAnsi="Arial" w:cs="Arial"/>
        </w:rPr>
        <w:t xml:space="preserve">Available at: </w:t>
      </w:r>
      <w:r w:rsidRPr="00BD3F97">
        <w:rPr>
          <w:rFonts w:ascii="Arial" w:hAnsi="Arial" w:cs="Arial"/>
        </w:rPr>
        <w:t xml:space="preserve"> </w:t>
      </w:r>
      <w:hyperlink r:id="rId18" w:history="1">
        <w:r w:rsidRPr="00BD3F97">
          <w:rPr>
            <w:rStyle w:val="Hyperlink"/>
            <w:rFonts w:ascii="Arial" w:hAnsi="Arial" w:cs="Arial"/>
          </w:rPr>
          <w:t>https://digital.nhs.uk/data-and-information/publications/statistical/mental-health-services-monthly-statistics/performance-june-provisional-july-2022</w:t>
        </w:r>
      </w:hyperlink>
      <w:r>
        <w:rPr>
          <w:rFonts w:ascii="Arial" w:hAnsi="Arial" w:cs="Arial"/>
        </w:rPr>
        <w:t xml:space="preserve"> Accessed 16/10/22</w:t>
      </w:r>
    </w:p>
    <w:p w:rsidR="0045295A" w:rsidRDefault="0045295A" w:rsidP="00BD3F97">
      <w:pPr>
        <w:rPr>
          <w:rFonts w:ascii="Arial" w:hAnsi="Arial" w:cs="Arial"/>
        </w:rPr>
      </w:pPr>
    </w:p>
    <w:p w:rsidR="00BD3F97" w:rsidRDefault="00B71466">
      <w:pPr>
        <w:rPr>
          <w:rFonts w:ascii="Arial" w:hAnsi="Arial" w:cs="Arial"/>
        </w:rPr>
      </w:pPr>
      <w:r w:rsidRPr="00BD3F97">
        <w:rPr>
          <w:rFonts w:ascii="Arial" w:hAnsi="Arial" w:cs="Arial"/>
        </w:rPr>
        <w:t xml:space="preserve">Office of National Statistics (2022) </w:t>
      </w:r>
      <w:r>
        <w:rPr>
          <w:rFonts w:ascii="Arial" w:hAnsi="Arial" w:cs="Arial"/>
        </w:rPr>
        <w:t>‘</w:t>
      </w:r>
      <w:r w:rsidRPr="00B71466">
        <w:rPr>
          <w:rFonts w:ascii="Arial" w:hAnsi="Arial" w:cs="Arial"/>
          <w:i/>
        </w:rPr>
        <w:t>Police crime recordings 2022’</w:t>
      </w:r>
      <w:r>
        <w:rPr>
          <w:rFonts w:ascii="Arial" w:hAnsi="Arial" w:cs="Arial"/>
          <w:i/>
        </w:rPr>
        <w:t xml:space="preserve"> </w:t>
      </w:r>
      <w:r>
        <w:rPr>
          <w:rFonts w:ascii="Arial" w:hAnsi="Arial" w:cs="Arial"/>
        </w:rPr>
        <w:t>Available at:</w:t>
      </w:r>
      <w:r w:rsidRPr="00BD3F97">
        <w:rPr>
          <w:rFonts w:ascii="Arial" w:hAnsi="Arial" w:cs="Arial"/>
        </w:rPr>
        <w:t xml:space="preserve"> </w:t>
      </w:r>
      <w:hyperlink r:id="rId19" w:history="1">
        <w:r w:rsidRPr="00BD3F97">
          <w:rPr>
            <w:rStyle w:val="Hyperlink"/>
            <w:rFonts w:ascii="Arial" w:hAnsi="Arial" w:cs="Arial"/>
          </w:rPr>
          <w:t>Crime in England and Wales: Appendix tables - Office for National Statistics (ons.gov.uk)</w:t>
        </w:r>
      </w:hyperlink>
      <w:r>
        <w:rPr>
          <w:rFonts w:ascii="Arial" w:hAnsi="Arial" w:cs="Arial"/>
        </w:rPr>
        <w:t xml:space="preserve"> Accessed: 15/09/22</w:t>
      </w:r>
    </w:p>
    <w:p w:rsidR="00FD37A2" w:rsidRDefault="00FD37A2">
      <w:pPr>
        <w:rPr>
          <w:rFonts w:ascii="Arial" w:hAnsi="Arial" w:cs="Arial"/>
        </w:rPr>
      </w:pPr>
    </w:p>
    <w:p w:rsidR="00FD37A2" w:rsidRDefault="00F43E75" w:rsidP="00F43E75">
      <w:pPr>
        <w:rPr>
          <w:rFonts w:ascii="Arial" w:hAnsi="Arial" w:cs="Arial"/>
        </w:rPr>
      </w:pPr>
      <w:r w:rsidRPr="00F43E75">
        <w:rPr>
          <w:rFonts w:ascii="Arial" w:hAnsi="Arial" w:cs="Arial"/>
        </w:rPr>
        <w:t xml:space="preserve">Puntis, S. et al. (2018) ‘A systematic review of co-responder models of police mental health “street” triage’, BMC psychiatry, 18(1), pp. 256–256. Available at: </w:t>
      </w:r>
      <w:hyperlink r:id="rId20" w:history="1">
        <w:r w:rsidRPr="00DF7876">
          <w:rPr>
            <w:rStyle w:val="Hyperlink"/>
            <w:rFonts w:ascii="Arial" w:hAnsi="Arial" w:cs="Arial"/>
          </w:rPr>
          <w:t>https://doi.org/10.1186/s12888-018-1836-2</w:t>
        </w:r>
      </w:hyperlink>
      <w:r w:rsidRPr="00F43E75">
        <w:rPr>
          <w:rFonts w:ascii="Arial" w:hAnsi="Arial" w:cs="Arial"/>
        </w:rPr>
        <w:t>.</w:t>
      </w:r>
      <w:r w:rsidR="00FD37A2">
        <w:rPr>
          <w:rFonts w:ascii="Arial" w:hAnsi="Arial" w:cs="Arial"/>
        </w:rPr>
        <w:t xml:space="preserve"> Accessed 10/10/22</w:t>
      </w:r>
    </w:p>
    <w:p w:rsidR="00FD37A2" w:rsidRPr="00BD3F97" w:rsidRDefault="00FD37A2">
      <w:pPr>
        <w:rPr>
          <w:rFonts w:ascii="Arial" w:hAnsi="Arial" w:cs="Arial"/>
        </w:rPr>
      </w:pPr>
    </w:p>
    <w:p w:rsidR="00222B4E" w:rsidRPr="00F43E75" w:rsidRDefault="00F43E75" w:rsidP="00F43E75">
      <w:pPr>
        <w:shd w:val="clear" w:color="auto" w:fill="FFFFFF"/>
        <w:spacing w:before="300" w:after="150" w:line="240" w:lineRule="auto"/>
        <w:outlineLvl w:val="0"/>
        <w:rPr>
          <w:rFonts w:ascii="Arial" w:eastAsia="Times New Roman" w:hAnsi="Arial" w:cs="Arial"/>
          <w:kern w:val="36"/>
          <w:lang w:eastAsia="en-GB"/>
        </w:rPr>
      </w:pPr>
      <w:r w:rsidRPr="00F43E75">
        <w:rPr>
          <w:rFonts w:ascii="Arial" w:eastAsia="Times New Roman" w:hAnsi="Arial" w:cs="Arial"/>
          <w:kern w:val="36"/>
          <w:lang w:eastAsia="en-GB"/>
        </w:rPr>
        <w:t xml:space="preserve">Rodgers, M. et al. (2019) ‘Police-related triage interventions for mental health-related incidents : a rapid evidence synthesis’. Available at: </w:t>
      </w:r>
      <w:hyperlink r:id="rId21" w:history="1">
        <w:r w:rsidRPr="00DF7876">
          <w:rPr>
            <w:rStyle w:val="Hyperlink"/>
            <w:rFonts w:ascii="Arial" w:eastAsia="Times New Roman" w:hAnsi="Arial" w:cs="Arial"/>
            <w:kern w:val="36"/>
            <w:lang w:eastAsia="en-GB"/>
          </w:rPr>
          <w:t>https://doi.org/10.3310/hsdr07200</w:t>
        </w:r>
      </w:hyperlink>
      <w:r w:rsidRPr="00F43E75">
        <w:rPr>
          <w:rFonts w:ascii="Arial" w:eastAsia="Times New Roman" w:hAnsi="Arial" w:cs="Arial"/>
          <w:kern w:val="36"/>
          <w:lang w:eastAsia="en-GB"/>
        </w:rPr>
        <w:t>.</w:t>
      </w:r>
      <w:r>
        <w:rPr>
          <w:rFonts w:ascii="Arial" w:eastAsia="Times New Roman" w:hAnsi="Arial" w:cs="Arial"/>
          <w:kern w:val="36"/>
          <w:lang w:eastAsia="en-GB"/>
        </w:rPr>
        <w:t xml:space="preserve">  </w:t>
      </w:r>
      <w:r w:rsidR="00BD3F97">
        <w:rPr>
          <w:rFonts w:ascii="Arial" w:hAnsi="Arial" w:cs="Arial"/>
        </w:rPr>
        <w:t>Accessed 11/10/22</w:t>
      </w:r>
    </w:p>
    <w:p w:rsidR="00BD3F97" w:rsidRDefault="00BD3F97" w:rsidP="00222B4E">
      <w:pPr>
        <w:rPr>
          <w:rFonts w:ascii="Arial" w:hAnsi="Arial" w:cs="Arial"/>
        </w:rPr>
      </w:pPr>
    </w:p>
    <w:p w:rsidR="00AE075A" w:rsidRPr="00BD3F97" w:rsidRDefault="00AE075A" w:rsidP="00AE075A">
      <w:pPr>
        <w:rPr>
          <w:rFonts w:ascii="Arial" w:hAnsi="Arial" w:cs="Arial"/>
        </w:rPr>
      </w:pPr>
      <w:r w:rsidRPr="00BD3F97">
        <w:rPr>
          <w:rFonts w:ascii="Arial" w:hAnsi="Arial" w:cs="Arial"/>
        </w:rPr>
        <w:t>Senior, J., Noga, H. and Shaw, J. (2014) ‘</w:t>
      </w:r>
      <w:r w:rsidRPr="00AE075A">
        <w:rPr>
          <w:rFonts w:ascii="Arial" w:hAnsi="Arial" w:cs="Arial"/>
          <w:i/>
        </w:rPr>
        <w:t>When two worlds collide: A twenty-first century approach to mental health and policing: Mental health and police custody’</w:t>
      </w:r>
      <w:r w:rsidRPr="00BD3F97">
        <w:rPr>
          <w:rFonts w:ascii="Arial" w:hAnsi="Arial" w:cs="Arial"/>
        </w:rPr>
        <w:t xml:space="preserve">, Criminal </w:t>
      </w:r>
      <w:r w:rsidRPr="00BD3F97">
        <w:rPr>
          <w:rFonts w:ascii="Arial" w:hAnsi="Arial" w:cs="Arial"/>
        </w:rPr>
        <w:lastRenderedPageBreak/>
        <w:t xml:space="preserve">behaviour and mental health, 24(2), pp. 81–85. Available at: </w:t>
      </w:r>
      <w:hyperlink r:id="rId22" w:history="1">
        <w:r w:rsidRPr="00BD3F97">
          <w:rPr>
            <w:rStyle w:val="Hyperlink"/>
            <w:rFonts w:ascii="Arial" w:hAnsi="Arial" w:cs="Arial"/>
          </w:rPr>
          <w:t>https://doi.org/10.1002/cbm.1897</w:t>
        </w:r>
      </w:hyperlink>
      <w:r w:rsidRPr="00BD3F97">
        <w:rPr>
          <w:rFonts w:ascii="Arial" w:hAnsi="Arial" w:cs="Arial"/>
        </w:rPr>
        <w:t>.</w:t>
      </w:r>
      <w:r>
        <w:rPr>
          <w:rFonts w:ascii="Arial" w:hAnsi="Arial" w:cs="Arial"/>
        </w:rPr>
        <w:t xml:space="preserve"> Accessed: 28/09/22</w:t>
      </w:r>
    </w:p>
    <w:p w:rsidR="00AE075A" w:rsidRDefault="00AE075A" w:rsidP="00222B4E">
      <w:pPr>
        <w:rPr>
          <w:rFonts w:ascii="Arial" w:hAnsi="Arial" w:cs="Arial"/>
        </w:rPr>
      </w:pPr>
    </w:p>
    <w:p w:rsidR="00A35461" w:rsidRPr="00BD3F97" w:rsidRDefault="00A35461" w:rsidP="00A35461">
      <w:pPr>
        <w:rPr>
          <w:rFonts w:ascii="Arial" w:hAnsi="Arial" w:cs="Arial"/>
        </w:rPr>
      </w:pPr>
      <w:r w:rsidRPr="00BD3F97">
        <w:rPr>
          <w:rFonts w:ascii="Arial" w:hAnsi="Arial" w:cs="Arial"/>
        </w:rPr>
        <w:t xml:space="preserve">UK Parliament (2021) </w:t>
      </w:r>
      <w:r>
        <w:rPr>
          <w:rFonts w:ascii="Arial" w:hAnsi="Arial" w:cs="Arial"/>
        </w:rPr>
        <w:t>‘</w:t>
      </w:r>
      <w:r w:rsidRPr="00A35461">
        <w:rPr>
          <w:rFonts w:ascii="Arial" w:hAnsi="Arial" w:cs="Arial"/>
          <w:i/>
        </w:rPr>
        <w:t>Mental health statistics: prevalence, services and funding in England’</w:t>
      </w:r>
      <w:r>
        <w:rPr>
          <w:rFonts w:ascii="Arial" w:hAnsi="Arial" w:cs="Arial"/>
          <w:i/>
        </w:rPr>
        <w:t xml:space="preserve"> </w:t>
      </w:r>
      <w:r>
        <w:rPr>
          <w:rFonts w:ascii="Arial" w:hAnsi="Arial" w:cs="Arial"/>
        </w:rPr>
        <w:t xml:space="preserve">Available at: </w:t>
      </w:r>
      <w:hyperlink r:id="rId23" w:anchor=":~:text=Separate%20data%20is%20published%20on%20people%20who%20are,with%20these%20services%20at%20some%20point%20during%202020%2F21" w:history="1">
        <w:r w:rsidRPr="00BD3F97">
          <w:rPr>
            <w:rStyle w:val="Hyperlink"/>
            <w:rFonts w:ascii="Arial" w:hAnsi="Arial" w:cs="Arial"/>
          </w:rPr>
          <w:t>https://commonslibrary.parliament.uk/research-briefings/sn06988/#:~:text=Separate%20data%20is%20published%20on%20people%20who%20are,with%20these%20services%20at%20some%20point%20during%202020%2F21</w:t>
        </w:r>
      </w:hyperlink>
      <w:r w:rsidRPr="00BD3F97">
        <w:rPr>
          <w:rFonts w:ascii="Arial" w:hAnsi="Arial" w:cs="Arial"/>
        </w:rPr>
        <w:t>.</w:t>
      </w:r>
    </w:p>
    <w:p w:rsidR="00A35461" w:rsidRDefault="00834739" w:rsidP="00222B4E">
      <w:pPr>
        <w:rPr>
          <w:rFonts w:ascii="Arial" w:hAnsi="Arial" w:cs="Arial"/>
        </w:rPr>
      </w:pPr>
      <w:r>
        <w:rPr>
          <w:rFonts w:ascii="Arial" w:hAnsi="Arial" w:cs="Arial"/>
        </w:rPr>
        <w:t>Accessed 24/09/22</w:t>
      </w:r>
    </w:p>
    <w:p w:rsidR="00834739" w:rsidRDefault="00834739" w:rsidP="00222B4E">
      <w:pPr>
        <w:rPr>
          <w:rFonts w:ascii="Arial" w:hAnsi="Arial" w:cs="Arial"/>
        </w:rPr>
      </w:pPr>
    </w:p>
    <w:p w:rsidR="00B71466" w:rsidRDefault="00B71466" w:rsidP="00222B4E">
      <w:pPr>
        <w:rPr>
          <w:rFonts w:ascii="Arial" w:hAnsi="Arial" w:cs="Arial"/>
        </w:rPr>
      </w:pPr>
      <w:r w:rsidRPr="00BD3F97">
        <w:rPr>
          <w:rFonts w:ascii="Arial" w:hAnsi="Arial" w:cs="Arial"/>
        </w:rPr>
        <w:t>Wondemaghen, M. (2021) ‘</w:t>
      </w:r>
      <w:r w:rsidRPr="00B71466">
        <w:rPr>
          <w:rFonts w:ascii="Arial" w:hAnsi="Arial" w:cs="Arial"/>
          <w:i/>
        </w:rPr>
        <w:t>Policing mental illness: Police use of section 136 – Perspectives from police and mental-health nurses’</w:t>
      </w:r>
      <w:r w:rsidRPr="00BD3F97">
        <w:rPr>
          <w:rFonts w:ascii="Arial" w:hAnsi="Arial" w:cs="Arial"/>
        </w:rPr>
        <w:t>, Medicine, science, and the law, 61(4), pp. 266–274.</w:t>
      </w:r>
      <w:r>
        <w:rPr>
          <w:rFonts w:ascii="Arial" w:hAnsi="Arial" w:cs="Arial"/>
        </w:rPr>
        <w:t xml:space="preserve"> Available at:</w:t>
      </w:r>
      <w:r w:rsidRPr="00BD3F97">
        <w:rPr>
          <w:rFonts w:ascii="Arial" w:hAnsi="Arial" w:cs="Arial"/>
        </w:rPr>
        <w:t xml:space="preserve">  </w:t>
      </w:r>
      <w:hyperlink r:id="rId24" w:history="1">
        <w:r w:rsidRPr="00BD3F97">
          <w:rPr>
            <w:rStyle w:val="Hyperlink"/>
            <w:rFonts w:ascii="Arial" w:hAnsi="Arial" w:cs="Arial"/>
          </w:rPr>
          <w:t>Policing mental illness: Police use of section 136 – Perspectives from police and mental-health nurses - Meron Wondemaghen, 2021 (uwtsd.ac.uk)</w:t>
        </w:r>
      </w:hyperlink>
      <w:r>
        <w:rPr>
          <w:rFonts w:ascii="Arial" w:hAnsi="Arial" w:cs="Arial"/>
        </w:rPr>
        <w:t xml:space="preserve">  Accessed: 03/09/22</w:t>
      </w:r>
    </w:p>
    <w:p w:rsidR="00B71466" w:rsidRPr="00BD3F97" w:rsidRDefault="00B71466" w:rsidP="00222B4E">
      <w:pPr>
        <w:rPr>
          <w:rFonts w:ascii="Arial" w:hAnsi="Arial" w:cs="Arial"/>
        </w:rPr>
      </w:pPr>
    </w:p>
    <w:p w:rsidR="0044705C" w:rsidRPr="0044705C" w:rsidRDefault="0044705C" w:rsidP="00C606D4">
      <w:pPr>
        <w:rPr>
          <w:b/>
          <w:sz w:val="24"/>
          <w:u w:val="single"/>
        </w:rPr>
      </w:pPr>
    </w:p>
    <w:sectPr w:rsidR="0044705C" w:rsidRPr="0044705C" w:rsidSect="00587D6E">
      <w:headerReference w:type="even" r:id="rId25"/>
      <w:headerReference w:type="default" r:id="rId26"/>
      <w:footerReference w:type="even" r:id="rId27"/>
      <w:footerReference w:type="default" r:id="rId28"/>
      <w:headerReference w:type="first" r:id="rId29"/>
      <w:footerReference w:type="first" r:id="rId30"/>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587D6E" w:rsidRDefault="00587D6E" w:rsidP="00587D6E">
      <w:pPr>
        <w:spacing w:after="0" w:line="240" w:lineRule="auto"/>
      </w:pPr>
      <w:r>
        <w:separator/>
      </w:r>
    </w:p>
  </w:endnote>
  <w:endnote w:type="continuationSeparator" w:id="0">
    <w:p w:rsidR="00587D6E" w:rsidRDefault="00587D6E" w:rsidP="00587D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99C" w:rsidRDefault="00D23058" w:rsidP="00D23058">
    <w:pPr>
      <w:pStyle w:val="Footer"/>
      <w:rPr>
        <w:color w:val="000000"/>
        <w:sz w:val="17"/>
      </w:rPr>
    </w:pPr>
    <w:bookmarkStart w:id="3" w:name="TITUS1FooterEvenPages"/>
    <w:r>
      <w:rPr>
        <w:color w:val="000000"/>
        <w:sz w:val="17"/>
      </w:rPr>
      <w:t> </w:t>
    </w:r>
  </w:p>
  <w:bookmarkEnd w:id="3"/>
  <w:p w:rsidR="00D3699C" w:rsidRDefault="00D3699C" w:rsidP="00D3699C">
    <w:pPr>
      <w:pStyle w:val="Footer"/>
    </w:pPr>
  </w:p>
  <w:p w:rsidR="00587D6E" w:rsidRDefault="00587D6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D6E" w:rsidRDefault="00D23058" w:rsidP="00D23058">
    <w:pPr>
      <w:pStyle w:val="Footer"/>
      <w:rPr>
        <w:color w:val="000000"/>
        <w:sz w:val="17"/>
      </w:rPr>
    </w:pPr>
    <w:bookmarkStart w:id="4" w:name="TITUS1FooterPrimary"/>
    <w:r>
      <w:rPr>
        <w:color w:val="000000"/>
        <w:sz w:val="17"/>
      </w:rPr>
      <w:t> </w:t>
    </w:r>
  </w:p>
  <w:bookmarkEnd w:id="4"/>
  <w:p w:rsidR="00587D6E" w:rsidRDefault="00587D6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D6E" w:rsidRDefault="00D23058" w:rsidP="00D23058">
    <w:pPr>
      <w:pStyle w:val="Footer"/>
      <w:rPr>
        <w:color w:val="000000"/>
        <w:sz w:val="17"/>
      </w:rPr>
    </w:pPr>
    <w:bookmarkStart w:id="6" w:name="TITUS1FooterFirstPage"/>
    <w:r>
      <w:rPr>
        <w:color w:val="000000"/>
        <w:sz w:val="17"/>
      </w:rPr>
      <w:t> </w:t>
    </w:r>
  </w:p>
  <w:bookmarkEnd w:id="6"/>
  <w:p w:rsidR="00587D6E" w:rsidRDefault="00587D6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587D6E" w:rsidRDefault="00587D6E" w:rsidP="00587D6E">
      <w:pPr>
        <w:spacing w:after="0" w:line="240" w:lineRule="auto"/>
      </w:pPr>
      <w:r>
        <w:separator/>
      </w:r>
    </w:p>
  </w:footnote>
  <w:footnote w:type="continuationSeparator" w:id="0">
    <w:p w:rsidR="00587D6E" w:rsidRDefault="00587D6E" w:rsidP="00587D6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D3699C" w:rsidRDefault="00D23058" w:rsidP="00D23058">
    <w:pPr>
      <w:pStyle w:val="Header"/>
      <w:rPr>
        <w:color w:val="000000"/>
        <w:sz w:val="17"/>
      </w:rPr>
    </w:pPr>
    <w:bookmarkStart w:id="1" w:name="TITUS1HeaderEvenPages"/>
    <w:r>
      <w:rPr>
        <w:color w:val="000000"/>
        <w:sz w:val="17"/>
      </w:rPr>
      <w:t> </w:t>
    </w:r>
  </w:p>
  <w:bookmarkEnd w:id="1"/>
  <w:p w:rsidR="00D3699C" w:rsidRDefault="00D3699C" w:rsidP="00D3699C">
    <w:pPr>
      <w:pStyle w:val="Header"/>
    </w:pPr>
  </w:p>
  <w:p w:rsidR="00587D6E" w:rsidRDefault="00587D6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D6E" w:rsidRDefault="00D23058" w:rsidP="00D23058">
    <w:pPr>
      <w:pStyle w:val="Header"/>
      <w:rPr>
        <w:color w:val="000000"/>
        <w:sz w:val="17"/>
      </w:rPr>
    </w:pPr>
    <w:bookmarkStart w:id="2" w:name="TITUS1HeaderPrimary"/>
    <w:r>
      <w:rPr>
        <w:color w:val="000000"/>
        <w:sz w:val="17"/>
      </w:rPr>
      <w:t> </w:t>
    </w:r>
  </w:p>
  <w:bookmarkEnd w:id="2"/>
  <w:p w:rsidR="00587D6E" w:rsidRDefault="00587D6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587D6E" w:rsidRDefault="00D23058" w:rsidP="00D23058">
    <w:pPr>
      <w:pStyle w:val="Header"/>
      <w:rPr>
        <w:color w:val="000000"/>
        <w:sz w:val="17"/>
      </w:rPr>
    </w:pPr>
    <w:bookmarkStart w:id="5" w:name="TITUS1HeaderFirstPage"/>
    <w:r>
      <w:rPr>
        <w:color w:val="000000"/>
        <w:sz w:val="17"/>
      </w:rPr>
      <w:t> </w:t>
    </w:r>
  </w:p>
  <w:bookmarkEnd w:id="5"/>
  <w:p w:rsidR="00587D6E" w:rsidRDefault="00587D6E">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90"/>
  <w:defaultTabStop w:val="720"/>
  <w:evenAndOddHeaders/>
  <w:characterSpacingControl w:val="doNotCompress"/>
  <w:hdrShapeDefaults>
    <o:shapedefaults v:ext="edit" spidmax="61441"/>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051AB"/>
    <w:rsid w:val="000063F5"/>
    <w:rsid w:val="00025FB8"/>
    <w:rsid w:val="00046B3C"/>
    <w:rsid w:val="0005539E"/>
    <w:rsid w:val="00060148"/>
    <w:rsid w:val="00063EA4"/>
    <w:rsid w:val="00075A77"/>
    <w:rsid w:val="0008490A"/>
    <w:rsid w:val="00085A03"/>
    <w:rsid w:val="00086AB3"/>
    <w:rsid w:val="000A7012"/>
    <w:rsid w:val="000C19EE"/>
    <w:rsid w:val="000C37EE"/>
    <w:rsid w:val="000C429A"/>
    <w:rsid w:val="000C4C89"/>
    <w:rsid w:val="000E01F6"/>
    <w:rsid w:val="000E6A25"/>
    <w:rsid w:val="001406E3"/>
    <w:rsid w:val="001477E3"/>
    <w:rsid w:val="001741D7"/>
    <w:rsid w:val="00180F4F"/>
    <w:rsid w:val="001A764A"/>
    <w:rsid w:val="001B3205"/>
    <w:rsid w:val="001C0093"/>
    <w:rsid w:val="001D1057"/>
    <w:rsid w:val="001E49A7"/>
    <w:rsid w:val="001F1519"/>
    <w:rsid w:val="002013B1"/>
    <w:rsid w:val="002022F5"/>
    <w:rsid w:val="0021012C"/>
    <w:rsid w:val="00217A36"/>
    <w:rsid w:val="00222B4E"/>
    <w:rsid w:val="0022683E"/>
    <w:rsid w:val="0024068C"/>
    <w:rsid w:val="00243217"/>
    <w:rsid w:val="00277BA9"/>
    <w:rsid w:val="00285B3C"/>
    <w:rsid w:val="00286358"/>
    <w:rsid w:val="00291F51"/>
    <w:rsid w:val="002D3760"/>
    <w:rsid w:val="002E368E"/>
    <w:rsid w:val="002F6A47"/>
    <w:rsid w:val="00304441"/>
    <w:rsid w:val="00357F91"/>
    <w:rsid w:val="00386222"/>
    <w:rsid w:val="00392F3F"/>
    <w:rsid w:val="003B739E"/>
    <w:rsid w:val="003D4857"/>
    <w:rsid w:val="00400DE9"/>
    <w:rsid w:val="00430040"/>
    <w:rsid w:val="00435AC3"/>
    <w:rsid w:val="00444873"/>
    <w:rsid w:val="0044705C"/>
    <w:rsid w:val="0045295A"/>
    <w:rsid w:val="00457513"/>
    <w:rsid w:val="00471842"/>
    <w:rsid w:val="0047440E"/>
    <w:rsid w:val="0048203A"/>
    <w:rsid w:val="004C199F"/>
    <w:rsid w:val="004E0719"/>
    <w:rsid w:val="004E24E2"/>
    <w:rsid w:val="004E319D"/>
    <w:rsid w:val="00515C61"/>
    <w:rsid w:val="005203F1"/>
    <w:rsid w:val="00527B74"/>
    <w:rsid w:val="0053062E"/>
    <w:rsid w:val="005313CD"/>
    <w:rsid w:val="00531D6A"/>
    <w:rsid w:val="00545435"/>
    <w:rsid w:val="005862D2"/>
    <w:rsid w:val="00587D6E"/>
    <w:rsid w:val="005C64F2"/>
    <w:rsid w:val="005E6E16"/>
    <w:rsid w:val="005F16EE"/>
    <w:rsid w:val="00616013"/>
    <w:rsid w:val="00617822"/>
    <w:rsid w:val="00626D9C"/>
    <w:rsid w:val="00630982"/>
    <w:rsid w:val="0063709E"/>
    <w:rsid w:val="00646180"/>
    <w:rsid w:val="006502E5"/>
    <w:rsid w:val="00651FD2"/>
    <w:rsid w:val="006618ED"/>
    <w:rsid w:val="00685131"/>
    <w:rsid w:val="00693634"/>
    <w:rsid w:val="00694F4E"/>
    <w:rsid w:val="006B399A"/>
    <w:rsid w:val="006D1D7A"/>
    <w:rsid w:val="006D5FE2"/>
    <w:rsid w:val="006E1AEF"/>
    <w:rsid w:val="006E7CDE"/>
    <w:rsid w:val="00722144"/>
    <w:rsid w:val="00733DFB"/>
    <w:rsid w:val="00763914"/>
    <w:rsid w:val="007A4D77"/>
    <w:rsid w:val="007F30C2"/>
    <w:rsid w:val="00815B61"/>
    <w:rsid w:val="008250BA"/>
    <w:rsid w:val="00834739"/>
    <w:rsid w:val="00855CC2"/>
    <w:rsid w:val="00856E33"/>
    <w:rsid w:val="00881F06"/>
    <w:rsid w:val="00885E58"/>
    <w:rsid w:val="008B31B9"/>
    <w:rsid w:val="008B5776"/>
    <w:rsid w:val="0091492A"/>
    <w:rsid w:val="0091616B"/>
    <w:rsid w:val="00932E55"/>
    <w:rsid w:val="00933787"/>
    <w:rsid w:val="00954DD6"/>
    <w:rsid w:val="00970D07"/>
    <w:rsid w:val="00990BFD"/>
    <w:rsid w:val="0099250F"/>
    <w:rsid w:val="00995099"/>
    <w:rsid w:val="009E4B84"/>
    <w:rsid w:val="009E6030"/>
    <w:rsid w:val="00A051AB"/>
    <w:rsid w:val="00A21ECB"/>
    <w:rsid w:val="00A2662E"/>
    <w:rsid w:val="00A35461"/>
    <w:rsid w:val="00A6144A"/>
    <w:rsid w:val="00A74A65"/>
    <w:rsid w:val="00AA4E66"/>
    <w:rsid w:val="00AD08C9"/>
    <w:rsid w:val="00AD592B"/>
    <w:rsid w:val="00AE075A"/>
    <w:rsid w:val="00AF0DAA"/>
    <w:rsid w:val="00B35857"/>
    <w:rsid w:val="00B36656"/>
    <w:rsid w:val="00B40891"/>
    <w:rsid w:val="00B531B6"/>
    <w:rsid w:val="00B64C4A"/>
    <w:rsid w:val="00B65103"/>
    <w:rsid w:val="00B71466"/>
    <w:rsid w:val="00B728D8"/>
    <w:rsid w:val="00B93286"/>
    <w:rsid w:val="00B932FD"/>
    <w:rsid w:val="00BA2D13"/>
    <w:rsid w:val="00BB2205"/>
    <w:rsid w:val="00BC44CF"/>
    <w:rsid w:val="00BD3F97"/>
    <w:rsid w:val="00BD658D"/>
    <w:rsid w:val="00BE5498"/>
    <w:rsid w:val="00BF2E59"/>
    <w:rsid w:val="00C2563D"/>
    <w:rsid w:val="00C338CE"/>
    <w:rsid w:val="00C34780"/>
    <w:rsid w:val="00C606D4"/>
    <w:rsid w:val="00C6332F"/>
    <w:rsid w:val="00C818EF"/>
    <w:rsid w:val="00C93CA5"/>
    <w:rsid w:val="00CA72B3"/>
    <w:rsid w:val="00CC0136"/>
    <w:rsid w:val="00CC3B11"/>
    <w:rsid w:val="00CC4ADC"/>
    <w:rsid w:val="00CD1652"/>
    <w:rsid w:val="00CD4C00"/>
    <w:rsid w:val="00CD68BC"/>
    <w:rsid w:val="00CE0F03"/>
    <w:rsid w:val="00D0465D"/>
    <w:rsid w:val="00D06C4B"/>
    <w:rsid w:val="00D23058"/>
    <w:rsid w:val="00D3699C"/>
    <w:rsid w:val="00D70773"/>
    <w:rsid w:val="00D860C4"/>
    <w:rsid w:val="00DA20A3"/>
    <w:rsid w:val="00DC2F51"/>
    <w:rsid w:val="00DE5949"/>
    <w:rsid w:val="00DF205E"/>
    <w:rsid w:val="00E00407"/>
    <w:rsid w:val="00E0355C"/>
    <w:rsid w:val="00E11FA8"/>
    <w:rsid w:val="00E21960"/>
    <w:rsid w:val="00E33705"/>
    <w:rsid w:val="00E37C3D"/>
    <w:rsid w:val="00E41DC3"/>
    <w:rsid w:val="00E81656"/>
    <w:rsid w:val="00E91D6B"/>
    <w:rsid w:val="00E93917"/>
    <w:rsid w:val="00E95306"/>
    <w:rsid w:val="00EB4BE4"/>
    <w:rsid w:val="00EC1B68"/>
    <w:rsid w:val="00EC6E0C"/>
    <w:rsid w:val="00EE2C6B"/>
    <w:rsid w:val="00EF2366"/>
    <w:rsid w:val="00F16032"/>
    <w:rsid w:val="00F413E1"/>
    <w:rsid w:val="00F42C9E"/>
    <w:rsid w:val="00F43E75"/>
    <w:rsid w:val="00F8591D"/>
    <w:rsid w:val="00FB3028"/>
    <w:rsid w:val="00FD37A2"/>
    <w:rsid w:val="00FD6F61"/>
    <w:rsid w:val="00FE6A2F"/>
    <w:rsid w:val="00FF685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61441"/>
    <o:shapelayout v:ext="edit">
      <o:idmap v:ext="edit" data="1"/>
    </o:shapelayout>
  </w:shapeDefaults>
  <w:decimalSymbol w:val="."/>
  <w:listSeparator w:val=","/>
  <w14:docId w14:val="4A97E349"/>
  <w15:chartTrackingRefBased/>
  <w15:docId w15:val="{CAADF873-7086-46D8-B359-7F58CD1028F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link w:val="Heading1Char"/>
    <w:uiPriority w:val="9"/>
    <w:qFormat/>
    <w:rsid w:val="00222B4E"/>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587D6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87D6E"/>
  </w:style>
  <w:style w:type="paragraph" w:styleId="Footer">
    <w:name w:val="footer"/>
    <w:basedOn w:val="Normal"/>
    <w:link w:val="FooterChar"/>
    <w:uiPriority w:val="99"/>
    <w:unhideWhenUsed/>
    <w:rsid w:val="00587D6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87D6E"/>
  </w:style>
  <w:style w:type="character" w:styleId="Hyperlink">
    <w:name w:val="Hyperlink"/>
    <w:basedOn w:val="DefaultParagraphFont"/>
    <w:uiPriority w:val="99"/>
    <w:unhideWhenUsed/>
    <w:rsid w:val="001E49A7"/>
    <w:rPr>
      <w:color w:val="0000FF"/>
      <w:u w:val="single"/>
    </w:rPr>
  </w:style>
  <w:style w:type="character" w:customStyle="1" w:styleId="Heading1Char">
    <w:name w:val="Heading 1 Char"/>
    <w:basedOn w:val="DefaultParagraphFont"/>
    <w:link w:val="Heading1"/>
    <w:uiPriority w:val="9"/>
    <w:rsid w:val="00222B4E"/>
    <w:rPr>
      <w:rFonts w:ascii="Times New Roman" w:eastAsia="Times New Roman" w:hAnsi="Times New Roman" w:cs="Times New Roman"/>
      <w:b/>
      <w:bCs/>
      <w:kern w:val="36"/>
      <w:sz w:val="48"/>
      <w:szCs w:val="48"/>
      <w:lang w:eastAsia="en-GB"/>
    </w:rPr>
  </w:style>
  <w:style w:type="character" w:styleId="FollowedHyperlink">
    <w:name w:val="FollowedHyperlink"/>
    <w:basedOn w:val="DefaultParagraphFont"/>
    <w:uiPriority w:val="99"/>
    <w:semiHidden/>
    <w:unhideWhenUsed/>
    <w:rsid w:val="00630982"/>
    <w:rPr>
      <w:color w:val="954F72" w:themeColor="followedHyperlink"/>
      <w:u w:val="single"/>
    </w:rPr>
  </w:style>
  <w:style w:type="character" w:customStyle="1" w:styleId="author">
    <w:name w:val="author"/>
    <w:basedOn w:val="DefaultParagraphFont"/>
    <w:rsid w:val="006E1AEF"/>
  </w:style>
  <w:style w:type="character" w:customStyle="1" w:styleId="articletitle">
    <w:name w:val="articletitle"/>
    <w:basedOn w:val="DefaultParagraphFont"/>
    <w:rsid w:val="006E1AEF"/>
  </w:style>
  <w:style w:type="character" w:customStyle="1" w:styleId="pubyear">
    <w:name w:val="pubyear"/>
    <w:basedOn w:val="DefaultParagraphFont"/>
    <w:rsid w:val="006E1AEF"/>
  </w:style>
  <w:style w:type="character" w:customStyle="1" w:styleId="vol">
    <w:name w:val="vol"/>
    <w:basedOn w:val="DefaultParagraphFont"/>
    <w:rsid w:val="006E1AEF"/>
  </w:style>
  <w:style w:type="character" w:customStyle="1" w:styleId="pagefirst">
    <w:name w:val="pagefirst"/>
    <w:basedOn w:val="DefaultParagraphFont"/>
    <w:rsid w:val="006E1AEF"/>
  </w:style>
  <w:style w:type="character" w:customStyle="1" w:styleId="pagelast">
    <w:name w:val="pagelast"/>
    <w:basedOn w:val="DefaultParagraphFont"/>
    <w:rsid w:val="006E1AEF"/>
  </w:style>
  <w:style w:type="character" w:styleId="Emphasis">
    <w:name w:val="Emphasis"/>
    <w:basedOn w:val="DefaultParagraphFont"/>
    <w:uiPriority w:val="20"/>
    <w:qFormat/>
    <w:rsid w:val="0048203A"/>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19834769">
      <w:bodyDiv w:val="1"/>
      <w:marLeft w:val="0"/>
      <w:marRight w:val="0"/>
      <w:marTop w:val="0"/>
      <w:marBottom w:val="0"/>
      <w:divBdr>
        <w:top w:val="none" w:sz="0" w:space="0" w:color="auto"/>
        <w:left w:val="none" w:sz="0" w:space="0" w:color="auto"/>
        <w:bottom w:val="none" w:sz="0" w:space="0" w:color="auto"/>
        <w:right w:val="none" w:sz="0" w:space="0" w:color="auto"/>
      </w:divBdr>
    </w:div>
    <w:div w:id="1272324147">
      <w:bodyDiv w:val="1"/>
      <w:marLeft w:val="0"/>
      <w:marRight w:val="0"/>
      <w:marTop w:val="0"/>
      <w:marBottom w:val="0"/>
      <w:divBdr>
        <w:top w:val="none" w:sz="0" w:space="0" w:color="auto"/>
        <w:left w:val="none" w:sz="0" w:space="0" w:color="auto"/>
        <w:bottom w:val="none" w:sz="0" w:space="0" w:color="auto"/>
        <w:right w:val="none" w:sz="0" w:space="0" w:color="auto"/>
      </w:divBdr>
      <w:divsChild>
        <w:div w:id="750544332">
          <w:marLeft w:val="0"/>
          <w:marRight w:val="0"/>
          <w:marTop w:val="0"/>
          <w:marBottom w:val="0"/>
          <w:divBdr>
            <w:top w:val="none" w:sz="0" w:space="0" w:color="auto"/>
            <w:left w:val="none" w:sz="0" w:space="0" w:color="auto"/>
            <w:bottom w:val="none" w:sz="0" w:space="0" w:color="auto"/>
            <w:right w:val="none" w:sz="0" w:space="0" w:color="auto"/>
          </w:divBdr>
        </w:div>
      </w:divsChild>
    </w:div>
    <w:div w:id="1481192856">
      <w:bodyDiv w:val="1"/>
      <w:marLeft w:val="0"/>
      <w:marRight w:val="0"/>
      <w:marTop w:val="0"/>
      <w:marBottom w:val="0"/>
      <w:divBdr>
        <w:top w:val="none" w:sz="0" w:space="0" w:color="auto"/>
        <w:left w:val="none" w:sz="0" w:space="0" w:color="auto"/>
        <w:bottom w:val="none" w:sz="0" w:space="0" w:color="auto"/>
        <w:right w:val="none" w:sz="0" w:space="0" w:color="auto"/>
      </w:divBdr>
    </w:div>
    <w:div w:id="17088692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11/sltb.12792" TargetMode="External"/><Relationship Id="rId13" Type="http://schemas.openxmlformats.org/officeDocument/2006/relationships/hyperlink" Target="https://doi.org/10.1002/casp.2410" TargetMode="External"/><Relationship Id="rId18" Type="http://schemas.openxmlformats.org/officeDocument/2006/relationships/hyperlink" Target="https://digital.nhs.uk/data-and-information/publications/statistical/mental-health-services-monthly-statistics/performance-june-provisional-july-2022" TargetMode="External"/><Relationship Id="rId26" Type="http://schemas.openxmlformats.org/officeDocument/2006/relationships/header" Target="header2.xml"/><Relationship Id="rId3" Type="http://schemas.openxmlformats.org/officeDocument/2006/relationships/webSettings" Target="webSettings.xml"/><Relationship Id="rId21" Type="http://schemas.openxmlformats.org/officeDocument/2006/relationships/hyperlink" Target="https://doi.org/10.3310/hsdr07200" TargetMode="External"/><Relationship Id="rId7" Type="http://schemas.openxmlformats.org/officeDocument/2006/relationships/hyperlink" Target="https://dera.ioe.ac.uk/34934/1/SN06988%20(redacted).pdf" TargetMode="External"/><Relationship Id="rId12" Type="http://schemas.openxmlformats.org/officeDocument/2006/relationships/hyperlink" Target="https://doi.org/10.1002/cbm.2206" TargetMode="External"/><Relationship Id="rId17" Type="http://schemas.openxmlformats.org/officeDocument/2006/relationships/hyperlink" Target="https://digital.nhs.uk/data-and-information/publications/statistical/mental-health-act-statistics-annual-figures/2020-21-annual-figures" TargetMode="External"/><Relationship Id="rId25"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hyperlink" Target="https://academic.oup.com/policing/article/13/2/123/4096708?login=true" TargetMode="External"/><Relationship Id="rId20" Type="http://schemas.openxmlformats.org/officeDocument/2006/relationships/hyperlink" Target="https://doi.org/10.1186/s12888-018-1836-2" TargetMode="External"/><Relationship Id="rId29" Type="http://schemas.openxmlformats.org/officeDocument/2006/relationships/header" Target="header3.xml"/><Relationship Id="rId1" Type="http://schemas.openxmlformats.org/officeDocument/2006/relationships/styles" Target="styles.xml"/><Relationship Id="rId6" Type="http://schemas.openxmlformats.org/officeDocument/2006/relationships/hyperlink" Target="https://doi.org/10.1057/978-1-137-58967-5" TargetMode="External"/><Relationship Id="rId11" Type="http://schemas.openxmlformats.org/officeDocument/2006/relationships/hyperlink" Target="https://doi.org/10.1037/tps0000196" TargetMode="External"/><Relationship Id="rId24" Type="http://schemas.openxmlformats.org/officeDocument/2006/relationships/hyperlink" Target="https://journals-sagepub-com.ezproxy.uwtsd.ac.uk/doi/full/10.1177/0025802421993363" TargetMode="External"/><Relationship Id="rId32" Type="http://schemas.openxmlformats.org/officeDocument/2006/relationships/theme" Target="theme/theme1.xml"/><Relationship Id="rId5" Type="http://schemas.openxmlformats.org/officeDocument/2006/relationships/endnotes" Target="endnotes.xml"/><Relationship Id="rId15" Type="http://schemas.openxmlformats.org/officeDocument/2006/relationships/hyperlink" Target="https://doi.org/10.4324/9780429470882" TargetMode="External"/><Relationship Id="rId23" Type="http://schemas.openxmlformats.org/officeDocument/2006/relationships/hyperlink" Target="https://commonslibrary.parliament.uk/research-briefings/sn06988/" TargetMode="External"/><Relationship Id="rId28" Type="http://schemas.openxmlformats.org/officeDocument/2006/relationships/footer" Target="footer2.xml"/><Relationship Id="rId10" Type="http://schemas.openxmlformats.org/officeDocument/2006/relationships/hyperlink" Target="https://ebookcentral.proquest.com/lib/trinity/detail.action?docID=4763795" TargetMode="External"/><Relationship Id="rId19" Type="http://schemas.openxmlformats.org/officeDocument/2006/relationships/hyperlink" Target="https://www.ons.gov.uk/peoplepopulationandcommunity/crimeandjustice/datasets/crimeinenglandandwalesappendixtables" TargetMode="External"/><Relationship Id="rId31"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yperlink" Target="https://onlinelibrary-wiley-com.ezproxy.uwtsd.ac.uk/doi/full/10.1111/jpm.12584" TargetMode="External"/><Relationship Id="rId14" Type="http://schemas.openxmlformats.org/officeDocument/2006/relationships/hyperlink" Target="https://doi.org/10.1111/hsc.13731" TargetMode="External"/><Relationship Id="rId22" Type="http://schemas.openxmlformats.org/officeDocument/2006/relationships/hyperlink" Target="https://doi.org/10.1002/cbm.1897" TargetMode="External"/><Relationship Id="rId27" Type="http://schemas.openxmlformats.org/officeDocument/2006/relationships/footer" Target="footer1.xml"/><Relationship Id="rId30" Type="http://schemas.openxmlformats.org/officeDocument/2006/relationships/footer" Target="footer3.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1874</TotalTime>
  <Pages>8</Pages>
  <Words>3593</Words>
  <Characters>20485</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Lewis,Callum swp6684</dc:creator>
  <cp:keywords/>
  <dc:description/>
  <cp:lastModifiedBy>Lewis,Callum swp6684</cp:lastModifiedBy>
  <cp:revision>99</cp:revision>
  <dcterms:created xsi:type="dcterms:W3CDTF">2022-08-26T13:35:00Z</dcterms:created>
  <dcterms:modified xsi:type="dcterms:W3CDTF">2022-10-24T04:01:00Z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itusGUID">
    <vt:lpwstr>a4534dc1-7c68-4a05-9b9b-b106f4bf6fa3</vt:lpwstr>
  </property>
  <property fmtid="{D5CDD505-2E9C-101B-9397-08002B2CF9AE}" pid="3" name="Classification">
    <vt:lpwstr>OFFICIAL</vt:lpwstr>
  </property>
  <property fmtid="{D5CDD505-2E9C-101B-9397-08002B2CF9AE}" pid="4" name="Visibility">
    <vt:lpwstr>NOT VISIBLE</vt:lpwstr>
  </property>
</Properties>
</file>