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9607416"/>
        <w:docPartObj>
          <w:docPartGallery w:val="Cover Pages"/>
          <w:docPartUnique/>
        </w:docPartObj>
      </w:sdtPr>
      <w:sdtEndPr>
        <w:rPr>
          <w:rFonts w:ascii="Arial" w:hAnsi="Arial" w:cs="Arial"/>
          <w:b/>
          <w:bCs/>
        </w:rPr>
      </w:sdtEndPr>
      <w:sdtContent>
        <w:p w14:paraId="03EA26D4" w14:textId="5CEF987E" w:rsidR="001E4AD0" w:rsidRDefault="001E4AD0"/>
        <w:p w14:paraId="709AE7B5" w14:textId="26A63037" w:rsidR="001E4AD0" w:rsidRPr="001E4AD0" w:rsidRDefault="001E4AD0" w:rsidP="001E4AD0">
          <w:pPr>
            <w:rPr>
              <w:rFonts w:ascii="Arial" w:hAnsi="Arial" w:cs="Arial"/>
              <w:b/>
              <w:bCs/>
            </w:rPr>
          </w:pPr>
          <w:r w:rsidRPr="001E4AD0">
            <w:rPr>
              <w:rFonts w:ascii="Arial" w:hAnsi="Arial" w:cs="Arial"/>
              <w:b/>
              <w:bCs/>
            </w:rPr>
            <w:t>Student name:</w:t>
          </w:r>
          <w:r w:rsidR="00E92A0C">
            <w:rPr>
              <w:rFonts w:ascii="Arial" w:hAnsi="Arial" w:cs="Arial"/>
              <w:b/>
              <w:bCs/>
            </w:rPr>
            <w:t xml:space="preserve"> Gabriel Petrea </w:t>
          </w:r>
          <w:r w:rsidRPr="001E4AD0">
            <w:rPr>
              <w:rFonts w:ascii="Arial" w:hAnsi="Arial" w:cs="Arial"/>
              <w:b/>
              <w:bCs/>
            </w:rPr>
            <w:tab/>
            <w:t xml:space="preserve">     </w:t>
          </w:r>
        </w:p>
        <w:p w14:paraId="01B80D35" w14:textId="5E8D83E6" w:rsidR="001E4AD0" w:rsidRPr="001E4AD0" w:rsidRDefault="001E4AD0" w:rsidP="001E4AD0">
          <w:pPr>
            <w:rPr>
              <w:rFonts w:ascii="Arial" w:hAnsi="Arial" w:cs="Arial"/>
              <w:b/>
              <w:bCs/>
            </w:rPr>
          </w:pPr>
          <w:r w:rsidRPr="001E4AD0">
            <w:rPr>
              <w:rFonts w:ascii="Arial" w:hAnsi="Arial" w:cs="Arial"/>
              <w:b/>
              <w:bCs/>
            </w:rPr>
            <w:t>Programme:</w:t>
          </w:r>
          <w:r w:rsidRPr="001E4AD0">
            <w:rPr>
              <w:rFonts w:ascii="Arial" w:hAnsi="Arial" w:cs="Arial"/>
              <w:b/>
              <w:bCs/>
            </w:rPr>
            <w:tab/>
            <w:t xml:space="preserve">BA Business and Management </w:t>
          </w:r>
        </w:p>
        <w:p w14:paraId="0CDF66E0" w14:textId="6C3F9F90" w:rsidR="001E4AD0" w:rsidRPr="001E4AD0" w:rsidRDefault="001E4AD0" w:rsidP="001E4AD0">
          <w:pPr>
            <w:rPr>
              <w:rFonts w:ascii="Arial" w:hAnsi="Arial" w:cs="Arial"/>
              <w:b/>
              <w:bCs/>
            </w:rPr>
          </w:pPr>
          <w:r w:rsidRPr="001E4AD0">
            <w:rPr>
              <w:rFonts w:ascii="Arial" w:hAnsi="Arial" w:cs="Arial"/>
              <w:b/>
              <w:bCs/>
            </w:rPr>
            <w:t>Module:</w:t>
          </w:r>
          <w:r w:rsidR="00E92A0C">
            <w:rPr>
              <w:rFonts w:ascii="Arial" w:hAnsi="Arial" w:cs="Arial"/>
              <w:b/>
              <w:bCs/>
            </w:rPr>
            <w:t xml:space="preserve"> </w:t>
          </w:r>
          <w:r w:rsidRPr="001E4AD0">
            <w:rPr>
              <w:rFonts w:ascii="Arial" w:hAnsi="Arial" w:cs="Arial"/>
              <w:b/>
              <w:bCs/>
            </w:rPr>
            <w:t>Distinctiveness and Regeneration</w:t>
          </w:r>
        </w:p>
        <w:p w14:paraId="717A50D4" w14:textId="2ED44227" w:rsidR="001E4AD0" w:rsidRPr="001E4AD0" w:rsidRDefault="001E4AD0" w:rsidP="001E4AD0">
          <w:pPr>
            <w:rPr>
              <w:rFonts w:ascii="Arial" w:hAnsi="Arial" w:cs="Arial"/>
              <w:b/>
              <w:bCs/>
            </w:rPr>
          </w:pPr>
          <w:r w:rsidRPr="001E4AD0">
            <w:rPr>
              <w:rFonts w:ascii="Arial" w:hAnsi="Arial" w:cs="Arial"/>
              <w:b/>
              <w:bCs/>
            </w:rPr>
            <w:t>Module code:</w:t>
          </w:r>
          <w:r w:rsidR="00E92A0C">
            <w:rPr>
              <w:rFonts w:ascii="Arial" w:hAnsi="Arial" w:cs="Arial"/>
              <w:b/>
              <w:bCs/>
            </w:rPr>
            <w:t xml:space="preserve"> </w:t>
          </w:r>
          <w:r w:rsidRPr="001E4AD0">
            <w:rPr>
              <w:rFonts w:ascii="Arial" w:hAnsi="Arial" w:cs="Arial"/>
              <w:b/>
              <w:bCs/>
            </w:rPr>
            <w:t>BMSP4016D</w:t>
          </w:r>
        </w:p>
        <w:p w14:paraId="7C7BC159" w14:textId="6ADCE5FB" w:rsidR="001E4AD0" w:rsidRPr="001E4AD0" w:rsidRDefault="001E4AD0" w:rsidP="001E4AD0">
          <w:pPr>
            <w:rPr>
              <w:rFonts w:ascii="Arial" w:hAnsi="Arial" w:cs="Arial"/>
              <w:b/>
              <w:bCs/>
            </w:rPr>
          </w:pPr>
          <w:r w:rsidRPr="001E4AD0">
            <w:rPr>
              <w:rFonts w:ascii="Arial" w:hAnsi="Arial" w:cs="Arial"/>
              <w:b/>
              <w:bCs/>
            </w:rPr>
            <w:t>Lecturer:</w:t>
          </w:r>
          <w:r w:rsidR="00E92A0C">
            <w:rPr>
              <w:rFonts w:ascii="Arial" w:hAnsi="Arial" w:cs="Arial"/>
              <w:b/>
              <w:bCs/>
            </w:rPr>
            <w:t xml:space="preserve"> </w:t>
          </w:r>
          <w:r w:rsidRPr="001E4AD0">
            <w:rPr>
              <w:rFonts w:ascii="Arial" w:hAnsi="Arial" w:cs="Arial"/>
              <w:b/>
              <w:bCs/>
            </w:rPr>
            <w:t xml:space="preserve">Jessica Shore </w:t>
          </w:r>
        </w:p>
        <w:p w14:paraId="26B2E3A7" w14:textId="52A4934E" w:rsidR="001E4AD0" w:rsidRDefault="001E4AD0" w:rsidP="001E4AD0">
          <w:pPr>
            <w:rPr>
              <w:rFonts w:ascii="Arial" w:hAnsi="Arial" w:cs="Arial"/>
              <w:b/>
              <w:bCs/>
            </w:rPr>
          </w:pPr>
          <w:r w:rsidRPr="001E4AD0">
            <w:rPr>
              <w:rFonts w:ascii="Arial" w:hAnsi="Arial" w:cs="Arial"/>
              <w:b/>
              <w:bCs/>
            </w:rPr>
            <w:t>Assignment Title:</w:t>
          </w:r>
          <w:r w:rsidR="00E92A0C">
            <w:rPr>
              <w:rFonts w:ascii="Arial" w:hAnsi="Arial" w:cs="Arial"/>
              <w:b/>
              <w:bCs/>
            </w:rPr>
            <w:t xml:space="preserve"> </w:t>
          </w:r>
          <w:r w:rsidRPr="001E4AD0">
            <w:rPr>
              <w:rFonts w:ascii="Arial" w:hAnsi="Arial" w:cs="Arial"/>
              <w:b/>
              <w:bCs/>
            </w:rPr>
            <w:t>Report</w:t>
          </w:r>
          <w:r>
            <w:rPr>
              <w:noProof/>
            </w:rPr>
            <mc:AlternateContent>
              <mc:Choice Requires="wps">
                <w:drawing>
                  <wp:anchor distT="0" distB="0" distL="182880" distR="182880" simplePos="0" relativeHeight="251660288" behindDoc="0" locked="0" layoutInCell="1" allowOverlap="1" wp14:anchorId="602DD3BC" wp14:editId="18C6E0F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474335" cy="6720840"/>
                    <wp:effectExtent l="0" t="0" r="12065"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54748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0534E" w14:textId="03B24D1C" w:rsidR="001E4AD0" w:rsidRPr="001E4AD0" w:rsidRDefault="001E4AD0" w:rsidP="001E4AD0">
                                <w:pPr>
                                  <w:pStyle w:val="NoSpacing"/>
                                  <w:spacing w:before="40" w:after="560" w:line="216" w:lineRule="auto"/>
                                  <w:rPr>
                                    <w:color w:val="156082" w:themeColor="accent1"/>
                                    <w:sz w:val="72"/>
                                    <w:szCs w:val="72"/>
                                  </w:rPr>
                                </w:pPr>
                                <w:sdt>
                                  <w:sdtPr>
                                    <w:rPr>
                                      <w:rFonts w:ascii="Arial Black" w:hAnsi="Arial Black"/>
                                      <w:color w:val="000000" w:themeColor="text1"/>
                                      <w:sz w:val="96"/>
                                      <w:szCs w:val="96"/>
                                      <w:bdr w:val="thinThickThinMediumGap" w:sz="24" w:space="0" w:color="auto"/>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E4AD0">
                                      <w:rPr>
                                        <w:rFonts w:ascii="Arial Black" w:hAnsi="Arial Black"/>
                                        <w:color w:val="000000" w:themeColor="text1"/>
                                        <w:sz w:val="96"/>
                                        <w:szCs w:val="96"/>
                                        <w:bdr w:val="thinThickThinMediumGap" w:sz="24" w:space="0" w:color="auto"/>
                                      </w:rPr>
                                      <w:t>SWANSEA REGENERATION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602DD3BC" id="_x0000_t202" coordsize="21600,21600" o:spt="202" path="m,l,21600r21600,l21600,xe">
                    <v:stroke joinstyle="miter"/>
                    <v:path gradientshapeok="t" o:connecttype="rect"/>
                  </v:shapetype>
                  <v:shape id="Text Box 131" o:spid="_x0000_s1026" type="#_x0000_t202" style="position:absolute;margin-left:0;margin-top:0;width:431.05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1FuXwIAAC4FAAAOAAAAZHJzL2Uyb0RvYy54bWysVN1P2zAQf5+0/8Hy+0jp+FJFijoQ0yQE&#10;CJh4dh2bRnN83vnapPvrd3aSFrG9MO3Fufi+f/c7n190jRMbg7EGX8rDg4kUxmuoav9Syu9P15/O&#10;pIikfKUceFPKrYnyYv7xw3kbZmYKK3CVQcFBfJy1oZQrojAriqhXplHxAILxrLSAjSL+xZeiQtVy&#10;9MYV08nkpGgBq4CgTYx8e9Ur5TzHt9ZourM2GhKulFwb5RPzuUxnMT9XsxdUYVXroQz1D1U0qvac&#10;dBfqSpESa6z/CNXUGiGCpQMNTQHW1trkHribw8mbbh5XKpjcC4MTww6m+P/C6tvNY7hHQd0X6HiA&#10;CZA2xFnky9RPZ7FJX65UsJ4h3O5gMx0JzZfHR6dHZ9NjKTTrTk6nk7OjDGyxdw8Y6auBRiShlMhz&#10;yXCpzU0kTsmmo0nK5uG6di7PxnnRctTPx5PssNOwh/PJ1uQpD2H2pWeJts4kG+cfjBV1lTtIF5lf&#10;5tKh2ChmhtLaeMrN57hsnawsF/Eex8F+X9V7nPs+xszgaefc1B4wd/+m7OrHWLLt7RnIV30nkbpl&#10;N4x0CdWWJ43QL0EM+rrmadyoSPcKmfU8XN5kuuPDOmDUYZCkWAH++tt9smcyslaKlreolPHnWqGR&#10;wn3zTNO0cqOAo7AcBb9uLoHhP+Q3IugssgOSG0WL0Dzzgi9SFlYprzlXKWkUL6nfZX4gtFksshEv&#10;VlB04x+DTqHTNBK3nrpnhWEgIDF3b2HcLzV7w8PeNhMlLNbEbMwkTYD2KA5A81Jm7g4PSNr61//Z&#10;av/MzX8DAAD//wMAUEsDBBQABgAIAAAAIQBz7C/W2wAAAAYBAAAPAAAAZHJzL2Rvd25yZXYueG1s&#10;TI/BTsMwEETvSPyDtUjcqJOqRGmIU6EiOEMKSNy28RJH2Osodtv07zFc4DLSakYzb+vN7Kw40hQG&#10;zwryRQaCuPN64F7B6+7xpgQRIrJG65kUnCnAprm8qLHS/sQvdGxjL1IJhwoVmBjHSsrQGXIYFn4k&#10;Tt6nnxzGdE691BOeUrmzcpllhXQ4cFowONLWUPfVHpyC97U961X+httnXj89tMWHdmZU6vpqvr8D&#10;EWmOf2H4wU/o0CSmvT+wDsIqSI/EX01eWSxzEPsUym7LFcimlv/xm28AAAD//wMAUEsBAi0AFAAG&#10;AAgAAAAhALaDOJL+AAAA4QEAABMAAAAAAAAAAAAAAAAAAAAAAFtDb250ZW50X1R5cGVzXS54bWxQ&#10;SwECLQAUAAYACAAAACEAOP0h/9YAAACUAQAACwAAAAAAAAAAAAAAAAAvAQAAX3JlbHMvLnJlbHNQ&#10;SwECLQAUAAYACAAAACEAZLNRbl8CAAAuBQAADgAAAAAAAAAAAAAAAAAuAgAAZHJzL2Uyb0RvYy54&#10;bWxQSwECLQAUAAYACAAAACEAc+wv1tsAAAAGAQAADwAAAAAAAAAAAAAAAAC5BAAAZHJzL2Rvd25y&#10;ZXYueG1sUEsFBgAAAAAEAAQA8wAAAMEFAAAAAA==&#10;" filled="f" stroked="f" strokeweight=".5pt">
                    <v:textbox style="mso-fit-shape-to-text:t" inset="0,0,0,0">
                      <w:txbxContent>
                        <w:p w14:paraId="5F20534E" w14:textId="03B24D1C" w:rsidR="001E4AD0" w:rsidRPr="001E4AD0" w:rsidRDefault="001E4AD0" w:rsidP="001E4AD0">
                          <w:pPr>
                            <w:pStyle w:val="NoSpacing"/>
                            <w:spacing w:before="40" w:after="560" w:line="216" w:lineRule="auto"/>
                            <w:rPr>
                              <w:color w:val="156082" w:themeColor="accent1"/>
                              <w:sz w:val="72"/>
                              <w:szCs w:val="72"/>
                            </w:rPr>
                          </w:pPr>
                          <w:sdt>
                            <w:sdtPr>
                              <w:rPr>
                                <w:rFonts w:ascii="Arial Black" w:hAnsi="Arial Black"/>
                                <w:color w:val="000000" w:themeColor="text1"/>
                                <w:sz w:val="96"/>
                                <w:szCs w:val="96"/>
                                <w:bdr w:val="thinThickThinMediumGap" w:sz="24" w:space="0" w:color="auto"/>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E4AD0">
                                <w:rPr>
                                  <w:rFonts w:ascii="Arial Black" w:hAnsi="Arial Black"/>
                                  <w:color w:val="000000" w:themeColor="text1"/>
                                  <w:sz w:val="96"/>
                                  <w:szCs w:val="96"/>
                                  <w:bdr w:val="thinThickThinMediumGap" w:sz="24" w:space="0" w:color="auto"/>
                                </w:rPr>
                                <w:t>SWANSEA REGENERATION REPORT</w:t>
                              </w:r>
                            </w:sdtContent>
                          </w:sdt>
                        </w:p>
                      </w:txbxContent>
                    </v:textbox>
                    <w10:wrap type="square" anchorx="margin" anchory="page"/>
                  </v:shape>
                </w:pict>
              </mc:Fallback>
            </mc:AlternateContent>
          </w:r>
          <w:r>
            <w:rPr>
              <w:rFonts w:ascii="Arial" w:hAnsi="Arial" w:cs="Arial"/>
              <w:b/>
              <w:bCs/>
            </w:rPr>
            <w:br w:type="page"/>
          </w:r>
        </w:p>
      </w:sdtContent>
    </w:sdt>
    <w:p w14:paraId="079A1C1D" w14:textId="77777777" w:rsidR="000A039A" w:rsidRDefault="000A039A" w:rsidP="00947054">
      <w:pPr>
        <w:pBdr>
          <w:top w:val="thinThickThinMediumGap" w:sz="24" w:space="1" w:color="auto"/>
        </w:pBdr>
        <w:spacing w:line="480" w:lineRule="auto"/>
        <w:rPr>
          <w:rFonts w:ascii="Arial" w:hAnsi="Arial" w:cs="Arial"/>
          <w:b/>
          <w:bCs/>
        </w:rPr>
      </w:pPr>
    </w:p>
    <w:p w14:paraId="0EDF7F97" w14:textId="6E895C9D" w:rsidR="00947054" w:rsidRPr="00947054" w:rsidRDefault="00947054" w:rsidP="00947054">
      <w:pPr>
        <w:pBdr>
          <w:top w:val="thinThickThinMediumGap" w:sz="24" w:space="1" w:color="auto"/>
        </w:pBdr>
        <w:spacing w:line="480" w:lineRule="auto"/>
        <w:rPr>
          <w:rFonts w:ascii="Arial" w:hAnsi="Arial" w:cs="Arial"/>
          <w:b/>
          <w:bCs/>
        </w:rPr>
      </w:pPr>
      <w:r>
        <w:rPr>
          <w:rFonts w:ascii="Arial" w:hAnsi="Arial" w:cs="Arial"/>
          <w:b/>
          <w:bCs/>
        </w:rPr>
        <w:t xml:space="preserve">Part 1: </w:t>
      </w:r>
      <w:r w:rsidRPr="00947054">
        <w:rPr>
          <w:rFonts w:ascii="Arial" w:hAnsi="Arial" w:cs="Arial"/>
          <w:b/>
          <w:bCs/>
        </w:rPr>
        <w:t xml:space="preserve">Port Talbot's </w:t>
      </w:r>
      <w:r>
        <w:rPr>
          <w:rFonts w:ascii="Arial" w:hAnsi="Arial" w:cs="Arial"/>
          <w:b/>
          <w:bCs/>
        </w:rPr>
        <w:t>Appraisal</w:t>
      </w:r>
    </w:p>
    <w:p w14:paraId="23A7D4EF" w14:textId="661BBBC6" w:rsidR="00947054" w:rsidRPr="00947054" w:rsidRDefault="00947054" w:rsidP="00947054">
      <w:pPr>
        <w:spacing w:line="480" w:lineRule="auto"/>
        <w:rPr>
          <w:rFonts w:ascii="Arial" w:hAnsi="Arial" w:cs="Arial"/>
        </w:rPr>
      </w:pPr>
      <w:r w:rsidRPr="00947054">
        <w:rPr>
          <w:rFonts w:ascii="Arial" w:hAnsi="Arial" w:cs="Arial"/>
        </w:rPr>
        <w:t xml:space="preserve">The identity of Port Talbot (a coastal, industrial town located in South </w:t>
      </w:r>
      <w:r w:rsidRPr="00947054">
        <w:rPr>
          <w:rFonts w:ascii="Arial" w:hAnsi="Arial" w:cs="Arial"/>
        </w:rPr>
        <w:t>Wales’s</w:t>
      </w:r>
      <w:r w:rsidRPr="00947054">
        <w:rPr>
          <w:rFonts w:ascii="Arial" w:hAnsi="Arial" w:cs="Arial"/>
        </w:rPr>
        <w:t xml:space="preserve"> Neath Port Talbot area) has been shaped by heavy reliance on steel, large docks, numerous systems supplying energy, and a vibrant working-class community. Therefore, any plan that attempts to regenerate Port Talbot must take into consideration the changing economic environment that Port Talbot faces.</w:t>
      </w:r>
    </w:p>
    <w:p w14:paraId="4423666B" w14:textId="3E97D34D" w:rsidR="00947054" w:rsidRPr="00947054" w:rsidRDefault="00947054" w:rsidP="00947054">
      <w:pPr>
        <w:spacing w:line="480" w:lineRule="auto"/>
        <w:rPr>
          <w:rFonts w:ascii="Arial" w:hAnsi="Arial" w:cs="Arial"/>
        </w:rPr>
      </w:pPr>
      <w:r w:rsidRPr="00947054">
        <w:rPr>
          <w:rFonts w:ascii="Arial" w:hAnsi="Arial" w:cs="Arial"/>
        </w:rPr>
        <w:t xml:space="preserve">The town developed around its heavy industries (specifically steel production). The steel industry not only </w:t>
      </w:r>
      <w:r>
        <w:rPr>
          <w:rFonts w:ascii="Arial" w:hAnsi="Arial" w:cs="Arial"/>
        </w:rPr>
        <w:t>represents</w:t>
      </w:r>
      <w:r w:rsidRPr="00947054">
        <w:rPr>
          <w:rFonts w:ascii="Arial" w:hAnsi="Arial" w:cs="Arial"/>
        </w:rPr>
        <w:t xml:space="preserve"> a large employer, </w:t>
      </w:r>
      <w:r>
        <w:rPr>
          <w:rFonts w:ascii="Arial" w:hAnsi="Arial" w:cs="Arial"/>
        </w:rPr>
        <w:t>but it</w:t>
      </w:r>
      <w:r w:rsidRPr="00947054">
        <w:rPr>
          <w:rFonts w:ascii="Arial" w:hAnsi="Arial" w:cs="Arial"/>
        </w:rPr>
        <w:t xml:space="preserve"> has </w:t>
      </w:r>
      <w:r>
        <w:rPr>
          <w:rFonts w:ascii="Arial" w:hAnsi="Arial" w:cs="Arial"/>
        </w:rPr>
        <w:t xml:space="preserve">also </w:t>
      </w:r>
      <w:r w:rsidRPr="00947054">
        <w:rPr>
          <w:rFonts w:ascii="Arial" w:hAnsi="Arial" w:cs="Arial"/>
        </w:rPr>
        <w:t xml:space="preserve">contributed significantly to shaping local identity through connecting families with family histories and through developing families' skillsets, as well as housing patterns, environmental conditions, and the town's overall reputation </w:t>
      </w:r>
      <w:r>
        <w:rPr>
          <w:rFonts w:ascii="Arial" w:hAnsi="Arial" w:cs="Arial"/>
        </w:rPr>
        <w:t>for</w:t>
      </w:r>
      <w:r w:rsidRPr="00947054">
        <w:rPr>
          <w:rFonts w:ascii="Arial" w:hAnsi="Arial" w:cs="Arial"/>
        </w:rPr>
        <w:t xml:space="preserve"> quality of housing for workers. However, Port Talbot is in the process of going through a significant transition. Tata Steel has indicated that with their move to a more carbon-friendly production method (from a traditional blast-furnace method to an electric arc method), the result will be </w:t>
      </w:r>
      <w:r>
        <w:rPr>
          <w:rFonts w:ascii="Arial" w:hAnsi="Arial" w:cs="Arial"/>
        </w:rPr>
        <w:t xml:space="preserve">that </w:t>
      </w:r>
      <w:r w:rsidRPr="00947054">
        <w:rPr>
          <w:rFonts w:ascii="Arial" w:hAnsi="Arial" w:cs="Arial"/>
        </w:rPr>
        <w:t xml:space="preserve">many former steel manufacturing jobs will no longer exist. A 2024 report estimated that approximately 2,800 jobs are at risk </w:t>
      </w:r>
      <w:r w:rsidRPr="00947054">
        <w:rPr>
          <w:rFonts w:ascii="Arial" w:hAnsi="Arial" w:cs="Arial"/>
        </w:rPr>
        <w:t>because of</w:t>
      </w:r>
      <w:r w:rsidRPr="00947054">
        <w:rPr>
          <w:rFonts w:ascii="Arial" w:hAnsi="Arial" w:cs="Arial"/>
        </w:rPr>
        <w:t xml:space="preserve"> blast furnace closures and production restructuring. This creates a challenge in terms of the town's prospects for regeneration, as Port Talbot is a key </w:t>
      </w:r>
      <w:r>
        <w:rPr>
          <w:rFonts w:ascii="Arial" w:hAnsi="Arial" w:cs="Arial"/>
        </w:rPr>
        <w:t>player</w:t>
      </w:r>
      <w:r w:rsidRPr="00947054">
        <w:rPr>
          <w:rFonts w:ascii="Arial" w:hAnsi="Arial" w:cs="Arial"/>
        </w:rPr>
        <w:t xml:space="preserve"> in creating a "green" industrial transition, but many residents may view that transition from an insecure and/or unemployed standpoint.</w:t>
      </w:r>
    </w:p>
    <w:p w14:paraId="3FBDC708" w14:textId="77777777" w:rsidR="000A039A" w:rsidRDefault="000A039A" w:rsidP="00947054">
      <w:pPr>
        <w:spacing w:line="480" w:lineRule="auto"/>
        <w:rPr>
          <w:rFonts w:ascii="Arial" w:hAnsi="Arial" w:cs="Arial"/>
        </w:rPr>
      </w:pPr>
    </w:p>
    <w:p w14:paraId="78A1DAED" w14:textId="1BA90F54" w:rsidR="00947054" w:rsidRPr="00947054" w:rsidRDefault="00947054" w:rsidP="00947054">
      <w:pPr>
        <w:spacing w:line="480" w:lineRule="auto"/>
        <w:rPr>
          <w:rFonts w:ascii="Arial" w:hAnsi="Arial" w:cs="Arial"/>
        </w:rPr>
      </w:pPr>
      <w:r w:rsidRPr="00947054">
        <w:rPr>
          <w:rFonts w:ascii="Arial" w:hAnsi="Arial" w:cs="Arial"/>
        </w:rPr>
        <w:lastRenderedPageBreak/>
        <w:t xml:space="preserve">As a result of Port Talbot's significant historical reliance on the steel-producing industry, there are many positive and many negative aspects related to this history. Major positives related to the history of Port Talbot include the steelworks, docks, railway (and M4) transportation linkages, </w:t>
      </w:r>
      <w:r w:rsidRPr="00947054">
        <w:rPr>
          <w:rFonts w:ascii="Arial" w:hAnsi="Arial" w:cs="Arial"/>
        </w:rPr>
        <w:t>industrially zoned</w:t>
      </w:r>
      <w:r w:rsidRPr="00947054">
        <w:rPr>
          <w:rFonts w:ascii="Arial" w:hAnsi="Arial" w:cs="Arial"/>
        </w:rPr>
        <w:t xml:space="preserve"> land, engineering skilled trade workers, Baglan Energy Park, Aberavon Seaside Park, Margam Country Park, and access to the Afan Valley. </w:t>
      </w:r>
      <w:r w:rsidRPr="00947054">
        <w:rPr>
          <w:rFonts w:ascii="Arial" w:hAnsi="Arial" w:cs="Arial"/>
        </w:rPr>
        <w:t>All</w:t>
      </w:r>
      <w:r w:rsidRPr="00947054">
        <w:rPr>
          <w:rFonts w:ascii="Arial" w:hAnsi="Arial" w:cs="Arial"/>
        </w:rPr>
        <w:t xml:space="preserve"> these assets provide a strong basis for facilitating green industries, logistics, tourism, and cultural regeneration in Port Talbot. Conversely, there have also been several negative consequences that have developed due to Port Talbot's extreme reliance on heavy industry, including environmental degradation, decreased air quality, </w:t>
      </w:r>
      <w:r>
        <w:rPr>
          <w:rFonts w:ascii="Arial" w:hAnsi="Arial" w:cs="Arial"/>
        </w:rPr>
        <w:t xml:space="preserve">a </w:t>
      </w:r>
      <w:r w:rsidRPr="00947054">
        <w:rPr>
          <w:rFonts w:ascii="Arial" w:hAnsi="Arial" w:cs="Arial"/>
        </w:rPr>
        <w:t xml:space="preserve">significant number of brownfield properties, health </w:t>
      </w:r>
      <w:r>
        <w:rPr>
          <w:rFonts w:ascii="Arial" w:hAnsi="Arial" w:cs="Arial"/>
        </w:rPr>
        <w:t>disparities</w:t>
      </w:r>
      <w:r w:rsidRPr="00947054">
        <w:rPr>
          <w:rFonts w:ascii="Arial" w:hAnsi="Arial" w:cs="Arial"/>
        </w:rPr>
        <w:t xml:space="preserve">, high levels of deprivation, and high levels of reliance on a limited number of industries to provide long-term employment levels for the residents of Port </w:t>
      </w:r>
      <w:r w:rsidRPr="00947054">
        <w:rPr>
          <w:rFonts w:ascii="Arial" w:hAnsi="Arial" w:cs="Arial"/>
        </w:rPr>
        <w:t>Talbot. The</w:t>
      </w:r>
      <w:r w:rsidRPr="00947054">
        <w:rPr>
          <w:rFonts w:ascii="Arial" w:hAnsi="Arial" w:cs="Arial"/>
        </w:rPr>
        <w:t xml:space="preserve"> work of Telford (2022) can be applied to the deindustrialisation of a port town and shows that industrial decline is both an economic and emotional process, leading to feelings of loss, abandonment and diminished pride in the community. The closure of the </w:t>
      </w:r>
      <w:r>
        <w:rPr>
          <w:rFonts w:ascii="Arial" w:hAnsi="Arial" w:cs="Arial"/>
        </w:rPr>
        <w:t>blast-furnace-based</w:t>
      </w:r>
      <w:r w:rsidRPr="00947054">
        <w:rPr>
          <w:rFonts w:ascii="Arial" w:hAnsi="Arial" w:cs="Arial"/>
        </w:rPr>
        <w:t xml:space="preserve"> steel manufacturing in Port Talbot poses a potential break from the </w:t>
      </w:r>
      <w:proofErr w:type="gramStart"/>
      <w:r>
        <w:rPr>
          <w:rFonts w:ascii="Arial" w:hAnsi="Arial" w:cs="Arial"/>
        </w:rPr>
        <w:t>town's</w:t>
      </w:r>
      <w:proofErr w:type="gramEnd"/>
      <w:r w:rsidRPr="00947054">
        <w:rPr>
          <w:rFonts w:ascii="Arial" w:hAnsi="Arial" w:cs="Arial"/>
        </w:rPr>
        <w:t xml:space="preserve"> over 100 years of industrial heritage.</w:t>
      </w:r>
    </w:p>
    <w:p w14:paraId="0676EE85" w14:textId="77777777" w:rsidR="000A039A" w:rsidRDefault="000A039A" w:rsidP="00947054">
      <w:pPr>
        <w:spacing w:line="480" w:lineRule="auto"/>
        <w:rPr>
          <w:rFonts w:ascii="Arial" w:hAnsi="Arial" w:cs="Arial"/>
        </w:rPr>
      </w:pPr>
    </w:p>
    <w:p w14:paraId="09AFC139" w14:textId="16C45ED6" w:rsidR="00947054" w:rsidRPr="00947054" w:rsidRDefault="00947054" w:rsidP="00947054">
      <w:pPr>
        <w:spacing w:line="480" w:lineRule="auto"/>
        <w:rPr>
          <w:rFonts w:ascii="Arial" w:hAnsi="Arial" w:cs="Arial"/>
        </w:rPr>
      </w:pPr>
      <w:r w:rsidRPr="00947054">
        <w:rPr>
          <w:rFonts w:ascii="Arial" w:hAnsi="Arial" w:cs="Arial"/>
        </w:rPr>
        <w:t xml:space="preserve">The economic </w:t>
      </w:r>
      <w:r>
        <w:rPr>
          <w:rFonts w:ascii="Arial" w:hAnsi="Arial" w:cs="Arial"/>
        </w:rPr>
        <w:t>part</w:t>
      </w:r>
      <w:r w:rsidRPr="00947054">
        <w:rPr>
          <w:rFonts w:ascii="Arial" w:hAnsi="Arial" w:cs="Arial"/>
        </w:rPr>
        <w:t xml:space="preserve"> of Port Talbot is continuing to evolve. The town continues to be an industrial base, it is being repositioned to also become a location for the </w:t>
      </w:r>
      <w:r>
        <w:rPr>
          <w:rFonts w:ascii="Arial" w:hAnsi="Arial" w:cs="Arial"/>
        </w:rPr>
        <w:t>low-carbon</w:t>
      </w:r>
      <w:r w:rsidRPr="00947054">
        <w:rPr>
          <w:rFonts w:ascii="Arial" w:hAnsi="Arial" w:cs="Arial"/>
        </w:rPr>
        <w:t xml:space="preserve"> production of renewable energy, port logistics, skills training and growth in </w:t>
      </w:r>
      <w:r>
        <w:rPr>
          <w:rFonts w:ascii="Arial" w:hAnsi="Arial" w:cs="Arial"/>
        </w:rPr>
        <w:t>its</w:t>
      </w:r>
      <w:r w:rsidRPr="00947054">
        <w:rPr>
          <w:rFonts w:ascii="Arial" w:hAnsi="Arial" w:cs="Arial"/>
        </w:rPr>
        <w:t xml:space="preserve"> visitor economy. With respect to their Corporate Plan, 2024-2027, Neath Port Talbot Council has made Port Talbot and Baglan Energy Park strategic employment sites </w:t>
      </w:r>
      <w:r w:rsidRPr="00947054">
        <w:rPr>
          <w:rFonts w:ascii="Arial" w:hAnsi="Arial" w:cs="Arial"/>
        </w:rPr>
        <w:t>to</w:t>
      </w:r>
      <w:r w:rsidRPr="00947054">
        <w:rPr>
          <w:rFonts w:ascii="Arial" w:hAnsi="Arial" w:cs="Arial"/>
        </w:rPr>
        <w:t xml:space="preserve"> drive forward opportunities for economic development and green jobs through </w:t>
      </w:r>
      <w:r w:rsidRPr="00947054">
        <w:rPr>
          <w:rFonts w:ascii="Arial" w:hAnsi="Arial" w:cs="Arial"/>
        </w:rPr>
        <w:lastRenderedPageBreak/>
        <w:t>floating offshore wind, hydrogen and other renewable energy. Regeneration funding from the Tata Steel/Port Talbot Transition Board has also included £21.2 million in support of projects creating over 270 jobs in the area. The status of these projects indicates that the future of Port Talbot will come about through a just transition</w:t>
      </w:r>
      <w:r>
        <w:rPr>
          <w:rFonts w:ascii="Arial" w:hAnsi="Arial" w:cs="Arial"/>
        </w:rPr>
        <w:t>. The</w:t>
      </w:r>
      <w:r w:rsidRPr="00947054">
        <w:rPr>
          <w:rFonts w:ascii="Arial" w:hAnsi="Arial" w:cs="Arial"/>
        </w:rPr>
        <w:t xml:space="preserve"> success of the just transition will be dependent upon </w:t>
      </w:r>
      <w:r w:rsidRPr="00947054">
        <w:rPr>
          <w:rFonts w:ascii="Arial" w:hAnsi="Arial" w:cs="Arial"/>
        </w:rPr>
        <w:t>whether</w:t>
      </w:r>
      <w:r w:rsidRPr="00947054">
        <w:rPr>
          <w:rFonts w:ascii="Arial" w:hAnsi="Arial" w:cs="Arial"/>
        </w:rPr>
        <w:t xml:space="preserve"> the new opportunities are available to the people and communities within the area.</w:t>
      </w:r>
    </w:p>
    <w:p w14:paraId="72969AFA" w14:textId="77777777" w:rsidR="000A039A" w:rsidRDefault="000A039A" w:rsidP="00947054">
      <w:pPr>
        <w:spacing w:line="480" w:lineRule="auto"/>
        <w:rPr>
          <w:rFonts w:ascii="Arial" w:hAnsi="Arial" w:cs="Arial"/>
        </w:rPr>
      </w:pPr>
    </w:p>
    <w:p w14:paraId="76CB111A" w14:textId="69C9823F" w:rsidR="00947054" w:rsidRPr="00947054" w:rsidRDefault="00947054" w:rsidP="00947054">
      <w:pPr>
        <w:spacing w:line="480" w:lineRule="auto"/>
        <w:rPr>
          <w:rFonts w:ascii="Arial" w:hAnsi="Arial" w:cs="Arial"/>
        </w:rPr>
      </w:pPr>
      <w:r w:rsidRPr="00947054">
        <w:rPr>
          <w:rFonts w:ascii="Arial" w:hAnsi="Arial" w:cs="Arial"/>
        </w:rPr>
        <w:t xml:space="preserve">Tata Steel, steel workers, trade unions, Neath Port Talbot Council, Welsh Government, UK Government, Associated British Ports, local businesses, and residents, schools, colleges, environmental groups, visitor groups, and community groups are all key stakeholders in the future of Port Talbot. This wide variety of stakeholders means that there is </w:t>
      </w:r>
      <w:r>
        <w:rPr>
          <w:rFonts w:ascii="Arial" w:hAnsi="Arial" w:cs="Arial"/>
        </w:rPr>
        <w:t>no</w:t>
      </w:r>
      <w:r w:rsidRPr="00947054">
        <w:rPr>
          <w:rFonts w:ascii="Arial" w:hAnsi="Arial" w:cs="Arial"/>
        </w:rPr>
        <w:t xml:space="preserve"> alignment among their priorities, with Tata and government stakeholders likely prioritising decarbonising the steel industry, maintaining competitiveness and driving investment, while workers and trade unions likely emphasising job security, retraining and </w:t>
      </w:r>
      <w:r w:rsidRPr="00947054">
        <w:rPr>
          <w:rFonts w:ascii="Arial" w:hAnsi="Arial" w:cs="Arial"/>
        </w:rPr>
        <w:t>protection. While</w:t>
      </w:r>
      <w:r w:rsidRPr="00947054">
        <w:rPr>
          <w:rFonts w:ascii="Arial" w:hAnsi="Arial" w:cs="Arial"/>
        </w:rPr>
        <w:t xml:space="preserve"> many residents may want healthier air to breathe, more/better public spaces and stronger town centre facilities, they may also worry that the process of regeneration will not directly assist them as individuals. As McLeskey and Guy (2026) point out, urban renewal can be converted into removal when working-class families are viewed as impediments to redevelopment. For Port Talbot, that means that any approach to regeneration should work to avoid creating new developments that replace industrial land and identity with exogenous planned projects that force out, exclude or </w:t>
      </w:r>
      <w:r>
        <w:rPr>
          <w:rFonts w:ascii="Arial" w:hAnsi="Arial" w:cs="Arial"/>
        </w:rPr>
        <w:t>marginalise</w:t>
      </w:r>
      <w:r w:rsidRPr="00947054">
        <w:rPr>
          <w:rFonts w:ascii="Arial" w:hAnsi="Arial" w:cs="Arial"/>
        </w:rPr>
        <w:t xml:space="preserve"> local individuals from their community.</w:t>
      </w:r>
    </w:p>
    <w:p w14:paraId="37DB0E89" w14:textId="77777777" w:rsidR="000A039A" w:rsidRDefault="000A039A" w:rsidP="00947054">
      <w:pPr>
        <w:spacing w:line="480" w:lineRule="auto"/>
        <w:rPr>
          <w:rFonts w:ascii="Arial" w:hAnsi="Arial" w:cs="Arial"/>
        </w:rPr>
      </w:pPr>
    </w:p>
    <w:p w14:paraId="1AF2D6F5" w14:textId="723D61BA" w:rsidR="00947054" w:rsidRPr="00947054" w:rsidRDefault="00947054" w:rsidP="00947054">
      <w:pPr>
        <w:spacing w:line="480" w:lineRule="auto"/>
        <w:rPr>
          <w:rFonts w:ascii="Arial" w:hAnsi="Arial" w:cs="Arial"/>
        </w:rPr>
      </w:pPr>
      <w:r w:rsidRPr="00947054">
        <w:rPr>
          <w:rFonts w:ascii="Arial" w:hAnsi="Arial" w:cs="Arial"/>
        </w:rPr>
        <w:lastRenderedPageBreak/>
        <w:t xml:space="preserve">Development strategies at a local and regional level play an important role in determining how any regeneration approach will be applied. The Corporate Plan outlines a strategy that supports the creation of secure employment with adequate wage levels and environmentally sustainable production. At the same time, the Destination Management Plan for Neath Port Talbot works to support, expand and manage the visitor economy from 2023 through 2028. Local and regional economic strategies are critical because they support an understanding that Port Talbot is more than an industrial transition area; it is part of a larger destination economy. </w:t>
      </w:r>
      <w:r w:rsidRPr="00947054">
        <w:rPr>
          <w:rFonts w:ascii="Arial" w:hAnsi="Arial" w:cs="Arial"/>
        </w:rPr>
        <w:t>Port</w:t>
      </w:r>
      <w:r w:rsidRPr="00947054">
        <w:rPr>
          <w:rFonts w:ascii="Arial" w:hAnsi="Arial" w:cs="Arial"/>
        </w:rPr>
        <w:t xml:space="preserve"> Talbot has </w:t>
      </w:r>
      <w:r>
        <w:rPr>
          <w:rFonts w:ascii="Arial" w:hAnsi="Arial" w:cs="Arial"/>
        </w:rPr>
        <w:t>many</w:t>
      </w:r>
      <w:r w:rsidRPr="00947054">
        <w:rPr>
          <w:rFonts w:ascii="Arial" w:hAnsi="Arial" w:cs="Arial"/>
        </w:rPr>
        <w:t xml:space="preserve"> coastal and cultural characteristics that could support use-based rehabilitation through leisure activities, </w:t>
      </w:r>
      <w:r>
        <w:rPr>
          <w:rFonts w:ascii="Arial" w:hAnsi="Arial" w:cs="Arial"/>
        </w:rPr>
        <w:t>hospitality services-based</w:t>
      </w:r>
      <w:r w:rsidRPr="00947054">
        <w:rPr>
          <w:rFonts w:ascii="Arial" w:hAnsi="Arial" w:cs="Arial"/>
        </w:rPr>
        <w:t xml:space="preserve"> rehabilitation and heritage-based rehabilitation along the Aberavon seafront. However, Richardson, Chapman and Light (2025) argue that the most successful forms of rehabilitation for seaside areas will be ones that are based on local identity, stakeholder collaboration, long-term financing and year-round activities, rather than a focus on the short-term benefits of tourism. This is especially significant for Port Talbot; rehabilitation efforts should not duplicate existing seaside </w:t>
      </w:r>
      <w:r w:rsidRPr="00947054">
        <w:rPr>
          <w:rFonts w:ascii="Arial" w:hAnsi="Arial" w:cs="Arial"/>
        </w:rPr>
        <w:t>resorts but</w:t>
      </w:r>
      <w:r w:rsidRPr="00947054">
        <w:rPr>
          <w:rFonts w:ascii="Arial" w:hAnsi="Arial" w:cs="Arial"/>
        </w:rPr>
        <w:t xml:space="preserve"> rather will use their industrial-coastal identity as a foundation upon which to build their unique place in the region.</w:t>
      </w:r>
    </w:p>
    <w:p w14:paraId="11E0A598" w14:textId="77777777" w:rsidR="000A039A" w:rsidRDefault="000A039A" w:rsidP="00947054">
      <w:pPr>
        <w:spacing w:line="480" w:lineRule="auto"/>
        <w:rPr>
          <w:rFonts w:ascii="Arial" w:hAnsi="Arial" w:cs="Arial"/>
        </w:rPr>
      </w:pPr>
    </w:p>
    <w:p w14:paraId="27FD26CB" w14:textId="17682859" w:rsidR="00947054" w:rsidRPr="00947054" w:rsidRDefault="00947054" w:rsidP="00947054">
      <w:pPr>
        <w:spacing w:line="480" w:lineRule="auto"/>
        <w:rPr>
          <w:rFonts w:ascii="Arial" w:hAnsi="Arial" w:cs="Arial"/>
        </w:rPr>
      </w:pPr>
      <w:r w:rsidRPr="00947054">
        <w:rPr>
          <w:rFonts w:ascii="Arial" w:hAnsi="Arial" w:cs="Arial"/>
        </w:rPr>
        <w:t xml:space="preserve">Another useful approach involves drawing inspiration from the </w:t>
      </w:r>
      <w:proofErr w:type="spellStart"/>
      <w:r w:rsidRPr="00947054">
        <w:rPr>
          <w:rFonts w:ascii="Arial" w:hAnsi="Arial" w:cs="Arial"/>
        </w:rPr>
        <w:t>Pontneddfechan</w:t>
      </w:r>
      <w:proofErr w:type="spellEnd"/>
      <w:r w:rsidRPr="00947054">
        <w:rPr>
          <w:rFonts w:ascii="Arial" w:hAnsi="Arial" w:cs="Arial"/>
        </w:rPr>
        <w:t xml:space="preserve"> consultation related to </w:t>
      </w:r>
      <w:r>
        <w:rPr>
          <w:rFonts w:ascii="Arial" w:hAnsi="Arial" w:cs="Arial"/>
        </w:rPr>
        <w:t xml:space="preserve">the </w:t>
      </w:r>
      <w:r w:rsidRPr="00947054">
        <w:rPr>
          <w:rFonts w:ascii="Arial" w:hAnsi="Arial" w:cs="Arial"/>
        </w:rPr>
        <w:t>Innovation Fund (Levelling Up) within Neath Port Talbot.</w:t>
      </w:r>
      <w:r>
        <w:rPr>
          <w:rFonts w:ascii="Arial" w:hAnsi="Arial" w:cs="Arial"/>
        </w:rPr>
        <w:t xml:space="preserve"> </w:t>
      </w:r>
      <w:r w:rsidRPr="00947054">
        <w:rPr>
          <w:rFonts w:ascii="Arial" w:hAnsi="Arial" w:cs="Arial"/>
        </w:rPr>
        <w:t xml:space="preserve">Through exploring a case study of a specific location, we can see how communities react to regeneration that they see as driven by tourism or imposed upon them. Out of those consulted, 54% were from </w:t>
      </w:r>
      <w:proofErr w:type="spellStart"/>
      <w:r w:rsidRPr="00947054">
        <w:rPr>
          <w:rFonts w:ascii="Arial" w:hAnsi="Arial" w:cs="Arial"/>
        </w:rPr>
        <w:t>Pontneddfechan</w:t>
      </w:r>
      <w:proofErr w:type="spellEnd"/>
      <w:r w:rsidRPr="00947054">
        <w:rPr>
          <w:rFonts w:ascii="Arial" w:hAnsi="Arial" w:cs="Arial"/>
        </w:rPr>
        <w:t xml:space="preserve">; those consulted discussed issues around visitor/safety/parking; the need for a community (equivalent to a local farm shop)/public toilets; the impact of visitors on the rural character of the village, </w:t>
      </w:r>
      <w:r w:rsidRPr="00947054">
        <w:rPr>
          <w:rFonts w:ascii="Arial" w:hAnsi="Arial" w:cs="Arial"/>
        </w:rPr>
        <w:lastRenderedPageBreak/>
        <w:t xml:space="preserve">increasing vandalism or </w:t>
      </w:r>
      <w:r w:rsidRPr="00947054">
        <w:rPr>
          <w:rFonts w:ascii="Arial" w:hAnsi="Arial" w:cs="Arial"/>
        </w:rPr>
        <w:t>anti-social</w:t>
      </w:r>
      <w:r w:rsidRPr="00947054">
        <w:rPr>
          <w:rFonts w:ascii="Arial" w:hAnsi="Arial" w:cs="Arial"/>
        </w:rPr>
        <w:t xml:space="preserve"> behaviour, increased visitors to the area, the lack of drainage; and the failure to have involved residents in the proposals/projects. The Council also subsequently redesigned the scheme, reducing land availability for development, limiting car parks, using permeable surfaces, changing how to </w:t>
      </w:r>
      <w:r w:rsidRPr="00947054">
        <w:rPr>
          <w:rFonts w:ascii="Arial" w:hAnsi="Arial" w:cs="Arial"/>
        </w:rPr>
        <w:t>crossroads</w:t>
      </w:r>
      <w:r w:rsidRPr="00947054">
        <w:rPr>
          <w:rFonts w:ascii="Arial" w:hAnsi="Arial" w:cs="Arial"/>
        </w:rPr>
        <w:t>, having a playground, and focusing on family or walker accommodation rather than group accommodation. The lesson for Port Talbot is that regeneration is legitimised through community involvement in the design</w:t>
      </w:r>
      <w:r>
        <w:rPr>
          <w:rFonts w:ascii="Arial" w:hAnsi="Arial" w:cs="Arial"/>
        </w:rPr>
        <w:t>,</w:t>
      </w:r>
      <w:r w:rsidRPr="00947054">
        <w:rPr>
          <w:rFonts w:ascii="Arial" w:hAnsi="Arial" w:cs="Arial"/>
        </w:rPr>
        <w:t xml:space="preserve"> the management</w:t>
      </w:r>
      <w:r>
        <w:rPr>
          <w:rFonts w:ascii="Arial" w:hAnsi="Arial" w:cs="Arial"/>
        </w:rPr>
        <w:t>,</w:t>
      </w:r>
      <w:r w:rsidRPr="00947054">
        <w:rPr>
          <w:rFonts w:ascii="Arial" w:hAnsi="Arial" w:cs="Arial"/>
        </w:rPr>
        <w:t xml:space="preserve"> the </w:t>
      </w:r>
      <w:r>
        <w:rPr>
          <w:rFonts w:ascii="Arial" w:hAnsi="Arial" w:cs="Arial"/>
        </w:rPr>
        <w:t>ownership,</w:t>
      </w:r>
      <w:r w:rsidRPr="00947054">
        <w:rPr>
          <w:rFonts w:ascii="Arial" w:hAnsi="Arial" w:cs="Arial"/>
        </w:rPr>
        <w:t xml:space="preserve"> and the benefits of the regeneration.</w:t>
      </w:r>
    </w:p>
    <w:p w14:paraId="68396761" w14:textId="77777777" w:rsidR="000A039A" w:rsidRDefault="000A039A" w:rsidP="00947054">
      <w:pPr>
        <w:pBdr>
          <w:top w:val="thinThickThinMediumGap" w:sz="24" w:space="1" w:color="auto"/>
        </w:pBdr>
        <w:spacing w:line="480" w:lineRule="auto"/>
        <w:rPr>
          <w:rFonts w:ascii="Arial" w:hAnsi="Arial" w:cs="Arial"/>
          <w:b/>
          <w:bCs/>
        </w:rPr>
      </w:pPr>
    </w:p>
    <w:p w14:paraId="769AE7BC" w14:textId="37D457CF" w:rsidR="00947054" w:rsidRPr="00947054" w:rsidRDefault="00947054" w:rsidP="00947054">
      <w:pPr>
        <w:pBdr>
          <w:top w:val="thinThickThinMediumGap" w:sz="24" w:space="1" w:color="auto"/>
        </w:pBdr>
        <w:spacing w:line="480" w:lineRule="auto"/>
        <w:rPr>
          <w:rFonts w:ascii="Arial" w:hAnsi="Arial" w:cs="Arial"/>
          <w:b/>
          <w:bCs/>
        </w:rPr>
      </w:pPr>
      <w:r w:rsidRPr="00947054">
        <w:rPr>
          <w:rFonts w:ascii="Arial" w:hAnsi="Arial" w:cs="Arial"/>
          <w:b/>
          <w:bCs/>
        </w:rPr>
        <w:t xml:space="preserve">Part 2: Regeneration Opportunities </w:t>
      </w:r>
    </w:p>
    <w:p w14:paraId="64EDA87F" w14:textId="77777777" w:rsidR="00947054" w:rsidRDefault="00947054" w:rsidP="00947054">
      <w:pPr>
        <w:spacing w:line="480" w:lineRule="auto"/>
        <w:rPr>
          <w:rFonts w:ascii="Arial" w:hAnsi="Arial" w:cs="Arial"/>
        </w:rPr>
      </w:pPr>
      <w:r w:rsidRPr="00947054">
        <w:rPr>
          <w:rFonts w:ascii="Arial" w:hAnsi="Arial" w:cs="Arial"/>
        </w:rPr>
        <w:t xml:space="preserve">Port Talbot should be assessed in relation to the Wellbeing of Future Generations (Wales) Act 2015 and what it means for regeneration. As Cummings, </w:t>
      </w:r>
      <w:proofErr w:type="spellStart"/>
      <w:r w:rsidRPr="00947054">
        <w:rPr>
          <w:rFonts w:ascii="Arial" w:hAnsi="Arial" w:cs="Arial"/>
        </w:rPr>
        <w:t>Burvill</w:t>
      </w:r>
      <w:proofErr w:type="spellEnd"/>
      <w:r w:rsidRPr="00947054">
        <w:rPr>
          <w:rFonts w:ascii="Arial" w:hAnsi="Arial" w:cs="Arial"/>
        </w:rPr>
        <w:t xml:space="preserve"> and Bowen (2026) argue, the Act develops an ecosystem approach to sustainability and therefore connects economic prosperity to social and cultural wellbeing, as well as environmental wellbeing. This is important as an exclusive focus on creating jobs is not going to be adequate for achieving a sustainable future. Therefore</w:t>
      </w:r>
      <w:r>
        <w:rPr>
          <w:rFonts w:ascii="Arial" w:hAnsi="Arial" w:cs="Arial"/>
        </w:rPr>
        <w:t>,</w:t>
      </w:r>
      <w:r w:rsidRPr="00947054">
        <w:rPr>
          <w:rFonts w:ascii="Arial" w:hAnsi="Arial" w:cs="Arial"/>
        </w:rPr>
        <w:t xml:space="preserve"> a regeneration strategy should improve people's physical and mental health, reduce socioeconomic, sexual, ethnic and age-related inequalities, protect Welsh and local heritage and identity, and prepare the town for climate </w:t>
      </w:r>
      <w:r>
        <w:rPr>
          <w:rFonts w:ascii="Arial" w:hAnsi="Arial" w:cs="Arial"/>
        </w:rPr>
        <w:t>change</w:t>
      </w:r>
      <w:r w:rsidRPr="00947054">
        <w:rPr>
          <w:rFonts w:ascii="Arial" w:hAnsi="Arial" w:cs="Arial"/>
        </w:rPr>
        <w:t>. Henwood and Pidgeon (2025) also emphasise the importance of producing net-zero outcomes through engaging with the public to develop an understanding of the social changes that will occur from pursuing a zero-carbon agenda.</w:t>
      </w:r>
    </w:p>
    <w:p w14:paraId="3EBC5740" w14:textId="77777777" w:rsidR="00947054" w:rsidRDefault="00947054" w:rsidP="00947054">
      <w:pPr>
        <w:spacing w:line="480" w:lineRule="auto"/>
        <w:rPr>
          <w:rFonts w:ascii="Arial" w:hAnsi="Arial" w:cs="Arial"/>
        </w:rPr>
      </w:pPr>
    </w:p>
    <w:p w14:paraId="05EDEC97" w14:textId="7F76461B" w:rsidR="00947054" w:rsidRPr="00947054" w:rsidRDefault="00947054" w:rsidP="00947054">
      <w:pPr>
        <w:spacing w:line="480" w:lineRule="auto"/>
        <w:rPr>
          <w:rFonts w:ascii="Arial" w:hAnsi="Arial" w:cs="Arial"/>
        </w:rPr>
      </w:pPr>
      <w:r w:rsidRPr="00947054">
        <w:rPr>
          <w:rFonts w:ascii="Arial" w:hAnsi="Arial" w:cs="Arial"/>
        </w:rPr>
        <w:lastRenderedPageBreak/>
        <w:t xml:space="preserve"> In Port Talbot, the concept of achieving net-zero will need to transcend the technical boundary of industrial change and include the voices of all who live and work in the area, including families and particularly young people, to understand what their desired future may be.</w:t>
      </w:r>
      <w:r>
        <w:rPr>
          <w:rFonts w:ascii="Arial" w:hAnsi="Arial" w:cs="Arial"/>
        </w:rPr>
        <w:t xml:space="preserve"> </w:t>
      </w:r>
      <w:r w:rsidRPr="00947054">
        <w:rPr>
          <w:rFonts w:ascii="Arial" w:hAnsi="Arial" w:cs="Arial"/>
        </w:rPr>
        <w:t>An example of an opportunity for regeneration is to create a Green Industrial Skills and Enterprise Quarter. This can be established adjacent to other existing assets such as transport, steel transition, Baglan energy park and local education providers. This would provide retraining opportunities for displaced workers from the steel industry, apprentices for young people, and support for small businesses in the renewables, repair and remanufacture, construction retrofit, circular economy, and Environmental Monitoring Sectors Bernard, Fiorentino (2023) demonstrated that there is evidence of public sector led coworking/shared working spaces supporting the regeneration of coastal communities by establishing networks of people/organisations who have confidence in one another, they collaborate informally, and in totality have space to work. Therefore</w:t>
      </w:r>
      <w:r>
        <w:rPr>
          <w:rFonts w:ascii="Arial" w:hAnsi="Arial" w:cs="Arial"/>
        </w:rPr>
        <w:t>,</w:t>
      </w:r>
      <w:r w:rsidRPr="00947054">
        <w:rPr>
          <w:rFonts w:ascii="Arial" w:hAnsi="Arial" w:cs="Arial"/>
        </w:rPr>
        <w:t xml:space="preserve"> an example of an Enterprise Quarter in Port Talbot could include affordable workshop spaces, co-working office space, </w:t>
      </w:r>
      <w:r>
        <w:rPr>
          <w:rFonts w:ascii="Arial" w:hAnsi="Arial" w:cs="Arial"/>
        </w:rPr>
        <w:t xml:space="preserve">a </w:t>
      </w:r>
      <w:r w:rsidRPr="00947054">
        <w:rPr>
          <w:rFonts w:ascii="Arial" w:hAnsi="Arial" w:cs="Arial"/>
        </w:rPr>
        <w:t xml:space="preserve">technical training room, and links to local procurement opportunities. Domenech and </w:t>
      </w:r>
      <w:proofErr w:type="spellStart"/>
      <w:r w:rsidRPr="00947054">
        <w:rPr>
          <w:rFonts w:ascii="Arial" w:hAnsi="Arial" w:cs="Arial"/>
        </w:rPr>
        <w:t>Borrion</w:t>
      </w:r>
      <w:proofErr w:type="spellEnd"/>
      <w:r w:rsidRPr="00947054">
        <w:rPr>
          <w:rFonts w:ascii="Arial" w:hAnsi="Arial" w:cs="Arial"/>
        </w:rPr>
        <w:t xml:space="preserve"> (2022) argue that </w:t>
      </w:r>
      <w:r w:rsidRPr="00947054">
        <w:rPr>
          <w:rFonts w:ascii="Arial" w:hAnsi="Arial" w:cs="Arial"/>
        </w:rPr>
        <w:t>for</w:t>
      </w:r>
      <w:r w:rsidRPr="00947054">
        <w:rPr>
          <w:rFonts w:ascii="Arial" w:hAnsi="Arial" w:cs="Arial"/>
        </w:rPr>
        <w:t xml:space="preserve"> regeneration to occur</w:t>
      </w:r>
      <w:r>
        <w:rPr>
          <w:rFonts w:ascii="Arial" w:hAnsi="Arial" w:cs="Arial"/>
        </w:rPr>
        <w:t>,</w:t>
      </w:r>
      <w:r w:rsidRPr="00947054">
        <w:rPr>
          <w:rFonts w:ascii="Arial" w:hAnsi="Arial" w:cs="Arial"/>
        </w:rPr>
        <w:t xml:space="preserve"> companies must integrate the concept of circular economy into regeneration by reusing materials, reducing waste and measuring the flows of resources. An example of this in Port Talbot could involve reusing industrial by-products, supporting </w:t>
      </w:r>
      <w:r>
        <w:rPr>
          <w:rFonts w:ascii="Arial" w:hAnsi="Arial" w:cs="Arial"/>
        </w:rPr>
        <w:t>scrap-based steel-making</w:t>
      </w:r>
      <w:r w:rsidRPr="00947054">
        <w:rPr>
          <w:rFonts w:ascii="Arial" w:hAnsi="Arial" w:cs="Arial"/>
        </w:rPr>
        <w:t xml:space="preserve"> supply chains and creating repair and remanufacturing companies.</w:t>
      </w:r>
    </w:p>
    <w:p w14:paraId="139A0432" w14:textId="77777777" w:rsidR="00947054" w:rsidRPr="00947054" w:rsidRDefault="00947054" w:rsidP="00947054">
      <w:pPr>
        <w:spacing w:line="480" w:lineRule="auto"/>
        <w:rPr>
          <w:rFonts w:ascii="Arial" w:hAnsi="Arial" w:cs="Arial"/>
        </w:rPr>
      </w:pPr>
    </w:p>
    <w:p w14:paraId="169FB381" w14:textId="6930EA5E" w:rsidR="00947054" w:rsidRPr="00947054" w:rsidRDefault="00947054" w:rsidP="00947054">
      <w:pPr>
        <w:spacing w:line="480" w:lineRule="auto"/>
        <w:rPr>
          <w:rFonts w:ascii="Arial" w:hAnsi="Arial" w:cs="Arial"/>
        </w:rPr>
      </w:pPr>
      <w:r w:rsidRPr="00947054">
        <w:rPr>
          <w:rFonts w:ascii="Arial" w:hAnsi="Arial" w:cs="Arial"/>
        </w:rPr>
        <w:t xml:space="preserve">A further opportunity </w:t>
      </w:r>
      <w:r>
        <w:rPr>
          <w:rFonts w:ascii="Arial" w:hAnsi="Arial" w:cs="Arial"/>
        </w:rPr>
        <w:t>for</w:t>
      </w:r>
      <w:r w:rsidRPr="00947054">
        <w:rPr>
          <w:rFonts w:ascii="Arial" w:hAnsi="Arial" w:cs="Arial"/>
        </w:rPr>
        <w:t xml:space="preserve"> regeneration would be through conventional coastal regeneration that builds upon the heritage story of Aberavon seafront, the docks and the history of steel production in Port Talbot. The industrial image associated with </w:t>
      </w:r>
      <w:r w:rsidRPr="00947054">
        <w:rPr>
          <w:rFonts w:ascii="Arial" w:hAnsi="Arial" w:cs="Arial"/>
        </w:rPr>
        <w:lastRenderedPageBreak/>
        <w:t xml:space="preserve">Port Talbot is often seen by many as a disadvantage to the area and the local community. However, this could be turned into an opportunity to reinforce the cultural asset status of the Port Talbot area through positive engagement with members of the local community. Farley and Pollock (2025) provide examples of how public art and sculpture create connections between previous urban communities and their future </w:t>
      </w:r>
      <w:r w:rsidR="000A039A" w:rsidRPr="00947054">
        <w:rPr>
          <w:rFonts w:ascii="Arial" w:hAnsi="Arial" w:cs="Arial"/>
        </w:rPr>
        <w:t>potential. The</w:t>
      </w:r>
      <w:r w:rsidRPr="00947054">
        <w:rPr>
          <w:rFonts w:ascii="Arial" w:hAnsi="Arial" w:cs="Arial"/>
        </w:rPr>
        <w:t xml:space="preserve"> potential for community expression through sculpture, mural painting, the creation of oral history installations and </w:t>
      </w:r>
      <w:r w:rsidR="000A039A">
        <w:rPr>
          <w:rFonts w:ascii="Arial" w:hAnsi="Arial" w:cs="Arial"/>
        </w:rPr>
        <w:t>workers'</w:t>
      </w:r>
      <w:r w:rsidRPr="00947054">
        <w:rPr>
          <w:rFonts w:ascii="Arial" w:hAnsi="Arial" w:cs="Arial"/>
        </w:rPr>
        <w:t xml:space="preserve"> memory trails using recycled steel</w:t>
      </w:r>
      <w:r w:rsidR="000A039A">
        <w:rPr>
          <w:rFonts w:ascii="Arial" w:hAnsi="Arial" w:cs="Arial"/>
        </w:rPr>
        <w:t>,</w:t>
      </w:r>
      <w:r w:rsidRPr="00947054">
        <w:rPr>
          <w:rFonts w:ascii="Arial" w:hAnsi="Arial" w:cs="Arial"/>
        </w:rPr>
        <w:t xml:space="preserve"> as well as public art along the routes between the town centre, the seafront and the industrial landscape is huge in Port Talbot. According to Evans (2025), the ambivalence surrounding graffiti and street art may enable young people to take creative ownership of their locality via the management of street art programmes. Singleton’s (2025) methods of walking and site-specific performance may also be applicable in this context since they expose the emotional layers inherent in </w:t>
      </w:r>
      <w:r w:rsidR="000A039A">
        <w:rPr>
          <w:rFonts w:ascii="Arial" w:hAnsi="Arial" w:cs="Arial"/>
        </w:rPr>
        <w:t xml:space="preserve">the </w:t>
      </w:r>
      <w:r w:rsidRPr="00947054">
        <w:rPr>
          <w:rFonts w:ascii="Arial" w:hAnsi="Arial" w:cs="Arial"/>
        </w:rPr>
        <w:t>place. The stories of steelworkers, migration, sport, music, cinema, the environment and coastal life can all be communicated through guided walks, performances and digital trails.</w:t>
      </w:r>
    </w:p>
    <w:p w14:paraId="07B61E54" w14:textId="77777777" w:rsidR="00947054" w:rsidRPr="00947054" w:rsidRDefault="00947054" w:rsidP="00947054">
      <w:pPr>
        <w:spacing w:line="480" w:lineRule="auto"/>
        <w:rPr>
          <w:rFonts w:ascii="Arial" w:hAnsi="Arial" w:cs="Arial"/>
        </w:rPr>
      </w:pPr>
    </w:p>
    <w:p w14:paraId="70B63469" w14:textId="0B29997F" w:rsidR="00947054" w:rsidRPr="00947054" w:rsidRDefault="00947054" w:rsidP="00947054">
      <w:pPr>
        <w:spacing w:line="480" w:lineRule="auto"/>
        <w:rPr>
          <w:rFonts w:ascii="Arial" w:hAnsi="Arial" w:cs="Arial"/>
        </w:rPr>
      </w:pPr>
      <w:r w:rsidRPr="00947054">
        <w:rPr>
          <w:rFonts w:ascii="Arial" w:hAnsi="Arial" w:cs="Arial"/>
        </w:rPr>
        <w:t xml:space="preserve">The third area of opportunity is that of nurturing community wellbeing through nature-based regeneration efforts. In developing a comprehensive strategy for the regeneration of Port Talbot, industrial regeneration should not only focus on large-scale, high-profile industrial development projects; rather, there should be an emphasis on improving everyday living conditions, such as developing better walking and cycling routes and creating more aesthetic green corridors, designing safer streets, providing spaces specifically for youth, establishing local markets, creating community gardens, providing affordable cultural venues and building stronger </w:t>
      </w:r>
      <w:r w:rsidRPr="00947054">
        <w:rPr>
          <w:rFonts w:ascii="Arial" w:hAnsi="Arial" w:cs="Arial"/>
        </w:rPr>
        <w:lastRenderedPageBreak/>
        <w:t xml:space="preserve">connections between residential neighbourhoods and beaches in Aberavon. According to Bundhoo et al. (2025), there is a strong link between the </w:t>
      </w:r>
      <w:r w:rsidR="000A039A">
        <w:rPr>
          <w:rFonts w:ascii="Arial" w:hAnsi="Arial" w:cs="Arial"/>
        </w:rPr>
        <w:t>well-being</w:t>
      </w:r>
      <w:r w:rsidRPr="00947054">
        <w:rPr>
          <w:rFonts w:ascii="Arial" w:hAnsi="Arial" w:cs="Arial"/>
        </w:rPr>
        <w:t xml:space="preserve"> and heritage of a community; therefore, local identity and community memory can support the development of a more inclusive process for the creation of places. A community benefit fund associated with major green industrial investments should be developed to finance training bursaries, local community-based environmental projects, youth activities and small business grants. This will ensure that residents have a clear picture of the benefits of economic transition.</w:t>
      </w:r>
    </w:p>
    <w:p w14:paraId="19058D51" w14:textId="77777777" w:rsidR="00947054" w:rsidRPr="00947054" w:rsidRDefault="00947054" w:rsidP="00947054">
      <w:pPr>
        <w:spacing w:line="480" w:lineRule="auto"/>
        <w:rPr>
          <w:rFonts w:ascii="Arial" w:hAnsi="Arial" w:cs="Arial"/>
        </w:rPr>
      </w:pPr>
    </w:p>
    <w:p w14:paraId="050B28EE" w14:textId="703AB394" w:rsidR="00947054" w:rsidRPr="00947054" w:rsidRDefault="00947054" w:rsidP="00947054">
      <w:pPr>
        <w:spacing w:line="480" w:lineRule="auto"/>
        <w:rPr>
          <w:rFonts w:ascii="Arial" w:hAnsi="Arial" w:cs="Arial"/>
        </w:rPr>
      </w:pPr>
      <w:r w:rsidRPr="00947054">
        <w:rPr>
          <w:rFonts w:ascii="Arial" w:hAnsi="Arial" w:cs="Arial"/>
        </w:rPr>
        <w:t>All opportunities for regeneration described above should be evaluated thoroughly. According to Said and Dindar (2024), evaluating the sustainability of urban regeneration poses many challenges, including how to measure the balance between economic, social and environmental objectives. Liu et al. (2023) further approximate to the above argument when stating that regeneration strategies should be selected based upon their suitability to the locality rather than based upon generic models. In Port Talbot, the success of the regeneration process will be measured by not only the amount of investment and number of jobs created</w:t>
      </w:r>
      <w:r w:rsidR="000A039A">
        <w:rPr>
          <w:rFonts w:ascii="Arial" w:hAnsi="Arial" w:cs="Arial"/>
        </w:rPr>
        <w:t>,</w:t>
      </w:r>
      <w:r w:rsidRPr="00947054">
        <w:rPr>
          <w:rFonts w:ascii="Arial" w:hAnsi="Arial" w:cs="Arial"/>
        </w:rPr>
        <w:t xml:space="preserve"> </w:t>
      </w:r>
      <w:r w:rsidR="000A039A">
        <w:rPr>
          <w:rFonts w:ascii="Arial" w:hAnsi="Arial" w:cs="Arial"/>
        </w:rPr>
        <w:t>but also</w:t>
      </w:r>
      <w:r w:rsidRPr="00947054">
        <w:rPr>
          <w:rFonts w:ascii="Arial" w:hAnsi="Arial" w:cs="Arial"/>
        </w:rPr>
        <w:t xml:space="preserve"> the quality of those jobs, </w:t>
      </w:r>
      <w:r w:rsidR="000A039A">
        <w:rPr>
          <w:rFonts w:ascii="Arial" w:hAnsi="Arial" w:cs="Arial"/>
        </w:rPr>
        <w:t xml:space="preserve">the </w:t>
      </w:r>
      <w:r w:rsidRPr="00947054">
        <w:rPr>
          <w:rFonts w:ascii="Arial" w:hAnsi="Arial" w:cs="Arial"/>
        </w:rPr>
        <w:t>availability of local training, community ownership, reduction of carbon emissions, health outcomes, biodiversity, affordability of housing and overall satisfaction of residents with both the regeneration process and with their communities. Phillips (2025) proposes an alternative to the model of marginalisation</w:t>
      </w:r>
      <w:r w:rsidR="000A039A">
        <w:rPr>
          <w:rFonts w:ascii="Arial" w:hAnsi="Arial" w:cs="Arial"/>
        </w:rPr>
        <w:t>,</w:t>
      </w:r>
      <w:r w:rsidRPr="00947054">
        <w:rPr>
          <w:rFonts w:ascii="Arial" w:hAnsi="Arial" w:cs="Arial"/>
        </w:rPr>
        <w:t xml:space="preserve"> that being the relational notion of </w:t>
      </w:r>
      <w:proofErr w:type="spellStart"/>
      <w:r w:rsidR="000A039A" w:rsidRPr="00947054">
        <w:rPr>
          <w:rFonts w:ascii="Arial" w:hAnsi="Arial" w:cs="Arial"/>
        </w:rPr>
        <w:t>peripherali</w:t>
      </w:r>
      <w:r w:rsidR="000A039A">
        <w:rPr>
          <w:rFonts w:ascii="Arial" w:hAnsi="Arial" w:cs="Arial"/>
        </w:rPr>
        <w:t>s</w:t>
      </w:r>
      <w:r w:rsidR="000A039A" w:rsidRPr="00947054">
        <w:rPr>
          <w:rFonts w:ascii="Arial" w:hAnsi="Arial" w:cs="Arial"/>
        </w:rPr>
        <w:t>ation</w:t>
      </w:r>
      <w:proofErr w:type="spellEnd"/>
      <w:r w:rsidRPr="00947054">
        <w:rPr>
          <w:rFonts w:ascii="Arial" w:hAnsi="Arial" w:cs="Arial"/>
        </w:rPr>
        <w:t xml:space="preserve">, which states that places become peripheral </w:t>
      </w:r>
      <w:r w:rsidR="000A039A" w:rsidRPr="00947054">
        <w:rPr>
          <w:rFonts w:ascii="Arial" w:hAnsi="Arial" w:cs="Arial"/>
        </w:rPr>
        <w:t>because of</w:t>
      </w:r>
      <w:r w:rsidRPr="00947054">
        <w:rPr>
          <w:rFonts w:ascii="Arial" w:hAnsi="Arial" w:cs="Arial"/>
        </w:rPr>
        <w:t xml:space="preserve"> hierarchical relations resulting from disparities of power and investment. Port Talbot mustn't be considered as a neglected town waiting for help to arrive from outside</w:t>
      </w:r>
      <w:r w:rsidR="000A039A">
        <w:rPr>
          <w:rFonts w:ascii="Arial" w:hAnsi="Arial" w:cs="Arial"/>
        </w:rPr>
        <w:t>,</w:t>
      </w:r>
      <w:r w:rsidRPr="00947054">
        <w:rPr>
          <w:rFonts w:ascii="Arial" w:hAnsi="Arial" w:cs="Arial"/>
        </w:rPr>
        <w:t xml:space="preserve"> but rather Port Talbot should be treated as an area with strategic </w:t>
      </w:r>
      <w:r w:rsidRPr="00947054">
        <w:rPr>
          <w:rFonts w:ascii="Arial" w:hAnsi="Arial" w:cs="Arial"/>
        </w:rPr>
        <w:lastRenderedPageBreak/>
        <w:t>strengths</w:t>
      </w:r>
      <w:r w:rsidR="000A039A">
        <w:rPr>
          <w:rFonts w:ascii="Arial" w:hAnsi="Arial" w:cs="Arial"/>
        </w:rPr>
        <w:t>,</w:t>
      </w:r>
      <w:r w:rsidRPr="00947054">
        <w:rPr>
          <w:rFonts w:ascii="Arial" w:hAnsi="Arial" w:cs="Arial"/>
        </w:rPr>
        <w:t xml:space="preserve"> having existing skills and culture</w:t>
      </w:r>
      <w:r w:rsidR="000A039A">
        <w:rPr>
          <w:rFonts w:ascii="Arial" w:hAnsi="Arial" w:cs="Arial"/>
        </w:rPr>
        <w:t>,</w:t>
      </w:r>
      <w:r w:rsidRPr="00947054">
        <w:rPr>
          <w:rFonts w:ascii="Arial" w:hAnsi="Arial" w:cs="Arial"/>
        </w:rPr>
        <w:t xml:space="preserve"> as well as possessing additional tangible assets.</w:t>
      </w:r>
    </w:p>
    <w:p w14:paraId="182DF766" w14:textId="77777777" w:rsidR="00947054" w:rsidRPr="00947054" w:rsidRDefault="00947054" w:rsidP="00947054">
      <w:pPr>
        <w:spacing w:line="480" w:lineRule="auto"/>
        <w:rPr>
          <w:rFonts w:ascii="Arial" w:hAnsi="Arial" w:cs="Arial"/>
        </w:rPr>
      </w:pPr>
    </w:p>
    <w:p w14:paraId="28A3C01E" w14:textId="108D2620" w:rsidR="00947054" w:rsidRDefault="00947054" w:rsidP="00947054">
      <w:pPr>
        <w:spacing w:line="480" w:lineRule="auto"/>
        <w:rPr>
          <w:rFonts w:ascii="Arial" w:hAnsi="Arial" w:cs="Arial"/>
        </w:rPr>
      </w:pPr>
      <w:r w:rsidRPr="00947054">
        <w:rPr>
          <w:rFonts w:ascii="Arial" w:hAnsi="Arial" w:cs="Arial"/>
        </w:rPr>
        <w:t xml:space="preserve">Overall, the process of regenerating Port Talbot must be </w:t>
      </w:r>
      <w:r w:rsidR="000A039A">
        <w:rPr>
          <w:rFonts w:ascii="Arial" w:hAnsi="Arial" w:cs="Arial"/>
        </w:rPr>
        <w:t>grounded</w:t>
      </w:r>
      <w:r w:rsidRPr="00947054">
        <w:rPr>
          <w:rFonts w:ascii="Arial" w:hAnsi="Arial" w:cs="Arial"/>
        </w:rPr>
        <w:t xml:space="preserve"> in a very complex set of conditions; those conditions being industrial decline, the drive for green transition, coastal opportunity, and community anxiety. The future of Port Talbot must not rely upon simply replacing the identity historically tied to steel production with a generic leisure and property model; instead, the future of Port Talbot must rely on a collaborative model of regeneration wherein green industry, worker transition, heritage, public art, community benefits, and everyday wellbeing </w:t>
      </w:r>
      <w:r w:rsidR="000A039A">
        <w:rPr>
          <w:rFonts w:ascii="Arial" w:hAnsi="Arial" w:cs="Arial"/>
        </w:rPr>
        <w:t>are</w:t>
      </w:r>
      <w:r w:rsidRPr="00947054">
        <w:rPr>
          <w:rFonts w:ascii="Arial" w:hAnsi="Arial" w:cs="Arial"/>
        </w:rPr>
        <w:t xml:space="preserve"> successfully executed in unison. The most sustainable way forward is to retain local identity in the face of building greater economic opportunities. Port Talbot’s most significant challenges are developing a greener city while ensuring that the people who contributed to the industrial development of Port Talbot are given an inclusive opportunity to participate in shaping the </w:t>
      </w:r>
      <w:r w:rsidR="000A039A">
        <w:rPr>
          <w:rFonts w:ascii="Arial" w:hAnsi="Arial" w:cs="Arial"/>
        </w:rPr>
        <w:t>low-carbon</w:t>
      </w:r>
      <w:r w:rsidRPr="00947054">
        <w:rPr>
          <w:rFonts w:ascii="Arial" w:hAnsi="Arial" w:cs="Arial"/>
        </w:rPr>
        <w:t xml:space="preserve"> future of the area.</w:t>
      </w:r>
    </w:p>
    <w:p w14:paraId="1707C1F4" w14:textId="77777777" w:rsidR="000A039A" w:rsidRDefault="000A039A" w:rsidP="00947054">
      <w:pPr>
        <w:spacing w:line="480" w:lineRule="auto"/>
        <w:rPr>
          <w:rFonts w:ascii="Arial" w:hAnsi="Arial" w:cs="Arial"/>
        </w:rPr>
      </w:pPr>
    </w:p>
    <w:p w14:paraId="1B297BFC" w14:textId="77777777" w:rsidR="000A039A" w:rsidRDefault="000A039A" w:rsidP="00947054">
      <w:pPr>
        <w:spacing w:line="480" w:lineRule="auto"/>
        <w:rPr>
          <w:rFonts w:ascii="Arial" w:hAnsi="Arial" w:cs="Arial"/>
        </w:rPr>
      </w:pPr>
    </w:p>
    <w:p w14:paraId="349B2CC3" w14:textId="77777777" w:rsidR="000A039A" w:rsidRDefault="000A039A" w:rsidP="00947054">
      <w:pPr>
        <w:spacing w:line="480" w:lineRule="auto"/>
        <w:rPr>
          <w:rFonts w:ascii="Arial" w:hAnsi="Arial" w:cs="Arial"/>
        </w:rPr>
      </w:pPr>
    </w:p>
    <w:p w14:paraId="6A47710D" w14:textId="77777777" w:rsidR="000A039A" w:rsidRDefault="000A039A" w:rsidP="00947054">
      <w:pPr>
        <w:spacing w:line="480" w:lineRule="auto"/>
        <w:rPr>
          <w:rFonts w:ascii="Arial" w:hAnsi="Arial" w:cs="Arial"/>
        </w:rPr>
      </w:pPr>
    </w:p>
    <w:p w14:paraId="260C4469" w14:textId="77777777" w:rsidR="000A039A" w:rsidRDefault="000A039A" w:rsidP="00947054">
      <w:pPr>
        <w:spacing w:line="480" w:lineRule="auto"/>
        <w:rPr>
          <w:rFonts w:ascii="Arial" w:hAnsi="Arial" w:cs="Arial"/>
        </w:rPr>
      </w:pPr>
    </w:p>
    <w:p w14:paraId="5A8E30FB" w14:textId="77777777" w:rsidR="000A039A" w:rsidRDefault="000A039A" w:rsidP="00947054">
      <w:pPr>
        <w:spacing w:line="480" w:lineRule="auto"/>
        <w:rPr>
          <w:rFonts w:ascii="Arial" w:hAnsi="Arial" w:cs="Arial"/>
        </w:rPr>
      </w:pPr>
    </w:p>
    <w:p w14:paraId="1E6483C5" w14:textId="77777777" w:rsidR="000A039A" w:rsidRDefault="000A039A" w:rsidP="00947054">
      <w:pPr>
        <w:spacing w:line="480" w:lineRule="auto"/>
        <w:rPr>
          <w:rFonts w:ascii="Arial" w:hAnsi="Arial" w:cs="Arial"/>
        </w:rPr>
      </w:pPr>
    </w:p>
    <w:p w14:paraId="0CEF1058" w14:textId="77777777" w:rsidR="000A039A" w:rsidRDefault="000A039A" w:rsidP="000A039A">
      <w:pPr>
        <w:pBdr>
          <w:top w:val="thinThickThinMediumGap" w:sz="24" w:space="1" w:color="auto"/>
        </w:pBdr>
        <w:spacing w:line="480" w:lineRule="auto"/>
        <w:rPr>
          <w:rFonts w:ascii="Arial" w:hAnsi="Arial" w:cs="Arial"/>
          <w:b/>
          <w:bCs/>
        </w:rPr>
      </w:pPr>
    </w:p>
    <w:p w14:paraId="0FE1209D" w14:textId="628E6CC1" w:rsidR="000A039A" w:rsidRPr="000A039A" w:rsidRDefault="000A039A" w:rsidP="000A039A">
      <w:pPr>
        <w:pBdr>
          <w:top w:val="thinThickThinMediumGap" w:sz="24" w:space="1" w:color="auto"/>
        </w:pBdr>
        <w:spacing w:line="480" w:lineRule="auto"/>
        <w:rPr>
          <w:rFonts w:ascii="Arial" w:hAnsi="Arial" w:cs="Arial"/>
          <w:b/>
          <w:bCs/>
        </w:rPr>
      </w:pPr>
      <w:r w:rsidRPr="000A039A">
        <w:rPr>
          <w:rFonts w:ascii="Arial" w:hAnsi="Arial" w:cs="Arial"/>
          <w:b/>
          <w:bCs/>
        </w:rPr>
        <w:t xml:space="preserve">References </w:t>
      </w:r>
    </w:p>
    <w:p w14:paraId="427FF638" w14:textId="77777777" w:rsidR="000A039A" w:rsidRPr="000A039A" w:rsidRDefault="000A039A" w:rsidP="000A039A">
      <w:pPr>
        <w:spacing w:line="480" w:lineRule="auto"/>
        <w:rPr>
          <w:rFonts w:ascii="Arial" w:hAnsi="Arial" w:cs="Arial"/>
        </w:rPr>
      </w:pPr>
      <w:r w:rsidRPr="000A039A">
        <w:rPr>
          <w:rFonts w:ascii="Arial" w:hAnsi="Arial" w:cs="Arial"/>
        </w:rPr>
        <w:t xml:space="preserve">Bundhoo, D., Greenaway, C., Jones, D., Marvell, A. D., Powell, J. R., &amp; Courtney, P. (2025). </w:t>
      </w:r>
      <w:r w:rsidRPr="000A039A">
        <w:rPr>
          <w:rFonts w:ascii="Arial" w:hAnsi="Arial" w:cs="Arial"/>
          <w:i/>
          <w:iCs/>
        </w:rPr>
        <w:t>Evidence enquiry for wellbeing and heritage</w:t>
      </w:r>
      <w:r w:rsidRPr="000A039A">
        <w:rPr>
          <w:rFonts w:ascii="Arial" w:hAnsi="Arial" w:cs="Arial"/>
        </w:rPr>
        <w:t>. University of Gloucestershire.</w:t>
      </w:r>
    </w:p>
    <w:p w14:paraId="51942E91" w14:textId="5FC9A475" w:rsidR="000A039A" w:rsidRPr="000A039A" w:rsidRDefault="000A039A" w:rsidP="000A039A">
      <w:pPr>
        <w:spacing w:line="480" w:lineRule="auto"/>
        <w:rPr>
          <w:rFonts w:ascii="Arial" w:hAnsi="Arial" w:cs="Arial"/>
        </w:rPr>
      </w:pPr>
      <w:r w:rsidRPr="000A039A">
        <w:rPr>
          <w:rFonts w:ascii="Arial" w:hAnsi="Arial" w:cs="Arial"/>
        </w:rPr>
        <w:t xml:space="preserve">Bulmer, W. E. (2025). Restoration and reform. In </w:t>
      </w:r>
      <w:r w:rsidRPr="000A039A">
        <w:rPr>
          <w:rFonts w:ascii="Arial" w:hAnsi="Arial" w:cs="Arial"/>
          <w:i/>
          <w:iCs/>
        </w:rPr>
        <w:t xml:space="preserve">The English </w:t>
      </w:r>
      <w:r w:rsidRPr="000A039A">
        <w:rPr>
          <w:rFonts w:ascii="Arial" w:hAnsi="Arial" w:cs="Arial"/>
          <w:i/>
          <w:iCs/>
        </w:rPr>
        <w:t>Constitution</w:t>
      </w:r>
      <w:r w:rsidRPr="000A039A">
        <w:rPr>
          <w:rFonts w:ascii="Arial" w:hAnsi="Arial" w:cs="Arial"/>
          <w:i/>
          <w:iCs/>
        </w:rPr>
        <w:t xml:space="preserve"> (pp. 114–146).</w:t>
      </w:r>
      <w:r w:rsidRPr="000A039A">
        <w:rPr>
          <w:rFonts w:ascii="Arial" w:hAnsi="Arial" w:cs="Arial"/>
        </w:rPr>
        <w:t xml:space="preserve"> Manchester University Press.</w:t>
      </w:r>
    </w:p>
    <w:p w14:paraId="5CF0E764" w14:textId="77777777" w:rsidR="000A039A" w:rsidRPr="000A039A" w:rsidRDefault="000A039A" w:rsidP="000A039A">
      <w:pPr>
        <w:spacing w:line="480" w:lineRule="auto"/>
        <w:rPr>
          <w:rFonts w:ascii="Arial" w:hAnsi="Arial" w:cs="Arial"/>
        </w:rPr>
      </w:pPr>
      <w:r w:rsidRPr="000A039A">
        <w:rPr>
          <w:rFonts w:ascii="Arial" w:hAnsi="Arial" w:cs="Arial"/>
        </w:rPr>
        <w:t xml:space="preserve">Cummings, B., </w:t>
      </w:r>
      <w:proofErr w:type="spellStart"/>
      <w:r w:rsidRPr="000A039A">
        <w:rPr>
          <w:rFonts w:ascii="Arial" w:hAnsi="Arial" w:cs="Arial"/>
        </w:rPr>
        <w:t>Burvill</w:t>
      </w:r>
      <w:proofErr w:type="spellEnd"/>
      <w:r w:rsidRPr="000A039A">
        <w:rPr>
          <w:rFonts w:ascii="Arial" w:hAnsi="Arial" w:cs="Arial"/>
        </w:rPr>
        <w:t xml:space="preserve">, S., &amp; Bowen, R. (2026). The Well-being of Future Generations Act (Wales, 2015): Towards an ecosystem perspective. </w:t>
      </w:r>
      <w:r w:rsidRPr="000A039A">
        <w:rPr>
          <w:rFonts w:ascii="Arial" w:hAnsi="Arial" w:cs="Arial"/>
          <w:i/>
          <w:iCs/>
        </w:rPr>
        <w:t>Journal of Entrepreneurship and Public Policy, 15</w:t>
      </w:r>
      <w:r w:rsidRPr="000A039A">
        <w:rPr>
          <w:rFonts w:ascii="Arial" w:hAnsi="Arial" w:cs="Arial"/>
        </w:rPr>
        <w:t>(1), 55–71.</w:t>
      </w:r>
    </w:p>
    <w:p w14:paraId="47084DBA" w14:textId="77777777" w:rsidR="000A039A" w:rsidRPr="000A039A" w:rsidRDefault="000A039A" w:rsidP="000A039A">
      <w:pPr>
        <w:spacing w:line="480" w:lineRule="auto"/>
        <w:rPr>
          <w:rFonts w:ascii="Arial" w:hAnsi="Arial" w:cs="Arial"/>
        </w:rPr>
      </w:pPr>
      <w:r w:rsidRPr="000A039A">
        <w:rPr>
          <w:rFonts w:ascii="Arial" w:hAnsi="Arial" w:cs="Arial"/>
        </w:rPr>
        <w:t xml:space="preserve">Domenech, T., &amp; </w:t>
      </w:r>
      <w:proofErr w:type="spellStart"/>
      <w:r w:rsidRPr="000A039A">
        <w:rPr>
          <w:rFonts w:ascii="Arial" w:hAnsi="Arial" w:cs="Arial"/>
        </w:rPr>
        <w:t>Borrion</w:t>
      </w:r>
      <w:proofErr w:type="spellEnd"/>
      <w:r w:rsidRPr="000A039A">
        <w:rPr>
          <w:rFonts w:ascii="Arial" w:hAnsi="Arial" w:cs="Arial"/>
        </w:rPr>
        <w:t xml:space="preserve">, A. (2022). Embedding circular economy principles into urban regeneration and waste management: Framework and metrics. </w:t>
      </w:r>
      <w:r w:rsidRPr="000A039A">
        <w:rPr>
          <w:rFonts w:ascii="Arial" w:hAnsi="Arial" w:cs="Arial"/>
          <w:i/>
          <w:iCs/>
        </w:rPr>
        <w:t>Sustainability, 14</w:t>
      </w:r>
      <w:r w:rsidRPr="000A039A">
        <w:rPr>
          <w:rFonts w:ascii="Arial" w:hAnsi="Arial" w:cs="Arial"/>
        </w:rPr>
        <w:t>(3), 1293.</w:t>
      </w:r>
    </w:p>
    <w:p w14:paraId="5DA718B8" w14:textId="77777777" w:rsidR="000A039A" w:rsidRPr="000A039A" w:rsidRDefault="000A039A" w:rsidP="000A039A">
      <w:pPr>
        <w:spacing w:line="480" w:lineRule="auto"/>
        <w:rPr>
          <w:rFonts w:ascii="Arial" w:hAnsi="Arial" w:cs="Arial"/>
          <w:i/>
          <w:iCs/>
        </w:rPr>
      </w:pPr>
      <w:r w:rsidRPr="000A039A">
        <w:rPr>
          <w:rFonts w:ascii="Arial" w:hAnsi="Arial" w:cs="Arial"/>
        </w:rPr>
        <w:t xml:space="preserve">Dogan, S. (2025). </w:t>
      </w:r>
      <w:r w:rsidRPr="000A039A">
        <w:rPr>
          <w:rFonts w:ascii="Arial" w:hAnsi="Arial" w:cs="Arial"/>
          <w:i/>
          <w:iCs/>
        </w:rPr>
        <w:t>Advanced clean water treatment at Tata Port Talbot: Silica removal in water.</w:t>
      </w:r>
    </w:p>
    <w:p w14:paraId="4A098E3B" w14:textId="77777777" w:rsidR="000A039A" w:rsidRPr="000A039A" w:rsidRDefault="000A039A" w:rsidP="000A039A">
      <w:pPr>
        <w:spacing w:line="480" w:lineRule="auto"/>
        <w:rPr>
          <w:rFonts w:ascii="Arial" w:hAnsi="Arial" w:cs="Arial"/>
        </w:rPr>
      </w:pPr>
      <w:r w:rsidRPr="000A039A">
        <w:rPr>
          <w:rFonts w:ascii="Arial" w:hAnsi="Arial" w:cs="Arial"/>
        </w:rPr>
        <w:t xml:space="preserve">Etherington, D., Gray, M., &amp; Buchner, L. (2025). </w:t>
      </w:r>
      <w:r w:rsidRPr="000A039A">
        <w:rPr>
          <w:rFonts w:ascii="Arial" w:hAnsi="Arial" w:cs="Arial"/>
          <w:i/>
          <w:iCs/>
        </w:rPr>
        <w:t>Still digging deeper: The impact of austerity on inequalities and deprivation in the coalfield areas.</w:t>
      </w:r>
      <w:r w:rsidRPr="000A039A">
        <w:rPr>
          <w:rFonts w:ascii="Arial" w:hAnsi="Arial" w:cs="Arial"/>
        </w:rPr>
        <w:t xml:space="preserve"> University of Staffordshire.</w:t>
      </w:r>
    </w:p>
    <w:p w14:paraId="4D2D47BD" w14:textId="77777777" w:rsidR="000A039A" w:rsidRPr="000A039A" w:rsidRDefault="000A039A" w:rsidP="000A039A">
      <w:pPr>
        <w:spacing w:line="480" w:lineRule="auto"/>
        <w:rPr>
          <w:rFonts w:ascii="Arial" w:hAnsi="Arial" w:cs="Arial"/>
        </w:rPr>
      </w:pPr>
      <w:r w:rsidRPr="000A039A">
        <w:rPr>
          <w:rFonts w:ascii="Arial" w:hAnsi="Arial" w:cs="Arial"/>
        </w:rPr>
        <w:t xml:space="preserve">Evans, G. L. (2025). Graffiti, street art and ambivalence. </w:t>
      </w:r>
      <w:r w:rsidRPr="000A039A">
        <w:rPr>
          <w:rFonts w:ascii="Arial" w:hAnsi="Arial" w:cs="Arial"/>
          <w:i/>
          <w:iCs/>
        </w:rPr>
        <w:t>Humanities, 14</w:t>
      </w:r>
      <w:r w:rsidRPr="000A039A">
        <w:rPr>
          <w:rFonts w:ascii="Arial" w:hAnsi="Arial" w:cs="Arial"/>
        </w:rPr>
        <w:t>(4), 90.</w:t>
      </w:r>
    </w:p>
    <w:p w14:paraId="1B96EDFD" w14:textId="77777777" w:rsidR="000A039A" w:rsidRDefault="000A039A" w:rsidP="000A039A">
      <w:pPr>
        <w:spacing w:line="480" w:lineRule="auto"/>
        <w:rPr>
          <w:rFonts w:ascii="Arial" w:hAnsi="Arial" w:cs="Arial"/>
        </w:rPr>
      </w:pPr>
      <w:r w:rsidRPr="000A039A">
        <w:rPr>
          <w:rFonts w:ascii="Arial" w:hAnsi="Arial" w:cs="Arial"/>
        </w:rPr>
        <w:t xml:space="preserve">Farley, R., &amp; Pollock, V. (2025). </w:t>
      </w:r>
      <w:r w:rsidRPr="000A039A">
        <w:rPr>
          <w:rFonts w:ascii="Arial" w:hAnsi="Arial" w:cs="Arial"/>
          <w:i/>
          <w:iCs/>
        </w:rPr>
        <w:t>Gateshead Riverside Park: Public art as urban heritage and community future.</w:t>
      </w:r>
      <w:r w:rsidRPr="000A039A">
        <w:rPr>
          <w:rFonts w:ascii="Arial" w:hAnsi="Arial" w:cs="Arial"/>
        </w:rPr>
        <w:t xml:space="preserve"> In AMPS: Urban Futures–Cultural Pasts–Barcelona.</w:t>
      </w:r>
    </w:p>
    <w:p w14:paraId="0F3C7587" w14:textId="398417EF" w:rsidR="000A039A" w:rsidRPr="000A039A" w:rsidRDefault="000A039A" w:rsidP="000A039A">
      <w:pPr>
        <w:spacing w:line="480" w:lineRule="auto"/>
        <w:rPr>
          <w:rFonts w:ascii="Arial" w:hAnsi="Arial" w:cs="Arial"/>
        </w:rPr>
      </w:pPr>
      <w:r w:rsidRPr="000A039A">
        <w:rPr>
          <w:rFonts w:ascii="Arial" w:hAnsi="Arial" w:cs="Arial"/>
        </w:rPr>
        <w:lastRenderedPageBreak/>
        <w:t xml:space="preserve">Fiorentino, S. (2023). Public-led shared workspaces and the intangible factors of urban regeneration in UK coastal towns. </w:t>
      </w:r>
      <w:r w:rsidRPr="000A039A">
        <w:rPr>
          <w:rFonts w:ascii="Arial" w:hAnsi="Arial" w:cs="Arial"/>
          <w:i/>
          <w:iCs/>
        </w:rPr>
        <w:t>Urban, Planning and Transport Research, 11</w:t>
      </w:r>
      <w:r w:rsidRPr="000A039A">
        <w:rPr>
          <w:rFonts w:ascii="Arial" w:hAnsi="Arial" w:cs="Arial"/>
        </w:rPr>
        <w:t>(1), 2260853.</w:t>
      </w:r>
    </w:p>
    <w:p w14:paraId="3DF08B3B" w14:textId="77777777" w:rsidR="000A039A" w:rsidRPr="000A039A" w:rsidRDefault="000A039A" w:rsidP="000A039A">
      <w:pPr>
        <w:spacing w:line="480" w:lineRule="auto"/>
        <w:rPr>
          <w:rFonts w:ascii="Arial" w:hAnsi="Arial" w:cs="Arial"/>
        </w:rPr>
      </w:pPr>
      <w:r w:rsidRPr="000A039A">
        <w:rPr>
          <w:rFonts w:ascii="Arial" w:hAnsi="Arial" w:cs="Arial"/>
        </w:rPr>
        <w:t>Fu, D., &amp; Jiang, M. (2024). Enhancing the sense of place: Insights from urban design practices in harbourside regeneration</w:t>
      </w:r>
      <w:r w:rsidRPr="000A039A">
        <w:rPr>
          <w:rFonts w:ascii="Arial" w:hAnsi="Arial" w:cs="Arial"/>
          <w:i/>
          <w:iCs/>
        </w:rPr>
        <w:t>. Journal of Housing and the Built Environment, 39</w:t>
      </w:r>
      <w:r w:rsidRPr="000A039A">
        <w:rPr>
          <w:rFonts w:ascii="Arial" w:hAnsi="Arial" w:cs="Arial"/>
        </w:rPr>
        <w:t>(3), 1627–1647.</w:t>
      </w:r>
    </w:p>
    <w:p w14:paraId="151A1D5E" w14:textId="77777777" w:rsidR="000A039A" w:rsidRPr="000A039A" w:rsidRDefault="000A039A" w:rsidP="000A039A">
      <w:pPr>
        <w:spacing w:line="480" w:lineRule="auto"/>
        <w:rPr>
          <w:rFonts w:ascii="Arial" w:hAnsi="Arial" w:cs="Arial"/>
          <w:i/>
          <w:iCs/>
        </w:rPr>
      </w:pPr>
      <w:r w:rsidRPr="000A039A">
        <w:rPr>
          <w:rFonts w:ascii="Arial" w:hAnsi="Arial" w:cs="Arial"/>
        </w:rPr>
        <w:t xml:space="preserve">Henwood, K., &amp; Pidgeon, N. (2025). </w:t>
      </w:r>
      <w:r w:rsidRPr="000A039A">
        <w:rPr>
          <w:rFonts w:ascii="Arial" w:hAnsi="Arial" w:cs="Arial"/>
          <w:i/>
          <w:iCs/>
        </w:rPr>
        <w:t>Lively methods for net-zero governance and public engagement.</w:t>
      </w:r>
    </w:p>
    <w:p w14:paraId="6A578D85" w14:textId="77777777" w:rsidR="000A039A" w:rsidRPr="000A039A" w:rsidRDefault="000A039A" w:rsidP="000A039A">
      <w:pPr>
        <w:spacing w:line="480" w:lineRule="auto"/>
        <w:rPr>
          <w:rFonts w:ascii="Arial" w:hAnsi="Arial" w:cs="Arial"/>
        </w:rPr>
      </w:pPr>
      <w:r w:rsidRPr="000A039A">
        <w:rPr>
          <w:rFonts w:ascii="Arial" w:hAnsi="Arial" w:cs="Arial"/>
        </w:rPr>
        <w:t xml:space="preserve">Liu, Y., Shen, L., Ren, Y., &amp; Zhou, T. (2023). Regeneration towards suitability: A decision-making framework for determining urban regeneration mode and strategies. </w:t>
      </w:r>
      <w:r w:rsidRPr="000A039A">
        <w:rPr>
          <w:rFonts w:ascii="Arial" w:hAnsi="Arial" w:cs="Arial"/>
          <w:i/>
          <w:iCs/>
        </w:rPr>
        <w:t>Habitat International, 138</w:t>
      </w:r>
      <w:r w:rsidRPr="000A039A">
        <w:rPr>
          <w:rFonts w:ascii="Arial" w:hAnsi="Arial" w:cs="Arial"/>
        </w:rPr>
        <w:t>, 102870.</w:t>
      </w:r>
    </w:p>
    <w:p w14:paraId="2928E5B4" w14:textId="6B81CBE6" w:rsidR="000A039A" w:rsidRPr="000A039A" w:rsidRDefault="000A039A" w:rsidP="000A039A">
      <w:pPr>
        <w:spacing w:line="480" w:lineRule="auto"/>
        <w:rPr>
          <w:rFonts w:ascii="Arial" w:hAnsi="Arial" w:cs="Arial"/>
        </w:rPr>
      </w:pPr>
      <w:r w:rsidRPr="000A039A">
        <w:rPr>
          <w:rFonts w:ascii="Arial" w:hAnsi="Arial" w:cs="Arial"/>
        </w:rPr>
        <w:t xml:space="preserve">McLeskey, M. H., &amp; Guy, R. (2026). Defended </w:t>
      </w:r>
      <w:r>
        <w:rPr>
          <w:rFonts w:ascii="Arial" w:hAnsi="Arial" w:cs="Arial"/>
        </w:rPr>
        <w:t>neighbourhoods</w:t>
      </w:r>
      <w:r w:rsidRPr="000A039A">
        <w:rPr>
          <w:rFonts w:ascii="Arial" w:hAnsi="Arial" w:cs="Arial"/>
        </w:rPr>
        <w:t xml:space="preserve">, urban renewal, and “hillbilly removal” in Uptown, Chicago, 1955–1970. </w:t>
      </w:r>
      <w:r w:rsidRPr="000A039A">
        <w:rPr>
          <w:rFonts w:ascii="Arial" w:hAnsi="Arial" w:cs="Arial"/>
          <w:i/>
          <w:iCs/>
        </w:rPr>
        <w:t>Humanity &amp; Society</w:t>
      </w:r>
      <w:r w:rsidRPr="000A039A">
        <w:rPr>
          <w:rFonts w:ascii="Arial" w:hAnsi="Arial" w:cs="Arial"/>
        </w:rPr>
        <w:t>.</w:t>
      </w:r>
    </w:p>
    <w:p w14:paraId="3DA7AD24" w14:textId="77777777" w:rsidR="000A039A" w:rsidRPr="000A039A" w:rsidRDefault="000A039A" w:rsidP="000A039A">
      <w:pPr>
        <w:spacing w:line="480" w:lineRule="auto"/>
        <w:rPr>
          <w:rFonts w:ascii="Arial" w:hAnsi="Arial" w:cs="Arial"/>
        </w:rPr>
      </w:pPr>
      <w:r w:rsidRPr="000A039A">
        <w:rPr>
          <w:rFonts w:ascii="Arial" w:hAnsi="Arial" w:cs="Arial"/>
        </w:rPr>
        <w:t xml:space="preserve">Phillips, M. (2025). Towards a relational understanding of </w:t>
      </w:r>
      <w:proofErr w:type="spellStart"/>
      <w:r w:rsidRPr="000A039A">
        <w:rPr>
          <w:rFonts w:ascii="Arial" w:hAnsi="Arial" w:cs="Arial"/>
        </w:rPr>
        <w:t>peripheralisation</w:t>
      </w:r>
      <w:proofErr w:type="spellEnd"/>
      <w:r w:rsidRPr="000A039A">
        <w:rPr>
          <w:rFonts w:ascii="Arial" w:hAnsi="Arial" w:cs="Arial"/>
        </w:rPr>
        <w:t xml:space="preserve">: An examination of English rural small towns. In </w:t>
      </w:r>
      <w:r w:rsidRPr="000A039A">
        <w:rPr>
          <w:rFonts w:ascii="Arial" w:hAnsi="Arial" w:cs="Arial"/>
          <w:i/>
          <w:iCs/>
        </w:rPr>
        <w:t>Research companion to the periphery and peripheral regions (pp. 44–62).</w:t>
      </w:r>
      <w:r w:rsidRPr="000A039A">
        <w:rPr>
          <w:rFonts w:ascii="Arial" w:hAnsi="Arial" w:cs="Arial"/>
        </w:rPr>
        <w:t xml:space="preserve"> Edward Elgar Publishing.</w:t>
      </w:r>
    </w:p>
    <w:p w14:paraId="6E2A8F9B" w14:textId="77777777" w:rsidR="000A039A" w:rsidRPr="000A039A" w:rsidRDefault="000A039A" w:rsidP="000A039A">
      <w:pPr>
        <w:spacing w:line="480" w:lineRule="auto"/>
        <w:rPr>
          <w:rFonts w:ascii="Arial" w:hAnsi="Arial" w:cs="Arial"/>
        </w:rPr>
      </w:pPr>
      <w:r w:rsidRPr="000A039A">
        <w:rPr>
          <w:rFonts w:ascii="Arial" w:hAnsi="Arial" w:cs="Arial"/>
        </w:rPr>
        <w:t xml:space="preserve">Richardson, L., Chapman, A., &amp; Light, D. (2025). Identifying critical success factors in the regeneration of English seaside resorts. </w:t>
      </w:r>
      <w:r w:rsidRPr="000A039A">
        <w:rPr>
          <w:rFonts w:ascii="Arial" w:hAnsi="Arial" w:cs="Arial"/>
          <w:i/>
          <w:iCs/>
        </w:rPr>
        <w:t>Tourism and Hospitality, 6</w:t>
      </w:r>
      <w:r w:rsidRPr="000A039A">
        <w:rPr>
          <w:rFonts w:ascii="Arial" w:hAnsi="Arial" w:cs="Arial"/>
        </w:rPr>
        <w:t>(3), 142.</w:t>
      </w:r>
    </w:p>
    <w:p w14:paraId="73F9CB4D" w14:textId="77777777" w:rsidR="000A039A" w:rsidRPr="000A039A" w:rsidRDefault="000A039A" w:rsidP="000A039A">
      <w:pPr>
        <w:spacing w:line="480" w:lineRule="auto"/>
        <w:rPr>
          <w:rFonts w:ascii="Arial" w:hAnsi="Arial" w:cs="Arial"/>
        </w:rPr>
      </w:pPr>
      <w:r w:rsidRPr="000A039A">
        <w:rPr>
          <w:rFonts w:ascii="Arial" w:hAnsi="Arial" w:cs="Arial"/>
        </w:rPr>
        <w:t xml:space="preserve">Said, Z. M., &amp; Dindar, S. (2024). Key challenges and strategies in the evaluation of sustainable urban regeneration projects: Insights from a systematic literature review. </w:t>
      </w:r>
      <w:r w:rsidRPr="000A039A">
        <w:rPr>
          <w:rFonts w:ascii="Arial" w:hAnsi="Arial" w:cs="Arial"/>
          <w:i/>
          <w:iCs/>
        </w:rPr>
        <w:t>Sustainability, 16</w:t>
      </w:r>
      <w:r w:rsidRPr="000A039A">
        <w:rPr>
          <w:rFonts w:ascii="Arial" w:hAnsi="Arial" w:cs="Arial"/>
        </w:rPr>
        <w:t>(22), 9903.</w:t>
      </w:r>
    </w:p>
    <w:p w14:paraId="49E44D9B" w14:textId="77777777" w:rsidR="000A039A" w:rsidRDefault="000A039A" w:rsidP="000A039A">
      <w:pPr>
        <w:spacing w:line="480" w:lineRule="auto"/>
        <w:rPr>
          <w:rFonts w:ascii="Arial" w:hAnsi="Arial" w:cs="Arial"/>
        </w:rPr>
      </w:pPr>
      <w:r w:rsidRPr="000A039A">
        <w:rPr>
          <w:rFonts w:ascii="Arial" w:hAnsi="Arial" w:cs="Arial"/>
        </w:rPr>
        <w:t xml:space="preserve">Singleton, A. (2025). Using walking approaches and site-specific performance to reveal layers of feeling attached to place. </w:t>
      </w:r>
      <w:proofErr w:type="spellStart"/>
      <w:r w:rsidRPr="000A039A">
        <w:rPr>
          <w:rFonts w:ascii="Arial" w:hAnsi="Arial" w:cs="Arial"/>
          <w:i/>
          <w:iCs/>
        </w:rPr>
        <w:t>GeoHumanities</w:t>
      </w:r>
      <w:proofErr w:type="spellEnd"/>
      <w:r w:rsidRPr="000A039A">
        <w:rPr>
          <w:rFonts w:ascii="Arial" w:hAnsi="Arial" w:cs="Arial"/>
          <w:i/>
          <w:iCs/>
        </w:rPr>
        <w:t>, 11</w:t>
      </w:r>
      <w:r w:rsidRPr="000A039A">
        <w:rPr>
          <w:rFonts w:ascii="Arial" w:hAnsi="Arial" w:cs="Arial"/>
        </w:rPr>
        <w:t>(1), 36–53.</w:t>
      </w:r>
    </w:p>
    <w:p w14:paraId="465C687D" w14:textId="546AB18E" w:rsidR="000A039A" w:rsidRPr="00947054" w:rsidRDefault="000A039A" w:rsidP="000A039A">
      <w:pPr>
        <w:spacing w:line="480" w:lineRule="auto"/>
        <w:rPr>
          <w:rFonts w:ascii="Arial" w:hAnsi="Arial" w:cs="Arial"/>
        </w:rPr>
      </w:pPr>
      <w:r w:rsidRPr="000A039A">
        <w:rPr>
          <w:rFonts w:ascii="Arial" w:hAnsi="Arial" w:cs="Arial"/>
        </w:rPr>
        <w:lastRenderedPageBreak/>
        <w:t xml:space="preserve">Telford, L. (2022). ‘There is nothing there’: </w:t>
      </w:r>
      <w:r>
        <w:rPr>
          <w:rFonts w:ascii="Arial" w:hAnsi="Arial" w:cs="Arial"/>
        </w:rPr>
        <w:t>Deindustrialisation</w:t>
      </w:r>
      <w:r w:rsidRPr="000A039A">
        <w:rPr>
          <w:rFonts w:ascii="Arial" w:hAnsi="Arial" w:cs="Arial"/>
        </w:rPr>
        <w:t xml:space="preserve"> and loss in a coastal town. </w:t>
      </w:r>
      <w:r w:rsidRPr="000A039A">
        <w:rPr>
          <w:rFonts w:ascii="Arial" w:hAnsi="Arial" w:cs="Arial"/>
          <w:i/>
          <w:iCs/>
        </w:rPr>
        <w:t>Competition &amp; Change, 26</w:t>
      </w:r>
      <w:r w:rsidRPr="000A039A">
        <w:rPr>
          <w:rFonts w:ascii="Arial" w:hAnsi="Arial" w:cs="Arial"/>
        </w:rPr>
        <w:t>(2), 197–214.</w:t>
      </w:r>
    </w:p>
    <w:sectPr w:rsidR="000A039A" w:rsidRPr="00947054" w:rsidSect="001E4AD0">
      <w:head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AD95E" w14:textId="77777777" w:rsidR="00503471" w:rsidRDefault="00503471" w:rsidP="001E4AD0">
      <w:pPr>
        <w:spacing w:after="0" w:line="240" w:lineRule="auto"/>
      </w:pPr>
      <w:r>
        <w:separator/>
      </w:r>
    </w:p>
  </w:endnote>
  <w:endnote w:type="continuationSeparator" w:id="0">
    <w:p w14:paraId="02C8A910" w14:textId="77777777" w:rsidR="00503471" w:rsidRDefault="00503471" w:rsidP="001E4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1A0E4" w14:textId="77777777" w:rsidR="00503471" w:rsidRDefault="00503471" w:rsidP="001E4AD0">
      <w:pPr>
        <w:spacing w:after="0" w:line="240" w:lineRule="auto"/>
      </w:pPr>
      <w:r>
        <w:separator/>
      </w:r>
    </w:p>
  </w:footnote>
  <w:footnote w:type="continuationSeparator" w:id="0">
    <w:p w14:paraId="1F751A28" w14:textId="77777777" w:rsidR="00503471" w:rsidRDefault="00503471" w:rsidP="001E4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463149"/>
      <w:docPartObj>
        <w:docPartGallery w:val="Page Numbers (Top of Page)"/>
        <w:docPartUnique/>
      </w:docPartObj>
    </w:sdtPr>
    <w:sdtEndPr>
      <w:rPr>
        <w:noProof/>
      </w:rPr>
    </w:sdtEndPr>
    <w:sdtContent>
      <w:p w14:paraId="08EEF301" w14:textId="124AFBAF" w:rsidR="001E4AD0" w:rsidRDefault="001E4AD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E05C6AB" w14:textId="77777777" w:rsidR="001E4AD0" w:rsidRDefault="001E4A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054"/>
    <w:rsid w:val="000A039A"/>
    <w:rsid w:val="001E4AD0"/>
    <w:rsid w:val="00503471"/>
    <w:rsid w:val="00947054"/>
    <w:rsid w:val="00E92A0C"/>
    <w:rsid w:val="00F2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4556"/>
  <w15:chartTrackingRefBased/>
  <w15:docId w15:val="{0B8EB835-A693-4A48-A73C-C5452EEE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0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0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0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0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0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0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054"/>
    <w:rPr>
      <w:rFonts w:eastAsiaTheme="majorEastAsia" w:cstheme="majorBidi"/>
      <w:color w:val="272727" w:themeColor="text1" w:themeTint="D8"/>
    </w:rPr>
  </w:style>
  <w:style w:type="paragraph" w:styleId="Title">
    <w:name w:val="Title"/>
    <w:basedOn w:val="Normal"/>
    <w:next w:val="Normal"/>
    <w:link w:val="TitleChar"/>
    <w:uiPriority w:val="10"/>
    <w:qFormat/>
    <w:rsid w:val="00947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0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054"/>
    <w:pPr>
      <w:spacing w:before="160"/>
      <w:jc w:val="center"/>
    </w:pPr>
    <w:rPr>
      <w:i/>
      <w:iCs/>
      <w:color w:val="404040" w:themeColor="text1" w:themeTint="BF"/>
    </w:rPr>
  </w:style>
  <w:style w:type="character" w:customStyle="1" w:styleId="QuoteChar">
    <w:name w:val="Quote Char"/>
    <w:basedOn w:val="DefaultParagraphFont"/>
    <w:link w:val="Quote"/>
    <w:uiPriority w:val="29"/>
    <w:rsid w:val="00947054"/>
    <w:rPr>
      <w:i/>
      <w:iCs/>
      <w:color w:val="404040" w:themeColor="text1" w:themeTint="BF"/>
    </w:rPr>
  </w:style>
  <w:style w:type="paragraph" w:styleId="ListParagraph">
    <w:name w:val="List Paragraph"/>
    <w:basedOn w:val="Normal"/>
    <w:uiPriority w:val="34"/>
    <w:qFormat/>
    <w:rsid w:val="00947054"/>
    <w:pPr>
      <w:ind w:left="720"/>
      <w:contextualSpacing/>
    </w:pPr>
  </w:style>
  <w:style w:type="character" w:styleId="IntenseEmphasis">
    <w:name w:val="Intense Emphasis"/>
    <w:basedOn w:val="DefaultParagraphFont"/>
    <w:uiPriority w:val="21"/>
    <w:qFormat/>
    <w:rsid w:val="00947054"/>
    <w:rPr>
      <w:i/>
      <w:iCs/>
      <w:color w:val="0F4761" w:themeColor="accent1" w:themeShade="BF"/>
    </w:rPr>
  </w:style>
  <w:style w:type="paragraph" w:styleId="IntenseQuote">
    <w:name w:val="Intense Quote"/>
    <w:basedOn w:val="Normal"/>
    <w:next w:val="Normal"/>
    <w:link w:val="IntenseQuoteChar"/>
    <w:uiPriority w:val="30"/>
    <w:qFormat/>
    <w:rsid w:val="00947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054"/>
    <w:rPr>
      <w:i/>
      <w:iCs/>
      <w:color w:val="0F4761" w:themeColor="accent1" w:themeShade="BF"/>
    </w:rPr>
  </w:style>
  <w:style w:type="character" w:styleId="IntenseReference">
    <w:name w:val="Intense Reference"/>
    <w:basedOn w:val="DefaultParagraphFont"/>
    <w:uiPriority w:val="32"/>
    <w:qFormat/>
    <w:rsid w:val="00947054"/>
    <w:rPr>
      <w:b/>
      <w:bCs/>
      <w:smallCaps/>
      <w:color w:val="0F4761" w:themeColor="accent1" w:themeShade="BF"/>
      <w:spacing w:val="5"/>
    </w:rPr>
  </w:style>
  <w:style w:type="paragraph" w:styleId="NoSpacing">
    <w:name w:val="No Spacing"/>
    <w:link w:val="NoSpacingChar"/>
    <w:uiPriority w:val="1"/>
    <w:qFormat/>
    <w:rsid w:val="001E4A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E4AD0"/>
    <w:rPr>
      <w:rFonts w:eastAsiaTheme="minorEastAsia"/>
      <w:kern w:val="0"/>
      <w:sz w:val="22"/>
      <w:szCs w:val="22"/>
      <w:lang w:val="en-US"/>
      <w14:ligatures w14:val="none"/>
    </w:rPr>
  </w:style>
  <w:style w:type="paragraph" w:styleId="Header">
    <w:name w:val="header"/>
    <w:basedOn w:val="Normal"/>
    <w:link w:val="HeaderChar"/>
    <w:uiPriority w:val="99"/>
    <w:unhideWhenUsed/>
    <w:rsid w:val="001E4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AD0"/>
  </w:style>
  <w:style w:type="paragraph" w:styleId="Footer">
    <w:name w:val="footer"/>
    <w:basedOn w:val="Normal"/>
    <w:link w:val="FooterChar"/>
    <w:uiPriority w:val="99"/>
    <w:unhideWhenUsed/>
    <w:rsid w:val="001E4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13</Pages>
  <Words>2803</Words>
  <Characters>15978</Characters>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REGENERATION REPORT</dc:title>
  <dc:subject/>
  <cp:keywords/>
  <dc:description/>
  <dcterms:created xsi:type="dcterms:W3CDTF">2026-04-25T20:52:00Z</dcterms:created>
  <dcterms:modified xsi:type="dcterms:W3CDTF">2026-04-25T21:27:00Z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1097ce62-c3f1-49fa-b0b4-7bec0b4a0e58</vt:lpwstr>
  </property>
</Properties>
</file>