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F3F76" w14:textId="77777777" w:rsidR="00986311" w:rsidRDefault="00986311" w:rsidP="003C1D07">
      <w:pPr>
        <w:jc w:val="both"/>
        <w:rPr>
          <w:b/>
          <w:bCs/>
          <w:u w:val="single"/>
        </w:rPr>
      </w:pPr>
      <w:r>
        <w:rPr>
          <w:b/>
          <w:bCs/>
          <w:u w:val="single"/>
        </w:rPr>
        <w:t>Luke Hedger</w:t>
      </w:r>
    </w:p>
    <w:p w14:paraId="281279CB" w14:textId="77777777" w:rsidR="00986311" w:rsidRPr="00986311" w:rsidRDefault="00986311" w:rsidP="003C1D07">
      <w:pPr>
        <w:jc w:val="both"/>
        <w:rPr>
          <w:b/>
          <w:bCs/>
          <w:u w:val="single"/>
        </w:rPr>
      </w:pPr>
      <w:r w:rsidRPr="00986311">
        <w:rPr>
          <w:b/>
          <w:bCs/>
          <w:u w:val="single"/>
        </w:rPr>
        <w:t xml:space="preserve">Essays </w:t>
      </w:r>
    </w:p>
    <w:p w14:paraId="67D7382F" w14:textId="77777777" w:rsidR="00986311" w:rsidRDefault="00986311" w:rsidP="003C1D07">
      <w:pPr>
        <w:jc w:val="both"/>
        <w:rPr>
          <w:b/>
          <w:bCs/>
        </w:rPr>
      </w:pPr>
    </w:p>
    <w:p w14:paraId="4693624D" w14:textId="77777777" w:rsidR="00986311" w:rsidRPr="00986311" w:rsidRDefault="00986311" w:rsidP="003C1D07">
      <w:pPr>
        <w:jc w:val="both"/>
        <w:rPr>
          <w:b/>
          <w:bCs/>
        </w:rPr>
      </w:pPr>
      <w:r w:rsidRPr="00986311">
        <w:rPr>
          <w:b/>
          <w:bCs/>
        </w:rPr>
        <w:t>Research conducted on behalf of HMICFRS found that if people do not believe that the police treat the public fairly and with respect, they are significantly less likely to report crime either as a victim or a witness (BMG Research, 2018). How effective are measures in place to ensure that officers act with integrity and treat the public fairly and with respect? Your answer must be based on academic research rather than personal experience.</w:t>
      </w:r>
    </w:p>
    <w:p w14:paraId="1F2F0E26" w14:textId="77777777" w:rsidR="00986311" w:rsidRDefault="00986311" w:rsidP="003C1D07">
      <w:pPr>
        <w:jc w:val="both"/>
        <w:rPr>
          <w:b/>
          <w:bCs/>
        </w:rPr>
      </w:pPr>
    </w:p>
    <w:p w14:paraId="6B3E8A0A" w14:textId="0E1FC26B" w:rsidR="00724F38" w:rsidRDefault="00E6201D" w:rsidP="003C1D07">
      <w:pPr>
        <w:jc w:val="both"/>
      </w:pPr>
      <w:r>
        <w:t>T</w:t>
      </w:r>
      <w:r w:rsidR="00512E4C">
        <w:t>his essay will be discussing what HMCIFRS is and what they do and what their role is.</w:t>
      </w:r>
      <w:r w:rsidR="004E35ED">
        <w:t xml:space="preserve"> This essay</w:t>
      </w:r>
      <w:r w:rsidR="00512E4C">
        <w:t xml:space="preserve"> will also be discussing how effective the measures are in place to ensure officers act with integrity and how they treat the public fairly and with respect. </w:t>
      </w:r>
      <w:r w:rsidR="00CD21F5">
        <w:t xml:space="preserve">Policing in the UK has been hit with recent scandals, high profile cases involving police have taken a dent in policing confidence. </w:t>
      </w:r>
    </w:p>
    <w:p w14:paraId="591AE064" w14:textId="5E711B3B" w:rsidR="00830FFF" w:rsidRDefault="00724F38" w:rsidP="003C1D07">
      <w:pPr>
        <w:jc w:val="both"/>
      </w:pPr>
      <w:r>
        <w:t>Polic</w:t>
      </w:r>
      <w:r w:rsidR="00CA7081">
        <w:t xml:space="preserve">ing in the UK </w:t>
      </w:r>
      <w:r w:rsidR="008B11E4">
        <w:t>is slightly different than policing in other parts of the world, in the UK it is policing by consent. This idea was bought in by Robert Peel, one of his ideas was to seek and preserve public favour and to always maintain a good relationship with the public. The idea the police are the public and the public is the police (gov.uk</w:t>
      </w:r>
      <w:r w:rsidR="004636AF">
        <w:t>, 2023</w:t>
      </w:r>
      <w:r w:rsidR="008B11E4">
        <w:t>).</w:t>
      </w:r>
    </w:p>
    <w:p w14:paraId="0D4A3768" w14:textId="6E5AE6FC" w:rsidR="0021654C" w:rsidRDefault="00512E4C" w:rsidP="003C1D07">
      <w:pPr>
        <w:jc w:val="both"/>
      </w:pPr>
      <w:r>
        <w:t xml:space="preserve">The HMCIFRS stands for His Majesty’s Inspectorate of Constabulary and Fire and Rescue Services. The HMCIRS have been around for around 160 years, they inspect police forces across the country independently. Their job is </w:t>
      </w:r>
      <w:r w:rsidR="00842D00">
        <w:t>asking</w:t>
      </w:r>
      <w:r>
        <w:t xml:space="preserve"> questions the public want answers to</w:t>
      </w:r>
      <w:r w:rsidR="006428D2">
        <w:t>.</w:t>
      </w:r>
      <w:r>
        <w:t xml:space="preserve"> </w:t>
      </w:r>
      <w:r w:rsidR="00842D00">
        <w:t>In relation to the research by the HMCIRS, it is vital police build a relationship of trust with the public. Without trust the public will not report any crimes to the police</w:t>
      </w:r>
      <w:r w:rsidR="006428D2">
        <w:t xml:space="preserve"> (HMCIRFS</w:t>
      </w:r>
      <w:r w:rsidR="004636AF">
        <w:t>, 2023</w:t>
      </w:r>
      <w:r w:rsidR="006428D2">
        <w:t>)</w:t>
      </w:r>
      <w:r w:rsidR="00842D00">
        <w:t>.</w:t>
      </w:r>
    </w:p>
    <w:p w14:paraId="1D4C8613" w14:textId="54EECA59" w:rsidR="00CD28F5" w:rsidRDefault="00CD28F5" w:rsidP="003C1D07">
      <w:pPr>
        <w:jc w:val="both"/>
      </w:pPr>
      <w:r>
        <w:t xml:space="preserve">Research conducted by the College of Policing (2001) shows the complaints have declined since the introduction of body worn camera. A reduction of 16% in complaints against officers, if you use complaints as a measure of effectiveness it shows it is working. Harrison (2022) would </w:t>
      </w:r>
      <w:r w:rsidR="004636AF">
        <w:t>argue body worn cameras are an effective measure to ensure officers act with integrity and treat the public fairly and with respect</w:t>
      </w:r>
      <w:r w:rsidR="00065658">
        <w:t xml:space="preserve">. Harrison also argues since the introduction of body worn cameras the officer’s attitudes and behaviours have changed because they know the footage can be checked and they officer can be dismissed, or force discipline hears if do not act with integrity and treat the public with fairness and respect. </w:t>
      </w:r>
    </w:p>
    <w:p w14:paraId="6B845677" w14:textId="6CD771DC" w:rsidR="00432708" w:rsidRDefault="00432708" w:rsidP="003C1D07">
      <w:pPr>
        <w:jc w:val="both"/>
      </w:pPr>
      <w:r>
        <w:t xml:space="preserve">Another measure the college of policing put in place to ensure officers act with integrity and treat the public fairly and respect is the new code of ethics. In 2024 the College of Policing introduced a new of ethics, the 9 principles of the code of 2014 code of ethics have been mapped into 3 principles, they are courage, respect and empathy and public service (College of Policing, 2024). The code of ethics encourages officers to call out inappropriate behaviour and self-police themselves. </w:t>
      </w:r>
      <w:r w:rsidR="00DF7ADA">
        <w:t>College of policing are rolling out e-learning packages and are changing the training to encompass the new code of ethics. The new code of effects and the new e-learning packages and training has not been going long enough to see the true effectives of the measure. However, the 2014 code of ethics was outdated and not an effective method and that is the reason it was changed (College of Policing, 2024).</w:t>
      </w:r>
      <w:r w:rsidR="00C42A99">
        <w:t xml:space="preserve"> Edwin J Delattre, (2002), would argue training and ethics is an effective measure in place to ensure officers act with integrity and fairness and treat the public with respect. He argues the training drills into the new officers what they are expected to do and how they are meant to act around the public, the idea of treating everyone with fairness and respect. </w:t>
      </w:r>
    </w:p>
    <w:p w14:paraId="4F598CDB" w14:textId="61E66DD1" w:rsidR="009348D6" w:rsidRDefault="008D3795" w:rsidP="003C1D07">
      <w:pPr>
        <w:jc w:val="both"/>
      </w:pPr>
      <w:r>
        <w:lastRenderedPageBreak/>
        <w:t>In the wake of the Sarah Everard murder in 2021, the HMICFS were commissioned by the home secretary to look at vetting within the police (HMICFS, 2023).</w:t>
      </w:r>
      <w:r w:rsidR="00FD70C0">
        <w:t xml:space="preserve"> Potential recruits before the Sarah Everard murder were vetted, potential recruits were found on the Police National Computer </w:t>
      </w:r>
      <w:r w:rsidR="00E157F3">
        <w:t>to have committed crimes. Despite the potential recruits having committed crimes they have been accepted into the police and been serving officers. The officers once in the police believe their behaviour is acceptable, some of the new officers had committed crimes such as drunk and disorderly or had been investigated for harassment (Timothy Cubitt, 2023)</w:t>
      </w:r>
      <w:r w:rsidR="00164A27">
        <w:t>. Cubitt argues regular vetting is an effective measure to ensure officers maintain integrity and treat the public with fairness and respect</w:t>
      </w:r>
      <w:r w:rsidR="009348D6">
        <w:t xml:space="preserve"> because it looks at officers using policing database to see if they have committed crimes, things such as speeding tickets are looked at. It is the responsibility of the officer to show integrity and report they have speeding tickets. Cubitt argues </w:t>
      </w:r>
      <w:r w:rsidR="00A92450">
        <w:t xml:space="preserve">vetting new officers is very effective method of ensuring officers act with integrity and treat the public with respect and </w:t>
      </w:r>
      <w:r w:rsidR="00A12CCC">
        <w:t xml:space="preserve">fairness. The reason it is effective is because police officers are aware if they are not open and honest with previous or new </w:t>
      </w:r>
      <w:r w:rsidR="004B74C8">
        <w:t>convictions,</w:t>
      </w:r>
      <w:r w:rsidR="00A12CCC">
        <w:t xml:space="preserve"> they could be dismissed from the police service. </w:t>
      </w:r>
      <w:r w:rsidR="00181FA8">
        <w:t xml:space="preserve">Haywood L. Brown, David Ponton, Cecil Howard, Patsy Sanchez, Camille Blake, (2021) would also support the view vetting is an effective option to ensure police officers ensure integrity and treat the public with respect and fairness. They look at patterns of officers within the police, they lack at how they acted towards </w:t>
      </w:r>
      <w:r w:rsidR="009F6FA2">
        <w:t xml:space="preserve">people who are black members of the community. They look at if they use excessive use of force. This is the reason why use of force forms were introduced, to make sure officers treat members of the public with respect and fairness by justify their use of force. </w:t>
      </w:r>
    </w:p>
    <w:p w14:paraId="5CC7CDA7" w14:textId="43234138" w:rsidR="009F6FA2" w:rsidRDefault="009F6FA2" w:rsidP="003C1D07">
      <w:pPr>
        <w:jc w:val="both"/>
      </w:pPr>
      <w:r>
        <w:t xml:space="preserve">To conclude, vetting has changed since the death of Sarah Everard, vetting </w:t>
      </w:r>
      <w:r w:rsidR="00B958A5">
        <w:t>is more frequent. This is an effective measure to ensure officers act with integrity and treat the public with fairness and respect. The reason is because officer’s actions are reviewed before they join the police and are rejected, it is effective because serving officers are aware they could be reviewed. Officer</w:t>
      </w:r>
      <w:r w:rsidR="00106A35">
        <w:t xml:space="preserve">’s use of force are reviewed, this is effective method because officer’s that cannot justice or use excessive force are investigated and dismissed from the service and officers are made aware of that from the standards department. The code of ethics has also changed since the murder of Sarah Everard to highlight the new standards officers are to maintain. The introduction of body worn cameras </w:t>
      </w:r>
      <w:r w:rsidR="00032B5B">
        <w:t xml:space="preserve">has had a shift in the way police officers act. There is an argument the introduction of body worn camera is the most effective measure in maintaining integrity and the respect and fairness towards the public. This is because corruption is reduction because </w:t>
      </w:r>
      <w:r w:rsidR="00E44F02">
        <w:t>officers ’actions</w:t>
      </w:r>
      <w:r w:rsidR="00032B5B">
        <w:t xml:space="preserve"> are recorded. </w:t>
      </w:r>
    </w:p>
    <w:p w14:paraId="7471F8A0" w14:textId="77777777" w:rsidR="00E157F3" w:rsidRDefault="00E157F3" w:rsidP="003C1D07">
      <w:pPr>
        <w:jc w:val="both"/>
      </w:pPr>
    </w:p>
    <w:p w14:paraId="1E6062DD" w14:textId="1EDB6515" w:rsidR="008D3795" w:rsidRDefault="008D3795" w:rsidP="00164A27">
      <w:pPr>
        <w:jc w:val="both"/>
      </w:pPr>
    </w:p>
    <w:p w14:paraId="692A4645" w14:textId="77777777" w:rsidR="00C320C3" w:rsidRDefault="00C320C3" w:rsidP="003C1D07">
      <w:pPr>
        <w:jc w:val="both"/>
      </w:pPr>
    </w:p>
    <w:p w14:paraId="6909247B" w14:textId="0C021D86" w:rsidR="00C320C3" w:rsidRDefault="00C320C3" w:rsidP="003C1D07">
      <w:pPr>
        <w:jc w:val="both"/>
      </w:pPr>
      <w:r w:rsidRPr="009D2E0C">
        <w:rPr>
          <w:b/>
          <w:bCs/>
        </w:rPr>
        <w:t>Word Count:</w:t>
      </w:r>
      <w:r>
        <w:t xml:space="preserve"> </w:t>
      </w:r>
      <w:r w:rsidR="00E44F02" w:rsidRPr="00E44F02">
        <w:rPr>
          <w:b/>
          <w:bCs/>
        </w:rPr>
        <w:t>10</w:t>
      </w:r>
      <w:r w:rsidR="00766C71">
        <w:rPr>
          <w:b/>
          <w:bCs/>
        </w:rPr>
        <w:t>31</w:t>
      </w:r>
    </w:p>
    <w:p w14:paraId="521F4D69" w14:textId="77777777" w:rsidR="00986311" w:rsidRDefault="00986311" w:rsidP="003C1D07">
      <w:pPr>
        <w:jc w:val="both"/>
        <w:rPr>
          <w:b/>
          <w:bCs/>
        </w:rPr>
      </w:pPr>
    </w:p>
    <w:p w14:paraId="15E99761" w14:textId="77777777" w:rsidR="00986311" w:rsidRPr="00986311" w:rsidRDefault="00986311" w:rsidP="003C1D07">
      <w:pPr>
        <w:jc w:val="both"/>
        <w:rPr>
          <w:b/>
          <w:bCs/>
        </w:rPr>
      </w:pPr>
      <w:r w:rsidRPr="00986311">
        <w:rPr>
          <w:b/>
          <w:bCs/>
        </w:rPr>
        <w:t>Critically assess the effectiveness of options available to reduce re-offending. You may choose a specific type of offence for this answer e.g. domestic violence, anti-social behaviour, knife crime. Your answer must be based on academic research, but you may make reference to relevant case studies.</w:t>
      </w:r>
    </w:p>
    <w:p w14:paraId="2973D53B" w14:textId="77777777" w:rsidR="00333C01" w:rsidRDefault="00333C01" w:rsidP="003C1D07">
      <w:pPr>
        <w:jc w:val="both"/>
      </w:pPr>
      <w:r>
        <w:t>T</w:t>
      </w:r>
      <w:r w:rsidR="00CE51FC">
        <w:t>his essay will be looking at the different options available to prevent a person from re-offending</w:t>
      </w:r>
      <w:r>
        <w:t xml:space="preserve"> and the effectiveness of them. The crime this essay will be covering is domestic violence, with reference to case study that happened in the Gwent area. </w:t>
      </w:r>
    </w:p>
    <w:p w14:paraId="11C2A7F1" w14:textId="21444EAA" w:rsidR="00936DB9" w:rsidRDefault="00333C01" w:rsidP="003C1D07">
      <w:pPr>
        <w:jc w:val="both"/>
      </w:pPr>
      <w:r>
        <w:lastRenderedPageBreak/>
        <w:t>The definition of d</w:t>
      </w:r>
      <w:r w:rsidR="00936DB9">
        <w:t xml:space="preserve">omestic abuse is someone being abused by someone they are personally connected </w:t>
      </w:r>
      <w:r w:rsidR="00DE7740">
        <w:t>to;</w:t>
      </w:r>
      <w:r w:rsidR="00936DB9">
        <w:t xml:space="preserve"> this does not have to be a relationship and can be a family member. The person </w:t>
      </w:r>
      <w:r w:rsidR="007F59D6">
        <w:t>must</w:t>
      </w:r>
      <w:r w:rsidR="00936DB9">
        <w:t xml:space="preserve"> be over 16 and the abusive is through violence, </w:t>
      </w:r>
      <w:r w:rsidR="00684278">
        <w:t xml:space="preserve">emotional and </w:t>
      </w:r>
      <w:r w:rsidR="001D5CC1">
        <w:t>financial</w:t>
      </w:r>
      <w:r w:rsidR="007F59D6">
        <w:t>, sexual and psychological (</w:t>
      </w:r>
      <w:r w:rsidR="00FD70C0">
        <w:t>Legislation.Gov. Uk</w:t>
      </w:r>
      <w:r>
        <w:t>, 2023</w:t>
      </w:r>
      <w:r w:rsidR="007F59D6">
        <w:t>).</w:t>
      </w:r>
    </w:p>
    <w:p w14:paraId="6AB89C1B" w14:textId="56C2FD09" w:rsidR="000E3026" w:rsidRDefault="0068734F" w:rsidP="003C1D07">
      <w:pPr>
        <w:jc w:val="both"/>
      </w:pPr>
      <w:r>
        <w:t>According to the office for national statistics, the number of police recorded domestic abuse crimes has risen by 7.7% compared with the previous two years in the year ended March 2022 (O</w:t>
      </w:r>
      <w:r w:rsidR="00333C01">
        <w:t>ffice for national statistics, 2023</w:t>
      </w:r>
      <w:r>
        <w:t>).</w:t>
      </w:r>
      <w:r w:rsidR="00491216">
        <w:t xml:space="preserve"> This does show a worrying tread, however there are methods available that can</w:t>
      </w:r>
      <w:r w:rsidR="00333C01">
        <w:t xml:space="preserve"> be</w:t>
      </w:r>
      <w:r w:rsidR="00491216">
        <w:t xml:space="preserve"> </w:t>
      </w:r>
      <w:r w:rsidR="00333C01">
        <w:t>used</w:t>
      </w:r>
      <w:r w:rsidR="00491216">
        <w:t xml:space="preserve"> to try and reduce re-offending when it comes to domestic abuse. </w:t>
      </w:r>
      <w:r w:rsidR="00333C01">
        <w:t xml:space="preserve">Such methods are education, court orders and prison sentences. </w:t>
      </w:r>
    </w:p>
    <w:p w14:paraId="7164856C" w14:textId="54817B29" w:rsidR="000E3026" w:rsidRDefault="000E3026" w:rsidP="003C1D07">
      <w:pPr>
        <w:jc w:val="both"/>
      </w:pPr>
      <w:r>
        <w:t xml:space="preserve">Firstly, </w:t>
      </w:r>
      <w:r w:rsidR="00EF6182">
        <w:t>most of</w:t>
      </w:r>
      <w:r>
        <w:t xml:space="preserve"> the victims are women 6.9% of women aged 16 and over have experienced some form of domestic abuse and 3% of men over the age of 16 (O</w:t>
      </w:r>
      <w:r w:rsidR="00333C01">
        <w:t>ffice for national statistics</w:t>
      </w:r>
      <w:r>
        <w:t xml:space="preserve">). </w:t>
      </w:r>
      <w:r w:rsidR="005053EC">
        <w:t xml:space="preserve">One option </w:t>
      </w:r>
      <w:r w:rsidR="00DE7740">
        <w:t xml:space="preserve">to prevent a person from re-offending are court orders. Domestic Violence Protection Orders are an effective method of preventing someone from re-offending, if the people do not live </w:t>
      </w:r>
      <w:r w:rsidR="00AB513C">
        <w:t>together,</w:t>
      </w:r>
      <w:r w:rsidR="00DE7740">
        <w:t xml:space="preserve"> they are an effective and cheap way of preventing someone from re-offending (Christopher Dowling et al, 2008). Orders are a cost-effective way of preventing someone from re-offending, the threat of the person going to prison if they breach the order is enough to prevent the person. In the case study, a male suspect had assaulted his partner. He was arrested and continued to re-offend, he was given a court order and continued to re-offend. Eventually the suspect was arrested and sent to prison, so </w:t>
      </w:r>
      <w:r w:rsidR="00AB513C">
        <w:t>far,</w:t>
      </w:r>
      <w:r w:rsidR="00DE7740">
        <w:t xml:space="preserve"> the suspect has not re-offended. The case study shows court orders are not effective if the two people live together. </w:t>
      </w:r>
      <w:r w:rsidR="00E5507D">
        <w:t xml:space="preserve">Dowling et al (2008) argues court orders are an effective option to prevent someone from re-offending, only if they do not live together. He argues they become less effective if the persons live together and the offender will breach the order making them less effective.  </w:t>
      </w:r>
    </w:p>
    <w:p w14:paraId="08CA509A" w14:textId="33ECB1CF" w:rsidR="004B69E0" w:rsidRDefault="00225BA3" w:rsidP="003C1D07">
      <w:pPr>
        <w:jc w:val="both"/>
        <w:rPr>
          <w:rFonts w:cstheme="minorHAnsi"/>
          <w:color w:val="313131"/>
          <w:sz w:val="23"/>
          <w:szCs w:val="23"/>
          <w:shd w:val="clear" w:color="auto" w:fill="FFFFFF"/>
        </w:rPr>
      </w:pPr>
      <w:r>
        <w:t xml:space="preserve">Furthermore, another effective way of preventing someone from re-offending is to do what is called target hardening. Target hardening is making a house harder to enter so putting things like door jammers behind the doors, CCTV, ring doorbells and fireproofing the letterbox. </w:t>
      </w:r>
      <w:r w:rsidR="00E84BE7">
        <w:t>Making the address harder to access for the offender, stops them from being able to commit the offence again (</w:t>
      </w:r>
      <w:r w:rsidR="00E84BE7" w:rsidRPr="00E84BE7">
        <w:rPr>
          <w:rFonts w:cstheme="minorHAnsi"/>
          <w:color w:val="313131"/>
          <w:sz w:val="23"/>
          <w:szCs w:val="23"/>
          <w:shd w:val="clear" w:color="auto" w:fill="FFFFFF"/>
        </w:rPr>
        <w:t xml:space="preserve">Roach, J. (2023). </w:t>
      </w:r>
      <w:r w:rsidR="0054311F">
        <w:rPr>
          <w:rFonts w:cstheme="minorHAnsi"/>
          <w:color w:val="313131"/>
          <w:sz w:val="23"/>
          <w:szCs w:val="23"/>
          <w:shd w:val="clear" w:color="auto" w:fill="FFFFFF"/>
        </w:rPr>
        <w:t xml:space="preserve">Ring doorbells and CCTV work well in partnership with court orders, the suspect in the case study was caught on a ring doorbell that was provided as part of the targeting hardening measures in Gwent. </w:t>
      </w:r>
      <w:r w:rsidR="00DB58CB">
        <w:rPr>
          <w:rFonts w:cstheme="minorHAnsi"/>
          <w:color w:val="313131"/>
          <w:sz w:val="23"/>
          <w:szCs w:val="23"/>
          <w:shd w:val="clear" w:color="auto" w:fill="FFFFFF"/>
        </w:rPr>
        <w:t>However,</w:t>
      </w:r>
      <w:r w:rsidR="0054311F">
        <w:rPr>
          <w:rFonts w:cstheme="minorHAnsi"/>
          <w:color w:val="313131"/>
          <w:sz w:val="23"/>
          <w:szCs w:val="23"/>
          <w:shd w:val="clear" w:color="auto" w:fill="FFFFFF"/>
        </w:rPr>
        <w:t xml:space="preserve"> Roach (2023) also argues the measures can be expensive and are not always cost effective. </w:t>
      </w:r>
    </w:p>
    <w:p w14:paraId="3A895C2A" w14:textId="179F5DF5" w:rsidR="004B69E0" w:rsidRDefault="004B69E0" w:rsidP="00454DD1">
      <w:pPr>
        <w:spacing w:before="240"/>
        <w:jc w:val="both"/>
      </w:pPr>
      <w:r>
        <w:rPr>
          <w:rFonts w:cstheme="minorHAnsi"/>
          <w:color w:val="313131"/>
          <w:sz w:val="23"/>
          <w:szCs w:val="23"/>
          <w:shd w:val="clear" w:color="auto" w:fill="FFFFFF"/>
        </w:rPr>
        <w:t xml:space="preserve">Another effective method to prevent someone from re-offending is to re-educate the person through things such as family counselling, family intervention programmes and cognitive behavioural therapy. </w:t>
      </w:r>
      <w:r w:rsidR="00341243">
        <w:rPr>
          <w:rFonts w:cstheme="minorHAnsi"/>
          <w:color w:val="313131"/>
          <w:sz w:val="23"/>
          <w:szCs w:val="23"/>
          <w:shd w:val="clear" w:color="auto" w:fill="FFFFFF"/>
        </w:rPr>
        <w:t>These methods</w:t>
      </w:r>
      <w:r>
        <w:rPr>
          <w:rFonts w:cstheme="minorHAnsi"/>
          <w:color w:val="313131"/>
          <w:sz w:val="23"/>
          <w:szCs w:val="23"/>
          <w:shd w:val="clear" w:color="auto" w:fill="FFFFFF"/>
        </w:rPr>
        <w:t xml:space="preserve"> are effective and a cheap way of preventing someone from re-offending, the idea is to show the person what they are doing is wrong and how they can prevent themselves from re-offending in the future (</w:t>
      </w:r>
      <w:r w:rsidR="00341243">
        <w:t>Martina Manica, 2021).</w:t>
      </w:r>
      <w:r>
        <w:rPr>
          <w:rFonts w:cstheme="minorHAnsi"/>
          <w:color w:val="313131"/>
          <w:sz w:val="23"/>
          <w:szCs w:val="23"/>
          <w:shd w:val="clear" w:color="auto" w:fill="FFFFFF"/>
        </w:rPr>
        <w:t xml:space="preserve"> </w:t>
      </w:r>
      <w:r w:rsidR="00231718">
        <w:t xml:space="preserve">Dr Jay Gormley et al (2021) would argue the best way to prevent someone from re-offending is to re-educate them. Giving someone a harder sentence is not an effective deterrence. Re-educating someone is cost effective way to prevent someone from re-offending, the person is likely to commit and offence if they know what they are doing is wrong and being educated there are other ways than to offend. This is the reason why prison educate people. </w:t>
      </w:r>
      <w:r w:rsidR="00135CFB">
        <w:t xml:space="preserve">Both Martina Manica (2021) and Jay Gormley (2022) argue short prison sentences do not work as a deterrence and the offender is more likely to re-offend again. </w:t>
      </w:r>
      <w:r w:rsidR="00454DD1">
        <w:t>However,</w:t>
      </w:r>
      <w:r w:rsidR="00135CFB">
        <w:t xml:space="preserve"> prison is still an option to stop someone from re-offending for the during of their prison sentence however they are more likely to re-offend once released</w:t>
      </w:r>
      <w:r w:rsidR="00454DD1">
        <w:t>, the idea of prison as a revolving door</w:t>
      </w:r>
      <w:r w:rsidR="00135CFB">
        <w:t xml:space="preserve"> (</w:t>
      </w:r>
      <w:r w:rsidR="00454DD1" w:rsidRPr="00E2377F">
        <w:t>Petrich, Damon M., Travis C. Pratt, Cheryl L. Jonson, and Francis T. Cullen. 2020</w:t>
      </w:r>
      <w:r w:rsidR="00454DD1">
        <w:t>).</w:t>
      </w:r>
    </w:p>
    <w:p w14:paraId="6B102AE7" w14:textId="3C8E4A12" w:rsidR="00454DD1" w:rsidRPr="00E84BE7" w:rsidRDefault="00454DD1" w:rsidP="00454DD1">
      <w:pPr>
        <w:spacing w:before="240"/>
        <w:jc w:val="both"/>
        <w:rPr>
          <w:rFonts w:cstheme="minorHAnsi"/>
        </w:rPr>
      </w:pPr>
      <w:r>
        <w:lastRenderedPageBreak/>
        <w:t>Another option to reduce</w:t>
      </w:r>
      <w:r w:rsidR="005C53D0">
        <w:t xml:space="preserve"> prevent re-offending was trailed initial in Hampshire in 2012-2014. It is named Cautioning and Relationship Abuse (CARA), it was trailed for domestic violence abusers. The idea of CARA is to try and change the behaviour of the suspect. </w:t>
      </w:r>
      <w:r w:rsidR="003B4B73">
        <w:t xml:space="preserve">CARA is very effective in reducing a person from re-offending, in Hampshire the CARA preventing 35% of men from re-offending (Eddie Kane et al, 2023.) However, as Eddie Kane et al (2023) argues a CARA might not work in every. Hampshire where the trial was conducted has one of the highest </w:t>
      </w:r>
      <w:r w:rsidR="00E5507D">
        <w:t>employments</w:t>
      </w:r>
      <w:r w:rsidR="003B4B73">
        <w:t xml:space="preserve"> in the country and a majority white British, Kane argues it might not work in area with a mixed culture and lower employment rate. The idea of CARA is to change the perception of the offender to change the</w:t>
      </w:r>
      <w:r w:rsidR="00E5507D">
        <w:t xml:space="preserve"> behaviours of first-time offenders, the CARA targets both men and women. It is used mainly for first time offenders. However, CARA does have its limitations, it is used for low level offenders. It is very effective in Hampshire, it has reduced re-offending and saves money (Kane et al, 2023). </w:t>
      </w:r>
    </w:p>
    <w:p w14:paraId="5F262867" w14:textId="6589F75D" w:rsidR="00D94645" w:rsidRDefault="00D94645" w:rsidP="003C1D07">
      <w:pPr>
        <w:jc w:val="both"/>
      </w:pPr>
      <w:r>
        <w:t xml:space="preserve">To conclude there are several options that are effective to prevent someone from re-offending. Court orders are an effective way to prevent someone from re-offending they act as deterrence. However, they are most effective if the offender and victim do not live together. The case study highlights court orders are not effective if the subject and the victim live together. </w:t>
      </w:r>
    </w:p>
    <w:p w14:paraId="1BEB8CE9" w14:textId="1DAAD0EA" w:rsidR="005053EC" w:rsidRDefault="00D94645" w:rsidP="003C1D07">
      <w:pPr>
        <w:jc w:val="both"/>
      </w:pPr>
      <w:r>
        <w:t xml:space="preserve"> Prison sentences do work in the short term for the duration of their </w:t>
      </w:r>
      <w:r w:rsidR="00AB513C">
        <w:t>sentence;</w:t>
      </w:r>
      <w:r>
        <w:t xml:space="preserve"> however the offender could be stuck in the idea of a revolving door and re-offend being sent back to prison. The idea of counselling and the idea of changing an offender’s behaviour is an effective option to prevent an offender from re-offending. A CARA works well in </w:t>
      </w:r>
      <w:r w:rsidR="00AB513C">
        <w:t>Hampshire;</w:t>
      </w:r>
      <w:r>
        <w:t xml:space="preserve"> however it might not be an effective option in a place like London</w:t>
      </w:r>
      <w:r w:rsidR="00DD50C7">
        <w:t xml:space="preserve"> or a place like Birmingham. </w:t>
      </w:r>
    </w:p>
    <w:p w14:paraId="3A30BCAD" w14:textId="088FF96A" w:rsidR="00DD50C7" w:rsidRDefault="00DD50C7" w:rsidP="003C1D07">
      <w:pPr>
        <w:jc w:val="both"/>
      </w:pPr>
      <w:r>
        <w:t xml:space="preserve">All options are effective to prevent an offender from re-offending. However not every option will be effective for every place and every person. </w:t>
      </w:r>
    </w:p>
    <w:p w14:paraId="25DB8FC5" w14:textId="375CD90E" w:rsidR="00EF053D" w:rsidRDefault="00EF053D" w:rsidP="003C1D07">
      <w:pPr>
        <w:jc w:val="both"/>
      </w:pPr>
    </w:p>
    <w:p w14:paraId="3D611CBC" w14:textId="7C7BC20A" w:rsidR="00986311" w:rsidRDefault="00986311" w:rsidP="003C1D07">
      <w:pPr>
        <w:jc w:val="both"/>
        <w:rPr>
          <w:b/>
          <w:bCs/>
        </w:rPr>
      </w:pPr>
      <w:r w:rsidRPr="00986311">
        <w:rPr>
          <w:b/>
          <w:bCs/>
        </w:rPr>
        <w:br/>
        <w:t>Word Count</w:t>
      </w:r>
      <w:r>
        <w:t xml:space="preserve"> </w:t>
      </w:r>
      <w:r w:rsidR="00E44F02" w:rsidRPr="00E44F02">
        <w:rPr>
          <w:b/>
          <w:bCs/>
        </w:rPr>
        <w:t>1057</w:t>
      </w:r>
    </w:p>
    <w:p w14:paraId="5198307D" w14:textId="77777777" w:rsidR="00986311" w:rsidRDefault="00986311" w:rsidP="003C1D07">
      <w:pPr>
        <w:jc w:val="both"/>
        <w:rPr>
          <w:b/>
          <w:bCs/>
        </w:rPr>
      </w:pPr>
    </w:p>
    <w:p w14:paraId="5688FD3B" w14:textId="77777777" w:rsidR="00986311" w:rsidRDefault="00986311" w:rsidP="003C1D07">
      <w:pPr>
        <w:jc w:val="both"/>
        <w:rPr>
          <w:b/>
          <w:bCs/>
        </w:rPr>
      </w:pPr>
      <w:r w:rsidRPr="00986311">
        <w:rPr>
          <w:b/>
          <w:bCs/>
        </w:rPr>
        <w:t>How effective are cognitive interviews as a means of obtaining initial accounts from victims and witnesses?</w:t>
      </w:r>
    </w:p>
    <w:p w14:paraId="6067A7C2" w14:textId="21F5B8F8" w:rsidR="00986311" w:rsidRDefault="00160D76" w:rsidP="003C1D07">
      <w:pPr>
        <w:jc w:val="both"/>
      </w:pPr>
      <w:r>
        <w:t>This essay will be</w:t>
      </w:r>
      <w:r w:rsidR="006C10B6">
        <w:t xml:space="preserve"> looking at how effective cognitive interviews</w:t>
      </w:r>
      <w:r w:rsidR="00D6166E">
        <w:t xml:space="preserve"> are</w:t>
      </w:r>
      <w:r w:rsidR="006C10B6">
        <w:t xml:space="preserve"> as a means on obtaining an initial account from victims and witnesses. </w:t>
      </w:r>
      <w:r w:rsidR="007C4F74">
        <w:t xml:space="preserve">Obtaining an initial account is vitally important. In the initial account this is where you identify what has happened, identify if any crimes have been committed, what the witness has seen or heard if the victim has any injuries or any medical needs that need address and identify the suspects. </w:t>
      </w:r>
      <w:r w:rsidR="00E03836">
        <w:t>Essentially any leads that can be investigated.</w:t>
      </w:r>
    </w:p>
    <w:p w14:paraId="4CBB62AC" w14:textId="12CDFDE4" w:rsidR="003C1D07" w:rsidRDefault="003C1D07" w:rsidP="003C1D07">
      <w:pPr>
        <w:jc w:val="both"/>
      </w:pPr>
      <w:r>
        <w:t>Obtaining initially accounts from witnesses and victims can be very difficult</w:t>
      </w:r>
      <w:r w:rsidR="009B436E">
        <w:t xml:space="preserve">, it can be a traumatic experience </w:t>
      </w:r>
      <w:r w:rsidR="005B6F27">
        <w:t xml:space="preserve">for them to recreate the experience when telling police what happened. </w:t>
      </w:r>
      <w:r w:rsidR="00614C83">
        <w:t xml:space="preserve">Cognitive interviews are a different approached to the standard </w:t>
      </w:r>
      <w:r w:rsidR="00846B56">
        <w:t>method</w:t>
      </w:r>
      <w:r w:rsidR="00160D76">
        <w:t xml:space="preserve"> of </w:t>
      </w:r>
      <w:r w:rsidR="00846B56">
        <w:t xml:space="preserve">interviewing a </w:t>
      </w:r>
      <w:r w:rsidR="00160D76">
        <w:t>witness or a victim</w:t>
      </w:r>
      <w:r w:rsidR="00846B56">
        <w:t xml:space="preserve">. The questions and the approaches are slightly </w:t>
      </w:r>
      <w:r w:rsidR="00E84BE7">
        <w:t>different.</w:t>
      </w:r>
      <w:r w:rsidR="00846B56">
        <w:t xml:space="preserve"> </w:t>
      </w:r>
    </w:p>
    <w:p w14:paraId="200A7785" w14:textId="2AF4D111" w:rsidR="00C3112A" w:rsidRDefault="00C3112A" w:rsidP="003C1D07">
      <w:pPr>
        <w:jc w:val="both"/>
      </w:pPr>
      <w:r>
        <w:t xml:space="preserve">Cognitive interviews is a questioning technique used to enhance the retrieval of information about a crime or crime scene, from the witness’s and the victim’s memory. The method was developed by Geiselman in 1985. It was </w:t>
      </w:r>
      <w:r w:rsidR="00D45A31">
        <w:t>developed</w:t>
      </w:r>
      <w:r>
        <w:t xml:space="preserve"> as </w:t>
      </w:r>
      <w:r w:rsidR="00D45A31">
        <w:t>an</w:t>
      </w:r>
      <w:r>
        <w:t xml:space="preserve"> alternative to the standard interview. It has four stages, </w:t>
      </w:r>
    </w:p>
    <w:p w14:paraId="58B70DE1" w14:textId="4A23ACAA" w:rsidR="00C3112A" w:rsidRDefault="00C3112A" w:rsidP="003C1D07">
      <w:pPr>
        <w:jc w:val="both"/>
      </w:pPr>
      <w:r>
        <w:t>Stage one, reinstate the context</w:t>
      </w:r>
      <w:r w:rsidR="00B81D66">
        <w:t>.</w:t>
      </w:r>
    </w:p>
    <w:p w14:paraId="44584901" w14:textId="33DFF6FF" w:rsidR="00C3112A" w:rsidRDefault="00C3112A" w:rsidP="003C1D07">
      <w:pPr>
        <w:jc w:val="both"/>
      </w:pPr>
      <w:r>
        <w:lastRenderedPageBreak/>
        <w:t>Stage two, recall events in reverse order</w:t>
      </w:r>
      <w:r w:rsidR="00B81D66">
        <w:t>.</w:t>
      </w:r>
      <w:r w:rsidR="005856F4">
        <w:t xml:space="preserve"> </w:t>
      </w:r>
    </w:p>
    <w:p w14:paraId="775904F6" w14:textId="742EEDB9" w:rsidR="00C3112A" w:rsidRDefault="00C3112A" w:rsidP="003C1D07">
      <w:pPr>
        <w:jc w:val="both"/>
      </w:pPr>
      <w:r>
        <w:t>Stage three, report everything they can remember</w:t>
      </w:r>
      <w:r w:rsidR="00B81D66">
        <w:t>.</w:t>
      </w:r>
      <w:r w:rsidR="005856F4">
        <w:t xml:space="preserve"> </w:t>
      </w:r>
    </w:p>
    <w:p w14:paraId="3D1FADA7" w14:textId="016C32EE" w:rsidR="00C3112A" w:rsidRDefault="00C3112A" w:rsidP="003C1D07">
      <w:pPr>
        <w:jc w:val="both"/>
      </w:pPr>
      <w:r>
        <w:t>Stage four, describe events from someone’s else point of view</w:t>
      </w:r>
      <w:r w:rsidR="00D45A31">
        <w:t xml:space="preserve"> (Simple Psychology</w:t>
      </w:r>
      <w:r w:rsidR="00B81D66">
        <w:t>, 2023</w:t>
      </w:r>
      <w:r w:rsidR="00D45A31">
        <w:t xml:space="preserve">). </w:t>
      </w:r>
    </w:p>
    <w:p w14:paraId="4D6772C9" w14:textId="7CADF340" w:rsidR="00DC11B9" w:rsidRDefault="00B81D66" w:rsidP="003C1D07">
      <w:pPr>
        <w:jc w:val="both"/>
      </w:pPr>
      <w:r>
        <w:t xml:space="preserve">Geiselman et al (1986), a year later building on his research would argue cognitive interviews are effective. </w:t>
      </w:r>
      <w:r w:rsidR="007015BE">
        <w:t xml:space="preserve">Geiselman argued cognitive interviews are quicker and more effective. Less questions are asked compared to a standard </w:t>
      </w:r>
      <w:r w:rsidR="00DC11B9">
        <w:t>interview;</w:t>
      </w:r>
      <w:r w:rsidR="007015BE">
        <w:t xml:space="preserve"> he would argue to conduct a cognitive interview the person conducting It would require less training. </w:t>
      </w:r>
      <w:r w:rsidR="00DC11B9">
        <w:t>Gooch and von Berg (2019)</w:t>
      </w:r>
      <w:r w:rsidR="007015BE">
        <w:t xml:space="preserve"> would argue this is not the case, cognitive interviews are not effective because they require more </w:t>
      </w:r>
      <w:r w:rsidR="003E503C">
        <w:t>training,</w:t>
      </w:r>
      <w:r w:rsidR="007015BE">
        <w:t xml:space="preserve"> and </w:t>
      </w:r>
      <w:r w:rsidR="00AB513C">
        <w:t>many</w:t>
      </w:r>
      <w:r w:rsidR="007015BE">
        <w:t xml:space="preserve"> officers are not trained to conduct the interviews. To train officers takes longer and it is not effective for officers to use this technique for lesser crimes. </w:t>
      </w:r>
      <w:r w:rsidR="00DC11B9">
        <w:t xml:space="preserve">Binder (2017) would disagree with Geiselman, Binder argues cognitive interviews require more planning time, the planning time required makes the techniques less effective because of the time it takes to plan and conduct the interview. </w:t>
      </w:r>
    </w:p>
    <w:p w14:paraId="42EDEE6F" w14:textId="2D94138C" w:rsidR="00DC11B9" w:rsidRDefault="00AB513C" w:rsidP="003C1D07">
      <w:pPr>
        <w:jc w:val="both"/>
      </w:pPr>
      <w:r>
        <w:t>However,</w:t>
      </w:r>
      <w:r w:rsidR="00DC11B9">
        <w:t xml:space="preserve"> Fisher et al (2021), would argue cognitive interviews are effective when it comes to obtaining an account from a person who was involved in a traumatic event. He looked at people involved in serious road traffic in</w:t>
      </w:r>
      <w:r w:rsidR="007839F2">
        <w:t xml:space="preserve">cidents. He argued because a rapport is being built, the person is able to </w:t>
      </w:r>
      <w:r>
        <w:t>relax,</w:t>
      </w:r>
      <w:r w:rsidR="007839F2">
        <w:t xml:space="preserve"> and they are able to recall more information. He also argues cognitive interviews are effective because the person is asked to recall </w:t>
      </w:r>
      <w:r w:rsidR="00222A96">
        <w:t>what</w:t>
      </w:r>
      <w:r w:rsidR="007839F2">
        <w:t xml:space="preserve"> has happened backwards and it allows the person to remember more. </w:t>
      </w:r>
      <w:r w:rsidR="00655605">
        <w:t>Saul Mcleod from Manchester University (Simple Psychology, 2023)</w:t>
      </w:r>
      <w:r w:rsidR="00222A96">
        <w:t xml:space="preserve"> would argue recall is increased by 46% and accuracy of the information is up by 90%. The stats come from an experiment where subjects were asked to watch a video of a crime and recall information, the stat would highlight cognitive interviews are effective at getting more accurate information from a witness or a victim. </w:t>
      </w:r>
    </w:p>
    <w:p w14:paraId="4425EAAC" w14:textId="5DC2E829" w:rsidR="003E503C" w:rsidRDefault="003E503C" w:rsidP="003C1D07">
      <w:pPr>
        <w:jc w:val="both"/>
      </w:pPr>
      <w:r>
        <w:br/>
        <w:t xml:space="preserve">Furthermore, Pamela Hanway et al (2021) would argue cognitive interviews are effective, they lead to more recall of information. The information tends to be more accurate. However, Hanway argues, if the person is not trained or experienced enough in conducting cognitive interviews then it detracts from its effectiveness. The interviewer will ask questions and the subject will recall information that is not relevant or inaccurate information leading to things being </w:t>
      </w:r>
      <w:r w:rsidR="00182E05">
        <w:t>remembered</w:t>
      </w:r>
      <w:r>
        <w:t xml:space="preserve"> that are wrong and hindering the investigation.</w:t>
      </w:r>
      <w:r w:rsidR="00182E05">
        <w:t xml:space="preserve"> </w:t>
      </w:r>
      <w:r>
        <w:t xml:space="preserve">Hanway argues </w:t>
      </w:r>
      <w:r w:rsidR="00182E05">
        <w:t xml:space="preserve">cognitive interviews, are effective. They lead to more recall of information and more accurate. However, Hanway argues with a novice interviewing cognitive interviews are not effective. The quality of the information is not </w:t>
      </w:r>
      <w:r w:rsidR="00334F35">
        <w:t>as</w:t>
      </w:r>
      <w:r w:rsidR="00182E05">
        <w:t xml:space="preserve"> good and can lead to the wrong details being recalled.</w:t>
      </w:r>
    </w:p>
    <w:p w14:paraId="553658B4" w14:textId="1DF4F736" w:rsidR="00B75261" w:rsidRDefault="00B75261" w:rsidP="003C1D07">
      <w:pPr>
        <w:jc w:val="both"/>
      </w:pPr>
      <w:r>
        <w:t>Furthermore,</w:t>
      </w:r>
      <w:r w:rsidR="00334F35">
        <w:t xml:space="preserve"> Laura Farrugia and Fiona Gabbert (2019)</w:t>
      </w:r>
      <w:r w:rsidR="00487613">
        <w:t xml:space="preserve">, would argue cognitive interviews are better with people who are vulnerable. She would argue the answers giving by the interviewee is determined by the behaviour of the officer interviewing. Again, the effectiveness is down to training. The better training the better recall. Farrugia and Gabbert argue cognitive interviews are </w:t>
      </w:r>
      <w:r>
        <w:t xml:space="preserve">effective when interviewing a vulnerable person. Rapport building is part of the cognitive interview process, rapport building makes cognitive interviews effective because the person feels more comfortable, and they can recall more information. Farrugia and Gabbert argue cognitive interviews are more adaptable, compared to standard interviews. Cognitive interviews are less formalised, they are well planned and tend to use less police jargon. Some who suffers with a mental condition, or a child find it is easier to be interviewed in this way. A cognitive interview is very effective for interviewing a child or someone who is vulnerable. </w:t>
      </w:r>
      <w:r w:rsidR="003B6544">
        <w:t>Again,</w:t>
      </w:r>
      <w:r w:rsidR="000A1788">
        <w:t xml:space="preserve"> Farrugia and Gabbert highlight the need for an officer to be given training to effective when interviewing someone using a cognitive interview technique. </w:t>
      </w:r>
    </w:p>
    <w:p w14:paraId="7FFC3FE9" w14:textId="63B40C15" w:rsidR="003B6544" w:rsidRDefault="003B6544" w:rsidP="003C1D07">
      <w:pPr>
        <w:jc w:val="both"/>
      </w:pPr>
      <w:r>
        <w:lastRenderedPageBreak/>
        <w:t>To conclude, cognitive interviews are effective. The witness or the victim can recall more information and the information is more accurate. Geiselman would argue what makes a cognitive interview effective is the accuracy of recall and the amount of information, he would argue limited training is required and limited planning. However, looking at the more modern research it would suggest cognitive interviews techniques are very effective when interviewing a child or a vulnerable person because of the accuracy and because of the volume of information. However, what detracts from the effectiveness is the quality of the interviewer. The interviewer needs to be trained in the technique, if they lack training or experience then the technique is not effective. The time it takes, and the planning time required detracts from the effectiveness.</w:t>
      </w:r>
    </w:p>
    <w:p w14:paraId="33ACF325" w14:textId="14CECA4F" w:rsidR="003B6544" w:rsidRDefault="003B6544" w:rsidP="003C1D07">
      <w:pPr>
        <w:jc w:val="both"/>
      </w:pPr>
      <w:r>
        <w:t xml:space="preserve">Cognitive interviews are very effective when a person has the time to plan and conduct the interview, the interview produces better results. However, the person needs the required time, training and experience to be effective. If they do </w:t>
      </w:r>
      <w:r w:rsidR="00333C01">
        <w:t>not,</w:t>
      </w:r>
      <w:r>
        <w:t xml:space="preserve"> then cognitive interviews are not effective.</w:t>
      </w:r>
    </w:p>
    <w:p w14:paraId="039BA9D4" w14:textId="12341D0E" w:rsidR="00986311" w:rsidRDefault="00986311" w:rsidP="003C1D07">
      <w:pPr>
        <w:jc w:val="both"/>
        <w:rPr>
          <w:b/>
          <w:bCs/>
        </w:rPr>
      </w:pPr>
      <w:r>
        <w:rPr>
          <w:b/>
          <w:bCs/>
        </w:rPr>
        <w:t>Word Count</w:t>
      </w:r>
      <w:r w:rsidR="00562BD0">
        <w:rPr>
          <w:b/>
          <w:bCs/>
        </w:rPr>
        <w:t>:</w:t>
      </w:r>
      <w:r>
        <w:rPr>
          <w:b/>
          <w:bCs/>
        </w:rPr>
        <w:t xml:space="preserve"> </w:t>
      </w:r>
      <w:r w:rsidR="00E44F02">
        <w:rPr>
          <w:b/>
          <w:bCs/>
        </w:rPr>
        <w:t>976</w:t>
      </w:r>
    </w:p>
    <w:p w14:paraId="05CED028" w14:textId="77777777" w:rsidR="00986311" w:rsidRPr="00986311" w:rsidRDefault="00986311" w:rsidP="003C1D07">
      <w:pPr>
        <w:jc w:val="both"/>
        <w:rPr>
          <w:b/>
          <w:bCs/>
        </w:rPr>
      </w:pPr>
    </w:p>
    <w:p w14:paraId="6A145377" w14:textId="77777777" w:rsidR="00CB2C9D" w:rsidRDefault="008E32E0" w:rsidP="003C1D07">
      <w:pPr>
        <w:jc w:val="both"/>
        <w:rPr>
          <w:b/>
          <w:bCs/>
        </w:rPr>
      </w:pPr>
      <w:r w:rsidRPr="008E32E0">
        <w:rPr>
          <w:b/>
          <w:bCs/>
        </w:rPr>
        <w:t>Examine the various socio-economic and psychological characteristics which can make people vulnerable to exploitation by criminal gangs. Your answer must be based on academic research rather than personal experience.</w:t>
      </w:r>
    </w:p>
    <w:p w14:paraId="28D2DA44" w14:textId="77777777" w:rsidR="008E32E0" w:rsidRDefault="008E32E0" w:rsidP="003C1D07">
      <w:pPr>
        <w:jc w:val="both"/>
        <w:rPr>
          <w:b/>
          <w:bCs/>
        </w:rPr>
      </w:pPr>
    </w:p>
    <w:p w14:paraId="13C52223" w14:textId="3B450169" w:rsidR="00420FBB" w:rsidRDefault="008E32E0" w:rsidP="003C1D07">
      <w:pPr>
        <w:jc w:val="both"/>
      </w:pPr>
      <w:r>
        <w:t xml:space="preserve">Criminal gangs </w:t>
      </w:r>
      <w:r w:rsidRPr="00F12D79">
        <w:t>always look for ways to exploit vulnerable people. What makes people vulnerable to criminal gangs are the various socio-economic and psychological characteristics. They are 5 socio-economic factors, and they are education, employment status, income, food insecurity and housing insecurity (cdc.gov</w:t>
      </w:r>
      <w:r w:rsidR="00BB621C">
        <w:t>, 2023</w:t>
      </w:r>
      <w:r w:rsidRPr="00F12D79">
        <w:t xml:space="preserve">). </w:t>
      </w:r>
    </w:p>
    <w:p w14:paraId="32CA2E0A" w14:textId="1FF23D99" w:rsidR="00BB621C" w:rsidRDefault="008E32E0" w:rsidP="003C1D07">
      <w:pPr>
        <w:jc w:val="both"/>
      </w:pPr>
      <w:r w:rsidRPr="00F12D79">
        <w:t>The definition of a person who is vulnerable,</w:t>
      </w:r>
      <w:r w:rsidR="00BB621C">
        <w:t xml:space="preserve"> “Someone who</w:t>
      </w:r>
      <w:r w:rsidRPr="00F12D79">
        <w:t xml:space="preserve"> can</w:t>
      </w:r>
      <w:r w:rsidR="00BB621C">
        <w:t xml:space="preserve"> be</w:t>
      </w:r>
      <w:r w:rsidRPr="00F12D79">
        <w:t xml:space="preserve"> easily physically or mentally hurt, influenced or attacked</w:t>
      </w:r>
      <w:r w:rsidR="00BB621C">
        <w:t>”</w:t>
      </w:r>
      <w:r w:rsidRPr="00F12D79">
        <w:t xml:space="preserve"> (</w:t>
      </w:r>
      <w:r w:rsidR="00420FBB">
        <w:t>Oxford</w:t>
      </w:r>
      <w:r w:rsidRPr="00F12D79">
        <w:t xml:space="preserve"> Dictionary</w:t>
      </w:r>
      <w:r w:rsidR="00BB621C">
        <w:t>, 2024</w:t>
      </w:r>
      <w:r w:rsidRPr="00F12D79">
        <w:t xml:space="preserve">). </w:t>
      </w:r>
      <w:r w:rsidR="00420FBB">
        <w:t xml:space="preserve"> </w:t>
      </w:r>
      <w:r w:rsidR="005E25DC">
        <w:t xml:space="preserve">This essay </w:t>
      </w:r>
      <w:r w:rsidR="00273FBE">
        <w:t>will cover vulnerabilities such as age, gender, economic background and will cover the idea some people are born to be a criminal.</w:t>
      </w:r>
    </w:p>
    <w:p w14:paraId="03E10D6E" w14:textId="5820C850" w:rsidR="00BB621C" w:rsidRDefault="00BB621C" w:rsidP="003C1D07">
      <w:pPr>
        <w:jc w:val="both"/>
      </w:pPr>
      <w:r>
        <w:t xml:space="preserve">Jack Spicer et al (2019), would argue from his research single </w:t>
      </w:r>
      <w:r w:rsidR="003F006D">
        <w:t>mothers</w:t>
      </w:r>
      <w:r>
        <w:t xml:space="preserve"> </w:t>
      </w:r>
      <w:r w:rsidR="003F006D">
        <w:t>aged in their 40s</w:t>
      </w:r>
      <w:r>
        <w:t xml:space="preserve"> are vulnerable</w:t>
      </w:r>
      <w:r w:rsidR="008B0C39">
        <w:t xml:space="preserve"> to exploitation by criminal gangs. The reason he argues </w:t>
      </w:r>
      <w:r w:rsidR="00B05804">
        <w:t>are</w:t>
      </w:r>
      <w:r w:rsidR="003F006D">
        <w:t xml:space="preserve"> single mothers have no other person to protect them from the gangs</w:t>
      </w:r>
      <w:r w:rsidR="00B05804">
        <w:t xml:space="preserve"> and these women come from low income.</w:t>
      </w:r>
      <w:r w:rsidR="003F006D">
        <w:t xml:space="preserve"> Under fear and the need for money the single mums allow the gangs into their house, and they become cuckooed. Grace Robinson et al (2019) would also support this point, she would include anyone living on their own with any form of learning difficulties are vulnerable because of psychological characteristics. </w:t>
      </w:r>
      <w:r w:rsidR="008E7578">
        <w:t xml:space="preserve">Robinson would argue people with learning difficulties are easily manipulated. They are vulnerable because they lack the capacity to understand </w:t>
      </w:r>
      <w:r w:rsidR="00FC7EBC">
        <w:t>what is happening. They believe the criminal gangs are their friends.</w:t>
      </w:r>
      <w:r w:rsidR="00B05804">
        <w:t xml:space="preserve"> </w:t>
      </w:r>
    </w:p>
    <w:p w14:paraId="5CFCAAE3" w14:textId="7B5BCB5C" w:rsidR="00E7012A" w:rsidRDefault="00B05804" w:rsidP="005418B1">
      <w:pPr>
        <w:spacing w:before="240"/>
        <w:jc w:val="both"/>
      </w:pPr>
      <w:r>
        <w:t>Furthermore,</w:t>
      </w:r>
      <w:r w:rsidR="00AC50D7">
        <w:t xml:space="preserve"> men and women from low income are vulnerable to exploitation by criminal gangs because they have low income. People on low income are more likely to become addicted to drugs and the criminal gangs exploit this. The gangs will use the fact they do not have a lot of money, they will pay them in drugs and money and the person will become addicted to drugs. Once they are addicted to drugs they will go looking for their next fix and the gangs will exploit this (Raymond Arthur, 2019). Tony Seddon (2005) would support this link between people from a low income being vulnerable from criminal gangs, he would go further and suggest they are vulnerable because of their social-economic </w:t>
      </w:r>
      <w:r w:rsidR="00E7012A">
        <w:t xml:space="preserve">characteristics they have been left behind by the social services and are denied things such as education and better jobs. This he argues leads them to be vulnerable because the gangs </w:t>
      </w:r>
      <w:r w:rsidR="00E7012A">
        <w:lastRenderedPageBreak/>
        <w:t xml:space="preserve">exploit their need for money and their want to improve their standard of living. Someone from a </w:t>
      </w:r>
      <w:r w:rsidR="007D07B6">
        <w:t>low-income</w:t>
      </w:r>
      <w:r w:rsidR="00E7012A">
        <w:t xml:space="preserve"> background is likely to exploited for their want and need of better life, the gangs exploit them because they want a better life for themselves and believe the gangs will provide the money and means for that better life. </w:t>
      </w:r>
      <w:r w:rsidR="00BA0049">
        <w:t xml:space="preserve">Children with adult childhood experiences are vulnerable being exploited by a gang, the reason is because they are used to a life of violence and have a low self-confidence and low self-worth. The gang exploits this by giving the child a purpose and a </w:t>
      </w:r>
      <w:r w:rsidR="005418B1">
        <w:t>sense of safety they do not get from their home life (</w:t>
      </w:r>
      <w:r w:rsidR="005418B1" w:rsidRPr="005418B1">
        <w:rPr>
          <w:rFonts w:cstheme="minorHAnsi"/>
          <w:color w:val="222222"/>
          <w:sz w:val="24"/>
          <w:szCs w:val="24"/>
          <w:shd w:val="clear" w:color="auto" w:fill="FFFFFF"/>
        </w:rPr>
        <w:t>Kazeem, O.T</w:t>
      </w:r>
      <w:r w:rsidR="005418B1">
        <w:rPr>
          <w:rFonts w:cstheme="minorHAnsi"/>
          <w:color w:val="222222"/>
          <w:sz w:val="24"/>
          <w:szCs w:val="24"/>
          <w:shd w:val="clear" w:color="auto" w:fill="FFFFFF"/>
        </w:rPr>
        <w:t>, 2020).</w:t>
      </w:r>
    </w:p>
    <w:p w14:paraId="7B8228BA" w14:textId="7C7B57AF" w:rsidR="007D07B6" w:rsidRDefault="007D07B6" w:rsidP="006D2920">
      <w:pPr>
        <w:jc w:val="both"/>
      </w:pPr>
      <w:r>
        <w:t>However, age plays a factor in making someone vulnerable to being exploited by criminal gangs. Someone who is young and from a low-income background are less likely to attend school and less likely to have positive role models in their lives. The gang will exploit them being from a broken family and give them a role model and a new family. This gives the person a sense of belonging (Jessica Pearson and John Cavener, 2004).</w:t>
      </w:r>
      <w:r w:rsidR="00506321">
        <w:t xml:space="preserve"> The gangs exploit the need for the child to want to feel protected and wanted by some and the gang provides the person with security and safety that you do not get from a broken family. Young women and child are vulnerable because of their age and </w:t>
      </w:r>
      <w:r w:rsidR="00BA0049">
        <w:t>their</w:t>
      </w:r>
      <w:r w:rsidR="00506321">
        <w:t xml:space="preserve"> gender, they are referred to as the “</w:t>
      </w:r>
      <w:r w:rsidR="00BA0049">
        <w:t xml:space="preserve">invisible” </w:t>
      </w:r>
      <w:r w:rsidR="006D2920">
        <w:t>because of this perceived invisibility they are vulnerable to be exploited by gangs (</w:t>
      </w:r>
      <w:r w:rsidR="006D2920" w:rsidRPr="006D2920">
        <w:rPr>
          <w:rFonts w:cstheme="minorHAnsi"/>
          <w:color w:val="333333"/>
          <w:sz w:val="24"/>
          <w:szCs w:val="24"/>
          <w:shd w:val="clear" w:color="auto" w:fill="FFFFFF"/>
        </w:rPr>
        <w:t>Havard, T. E., Densley, J. A., Whittaker, A., &amp; Wills, J. 2023</w:t>
      </w:r>
      <w:r w:rsidR="009A7F59">
        <w:rPr>
          <w:rFonts w:cstheme="minorHAnsi"/>
          <w:color w:val="333333"/>
          <w:sz w:val="24"/>
          <w:szCs w:val="24"/>
          <w:shd w:val="clear" w:color="auto" w:fill="FFFFFF"/>
        </w:rPr>
        <w:t xml:space="preserve">) They are perceived to be invisible because of their age and their gender, most of the authorities are looking for young boys instead of young women, this makes them vulnerable to be exploited and perfect for being used in county lines. Densley et al (2023) would argue the young girls are abused and overpowered by the men, they are threatened and sexual abused to stay in the gang, their gender and age makes them vulnerable to be exploited by criminal gangs. </w:t>
      </w:r>
    </w:p>
    <w:p w14:paraId="303A1423" w14:textId="77777777" w:rsidR="00BB621C" w:rsidRDefault="00BB621C" w:rsidP="003C1D07">
      <w:pPr>
        <w:jc w:val="both"/>
      </w:pPr>
    </w:p>
    <w:p w14:paraId="7C496A62" w14:textId="7AC88492" w:rsidR="00703131" w:rsidRDefault="009A7F59" w:rsidP="003C1D07">
      <w:pPr>
        <w:jc w:val="both"/>
        <w:rPr>
          <w:sz w:val="24"/>
          <w:szCs w:val="24"/>
        </w:rPr>
      </w:pPr>
      <w:r>
        <w:t xml:space="preserve">However, </w:t>
      </w:r>
      <w:r w:rsidR="00273FBE">
        <w:t xml:space="preserve">there is an idea you are born to be a criminal. You are born with genes that mean you will always be a criminal. </w:t>
      </w:r>
      <w:r w:rsidR="00BC0850">
        <w:t xml:space="preserve">Conditions such Jacob’s Syndrome, make a person vulnerable to be exploit by criminal gangs. Jacob’s Syndrome is a condition effects males, males who have this condition </w:t>
      </w:r>
      <w:r w:rsidR="003F045C">
        <w:t>are more likely to suffer with ADHD and they tend to have more anti-social behaviour problems (</w:t>
      </w:r>
      <w:r w:rsidR="003F045C" w:rsidRPr="00BC0850">
        <w:rPr>
          <w:sz w:val="24"/>
          <w:szCs w:val="24"/>
        </w:rPr>
        <w:t>Poorvaja Jagadeesan, Rahul Jagadeesan, Radha Ramachandran 2021</w:t>
      </w:r>
      <w:r w:rsidR="003F045C">
        <w:rPr>
          <w:sz w:val="24"/>
          <w:szCs w:val="24"/>
        </w:rPr>
        <w:t xml:space="preserve">). Having Jacob’s Syndrome makes a person vulnerable to being exploited by criminal gangs, the male is likely to be involved with other kids who take part in anti-social behaviour and whom in turn are kicked out of school and shunned by society. Poorvaja et al would argue despite someone having genes that make them more aggressive </w:t>
      </w:r>
      <w:r w:rsidR="00987E09">
        <w:rPr>
          <w:sz w:val="24"/>
          <w:szCs w:val="24"/>
        </w:rPr>
        <w:t xml:space="preserve">they are not born to commit crimes and to born to be a criminal. Wit the right help and medication they can be prevented from committing crimes. However, without the support they are more likely to be committing crimes. </w:t>
      </w:r>
    </w:p>
    <w:p w14:paraId="20DC86BB" w14:textId="506946E6" w:rsidR="00987E09" w:rsidRDefault="00987E09" w:rsidP="003C1D07">
      <w:pPr>
        <w:jc w:val="both"/>
        <w:rPr>
          <w:sz w:val="24"/>
          <w:szCs w:val="24"/>
        </w:rPr>
      </w:pPr>
      <w:r>
        <w:rPr>
          <w:sz w:val="24"/>
          <w:szCs w:val="24"/>
        </w:rPr>
        <w:t xml:space="preserve">To conclude, there are social factors that make a person vulnerable to being exploited by criminal gangs. Age, gender and financial deprivation make a person extremely vulnerable. A single mother from a poor background is going to more vulnerable to exploitation by gangs than a single parent from an affluent background. People on </w:t>
      </w:r>
      <w:r w:rsidR="00C154E0">
        <w:rPr>
          <w:sz w:val="24"/>
          <w:szCs w:val="24"/>
        </w:rPr>
        <w:t>low incomes</w:t>
      </w:r>
      <w:r>
        <w:rPr>
          <w:sz w:val="24"/>
          <w:szCs w:val="24"/>
        </w:rPr>
        <w:t xml:space="preserve"> do not have any financial security</w:t>
      </w:r>
      <w:r w:rsidR="00C154E0">
        <w:rPr>
          <w:sz w:val="24"/>
          <w:szCs w:val="24"/>
        </w:rPr>
        <w:t xml:space="preserve">, this makes them extremely vulnerable. </w:t>
      </w:r>
    </w:p>
    <w:p w14:paraId="18EA1D5F" w14:textId="3B117E2C" w:rsidR="00C154E0" w:rsidRDefault="00C154E0" w:rsidP="003C1D07">
      <w:pPr>
        <w:jc w:val="both"/>
      </w:pPr>
      <w:r>
        <w:rPr>
          <w:sz w:val="24"/>
          <w:szCs w:val="24"/>
        </w:rPr>
        <w:t xml:space="preserve">Age makes a person extremely vulnerable to criminal gangs, as covered young girls are extremely vulnerable to be exploited by criminal gangs. </w:t>
      </w:r>
      <w:r w:rsidR="00333C01">
        <w:rPr>
          <w:sz w:val="24"/>
          <w:szCs w:val="24"/>
        </w:rPr>
        <w:t xml:space="preserve">The young girls are seen as invisible to authorities such as the girls in Rotherham that were exploited by a criminal gang. They were invisible to the authorities. </w:t>
      </w:r>
    </w:p>
    <w:p w14:paraId="33778376" w14:textId="77BA7C5B" w:rsidR="008E32E0" w:rsidRPr="001E5630" w:rsidRDefault="008E32E0" w:rsidP="003C1D07">
      <w:pPr>
        <w:jc w:val="both"/>
        <w:rPr>
          <w:b/>
          <w:bCs/>
        </w:rPr>
      </w:pPr>
      <w:r w:rsidRPr="001E5630">
        <w:rPr>
          <w:b/>
          <w:bCs/>
        </w:rPr>
        <w:lastRenderedPageBreak/>
        <w:t xml:space="preserve">Word Count: </w:t>
      </w:r>
      <w:r w:rsidR="00E44F02">
        <w:rPr>
          <w:b/>
          <w:bCs/>
        </w:rPr>
        <w:t xml:space="preserve"> 1007</w:t>
      </w:r>
    </w:p>
    <w:p w14:paraId="0AFB1C90" w14:textId="77777777" w:rsidR="008E32E0" w:rsidRDefault="008E32E0" w:rsidP="003C1D07">
      <w:pPr>
        <w:jc w:val="both"/>
      </w:pPr>
      <w:r>
        <w:t xml:space="preserve">Bibliography </w:t>
      </w:r>
    </w:p>
    <w:p w14:paraId="5E8379DB" w14:textId="33805562" w:rsidR="00512E4C" w:rsidRDefault="00724056" w:rsidP="003C1D07">
      <w:pPr>
        <w:jc w:val="both"/>
      </w:pPr>
      <w:r>
        <w:t xml:space="preserve">Books and journals </w:t>
      </w:r>
    </w:p>
    <w:p w14:paraId="68812704" w14:textId="3A48FE5F" w:rsidR="00FD70C0" w:rsidRPr="00922E0B" w:rsidRDefault="00FD70C0" w:rsidP="003C1D07">
      <w:pPr>
        <w:jc w:val="both"/>
        <w:rPr>
          <w:rFonts w:cstheme="minorHAnsi"/>
          <w:sz w:val="24"/>
          <w:szCs w:val="24"/>
        </w:rPr>
      </w:pPr>
      <w:r w:rsidRPr="00922E0B">
        <w:rPr>
          <w:rFonts w:cstheme="minorHAnsi"/>
          <w:color w:val="222222"/>
          <w:sz w:val="24"/>
          <w:szCs w:val="24"/>
          <w:shd w:val="clear" w:color="auto" w:fill="FFFFFF"/>
        </w:rPr>
        <w:t>Cubitt, T.I.C. 2023) The value of criminal history and police intelligence in vetting and selection of police. </w:t>
      </w:r>
      <w:r w:rsidRPr="00922E0B">
        <w:rPr>
          <w:rFonts w:cstheme="minorHAnsi"/>
          <w:i/>
          <w:iCs/>
          <w:color w:val="222222"/>
          <w:sz w:val="24"/>
          <w:szCs w:val="24"/>
          <w:shd w:val="clear" w:color="auto" w:fill="FFFFFF"/>
        </w:rPr>
        <w:t>Crime Sci</w:t>
      </w:r>
      <w:r w:rsidRPr="00922E0B">
        <w:rPr>
          <w:rFonts w:cstheme="minorHAnsi"/>
          <w:color w:val="222222"/>
          <w:sz w:val="24"/>
          <w:szCs w:val="24"/>
          <w:shd w:val="clear" w:color="auto" w:fill="FFFFFF"/>
        </w:rPr>
        <w:t xml:space="preserve"> 12, 8 </w:t>
      </w:r>
    </w:p>
    <w:p w14:paraId="62DB3619" w14:textId="6C3EF5B6" w:rsidR="00C42A99" w:rsidRPr="00922E0B" w:rsidRDefault="00C42A99" w:rsidP="003C1D07">
      <w:pPr>
        <w:jc w:val="both"/>
        <w:rPr>
          <w:rFonts w:cstheme="minorHAnsi"/>
          <w:sz w:val="24"/>
          <w:szCs w:val="24"/>
        </w:rPr>
      </w:pPr>
      <w:r w:rsidRPr="00922E0B">
        <w:rPr>
          <w:rFonts w:cstheme="minorHAnsi"/>
          <w:sz w:val="24"/>
          <w:szCs w:val="24"/>
        </w:rPr>
        <w:t>Edwin J Delattre, (2002), Character and Cops Ethics in Policing, The AEI Press</w:t>
      </w:r>
    </w:p>
    <w:p w14:paraId="1167A856" w14:textId="352C7E6F" w:rsidR="00E2377F" w:rsidRPr="00922E0B" w:rsidRDefault="00E2377F" w:rsidP="003C1D07">
      <w:pPr>
        <w:jc w:val="both"/>
        <w:rPr>
          <w:rFonts w:cstheme="minorHAnsi"/>
          <w:sz w:val="24"/>
          <w:szCs w:val="24"/>
        </w:rPr>
      </w:pPr>
      <w:r w:rsidRPr="00922E0B">
        <w:rPr>
          <w:rFonts w:cstheme="minorHAnsi"/>
          <w:sz w:val="24"/>
          <w:szCs w:val="24"/>
        </w:rPr>
        <w:t xml:space="preserve">Petrich, Damon M., Travis C. Pratt, Cheryl L. Jonson, and Francis T. Cullen. (2020). “A Revolving Door? A Meta-analysis of the Impact of Custodial Sanctions on Reoffending.” SocArXiv. July 14. </w:t>
      </w:r>
    </w:p>
    <w:p w14:paraId="29B19ECB" w14:textId="643CE607" w:rsidR="00341243" w:rsidRPr="00922E0B" w:rsidRDefault="00341243" w:rsidP="003C1D07">
      <w:pPr>
        <w:jc w:val="both"/>
        <w:rPr>
          <w:rFonts w:cstheme="minorHAnsi"/>
          <w:sz w:val="24"/>
          <w:szCs w:val="24"/>
        </w:rPr>
      </w:pPr>
      <w:r w:rsidRPr="00922E0B">
        <w:rPr>
          <w:rFonts w:cstheme="minorHAnsi"/>
          <w:sz w:val="24"/>
          <w:szCs w:val="24"/>
        </w:rPr>
        <w:t xml:space="preserve">Dr Jay Gormley (University of Glasgow), Prof Melissa Hamilton (University of Surrey), Dr Ian Belton (Middlesex University) (2021), </w:t>
      </w:r>
      <w:r w:rsidR="00231718" w:rsidRPr="00922E0B">
        <w:rPr>
          <w:rFonts w:cstheme="minorHAnsi"/>
          <w:sz w:val="24"/>
          <w:szCs w:val="24"/>
        </w:rPr>
        <w:t xml:space="preserve">The Effectiveness of Sentencing Options on Reoffending, sentencing </w:t>
      </w:r>
      <w:r w:rsidR="00AB513C" w:rsidRPr="00922E0B">
        <w:rPr>
          <w:rFonts w:cstheme="minorHAnsi"/>
          <w:sz w:val="24"/>
          <w:szCs w:val="24"/>
        </w:rPr>
        <w:t>council.</w:t>
      </w:r>
    </w:p>
    <w:p w14:paraId="474B08F1" w14:textId="77777777" w:rsidR="00181FA8" w:rsidRPr="00922E0B" w:rsidRDefault="00181FA8" w:rsidP="003C1D07">
      <w:pPr>
        <w:jc w:val="both"/>
        <w:rPr>
          <w:rFonts w:cstheme="minorHAnsi"/>
          <w:sz w:val="24"/>
          <w:szCs w:val="24"/>
        </w:rPr>
      </w:pPr>
    </w:p>
    <w:p w14:paraId="15474930" w14:textId="684105D0" w:rsidR="00181FA8" w:rsidRPr="00922E0B" w:rsidRDefault="00181FA8" w:rsidP="00181FA8">
      <w:pPr>
        <w:jc w:val="both"/>
        <w:rPr>
          <w:rFonts w:cstheme="minorHAnsi"/>
          <w:sz w:val="24"/>
          <w:szCs w:val="24"/>
        </w:rPr>
      </w:pPr>
      <w:r w:rsidRPr="00922E0B">
        <w:rPr>
          <w:rFonts w:cstheme="minorHAnsi"/>
          <w:sz w:val="24"/>
          <w:szCs w:val="24"/>
        </w:rPr>
        <w:t xml:space="preserve">Haywood L. Brown, David Ponton, Cecil Howard, Patsy Sanchez, Camille Blake, (2021), Black Lives and the Police, Journal of the National Medical Association, Volume 113, Issue </w:t>
      </w:r>
      <w:r w:rsidR="00D24A76" w:rsidRPr="00922E0B">
        <w:rPr>
          <w:rFonts w:cstheme="minorHAnsi"/>
          <w:sz w:val="24"/>
          <w:szCs w:val="24"/>
        </w:rPr>
        <w:t>4, Pages</w:t>
      </w:r>
      <w:r w:rsidRPr="00922E0B">
        <w:rPr>
          <w:rFonts w:cstheme="minorHAnsi"/>
          <w:sz w:val="24"/>
          <w:szCs w:val="24"/>
        </w:rPr>
        <w:t xml:space="preserve"> 392-395,</w:t>
      </w:r>
    </w:p>
    <w:p w14:paraId="3A963DEF" w14:textId="24A2D161" w:rsidR="00341243" w:rsidRPr="00922E0B" w:rsidRDefault="00341243" w:rsidP="003C1D07">
      <w:pPr>
        <w:jc w:val="both"/>
        <w:rPr>
          <w:rFonts w:cstheme="minorHAnsi"/>
          <w:sz w:val="24"/>
          <w:szCs w:val="24"/>
        </w:rPr>
      </w:pPr>
      <w:r w:rsidRPr="00922E0B">
        <w:rPr>
          <w:rFonts w:cstheme="minorHAnsi"/>
          <w:sz w:val="24"/>
          <w:szCs w:val="24"/>
        </w:rPr>
        <w:t>Martina Manica (2021) Effectiveness of Approaches to Prevent Re-Offending in Young People: A Rapid Review of the Evidence, Division of Psychology and Forensic Sciences Abertay University</w:t>
      </w:r>
    </w:p>
    <w:p w14:paraId="3AA1039C" w14:textId="012A18DC" w:rsidR="00E84BE7" w:rsidRPr="00922E0B" w:rsidRDefault="00E84BE7" w:rsidP="003C1D07">
      <w:pPr>
        <w:jc w:val="both"/>
        <w:rPr>
          <w:rFonts w:cstheme="minorHAnsi"/>
          <w:sz w:val="24"/>
          <w:szCs w:val="24"/>
        </w:rPr>
      </w:pPr>
      <w:r w:rsidRPr="00922E0B">
        <w:rPr>
          <w:rFonts w:cstheme="minorHAnsi"/>
          <w:color w:val="313131"/>
          <w:sz w:val="24"/>
          <w:szCs w:val="24"/>
          <w:shd w:val="clear" w:color="auto" w:fill="FFFFFF"/>
        </w:rPr>
        <w:t>Roach, J. (2023). "7: Psychology and crime prevention". In </w:t>
      </w:r>
      <w:r w:rsidRPr="00922E0B">
        <w:rPr>
          <w:rStyle w:val="Emphasis"/>
          <w:rFonts w:cstheme="minorHAnsi"/>
          <w:color w:val="313131"/>
          <w:sz w:val="24"/>
          <w:szCs w:val="24"/>
          <w:shd w:val="clear" w:color="auto" w:fill="FFFFFF"/>
        </w:rPr>
        <w:t>Practical Psychology for Policing</w:t>
      </w:r>
      <w:r w:rsidRPr="00922E0B">
        <w:rPr>
          <w:rFonts w:cstheme="minorHAnsi"/>
          <w:color w:val="313131"/>
          <w:sz w:val="24"/>
          <w:szCs w:val="24"/>
          <w:shd w:val="clear" w:color="auto" w:fill="FFFFFF"/>
        </w:rPr>
        <w:t>. Bristol, UK: Policy Press.</w:t>
      </w:r>
    </w:p>
    <w:p w14:paraId="4FBF7B9F" w14:textId="52B1A9D3" w:rsidR="00273FBE" w:rsidRPr="00922E0B" w:rsidRDefault="00273FBE" w:rsidP="003C1D07">
      <w:pPr>
        <w:jc w:val="both"/>
        <w:rPr>
          <w:rFonts w:cstheme="minorHAnsi"/>
          <w:sz w:val="24"/>
          <w:szCs w:val="24"/>
        </w:rPr>
      </w:pPr>
      <w:r w:rsidRPr="00922E0B">
        <w:rPr>
          <w:rFonts w:cstheme="minorHAnsi"/>
          <w:sz w:val="24"/>
          <w:szCs w:val="24"/>
        </w:rPr>
        <w:t>Poorvaja Jagadeesan, Rahul Jagadeesan, Radha Ramachandran (</w:t>
      </w:r>
      <w:r w:rsidR="00BC0850" w:rsidRPr="00922E0B">
        <w:rPr>
          <w:rFonts w:cstheme="minorHAnsi"/>
          <w:sz w:val="24"/>
          <w:szCs w:val="24"/>
        </w:rPr>
        <w:t>2021), Nature versus Nurture: Are Criminals Born or Raised? - A Comprehensive Analysis, International Journal of Research Publication and Reviews Vol. 2, no. 10, pp. 564-579</w:t>
      </w:r>
    </w:p>
    <w:p w14:paraId="1964C9AB" w14:textId="569CE121" w:rsidR="006D2920" w:rsidRPr="00922E0B" w:rsidRDefault="006D2920" w:rsidP="003C1D07">
      <w:pPr>
        <w:jc w:val="both"/>
        <w:rPr>
          <w:rFonts w:cstheme="minorHAnsi"/>
          <w:sz w:val="24"/>
          <w:szCs w:val="24"/>
        </w:rPr>
      </w:pPr>
      <w:r w:rsidRPr="00922E0B">
        <w:rPr>
          <w:rFonts w:cstheme="minorHAnsi"/>
          <w:color w:val="333333"/>
          <w:sz w:val="24"/>
          <w:szCs w:val="24"/>
          <w:shd w:val="clear" w:color="auto" w:fill="FFFFFF"/>
        </w:rPr>
        <w:t>Havard, T. E., Densley, J. A., Whittaker, A., &amp; Wills, J. (2023). Street gangs and coercive control: The gendered exploitation of young women and girls in county lines. </w:t>
      </w:r>
      <w:r w:rsidRPr="00922E0B">
        <w:rPr>
          <w:rFonts w:cstheme="minorHAnsi"/>
          <w:i/>
          <w:iCs/>
          <w:color w:val="333333"/>
          <w:sz w:val="24"/>
          <w:szCs w:val="24"/>
          <w:shd w:val="clear" w:color="auto" w:fill="FFFFFF"/>
        </w:rPr>
        <w:t>Criminology &amp; Criminal Justice</w:t>
      </w:r>
      <w:r w:rsidRPr="00922E0B">
        <w:rPr>
          <w:rFonts w:cstheme="minorHAnsi"/>
          <w:color w:val="333333"/>
          <w:sz w:val="24"/>
          <w:szCs w:val="24"/>
          <w:shd w:val="clear" w:color="auto" w:fill="FFFFFF"/>
        </w:rPr>
        <w:t>, </w:t>
      </w:r>
      <w:r w:rsidRPr="00922E0B">
        <w:rPr>
          <w:rFonts w:cstheme="minorHAnsi"/>
          <w:i/>
          <w:iCs/>
          <w:color w:val="333333"/>
          <w:sz w:val="24"/>
          <w:szCs w:val="24"/>
          <w:shd w:val="clear" w:color="auto" w:fill="FFFFFF"/>
        </w:rPr>
        <w:t>23</w:t>
      </w:r>
      <w:r w:rsidRPr="00922E0B">
        <w:rPr>
          <w:rFonts w:cstheme="minorHAnsi"/>
          <w:color w:val="333333"/>
          <w:sz w:val="24"/>
          <w:szCs w:val="24"/>
          <w:shd w:val="clear" w:color="auto" w:fill="FFFFFF"/>
        </w:rPr>
        <w:t>(3), 313-329</w:t>
      </w:r>
    </w:p>
    <w:p w14:paraId="2968C0C7" w14:textId="1951EA71" w:rsidR="0035117B" w:rsidRPr="00922E0B" w:rsidRDefault="0035117B" w:rsidP="00724056">
      <w:pPr>
        <w:rPr>
          <w:rFonts w:cstheme="minorHAnsi"/>
          <w:sz w:val="24"/>
          <w:szCs w:val="24"/>
        </w:rPr>
      </w:pPr>
      <w:r w:rsidRPr="00922E0B">
        <w:rPr>
          <w:rFonts w:cstheme="minorHAnsi"/>
          <w:sz w:val="24"/>
          <w:szCs w:val="24"/>
        </w:rPr>
        <w:t>Aine Travers, Tracey M Donagh, Twylla Cunnugham, Cherie Armour, Maj Hansen</w:t>
      </w:r>
      <w:r w:rsidR="008A23CF" w:rsidRPr="00922E0B">
        <w:rPr>
          <w:rFonts w:cstheme="minorHAnsi"/>
          <w:sz w:val="24"/>
          <w:szCs w:val="24"/>
        </w:rPr>
        <w:t>, (</w:t>
      </w:r>
      <w:r w:rsidR="008A23CF" w:rsidRPr="00922E0B">
        <w:rPr>
          <w:rFonts w:cstheme="minorHAnsi"/>
          <w:sz w:val="24"/>
          <w:szCs w:val="24"/>
        </w:rPr>
        <w:t>2021</w:t>
      </w:r>
      <w:r w:rsidR="008A23CF" w:rsidRPr="00922E0B">
        <w:rPr>
          <w:rFonts w:cstheme="minorHAnsi"/>
          <w:sz w:val="24"/>
          <w:szCs w:val="24"/>
        </w:rPr>
        <w:t>)</w:t>
      </w:r>
      <w:r w:rsidRPr="00922E0B">
        <w:rPr>
          <w:rFonts w:cstheme="minorHAnsi"/>
          <w:sz w:val="24"/>
          <w:szCs w:val="24"/>
        </w:rPr>
        <w:t>, The effectiveness of interventions to prevent recidivism in perpetrators of intimate partner violence: A systematic review and meta-analysis. Clinical Psychology Review, Volume 84, March.</w:t>
      </w:r>
    </w:p>
    <w:p w14:paraId="32B84FF6" w14:textId="77777777" w:rsidR="0035117B" w:rsidRPr="00922E0B" w:rsidRDefault="0035117B" w:rsidP="003C1D07">
      <w:pPr>
        <w:jc w:val="both"/>
        <w:rPr>
          <w:rFonts w:cstheme="minorHAnsi"/>
          <w:sz w:val="24"/>
          <w:szCs w:val="24"/>
        </w:rPr>
      </w:pPr>
      <w:r w:rsidRPr="00922E0B">
        <w:rPr>
          <w:rFonts w:cstheme="minorHAnsi"/>
          <w:sz w:val="24"/>
          <w:szCs w:val="24"/>
        </w:rPr>
        <w:t xml:space="preserve">Arthur, R., &amp; Down, L. (2019). Preventing the Criminalisation of Children Who Have Been Victims of Group-Based Sexual Exploitation Involving Grooming Tactics—Understanding Child Sexual Exploitation as Enslavement. The Journal of Criminal Law, 83(5), 370-380. </w:t>
      </w:r>
    </w:p>
    <w:p w14:paraId="63E056A6" w14:textId="77777777" w:rsidR="0035117B" w:rsidRPr="00922E0B" w:rsidRDefault="0035117B" w:rsidP="00D24A76">
      <w:pPr>
        <w:pStyle w:val="NoSpacing"/>
        <w:rPr>
          <w:rFonts w:cstheme="minorHAnsi"/>
          <w:sz w:val="24"/>
          <w:szCs w:val="24"/>
          <w:shd w:val="clear" w:color="auto" w:fill="EAEAEA"/>
        </w:rPr>
      </w:pPr>
      <w:r w:rsidRPr="00922E0B">
        <w:rPr>
          <w:rFonts w:cstheme="minorHAnsi"/>
          <w:sz w:val="24"/>
          <w:szCs w:val="24"/>
          <w:shd w:val="clear" w:color="auto" w:fill="EAEAEA"/>
        </w:rPr>
        <w:t>Awan, I., Brookes, M., Powell, M., &amp; Stanwell, S. (2018). Understanding the public perception and satisfaction of a UK police constabulary. </w:t>
      </w:r>
      <w:r w:rsidRPr="00922E0B">
        <w:rPr>
          <w:rFonts w:cstheme="minorHAnsi"/>
          <w:i/>
          <w:iCs/>
          <w:sz w:val="24"/>
          <w:szCs w:val="24"/>
          <w:shd w:val="clear" w:color="auto" w:fill="EAEAEA"/>
        </w:rPr>
        <w:t>Police Practice and Research</w:t>
      </w:r>
      <w:r w:rsidRPr="00922E0B">
        <w:rPr>
          <w:rFonts w:cstheme="minorHAnsi"/>
          <w:sz w:val="24"/>
          <w:szCs w:val="24"/>
          <w:shd w:val="clear" w:color="auto" w:fill="EAEAEA"/>
        </w:rPr>
        <w:t>, </w:t>
      </w:r>
      <w:r w:rsidRPr="00922E0B">
        <w:rPr>
          <w:rFonts w:cstheme="minorHAnsi"/>
          <w:i/>
          <w:iCs/>
          <w:sz w:val="24"/>
          <w:szCs w:val="24"/>
          <w:shd w:val="clear" w:color="auto" w:fill="EAEAEA"/>
        </w:rPr>
        <w:t>20</w:t>
      </w:r>
      <w:r w:rsidRPr="00922E0B">
        <w:rPr>
          <w:rFonts w:cstheme="minorHAnsi"/>
          <w:sz w:val="24"/>
          <w:szCs w:val="24"/>
          <w:shd w:val="clear" w:color="auto" w:fill="EAEAEA"/>
        </w:rPr>
        <w:t>(2), 172–184.</w:t>
      </w:r>
    </w:p>
    <w:p w14:paraId="306906AE" w14:textId="77777777" w:rsidR="0035117B" w:rsidRPr="00922E0B" w:rsidRDefault="0035117B" w:rsidP="00724056">
      <w:pPr>
        <w:jc w:val="both"/>
        <w:rPr>
          <w:rFonts w:cstheme="minorHAnsi"/>
          <w:sz w:val="24"/>
          <w:szCs w:val="24"/>
        </w:rPr>
      </w:pPr>
      <w:r w:rsidRPr="00922E0B">
        <w:rPr>
          <w:rFonts w:cstheme="minorHAnsi"/>
          <w:color w:val="222222"/>
          <w:sz w:val="24"/>
          <w:szCs w:val="24"/>
          <w:shd w:val="clear" w:color="auto" w:fill="FFFFFF"/>
        </w:rPr>
        <w:lastRenderedPageBreak/>
        <w:t>Crockett, E.E., Keneski, E., Yeager, K. </w:t>
      </w:r>
      <w:r w:rsidRPr="00922E0B">
        <w:rPr>
          <w:rFonts w:cstheme="minorHAnsi"/>
          <w:i/>
          <w:iCs/>
          <w:color w:val="222222"/>
          <w:sz w:val="24"/>
          <w:szCs w:val="24"/>
          <w:shd w:val="clear" w:color="auto" w:fill="FFFFFF"/>
        </w:rPr>
        <w:t>et al.</w:t>
      </w:r>
      <w:r w:rsidRPr="00922E0B">
        <w:rPr>
          <w:rFonts w:cstheme="minorHAnsi"/>
          <w:color w:val="222222"/>
          <w:sz w:val="24"/>
          <w:szCs w:val="24"/>
          <w:shd w:val="clear" w:color="auto" w:fill="FFFFFF"/>
        </w:rPr>
        <w:t> Breaking the Mold: Evaluating a Non-Punitive Domestic Violence Intervention Program. </w:t>
      </w:r>
      <w:r w:rsidRPr="00922E0B">
        <w:rPr>
          <w:rFonts w:cstheme="minorHAnsi"/>
          <w:i/>
          <w:iCs/>
          <w:color w:val="222222"/>
          <w:sz w:val="24"/>
          <w:szCs w:val="24"/>
          <w:shd w:val="clear" w:color="auto" w:fill="FFFFFF"/>
        </w:rPr>
        <w:t>J Fam Viol</w:t>
      </w:r>
      <w:r w:rsidRPr="00922E0B">
        <w:rPr>
          <w:rFonts w:cstheme="minorHAnsi"/>
          <w:color w:val="222222"/>
          <w:sz w:val="24"/>
          <w:szCs w:val="24"/>
          <w:shd w:val="clear" w:color="auto" w:fill="FFFFFF"/>
        </w:rPr>
        <w:t> </w:t>
      </w:r>
      <w:r w:rsidRPr="00922E0B">
        <w:rPr>
          <w:rFonts w:cstheme="minorHAnsi"/>
          <w:b/>
          <w:bCs/>
          <w:color w:val="222222"/>
          <w:sz w:val="24"/>
          <w:szCs w:val="24"/>
          <w:shd w:val="clear" w:color="auto" w:fill="FFFFFF"/>
        </w:rPr>
        <w:t>30</w:t>
      </w:r>
      <w:r w:rsidRPr="00922E0B">
        <w:rPr>
          <w:rFonts w:cstheme="minorHAnsi"/>
          <w:color w:val="222222"/>
          <w:sz w:val="24"/>
          <w:szCs w:val="24"/>
          <w:shd w:val="clear" w:color="auto" w:fill="FFFFFF"/>
        </w:rPr>
        <w:t>, 489–499 (2015)</w:t>
      </w:r>
    </w:p>
    <w:p w14:paraId="48321C06" w14:textId="77777777" w:rsidR="0035117B" w:rsidRPr="00922E0B" w:rsidRDefault="0035117B" w:rsidP="003C1D07">
      <w:pPr>
        <w:jc w:val="both"/>
        <w:rPr>
          <w:rFonts w:cstheme="minorHAnsi"/>
          <w:sz w:val="24"/>
          <w:szCs w:val="24"/>
        </w:rPr>
      </w:pPr>
      <w:r w:rsidRPr="00922E0B">
        <w:rPr>
          <w:rFonts w:cstheme="minorHAnsi"/>
          <w:sz w:val="24"/>
          <w:szCs w:val="24"/>
        </w:rPr>
        <w:t>David Fergusson, Nicola Swain- Campbell, John Horwood (2004), How does childhood economic disadvantage lead to crime? The journal of child physiology and psychiatry, volume 45, issue 5</w:t>
      </w:r>
    </w:p>
    <w:p w14:paraId="4569F1B7" w14:textId="77777777" w:rsidR="0035117B" w:rsidRPr="00922E0B" w:rsidRDefault="0035117B" w:rsidP="00724056">
      <w:pPr>
        <w:jc w:val="both"/>
        <w:rPr>
          <w:rFonts w:cstheme="minorHAnsi"/>
          <w:color w:val="333333"/>
          <w:sz w:val="24"/>
          <w:szCs w:val="24"/>
          <w:shd w:val="clear" w:color="auto" w:fill="F9F9F9"/>
        </w:rPr>
      </w:pPr>
      <w:r w:rsidRPr="00922E0B">
        <w:rPr>
          <w:rFonts w:cstheme="minorHAnsi"/>
          <w:color w:val="333333"/>
          <w:sz w:val="24"/>
          <w:szCs w:val="24"/>
          <w:shd w:val="clear" w:color="auto" w:fill="F9F9F9"/>
        </w:rPr>
        <w:t>Dowling, C., Morgan, A., Hulme, S., Manning, M., &amp; Wong, G. (2018). Protection orders for domestic violence: A systematic review. Trends and Issues in Crime and Criminal Justice [Electronic Resource], (551), 1–19.</w:t>
      </w:r>
    </w:p>
    <w:p w14:paraId="0C6AC3AA" w14:textId="77777777" w:rsidR="0035117B" w:rsidRPr="00922E0B" w:rsidRDefault="0035117B" w:rsidP="003C1D07">
      <w:pPr>
        <w:jc w:val="both"/>
        <w:rPr>
          <w:rFonts w:cstheme="minorHAnsi"/>
          <w:sz w:val="24"/>
          <w:szCs w:val="24"/>
        </w:rPr>
      </w:pPr>
      <w:r w:rsidRPr="00922E0B">
        <w:rPr>
          <w:rFonts w:cstheme="minorHAnsi"/>
          <w:sz w:val="24"/>
          <w:szCs w:val="24"/>
        </w:rPr>
        <w:t>Gooch, K &amp; von Berg, P 2019, 'What Happens in the Beginning, Matters in the End: Achieving Best Evidence with Child Suspects in the Police Station', Youth Justice, vol. 19, no. 2, pp. 85-101</w:t>
      </w:r>
    </w:p>
    <w:p w14:paraId="76E0FD7D" w14:textId="77777777" w:rsidR="0035117B" w:rsidRPr="00922E0B" w:rsidRDefault="0035117B" w:rsidP="00724056">
      <w:pPr>
        <w:jc w:val="both"/>
        <w:rPr>
          <w:rFonts w:cstheme="minorHAnsi"/>
          <w:sz w:val="24"/>
          <w:szCs w:val="24"/>
        </w:rPr>
      </w:pPr>
      <w:r w:rsidRPr="00922E0B">
        <w:rPr>
          <w:rFonts w:cstheme="minorHAnsi"/>
          <w:sz w:val="24"/>
          <w:szCs w:val="24"/>
        </w:rPr>
        <w:t xml:space="preserve">Harrison, K., L’Hoiry, X., &amp; Santorso, S. (2022). Exploring the impact of body-worn video on the everyday behaviours of police officers. The Police Journal, 95(2), 363-377. </w:t>
      </w:r>
    </w:p>
    <w:p w14:paraId="30698F1C" w14:textId="77777777" w:rsidR="0035117B" w:rsidRPr="00922E0B" w:rsidRDefault="0035117B" w:rsidP="003C1D07">
      <w:pPr>
        <w:jc w:val="both"/>
        <w:rPr>
          <w:rFonts w:cstheme="minorHAnsi"/>
          <w:sz w:val="24"/>
          <w:szCs w:val="24"/>
        </w:rPr>
      </w:pPr>
      <w:r w:rsidRPr="00922E0B">
        <w:rPr>
          <w:rFonts w:cstheme="minorHAnsi"/>
          <w:sz w:val="24"/>
          <w:szCs w:val="24"/>
        </w:rPr>
        <w:t>Jack Spicer &amp; Leah Moyle &amp; Ross Coomber, The variable and evolving nature of ‘cuckooing’ as a form of criminal exploitation in street level drug markets, Published online: 21 June 2019</w:t>
      </w:r>
    </w:p>
    <w:p w14:paraId="5CA3F1D2" w14:textId="77777777" w:rsidR="0035117B" w:rsidRPr="00922E0B" w:rsidRDefault="0035117B" w:rsidP="003C1D07">
      <w:pPr>
        <w:jc w:val="both"/>
        <w:rPr>
          <w:rFonts w:cstheme="minorHAnsi"/>
          <w:sz w:val="24"/>
          <w:szCs w:val="24"/>
        </w:rPr>
      </w:pPr>
      <w:r w:rsidRPr="00922E0B">
        <w:rPr>
          <w:rFonts w:cstheme="minorHAnsi"/>
          <w:sz w:val="24"/>
          <w:szCs w:val="24"/>
        </w:rPr>
        <w:t xml:space="preserve">Jessica Pearson, John Cavener (2024), Professionals’ understanding of the County Lines phenomenon: Insights from a study exploring the perceptions of young peoples’ supported accommodation stafe, Children and youth services review, Volume 156 </w:t>
      </w:r>
    </w:p>
    <w:p w14:paraId="1880FE87" w14:textId="77777777" w:rsidR="0035117B" w:rsidRPr="00922E0B" w:rsidRDefault="0035117B" w:rsidP="00724056">
      <w:pPr>
        <w:jc w:val="both"/>
        <w:rPr>
          <w:rFonts w:cstheme="minorHAnsi"/>
          <w:sz w:val="24"/>
          <w:szCs w:val="24"/>
        </w:rPr>
      </w:pPr>
      <w:r w:rsidRPr="00922E0B">
        <w:rPr>
          <w:rFonts w:cstheme="minorHAnsi"/>
          <w:sz w:val="24"/>
          <w:szCs w:val="24"/>
        </w:rPr>
        <w:t xml:space="preserve">Liam Fenn and Karen Bullock , </w:t>
      </w:r>
      <w:r w:rsidRPr="00922E0B">
        <w:rPr>
          <w:rFonts w:cstheme="minorHAnsi"/>
          <w:i/>
          <w:iCs/>
          <w:sz w:val="24"/>
          <w:szCs w:val="24"/>
        </w:rPr>
        <w:t>How the interplay between organisational ‘culture’ and ‘climate’ shapes police officers’ perceptions of community policing</w:t>
      </w:r>
      <w:r w:rsidRPr="00922E0B">
        <w:rPr>
          <w:rFonts w:cstheme="minorHAnsi"/>
          <w:sz w:val="24"/>
          <w:szCs w:val="24"/>
        </w:rPr>
        <w:t xml:space="preserve">, International Journal of Police Science &amp; ManagementVolume 24, Issue 3Sep 2022Pages227-335 </w:t>
      </w:r>
    </w:p>
    <w:p w14:paraId="539D6AF9" w14:textId="77777777" w:rsidR="0035117B" w:rsidRPr="00922E0B" w:rsidRDefault="0035117B" w:rsidP="00724056">
      <w:pPr>
        <w:jc w:val="both"/>
        <w:rPr>
          <w:rFonts w:cstheme="minorHAnsi"/>
          <w:color w:val="222222"/>
          <w:sz w:val="24"/>
          <w:szCs w:val="24"/>
          <w:shd w:val="clear" w:color="auto" w:fill="FFFFFF"/>
        </w:rPr>
      </w:pPr>
      <w:r w:rsidRPr="00922E0B">
        <w:rPr>
          <w:rFonts w:cstheme="minorHAnsi"/>
          <w:color w:val="222222"/>
          <w:sz w:val="24"/>
          <w:szCs w:val="24"/>
          <w:shd w:val="clear" w:color="auto" w:fill="FFFFFF"/>
        </w:rPr>
        <w:t>Merry, S., Power, N., McManus, M. and Alison, L., 2012. Drivers of public trust and confidence in police in the UK. </w:t>
      </w:r>
      <w:r w:rsidRPr="00922E0B">
        <w:rPr>
          <w:rFonts w:cstheme="minorHAnsi"/>
          <w:i/>
          <w:iCs/>
          <w:color w:val="222222"/>
          <w:sz w:val="24"/>
          <w:szCs w:val="24"/>
          <w:shd w:val="clear" w:color="auto" w:fill="FFFFFF"/>
        </w:rPr>
        <w:t>International journal of police science &amp; management</w:t>
      </w:r>
      <w:r w:rsidRPr="00922E0B">
        <w:rPr>
          <w:rFonts w:cstheme="minorHAnsi"/>
          <w:color w:val="222222"/>
          <w:sz w:val="24"/>
          <w:szCs w:val="24"/>
          <w:shd w:val="clear" w:color="auto" w:fill="FFFFFF"/>
        </w:rPr>
        <w:t>, </w:t>
      </w:r>
      <w:r w:rsidRPr="00922E0B">
        <w:rPr>
          <w:rFonts w:cstheme="minorHAnsi"/>
          <w:i/>
          <w:iCs/>
          <w:color w:val="222222"/>
          <w:sz w:val="24"/>
          <w:szCs w:val="24"/>
          <w:shd w:val="clear" w:color="auto" w:fill="FFFFFF"/>
        </w:rPr>
        <w:t>14</w:t>
      </w:r>
      <w:r w:rsidRPr="00922E0B">
        <w:rPr>
          <w:rFonts w:cstheme="minorHAnsi"/>
          <w:color w:val="222222"/>
          <w:sz w:val="24"/>
          <w:szCs w:val="24"/>
          <w:shd w:val="clear" w:color="auto" w:fill="FFFFFF"/>
        </w:rPr>
        <w:t>(2), pp.118-135.</w:t>
      </w:r>
    </w:p>
    <w:p w14:paraId="591DA434" w14:textId="77777777" w:rsidR="0035117B" w:rsidRPr="00922E0B" w:rsidRDefault="0035117B" w:rsidP="00724056">
      <w:pPr>
        <w:jc w:val="both"/>
        <w:rPr>
          <w:rFonts w:cstheme="minorHAnsi"/>
          <w:color w:val="222222"/>
          <w:sz w:val="24"/>
          <w:szCs w:val="24"/>
          <w:shd w:val="clear" w:color="auto" w:fill="FFFFFF"/>
        </w:rPr>
      </w:pPr>
      <w:r w:rsidRPr="00922E0B">
        <w:rPr>
          <w:rFonts w:cstheme="minorHAnsi"/>
          <w:color w:val="222222"/>
          <w:sz w:val="24"/>
          <w:szCs w:val="24"/>
          <w:shd w:val="clear" w:color="auto" w:fill="FFFFFF"/>
        </w:rPr>
        <w:t>Miller, J., Bland, N. &amp; Quinton, P. A Challenge for Police-Community Relations: Rethinking Stop and Search in England and Wales. </w:t>
      </w:r>
      <w:r w:rsidRPr="00922E0B">
        <w:rPr>
          <w:rFonts w:cstheme="minorHAnsi"/>
          <w:i/>
          <w:iCs/>
          <w:color w:val="222222"/>
          <w:sz w:val="24"/>
          <w:szCs w:val="24"/>
          <w:shd w:val="clear" w:color="auto" w:fill="FFFFFF"/>
        </w:rPr>
        <w:t>European Journal on Criminal Policy and Research</w:t>
      </w:r>
      <w:r w:rsidRPr="00922E0B">
        <w:rPr>
          <w:rFonts w:cstheme="minorHAnsi"/>
          <w:color w:val="222222"/>
          <w:sz w:val="24"/>
          <w:szCs w:val="24"/>
          <w:shd w:val="clear" w:color="auto" w:fill="FFFFFF"/>
        </w:rPr>
        <w:t> </w:t>
      </w:r>
      <w:r w:rsidRPr="00922E0B">
        <w:rPr>
          <w:rFonts w:cstheme="minorHAnsi"/>
          <w:b/>
          <w:bCs/>
          <w:color w:val="222222"/>
          <w:sz w:val="24"/>
          <w:szCs w:val="24"/>
          <w:shd w:val="clear" w:color="auto" w:fill="FFFFFF"/>
        </w:rPr>
        <w:t>9</w:t>
      </w:r>
      <w:r w:rsidRPr="00922E0B">
        <w:rPr>
          <w:rFonts w:cstheme="minorHAnsi"/>
          <w:color w:val="222222"/>
          <w:sz w:val="24"/>
          <w:szCs w:val="24"/>
          <w:shd w:val="clear" w:color="auto" w:fill="FFFFFF"/>
        </w:rPr>
        <w:t>, 71–93 (2001).</w:t>
      </w:r>
    </w:p>
    <w:p w14:paraId="61313F3F" w14:textId="39B243B4" w:rsidR="0035117B" w:rsidRPr="00922E0B" w:rsidRDefault="0035117B" w:rsidP="00724056">
      <w:pPr>
        <w:jc w:val="both"/>
        <w:rPr>
          <w:rFonts w:cstheme="minorHAnsi"/>
          <w:sz w:val="24"/>
          <w:szCs w:val="24"/>
        </w:rPr>
      </w:pPr>
      <w:r w:rsidRPr="00922E0B">
        <w:rPr>
          <w:rFonts w:cstheme="minorHAnsi"/>
          <w:sz w:val="24"/>
          <w:szCs w:val="24"/>
        </w:rPr>
        <w:t>Olivier Dodier, Magali Ginet, Frédérique Teissedre, Fanny Verkampt, Ronald Fisher</w:t>
      </w:r>
      <w:r w:rsidR="00690039" w:rsidRPr="00922E0B">
        <w:rPr>
          <w:rFonts w:cstheme="minorHAnsi"/>
          <w:sz w:val="24"/>
          <w:szCs w:val="24"/>
        </w:rPr>
        <w:t xml:space="preserve"> ,(</w:t>
      </w:r>
      <w:r w:rsidR="00690039" w:rsidRPr="00922E0B">
        <w:rPr>
          <w:rFonts w:cstheme="minorHAnsi"/>
          <w:sz w:val="24"/>
          <w:szCs w:val="24"/>
        </w:rPr>
        <w:t>2021</w:t>
      </w:r>
      <w:r w:rsidR="00690039" w:rsidRPr="00922E0B">
        <w:rPr>
          <w:rFonts w:cstheme="minorHAnsi"/>
          <w:sz w:val="24"/>
          <w:szCs w:val="24"/>
        </w:rPr>
        <w:t>)</w:t>
      </w:r>
      <w:r w:rsidRPr="00922E0B">
        <w:rPr>
          <w:rFonts w:cstheme="minorHAnsi"/>
          <w:sz w:val="24"/>
          <w:szCs w:val="24"/>
        </w:rPr>
        <w:t>. Using the cognitive interview to recall real-world emotionally stressful experiences: Road accidents. Applied Cognitive Psychology</w:t>
      </w:r>
      <w:r w:rsidR="00690039" w:rsidRPr="00922E0B">
        <w:rPr>
          <w:rFonts w:cstheme="minorHAnsi"/>
          <w:sz w:val="24"/>
          <w:szCs w:val="24"/>
        </w:rPr>
        <w:t xml:space="preserve"> </w:t>
      </w:r>
      <w:r w:rsidRPr="00922E0B">
        <w:rPr>
          <w:rFonts w:cstheme="minorHAnsi"/>
          <w:sz w:val="24"/>
          <w:szCs w:val="24"/>
        </w:rPr>
        <w:t>, 35 (4), pp.1099-1105</w:t>
      </w:r>
    </w:p>
    <w:p w14:paraId="3954445B" w14:textId="7375EE13" w:rsidR="0035117B" w:rsidRPr="00922E0B" w:rsidRDefault="0035117B" w:rsidP="003C1D07">
      <w:pPr>
        <w:jc w:val="both"/>
        <w:rPr>
          <w:rFonts w:cstheme="minorHAnsi"/>
          <w:sz w:val="24"/>
          <w:szCs w:val="24"/>
        </w:rPr>
      </w:pPr>
      <w:r w:rsidRPr="00922E0B">
        <w:rPr>
          <w:rFonts w:cstheme="minorHAnsi"/>
          <w:color w:val="2A2A2A"/>
          <w:sz w:val="24"/>
          <w:szCs w:val="24"/>
          <w:shd w:val="clear" w:color="auto" w:fill="FFFFFF"/>
        </w:rPr>
        <w:t>Olof Bäckman, Anders Nilsson</w:t>
      </w:r>
      <w:r w:rsidR="0049333D" w:rsidRPr="00922E0B">
        <w:rPr>
          <w:rFonts w:cstheme="minorHAnsi"/>
          <w:color w:val="2A2A2A"/>
          <w:sz w:val="24"/>
          <w:szCs w:val="24"/>
          <w:shd w:val="clear" w:color="auto" w:fill="FFFFFF"/>
        </w:rPr>
        <w:t>, (</w:t>
      </w:r>
      <w:r w:rsidR="0049333D" w:rsidRPr="00922E0B">
        <w:rPr>
          <w:rFonts w:cstheme="minorHAnsi"/>
          <w:color w:val="2A2A2A"/>
          <w:sz w:val="24"/>
          <w:szCs w:val="24"/>
          <w:shd w:val="clear" w:color="auto" w:fill="FFFFFF"/>
        </w:rPr>
        <w:t>2011</w:t>
      </w:r>
      <w:r w:rsidR="0049333D" w:rsidRPr="00922E0B">
        <w:rPr>
          <w:rFonts w:cstheme="minorHAnsi"/>
          <w:color w:val="2A2A2A"/>
          <w:sz w:val="24"/>
          <w:szCs w:val="24"/>
          <w:shd w:val="clear" w:color="auto" w:fill="FFFFFF"/>
        </w:rPr>
        <w:t>)</w:t>
      </w:r>
      <w:r w:rsidRPr="00922E0B">
        <w:rPr>
          <w:rFonts w:cstheme="minorHAnsi"/>
          <w:color w:val="2A2A2A"/>
          <w:sz w:val="24"/>
          <w:szCs w:val="24"/>
          <w:shd w:val="clear" w:color="auto" w:fill="FFFFFF"/>
        </w:rPr>
        <w:t>, Pathways to Social Exclusion—A Life-Course Study, </w:t>
      </w:r>
      <w:r w:rsidRPr="00922E0B">
        <w:rPr>
          <w:rStyle w:val="Emphasis"/>
          <w:rFonts w:cstheme="minorHAnsi"/>
          <w:color w:val="2A2A2A"/>
          <w:sz w:val="24"/>
          <w:szCs w:val="24"/>
          <w:bdr w:val="none" w:sz="0" w:space="0" w:color="auto" w:frame="1"/>
          <w:shd w:val="clear" w:color="auto" w:fill="FFFFFF"/>
        </w:rPr>
        <w:t>European Sociological Review</w:t>
      </w:r>
      <w:r w:rsidRPr="00922E0B">
        <w:rPr>
          <w:rFonts w:cstheme="minorHAnsi"/>
          <w:color w:val="2A2A2A"/>
          <w:sz w:val="24"/>
          <w:szCs w:val="24"/>
          <w:shd w:val="clear" w:color="auto" w:fill="FFFFFF"/>
        </w:rPr>
        <w:t>, Volume 27, Issue 1, February 2011, Pages 107–123,</w:t>
      </w:r>
    </w:p>
    <w:p w14:paraId="70CF232F" w14:textId="77777777" w:rsidR="0035117B" w:rsidRPr="00922E0B" w:rsidRDefault="0035117B" w:rsidP="003C1D07">
      <w:pPr>
        <w:jc w:val="both"/>
        <w:rPr>
          <w:rFonts w:cstheme="minorHAnsi"/>
          <w:sz w:val="24"/>
          <w:szCs w:val="24"/>
        </w:rPr>
      </w:pPr>
      <w:r w:rsidRPr="00922E0B">
        <w:rPr>
          <w:rFonts w:cstheme="minorHAnsi"/>
          <w:sz w:val="24"/>
          <w:szCs w:val="24"/>
        </w:rPr>
        <w:t>Risan, P., Binder, P.-E. &amp; Milne, R. J. (2017). Establishing and maintaining rapport in investigative interviews of traumatized nictims: A qualitative study. Policing: A Journal of Policy and</w:t>
      </w:r>
    </w:p>
    <w:p w14:paraId="5585B0E4" w14:textId="77777777" w:rsidR="0035117B" w:rsidRPr="00922E0B" w:rsidRDefault="0035117B" w:rsidP="003C1D07">
      <w:pPr>
        <w:jc w:val="both"/>
        <w:rPr>
          <w:rFonts w:cstheme="minorHAnsi"/>
          <w:sz w:val="24"/>
          <w:szCs w:val="24"/>
        </w:rPr>
      </w:pPr>
      <w:r w:rsidRPr="00922E0B">
        <w:rPr>
          <w:rFonts w:cstheme="minorHAnsi"/>
          <w:sz w:val="24"/>
          <w:szCs w:val="24"/>
        </w:rPr>
        <w:t>Robinson, Grace, McLean, Robert and Densley, James (2019) Working County Lines: Child Criminal Exploitation and Illicit Drug Dealing in Glasgow and Merseyside. International Journal of Offender Therapy and Comparative Criminology, 63 (5). pp. 694- 711</w:t>
      </w:r>
    </w:p>
    <w:p w14:paraId="04E00D8C" w14:textId="1EBC05DF" w:rsidR="0035117B" w:rsidRPr="00922E0B" w:rsidRDefault="0035117B" w:rsidP="003C1D07">
      <w:pPr>
        <w:jc w:val="both"/>
        <w:rPr>
          <w:rFonts w:cstheme="minorHAnsi"/>
          <w:color w:val="2A2A2A"/>
          <w:sz w:val="24"/>
          <w:szCs w:val="24"/>
          <w:shd w:val="clear" w:color="auto" w:fill="FFFFFF"/>
        </w:rPr>
      </w:pPr>
      <w:r w:rsidRPr="00922E0B">
        <w:rPr>
          <w:rFonts w:cstheme="minorHAnsi"/>
          <w:color w:val="2A2A2A"/>
          <w:sz w:val="24"/>
          <w:szCs w:val="24"/>
          <w:shd w:val="clear" w:color="auto" w:fill="FFFFFF"/>
        </w:rPr>
        <w:lastRenderedPageBreak/>
        <w:t xml:space="preserve">Toby Seddon, Drugs, </w:t>
      </w:r>
      <w:r w:rsidR="0098546A" w:rsidRPr="00922E0B">
        <w:rPr>
          <w:rFonts w:cstheme="minorHAnsi"/>
          <w:color w:val="2A2A2A"/>
          <w:sz w:val="24"/>
          <w:szCs w:val="24"/>
          <w:shd w:val="clear" w:color="auto" w:fill="FFFFFF"/>
        </w:rPr>
        <w:t>(</w:t>
      </w:r>
      <w:r w:rsidR="0098546A" w:rsidRPr="00922E0B">
        <w:rPr>
          <w:rFonts w:cstheme="minorHAnsi"/>
          <w:color w:val="2A2A2A"/>
          <w:sz w:val="24"/>
          <w:szCs w:val="24"/>
          <w:shd w:val="clear" w:color="auto" w:fill="FFFFFF"/>
        </w:rPr>
        <w:t>2006</w:t>
      </w:r>
      <w:r w:rsidR="0098546A" w:rsidRPr="00922E0B">
        <w:rPr>
          <w:rFonts w:cstheme="minorHAnsi"/>
          <w:color w:val="2A2A2A"/>
          <w:sz w:val="24"/>
          <w:szCs w:val="24"/>
          <w:shd w:val="clear" w:color="auto" w:fill="FFFFFF"/>
        </w:rPr>
        <w:t>)</w:t>
      </w:r>
      <w:r w:rsidR="00B15F12" w:rsidRPr="00922E0B">
        <w:rPr>
          <w:rFonts w:cstheme="minorHAnsi"/>
          <w:color w:val="2A2A2A"/>
          <w:sz w:val="24"/>
          <w:szCs w:val="24"/>
          <w:shd w:val="clear" w:color="auto" w:fill="FFFFFF"/>
        </w:rPr>
        <w:t>,</w:t>
      </w:r>
      <w:r w:rsidRPr="00922E0B">
        <w:rPr>
          <w:rFonts w:cstheme="minorHAnsi"/>
          <w:color w:val="2A2A2A"/>
          <w:sz w:val="24"/>
          <w:szCs w:val="24"/>
          <w:shd w:val="clear" w:color="auto" w:fill="FFFFFF"/>
        </w:rPr>
        <w:t>Crime and Social Exclusion: </w:t>
      </w:r>
      <w:r w:rsidRPr="00922E0B">
        <w:rPr>
          <w:rStyle w:val="Emphasis"/>
          <w:rFonts w:cstheme="minorHAnsi"/>
          <w:color w:val="2A2A2A"/>
          <w:sz w:val="24"/>
          <w:szCs w:val="24"/>
          <w:bdr w:val="none" w:sz="0" w:space="0" w:color="auto" w:frame="1"/>
          <w:shd w:val="clear" w:color="auto" w:fill="FFFFFF"/>
        </w:rPr>
        <w:t>Social Context and Social Theory in British Drugs–Crime Research</w:t>
      </w:r>
      <w:r w:rsidRPr="00922E0B">
        <w:rPr>
          <w:rFonts w:cstheme="minorHAnsi"/>
          <w:color w:val="2A2A2A"/>
          <w:sz w:val="24"/>
          <w:szCs w:val="24"/>
          <w:shd w:val="clear" w:color="auto" w:fill="FFFFFF"/>
        </w:rPr>
        <w:t>, </w:t>
      </w:r>
      <w:r w:rsidRPr="00922E0B">
        <w:rPr>
          <w:rStyle w:val="Emphasis"/>
          <w:rFonts w:cstheme="minorHAnsi"/>
          <w:color w:val="2A2A2A"/>
          <w:sz w:val="24"/>
          <w:szCs w:val="24"/>
          <w:bdr w:val="none" w:sz="0" w:space="0" w:color="auto" w:frame="1"/>
          <w:shd w:val="clear" w:color="auto" w:fill="FFFFFF"/>
        </w:rPr>
        <w:t>The British Journal of Criminology</w:t>
      </w:r>
      <w:r w:rsidRPr="00922E0B">
        <w:rPr>
          <w:rFonts w:cstheme="minorHAnsi"/>
          <w:color w:val="2A2A2A"/>
          <w:sz w:val="24"/>
          <w:szCs w:val="24"/>
          <w:shd w:val="clear" w:color="auto" w:fill="FFFFFF"/>
        </w:rPr>
        <w:t>, Volume 46, Issue 4, July, Pages 680–703,</w:t>
      </w:r>
    </w:p>
    <w:p w14:paraId="38A47BB0" w14:textId="17A58D1F" w:rsidR="00A5624D" w:rsidRPr="00922E0B" w:rsidRDefault="00A5624D" w:rsidP="003C1D07">
      <w:pPr>
        <w:jc w:val="both"/>
        <w:rPr>
          <w:rFonts w:cstheme="minorHAnsi"/>
          <w:sz w:val="24"/>
          <w:szCs w:val="24"/>
        </w:rPr>
      </w:pPr>
      <w:r w:rsidRPr="00922E0B">
        <w:rPr>
          <w:rFonts w:cstheme="minorHAnsi"/>
          <w:color w:val="000000"/>
          <w:spacing w:val="-5"/>
          <w:sz w:val="24"/>
          <w:szCs w:val="24"/>
          <w:shd w:val="clear" w:color="auto" w:fill="FFFFFF"/>
        </w:rPr>
        <w:t xml:space="preserve">Geiselman, R. Edward, et al. </w:t>
      </w:r>
      <w:r w:rsidR="0098546A" w:rsidRPr="00922E0B">
        <w:rPr>
          <w:rFonts w:cstheme="minorHAnsi"/>
          <w:color w:val="000000"/>
          <w:spacing w:val="-5"/>
          <w:sz w:val="24"/>
          <w:szCs w:val="24"/>
          <w:shd w:val="clear" w:color="auto" w:fill="FFFFFF"/>
        </w:rPr>
        <w:t>(</w:t>
      </w:r>
      <w:r w:rsidR="0098546A" w:rsidRPr="00922E0B">
        <w:rPr>
          <w:rFonts w:cstheme="minorHAnsi"/>
          <w:color w:val="000000"/>
          <w:spacing w:val="-5"/>
          <w:sz w:val="24"/>
          <w:szCs w:val="24"/>
          <w:shd w:val="clear" w:color="auto" w:fill="FFFFFF"/>
        </w:rPr>
        <w:t xml:space="preserve">1986), </w:t>
      </w:r>
      <w:r w:rsidRPr="00922E0B">
        <w:rPr>
          <w:rFonts w:cstheme="minorHAnsi"/>
          <w:color w:val="000000"/>
          <w:spacing w:val="-5"/>
          <w:sz w:val="24"/>
          <w:szCs w:val="24"/>
          <w:shd w:val="clear" w:color="auto" w:fill="FFFFFF"/>
        </w:rPr>
        <w:t>“Enhancement of Eyewitness Memory with the Cognitive Interview.” </w:t>
      </w:r>
      <w:r w:rsidRPr="00922E0B">
        <w:rPr>
          <w:rFonts w:cstheme="minorHAnsi"/>
          <w:i/>
          <w:iCs/>
          <w:color w:val="000000"/>
          <w:spacing w:val="-5"/>
          <w:sz w:val="24"/>
          <w:szCs w:val="24"/>
          <w:shd w:val="clear" w:color="auto" w:fill="FFFFFF"/>
        </w:rPr>
        <w:t>The American Journal of Psychology</w:t>
      </w:r>
      <w:r w:rsidRPr="00922E0B">
        <w:rPr>
          <w:rFonts w:cstheme="minorHAnsi"/>
          <w:color w:val="000000"/>
          <w:spacing w:val="-5"/>
          <w:sz w:val="24"/>
          <w:szCs w:val="24"/>
          <w:shd w:val="clear" w:color="auto" w:fill="FFFFFF"/>
        </w:rPr>
        <w:t xml:space="preserve">, vol. 99, no. 3, </w:t>
      </w:r>
      <w:r w:rsidR="00003C67" w:rsidRPr="00922E0B">
        <w:rPr>
          <w:rFonts w:cstheme="minorHAnsi"/>
          <w:color w:val="000000"/>
          <w:spacing w:val="-5"/>
          <w:sz w:val="24"/>
          <w:szCs w:val="24"/>
          <w:shd w:val="clear" w:color="auto" w:fill="FFFFFF"/>
        </w:rPr>
        <w:t>(</w:t>
      </w:r>
      <w:r w:rsidRPr="00922E0B">
        <w:rPr>
          <w:rFonts w:cstheme="minorHAnsi"/>
          <w:color w:val="000000"/>
          <w:spacing w:val="-5"/>
          <w:sz w:val="24"/>
          <w:szCs w:val="24"/>
          <w:shd w:val="clear" w:color="auto" w:fill="FFFFFF"/>
        </w:rPr>
        <w:t>pp. 385–401.</w:t>
      </w:r>
    </w:p>
    <w:p w14:paraId="4CABFA2C" w14:textId="247B26EF" w:rsidR="00724056" w:rsidRPr="00922E0B" w:rsidRDefault="003E503C" w:rsidP="00724056">
      <w:pPr>
        <w:jc w:val="both"/>
        <w:rPr>
          <w:rFonts w:cstheme="minorHAnsi"/>
          <w:sz w:val="24"/>
          <w:szCs w:val="24"/>
        </w:rPr>
      </w:pPr>
      <w:r w:rsidRPr="00922E0B">
        <w:rPr>
          <w:rFonts w:cstheme="minorHAnsi"/>
          <w:sz w:val="24"/>
          <w:szCs w:val="24"/>
        </w:rPr>
        <w:t>Pamela Hanway, Lucy Akehurst, Zarah Vernham and Lorraine Hope (2021), The effects of cognitive load during an investigative interviewing task on mock interviewers’ recall of information, Legal and criminological psychology 26, pp 25-41.</w:t>
      </w:r>
    </w:p>
    <w:p w14:paraId="6A07CF8C" w14:textId="1A1D6F42" w:rsidR="00334F35" w:rsidRPr="00922E0B" w:rsidRDefault="00334F35" w:rsidP="00724056">
      <w:pPr>
        <w:jc w:val="both"/>
        <w:rPr>
          <w:rFonts w:cstheme="minorHAnsi"/>
          <w:sz w:val="24"/>
          <w:szCs w:val="24"/>
        </w:rPr>
      </w:pPr>
      <w:r w:rsidRPr="00922E0B">
        <w:rPr>
          <w:rFonts w:cstheme="minorHAnsi"/>
          <w:sz w:val="24"/>
          <w:szCs w:val="24"/>
        </w:rPr>
        <w:t>Laura Farrugia, Fiona Gabbert (2019), Vulnerable suspects in policing interviews: Exploring current practice in England and Wales, Willey</w:t>
      </w:r>
    </w:p>
    <w:p w14:paraId="10EDDA22" w14:textId="2C2C4EAF" w:rsidR="00724056" w:rsidRPr="00922E0B" w:rsidRDefault="005418B1" w:rsidP="003C1D07">
      <w:pPr>
        <w:jc w:val="both"/>
        <w:rPr>
          <w:rFonts w:cstheme="minorHAnsi"/>
          <w:sz w:val="24"/>
          <w:szCs w:val="24"/>
        </w:rPr>
      </w:pPr>
      <w:r w:rsidRPr="00922E0B">
        <w:rPr>
          <w:rFonts w:cstheme="minorHAnsi"/>
          <w:color w:val="222222"/>
          <w:sz w:val="24"/>
          <w:szCs w:val="24"/>
          <w:shd w:val="clear" w:color="auto" w:fill="FFFFFF"/>
        </w:rPr>
        <w:t>Kazeem, O.T. (2020) Adverse Childhood Experiences, Socio-Economic Status, and Criminal Behaviour: a Cross-Sectional Correctional Survey. </w:t>
      </w:r>
      <w:r w:rsidRPr="00922E0B">
        <w:rPr>
          <w:rFonts w:cstheme="minorHAnsi"/>
          <w:i/>
          <w:iCs/>
          <w:color w:val="222222"/>
          <w:sz w:val="24"/>
          <w:szCs w:val="24"/>
          <w:shd w:val="clear" w:color="auto" w:fill="FFFFFF"/>
        </w:rPr>
        <w:t>ADV RES SCI</w:t>
      </w:r>
      <w:r w:rsidRPr="00922E0B">
        <w:rPr>
          <w:rFonts w:cstheme="minorHAnsi"/>
          <w:color w:val="222222"/>
          <w:sz w:val="24"/>
          <w:szCs w:val="24"/>
          <w:shd w:val="clear" w:color="auto" w:fill="FFFFFF"/>
        </w:rPr>
        <w:t> </w:t>
      </w:r>
      <w:r w:rsidRPr="00922E0B">
        <w:rPr>
          <w:rFonts w:cstheme="minorHAnsi"/>
          <w:b/>
          <w:bCs/>
          <w:color w:val="222222"/>
          <w:sz w:val="24"/>
          <w:szCs w:val="24"/>
          <w:shd w:val="clear" w:color="auto" w:fill="FFFFFF"/>
        </w:rPr>
        <w:t>1</w:t>
      </w:r>
      <w:r w:rsidRPr="00922E0B">
        <w:rPr>
          <w:rFonts w:cstheme="minorHAnsi"/>
          <w:color w:val="222222"/>
          <w:sz w:val="24"/>
          <w:szCs w:val="24"/>
          <w:shd w:val="clear" w:color="auto" w:fill="FFFFFF"/>
        </w:rPr>
        <w:t xml:space="preserve">, 319–327 </w:t>
      </w:r>
    </w:p>
    <w:p w14:paraId="217168EE" w14:textId="77777777" w:rsidR="00724056" w:rsidRPr="006D2920" w:rsidRDefault="00724056" w:rsidP="003C1D07">
      <w:pPr>
        <w:jc w:val="both"/>
        <w:rPr>
          <w:rFonts w:cstheme="minorHAnsi"/>
          <w:sz w:val="24"/>
          <w:szCs w:val="24"/>
        </w:rPr>
      </w:pPr>
    </w:p>
    <w:p w14:paraId="74E6B394" w14:textId="77777777" w:rsidR="00512E4C" w:rsidRDefault="00766C71" w:rsidP="003C1D07">
      <w:pPr>
        <w:jc w:val="both"/>
      </w:pPr>
      <w:hyperlink r:id="rId4" w:history="1">
        <w:r w:rsidR="00512E4C">
          <w:rPr>
            <w:rStyle w:val="Hyperlink"/>
          </w:rPr>
          <w:t>What we do - His Majesty’s Inspectorate of Constabulary and Fire &amp; Rescue Services (justiceinspectorates.gov.uk)</w:t>
        </w:r>
      </w:hyperlink>
      <w:r w:rsidR="00512E4C">
        <w:t xml:space="preserve"> (Accessed 21/05/2024)</w:t>
      </w:r>
    </w:p>
    <w:p w14:paraId="5184199E" w14:textId="77777777" w:rsidR="008E32E0" w:rsidRDefault="00766C71" w:rsidP="003C1D07">
      <w:pPr>
        <w:jc w:val="both"/>
      </w:pPr>
      <w:hyperlink r:id="rId5" w:history="1">
        <w:r w:rsidR="008E32E0">
          <w:rPr>
            <w:rStyle w:val="Hyperlink"/>
          </w:rPr>
          <w:t>The Seven Principles of Public Life - GOV.UK (www.gov.uk)</w:t>
        </w:r>
      </w:hyperlink>
      <w:r w:rsidR="008E32E0">
        <w:t xml:space="preserve"> (Accessed 24/11/2023)</w:t>
      </w:r>
    </w:p>
    <w:p w14:paraId="53D7AF1E" w14:textId="77777777" w:rsidR="008E32E0" w:rsidRDefault="00766C71" w:rsidP="003C1D07">
      <w:pPr>
        <w:jc w:val="both"/>
      </w:pPr>
      <w:hyperlink r:id="rId6" w:history="1">
        <w:r w:rsidR="008E32E0">
          <w:rPr>
            <w:rStyle w:val="Hyperlink"/>
          </w:rPr>
          <w:t>Code of Ethics 2014 (publishing.service.gov.uk)</w:t>
        </w:r>
      </w:hyperlink>
      <w:r w:rsidR="008E32E0">
        <w:t xml:space="preserve"> (Accessed 24/11/2023)</w:t>
      </w:r>
    </w:p>
    <w:p w14:paraId="4CD8E3E3" w14:textId="77777777" w:rsidR="008E32E0" w:rsidRDefault="00766C71" w:rsidP="003C1D07">
      <w:pPr>
        <w:jc w:val="both"/>
      </w:pPr>
      <w:hyperlink r:id="rId7" w:history="1">
        <w:r w:rsidR="008E32E0">
          <w:rPr>
            <w:rStyle w:val="Hyperlink"/>
          </w:rPr>
          <w:t>Police and Criminal Evidence Act 1984 (lawteacher.net)</w:t>
        </w:r>
      </w:hyperlink>
      <w:r w:rsidR="008E32E0">
        <w:t xml:space="preserve"> (Accessed 04/12/2023).</w:t>
      </w:r>
    </w:p>
    <w:p w14:paraId="37AB687D" w14:textId="77777777" w:rsidR="008E32E0" w:rsidRDefault="00766C71" w:rsidP="003C1D07">
      <w:pPr>
        <w:jc w:val="both"/>
      </w:pPr>
      <w:hyperlink r:id="rId8" w:history="1">
        <w:r w:rsidR="008E32E0" w:rsidRPr="00D40625">
          <w:rPr>
            <w:rStyle w:val="Hyperlink"/>
          </w:rPr>
          <w:t>https://www.cdc.gov</w:t>
        </w:r>
      </w:hyperlink>
      <w:r w:rsidR="008E32E0">
        <w:t xml:space="preserve"> (Accessed  04/12/2023).</w:t>
      </w:r>
    </w:p>
    <w:p w14:paraId="45D441E6" w14:textId="77777777" w:rsidR="008E32E0" w:rsidRDefault="00766C71" w:rsidP="003C1D07">
      <w:pPr>
        <w:jc w:val="both"/>
      </w:pPr>
      <w:hyperlink r:id="rId9" w:history="1">
        <w:r w:rsidR="008E32E0">
          <w:rPr>
            <w:rStyle w:val="Hyperlink"/>
          </w:rPr>
          <w:t>VULNERABLE | English meaning - Cambridge Dictionary</w:t>
        </w:r>
      </w:hyperlink>
      <w:r w:rsidR="008E32E0">
        <w:t xml:space="preserve"> (Accessed 24/12/2023)</w:t>
      </w:r>
    </w:p>
    <w:p w14:paraId="5F23E467" w14:textId="77777777" w:rsidR="00C9406E" w:rsidRDefault="00766C71" w:rsidP="003C1D07">
      <w:pPr>
        <w:jc w:val="both"/>
      </w:pPr>
      <w:hyperlink r:id="rId10" w:history="1">
        <w:r w:rsidR="00C9406E">
          <w:rPr>
            <w:rStyle w:val="Hyperlink"/>
          </w:rPr>
          <w:t>Exploring the impact of body-worn video on the everyday behaviours of police officers - Karen Harrison, Xavier L’Hoiry, Simone Santorso, 2022 (sagepub.com)</w:t>
        </w:r>
      </w:hyperlink>
      <w:r w:rsidR="00C9406E">
        <w:t xml:space="preserve"> (Accessed 21/05/2024)</w:t>
      </w:r>
    </w:p>
    <w:p w14:paraId="7EFE2B1D" w14:textId="77777777" w:rsidR="008E32E0" w:rsidRDefault="00766C71" w:rsidP="003C1D07">
      <w:pPr>
        <w:jc w:val="both"/>
      </w:pPr>
      <w:hyperlink r:id="rId11" w:history="1">
        <w:r w:rsidR="00023AAE">
          <w:rPr>
            <w:rStyle w:val="Hyperlink"/>
          </w:rPr>
          <w:t>Ethical policing principles | College of Policing</w:t>
        </w:r>
      </w:hyperlink>
      <w:r w:rsidR="00023AAE">
        <w:t xml:space="preserve"> (21/05/2024)</w:t>
      </w:r>
    </w:p>
    <w:p w14:paraId="67306D34" w14:textId="1923E377" w:rsidR="00D45A31" w:rsidRDefault="00766C71" w:rsidP="003C1D07">
      <w:pPr>
        <w:jc w:val="both"/>
      </w:pPr>
      <w:hyperlink r:id="rId12" w:history="1">
        <w:r w:rsidR="00D45A31">
          <w:rPr>
            <w:rStyle w:val="Hyperlink"/>
          </w:rPr>
          <w:t>Cognitive Interview Technique (simplypsychology.org)</w:t>
        </w:r>
      </w:hyperlink>
      <w:r w:rsidR="00D45A31">
        <w:t xml:space="preserve"> (Accessed 23/05</w:t>
      </w:r>
      <w:r w:rsidR="009F6F24">
        <w:t>/</w:t>
      </w:r>
      <w:r w:rsidR="00D45A31">
        <w:t>2024)</w:t>
      </w:r>
    </w:p>
    <w:p w14:paraId="5088614B" w14:textId="7269B74A" w:rsidR="000A4E7D" w:rsidRDefault="00766C71" w:rsidP="0080764A">
      <w:pPr>
        <w:jc w:val="both"/>
      </w:pPr>
      <w:hyperlink r:id="rId13" w:history="1">
        <w:r w:rsidR="009F6F24">
          <w:rPr>
            <w:rStyle w:val="Hyperlink"/>
          </w:rPr>
          <w:t>Domestic abuse in England and Wales overview - Office for National Statistics (ons.gov.uk)</w:t>
        </w:r>
      </w:hyperlink>
      <w:r w:rsidR="009F6F24">
        <w:t xml:space="preserve"> (23/05/2024)</w:t>
      </w:r>
    </w:p>
    <w:p w14:paraId="1E18899A" w14:textId="2D819D0F" w:rsidR="008B11E4" w:rsidRDefault="00766C71" w:rsidP="003C1D07">
      <w:pPr>
        <w:jc w:val="both"/>
      </w:pPr>
      <w:hyperlink r:id="rId14" w:history="1">
        <w:r w:rsidR="008B11E4">
          <w:rPr>
            <w:rStyle w:val="Hyperlink"/>
          </w:rPr>
          <w:t>Definition of policing by consent - GOV.UK (www.gov.uk)</w:t>
        </w:r>
      </w:hyperlink>
      <w:r w:rsidR="008B11E4">
        <w:t xml:space="preserve"> (Accessed 26/05/2024).</w:t>
      </w:r>
    </w:p>
    <w:p w14:paraId="32F55880" w14:textId="60733F07" w:rsidR="00B448FD" w:rsidRDefault="00766C71" w:rsidP="003C1D07">
      <w:pPr>
        <w:jc w:val="both"/>
      </w:pPr>
      <w:hyperlink r:id="rId15" w:history="1">
        <w:r w:rsidR="00A510B1">
          <w:rPr>
            <w:rStyle w:val="Hyperlink"/>
          </w:rPr>
          <w:t>Police and Criminal Evidence Act 1984 (legislation.gov.uk)</w:t>
        </w:r>
      </w:hyperlink>
      <w:r w:rsidR="00A510B1">
        <w:t xml:space="preserve"> (Accessed</w:t>
      </w:r>
      <w:r w:rsidR="00FC2615">
        <w:t xml:space="preserve"> 26/05/2024</w:t>
      </w:r>
      <w:r w:rsidR="00A510B1">
        <w:t>).</w:t>
      </w:r>
    </w:p>
    <w:p w14:paraId="30023B60" w14:textId="3F26E7E9" w:rsidR="00E04634" w:rsidRDefault="00E04634" w:rsidP="003C1D07">
      <w:pPr>
        <w:jc w:val="both"/>
      </w:pPr>
    </w:p>
    <w:p w14:paraId="2049E801" w14:textId="77777777" w:rsidR="00DC11B9" w:rsidRDefault="00DC11B9" w:rsidP="003C1D07">
      <w:pPr>
        <w:jc w:val="both"/>
      </w:pPr>
    </w:p>
    <w:p w14:paraId="5E286F8E" w14:textId="77777777" w:rsidR="00DC11B9" w:rsidRPr="008E32E0" w:rsidRDefault="00DC11B9" w:rsidP="003C1D07">
      <w:pPr>
        <w:jc w:val="both"/>
      </w:pPr>
    </w:p>
    <w:sectPr w:rsidR="00DC11B9" w:rsidRPr="008E32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2E0"/>
    <w:rsid w:val="00002E38"/>
    <w:rsid w:val="00003C67"/>
    <w:rsid w:val="00007192"/>
    <w:rsid w:val="00023AAE"/>
    <w:rsid w:val="00032B5B"/>
    <w:rsid w:val="000343DD"/>
    <w:rsid w:val="00037A53"/>
    <w:rsid w:val="000532BF"/>
    <w:rsid w:val="00062752"/>
    <w:rsid w:val="00065658"/>
    <w:rsid w:val="00071D8A"/>
    <w:rsid w:val="00077745"/>
    <w:rsid w:val="00086C87"/>
    <w:rsid w:val="000A1788"/>
    <w:rsid w:val="000A4E7D"/>
    <w:rsid w:val="000C3AEC"/>
    <w:rsid w:val="000D4234"/>
    <w:rsid w:val="000E3026"/>
    <w:rsid w:val="000F2CB3"/>
    <w:rsid w:val="00106A35"/>
    <w:rsid w:val="00110EDD"/>
    <w:rsid w:val="00116D92"/>
    <w:rsid w:val="00122B25"/>
    <w:rsid w:val="00133B19"/>
    <w:rsid w:val="00134EF9"/>
    <w:rsid w:val="00135CFB"/>
    <w:rsid w:val="00136FEF"/>
    <w:rsid w:val="00144B00"/>
    <w:rsid w:val="001454F4"/>
    <w:rsid w:val="00160D76"/>
    <w:rsid w:val="00164A27"/>
    <w:rsid w:val="00166130"/>
    <w:rsid w:val="00171C56"/>
    <w:rsid w:val="00181FA8"/>
    <w:rsid w:val="00182E05"/>
    <w:rsid w:val="00190F47"/>
    <w:rsid w:val="001B4076"/>
    <w:rsid w:val="001C4307"/>
    <w:rsid w:val="001C701B"/>
    <w:rsid w:val="001D5CC1"/>
    <w:rsid w:val="001E50CC"/>
    <w:rsid w:val="001F1BDD"/>
    <w:rsid w:val="002001EA"/>
    <w:rsid w:val="002036D1"/>
    <w:rsid w:val="00203B9C"/>
    <w:rsid w:val="0021654C"/>
    <w:rsid w:val="00222A96"/>
    <w:rsid w:val="00225665"/>
    <w:rsid w:val="00225BA3"/>
    <w:rsid w:val="00231718"/>
    <w:rsid w:val="00234712"/>
    <w:rsid w:val="002713F0"/>
    <w:rsid w:val="00273FBE"/>
    <w:rsid w:val="00287317"/>
    <w:rsid w:val="002931A8"/>
    <w:rsid w:val="002C6DC3"/>
    <w:rsid w:val="002D03CB"/>
    <w:rsid w:val="002E576C"/>
    <w:rsid w:val="00326641"/>
    <w:rsid w:val="00333C01"/>
    <w:rsid w:val="00334F35"/>
    <w:rsid w:val="00341243"/>
    <w:rsid w:val="0035117B"/>
    <w:rsid w:val="003B096B"/>
    <w:rsid w:val="003B4B73"/>
    <w:rsid w:val="003B6323"/>
    <w:rsid w:val="003B6544"/>
    <w:rsid w:val="003B7056"/>
    <w:rsid w:val="003C0D51"/>
    <w:rsid w:val="003C1D07"/>
    <w:rsid w:val="003C33AF"/>
    <w:rsid w:val="003E503C"/>
    <w:rsid w:val="003E51A5"/>
    <w:rsid w:val="003F006D"/>
    <w:rsid w:val="003F045C"/>
    <w:rsid w:val="003F256A"/>
    <w:rsid w:val="003F5D18"/>
    <w:rsid w:val="00402DC7"/>
    <w:rsid w:val="004123EC"/>
    <w:rsid w:val="00420FBB"/>
    <w:rsid w:val="00423E2F"/>
    <w:rsid w:val="004315A0"/>
    <w:rsid w:val="00432708"/>
    <w:rsid w:val="0043292B"/>
    <w:rsid w:val="00454DD1"/>
    <w:rsid w:val="004636AF"/>
    <w:rsid w:val="004737C8"/>
    <w:rsid w:val="00474825"/>
    <w:rsid w:val="00475611"/>
    <w:rsid w:val="004862DA"/>
    <w:rsid w:val="00487613"/>
    <w:rsid w:val="00491216"/>
    <w:rsid w:val="0049333D"/>
    <w:rsid w:val="00495467"/>
    <w:rsid w:val="004B69E0"/>
    <w:rsid w:val="004B74C8"/>
    <w:rsid w:val="004D03F7"/>
    <w:rsid w:val="004D0783"/>
    <w:rsid w:val="004D7291"/>
    <w:rsid w:val="004E35ED"/>
    <w:rsid w:val="005022C4"/>
    <w:rsid w:val="005053EC"/>
    <w:rsid w:val="00506321"/>
    <w:rsid w:val="00512E4C"/>
    <w:rsid w:val="00520267"/>
    <w:rsid w:val="00525B4E"/>
    <w:rsid w:val="0053689D"/>
    <w:rsid w:val="005418B1"/>
    <w:rsid w:val="0054311F"/>
    <w:rsid w:val="00562BD0"/>
    <w:rsid w:val="005856F4"/>
    <w:rsid w:val="005A5D13"/>
    <w:rsid w:val="005B6F27"/>
    <w:rsid w:val="005C53D0"/>
    <w:rsid w:val="005E25DC"/>
    <w:rsid w:val="005E2C5D"/>
    <w:rsid w:val="005F3121"/>
    <w:rsid w:val="00614C83"/>
    <w:rsid w:val="00625552"/>
    <w:rsid w:val="00633513"/>
    <w:rsid w:val="006428D2"/>
    <w:rsid w:val="00655605"/>
    <w:rsid w:val="006645EC"/>
    <w:rsid w:val="00672464"/>
    <w:rsid w:val="006759EB"/>
    <w:rsid w:val="00684278"/>
    <w:rsid w:val="0068734F"/>
    <w:rsid w:val="00690039"/>
    <w:rsid w:val="006B2914"/>
    <w:rsid w:val="006B4194"/>
    <w:rsid w:val="006B4A76"/>
    <w:rsid w:val="006C10B6"/>
    <w:rsid w:val="006D2920"/>
    <w:rsid w:val="006D56C4"/>
    <w:rsid w:val="006D6A86"/>
    <w:rsid w:val="006D792A"/>
    <w:rsid w:val="006E4C7D"/>
    <w:rsid w:val="006E6FB5"/>
    <w:rsid w:val="007015BE"/>
    <w:rsid w:val="00703131"/>
    <w:rsid w:val="00705CFB"/>
    <w:rsid w:val="00724056"/>
    <w:rsid w:val="00724F38"/>
    <w:rsid w:val="00741E84"/>
    <w:rsid w:val="00766C71"/>
    <w:rsid w:val="007711B6"/>
    <w:rsid w:val="00771629"/>
    <w:rsid w:val="007839F2"/>
    <w:rsid w:val="007C4F74"/>
    <w:rsid w:val="007D056C"/>
    <w:rsid w:val="007D07B6"/>
    <w:rsid w:val="007D07E9"/>
    <w:rsid w:val="007D38FC"/>
    <w:rsid w:val="007F1A86"/>
    <w:rsid w:val="007F59D6"/>
    <w:rsid w:val="007F74F2"/>
    <w:rsid w:val="0080764A"/>
    <w:rsid w:val="00815096"/>
    <w:rsid w:val="008239D8"/>
    <w:rsid w:val="00830FFF"/>
    <w:rsid w:val="00831080"/>
    <w:rsid w:val="00842D00"/>
    <w:rsid w:val="00846B56"/>
    <w:rsid w:val="00854A46"/>
    <w:rsid w:val="008571B4"/>
    <w:rsid w:val="00867BEC"/>
    <w:rsid w:val="00871C37"/>
    <w:rsid w:val="00890E39"/>
    <w:rsid w:val="008A23CF"/>
    <w:rsid w:val="008A35DE"/>
    <w:rsid w:val="008A733E"/>
    <w:rsid w:val="008B0C39"/>
    <w:rsid w:val="008B11E4"/>
    <w:rsid w:val="008D3795"/>
    <w:rsid w:val="008D38AC"/>
    <w:rsid w:val="008E32E0"/>
    <w:rsid w:val="008E3EA4"/>
    <w:rsid w:val="008E7578"/>
    <w:rsid w:val="008F70A5"/>
    <w:rsid w:val="00922E0B"/>
    <w:rsid w:val="00923054"/>
    <w:rsid w:val="009348D6"/>
    <w:rsid w:val="00935B00"/>
    <w:rsid w:val="00936DB9"/>
    <w:rsid w:val="00953414"/>
    <w:rsid w:val="00964D79"/>
    <w:rsid w:val="00970314"/>
    <w:rsid w:val="0098546A"/>
    <w:rsid w:val="00985E8D"/>
    <w:rsid w:val="00986311"/>
    <w:rsid w:val="00987E09"/>
    <w:rsid w:val="00994823"/>
    <w:rsid w:val="009A7F59"/>
    <w:rsid w:val="009B436E"/>
    <w:rsid w:val="009B74EB"/>
    <w:rsid w:val="009C2EAA"/>
    <w:rsid w:val="009D2E0C"/>
    <w:rsid w:val="009D5AFC"/>
    <w:rsid w:val="009D747F"/>
    <w:rsid w:val="009F546C"/>
    <w:rsid w:val="009F6F24"/>
    <w:rsid w:val="009F6FA2"/>
    <w:rsid w:val="00A00A2F"/>
    <w:rsid w:val="00A12CCC"/>
    <w:rsid w:val="00A134EE"/>
    <w:rsid w:val="00A268D0"/>
    <w:rsid w:val="00A479B2"/>
    <w:rsid w:val="00A510B1"/>
    <w:rsid w:val="00A51B38"/>
    <w:rsid w:val="00A5390E"/>
    <w:rsid w:val="00A5624D"/>
    <w:rsid w:val="00A6549D"/>
    <w:rsid w:val="00A90E26"/>
    <w:rsid w:val="00A92450"/>
    <w:rsid w:val="00A92F10"/>
    <w:rsid w:val="00AB513C"/>
    <w:rsid w:val="00AC50D7"/>
    <w:rsid w:val="00AD7683"/>
    <w:rsid w:val="00AF7945"/>
    <w:rsid w:val="00B05804"/>
    <w:rsid w:val="00B1427A"/>
    <w:rsid w:val="00B15F12"/>
    <w:rsid w:val="00B3025F"/>
    <w:rsid w:val="00B328E0"/>
    <w:rsid w:val="00B44557"/>
    <w:rsid w:val="00B448FD"/>
    <w:rsid w:val="00B47D3C"/>
    <w:rsid w:val="00B54928"/>
    <w:rsid w:val="00B56339"/>
    <w:rsid w:val="00B62E35"/>
    <w:rsid w:val="00B75261"/>
    <w:rsid w:val="00B81D66"/>
    <w:rsid w:val="00B958A5"/>
    <w:rsid w:val="00BA0049"/>
    <w:rsid w:val="00BB00EA"/>
    <w:rsid w:val="00BB1773"/>
    <w:rsid w:val="00BB621C"/>
    <w:rsid w:val="00BB66E5"/>
    <w:rsid w:val="00BC0850"/>
    <w:rsid w:val="00BF53E4"/>
    <w:rsid w:val="00C13ED1"/>
    <w:rsid w:val="00C154E0"/>
    <w:rsid w:val="00C3112A"/>
    <w:rsid w:val="00C320C3"/>
    <w:rsid w:val="00C42A99"/>
    <w:rsid w:val="00C546F1"/>
    <w:rsid w:val="00C54C46"/>
    <w:rsid w:val="00C57E5B"/>
    <w:rsid w:val="00C645FE"/>
    <w:rsid w:val="00C76891"/>
    <w:rsid w:val="00C76BB3"/>
    <w:rsid w:val="00C8277B"/>
    <w:rsid w:val="00C9406E"/>
    <w:rsid w:val="00CA7081"/>
    <w:rsid w:val="00CB2C9D"/>
    <w:rsid w:val="00CD13BD"/>
    <w:rsid w:val="00CD21F5"/>
    <w:rsid w:val="00CD28F5"/>
    <w:rsid w:val="00CD469E"/>
    <w:rsid w:val="00CE51FC"/>
    <w:rsid w:val="00CF020A"/>
    <w:rsid w:val="00CF3400"/>
    <w:rsid w:val="00D14A2B"/>
    <w:rsid w:val="00D24A76"/>
    <w:rsid w:val="00D264A7"/>
    <w:rsid w:val="00D333E8"/>
    <w:rsid w:val="00D45A31"/>
    <w:rsid w:val="00D52F84"/>
    <w:rsid w:val="00D6166E"/>
    <w:rsid w:val="00D9450F"/>
    <w:rsid w:val="00D94645"/>
    <w:rsid w:val="00DB58CB"/>
    <w:rsid w:val="00DC11B9"/>
    <w:rsid w:val="00DD50C7"/>
    <w:rsid w:val="00DE7740"/>
    <w:rsid w:val="00DF7ADA"/>
    <w:rsid w:val="00E03836"/>
    <w:rsid w:val="00E04634"/>
    <w:rsid w:val="00E157F3"/>
    <w:rsid w:val="00E2377F"/>
    <w:rsid w:val="00E42212"/>
    <w:rsid w:val="00E43BFB"/>
    <w:rsid w:val="00E44F02"/>
    <w:rsid w:val="00E5507D"/>
    <w:rsid w:val="00E6201D"/>
    <w:rsid w:val="00E7012A"/>
    <w:rsid w:val="00E759A3"/>
    <w:rsid w:val="00E84BE7"/>
    <w:rsid w:val="00EA0D75"/>
    <w:rsid w:val="00ED2C96"/>
    <w:rsid w:val="00ED4DBA"/>
    <w:rsid w:val="00EF053D"/>
    <w:rsid w:val="00EF6182"/>
    <w:rsid w:val="00F17C4E"/>
    <w:rsid w:val="00F34C8D"/>
    <w:rsid w:val="00F40103"/>
    <w:rsid w:val="00F51D19"/>
    <w:rsid w:val="00F57628"/>
    <w:rsid w:val="00F80ECE"/>
    <w:rsid w:val="00FA54AF"/>
    <w:rsid w:val="00FB433F"/>
    <w:rsid w:val="00FB7BF4"/>
    <w:rsid w:val="00FC2615"/>
    <w:rsid w:val="00FC7EBC"/>
    <w:rsid w:val="00FD2AE2"/>
    <w:rsid w:val="00FD3F76"/>
    <w:rsid w:val="00FD7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E3358"/>
  <w15:chartTrackingRefBased/>
  <w15:docId w15:val="{E476214B-FD11-4FD9-B10F-0533DA046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12E4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B142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32E0"/>
    <w:rPr>
      <w:color w:val="0000FF"/>
      <w:u w:val="single"/>
    </w:rPr>
  </w:style>
  <w:style w:type="character" w:customStyle="1" w:styleId="Heading1Char">
    <w:name w:val="Heading 1 Char"/>
    <w:basedOn w:val="DefaultParagraphFont"/>
    <w:link w:val="Heading1"/>
    <w:uiPriority w:val="9"/>
    <w:rsid w:val="00512E4C"/>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A268D0"/>
    <w:rPr>
      <w:color w:val="954F72" w:themeColor="followedHyperlink"/>
      <w:u w:val="single"/>
    </w:rPr>
  </w:style>
  <w:style w:type="character" w:customStyle="1" w:styleId="title-text">
    <w:name w:val="title-text"/>
    <w:basedOn w:val="DefaultParagraphFont"/>
    <w:rsid w:val="00B1427A"/>
  </w:style>
  <w:style w:type="character" w:customStyle="1" w:styleId="react-xocs-alternative-link">
    <w:name w:val="react-xocs-alternative-link"/>
    <w:basedOn w:val="DefaultParagraphFont"/>
    <w:rsid w:val="00B1427A"/>
  </w:style>
  <w:style w:type="character" w:customStyle="1" w:styleId="given-name">
    <w:name w:val="given-name"/>
    <w:basedOn w:val="DefaultParagraphFont"/>
    <w:rsid w:val="00B1427A"/>
  </w:style>
  <w:style w:type="character" w:customStyle="1" w:styleId="text">
    <w:name w:val="text"/>
    <w:basedOn w:val="DefaultParagraphFont"/>
    <w:rsid w:val="00B1427A"/>
  </w:style>
  <w:style w:type="character" w:customStyle="1" w:styleId="author-ref">
    <w:name w:val="author-ref"/>
    <w:basedOn w:val="DefaultParagraphFont"/>
    <w:rsid w:val="00B1427A"/>
  </w:style>
  <w:style w:type="character" w:customStyle="1" w:styleId="Heading2Char">
    <w:name w:val="Heading 2 Char"/>
    <w:basedOn w:val="DefaultParagraphFont"/>
    <w:link w:val="Heading2"/>
    <w:uiPriority w:val="9"/>
    <w:semiHidden/>
    <w:rsid w:val="00B1427A"/>
    <w:rPr>
      <w:rFonts w:asciiTheme="majorHAnsi" w:eastAsiaTheme="majorEastAsia" w:hAnsiTheme="majorHAnsi" w:cstheme="majorBidi"/>
      <w:color w:val="2F5496" w:themeColor="accent1" w:themeShade="BF"/>
      <w:sz w:val="26"/>
      <w:szCs w:val="26"/>
    </w:rPr>
  </w:style>
  <w:style w:type="character" w:customStyle="1" w:styleId="anchor-text">
    <w:name w:val="anchor-text"/>
    <w:basedOn w:val="DefaultParagraphFont"/>
    <w:rsid w:val="00B1427A"/>
  </w:style>
  <w:style w:type="character" w:customStyle="1" w:styleId="accordion-tabbedtab-mobile">
    <w:name w:val="accordion-tabbed__tab-mobile"/>
    <w:basedOn w:val="DefaultParagraphFont"/>
    <w:rsid w:val="003B6323"/>
  </w:style>
  <w:style w:type="character" w:customStyle="1" w:styleId="comma-separator">
    <w:name w:val="comma-separator"/>
    <w:basedOn w:val="DefaultParagraphFont"/>
    <w:rsid w:val="003B6323"/>
  </w:style>
  <w:style w:type="character" w:customStyle="1" w:styleId="sr-only">
    <w:name w:val="sr-only"/>
    <w:basedOn w:val="DefaultParagraphFont"/>
    <w:rsid w:val="00C645FE"/>
  </w:style>
  <w:style w:type="character" w:styleId="Emphasis">
    <w:name w:val="Emphasis"/>
    <w:basedOn w:val="DefaultParagraphFont"/>
    <w:uiPriority w:val="20"/>
    <w:qFormat/>
    <w:rsid w:val="00953414"/>
    <w:rPr>
      <w:i/>
      <w:iCs/>
    </w:rPr>
  </w:style>
  <w:style w:type="paragraph" w:styleId="NoSpacing">
    <w:name w:val="No Spacing"/>
    <w:uiPriority w:val="1"/>
    <w:qFormat/>
    <w:rsid w:val="00D24A7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895859">
      <w:bodyDiv w:val="1"/>
      <w:marLeft w:val="0"/>
      <w:marRight w:val="0"/>
      <w:marTop w:val="0"/>
      <w:marBottom w:val="0"/>
      <w:divBdr>
        <w:top w:val="none" w:sz="0" w:space="0" w:color="auto"/>
        <w:left w:val="none" w:sz="0" w:space="0" w:color="auto"/>
        <w:bottom w:val="none" w:sz="0" w:space="0" w:color="auto"/>
        <w:right w:val="none" w:sz="0" w:space="0" w:color="auto"/>
      </w:divBdr>
    </w:div>
    <w:div w:id="817846201">
      <w:bodyDiv w:val="1"/>
      <w:marLeft w:val="0"/>
      <w:marRight w:val="0"/>
      <w:marTop w:val="0"/>
      <w:marBottom w:val="0"/>
      <w:divBdr>
        <w:top w:val="none" w:sz="0" w:space="0" w:color="auto"/>
        <w:left w:val="none" w:sz="0" w:space="0" w:color="auto"/>
        <w:bottom w:val="none" w:sz="0" w:space="0" w:color="auto"/>
        <w:right w:val="none" w:sz="0" w:space="0" w:color="auto"/>
      </w:divBdr>
    </w:div>
    <w:div w:id="1360425533">
      <w:bodyDiv w:val="1"/>
      <w:marLeft w:val="0"/>
      <w:marRight w:val="0"/>
      <w:marTop w:val="0"/>
      <w:marBottom w:val="0"/>
      <w:divBdr>
        <w:top w:val="none" w:sz="0" w:space="0" w:color="auto"/>
        <w:left w:val="none" w:sz="0" w:space="0" w:color="auto"/>
        <w:bottom w:val="none" w:sz="0" w:space="0" w:color="auto"/>
        <w:right w:val="none" w:sz="0" w:space="0" w:color="auto"/>
      </w:divBdr>
    </w:div>
    <w:div w:id="1376999878">
      <w:bodyDiv w:val="1"/>
      <w:marLeft w:val="0"/>
      <w:marRight w:val="0"/>
      <w:marTop w:val="0"/>
      <w:marBottom w:val="0"/>
      <w:divBdr>
        <w:top w:val="none" w:sz="0" w:space="0" w:color="auto"/>
        <w:left w:val="none" w:sz="0" w:space="0" w:color="auto"/>
        <w:bottom w:val="none" w:sz="0" w:space="0" w:color="auto"/>
        <w:right w:val="none" w:sz="0" w:space="0" w:color="auto"/>
      </w:divBdr>
    </w:div>
    <w:div w:id="1680043680">
      <w:bodyDiv w:val="1"/>
      <w:marLeft w:val="0"/>
      <w:marRight w:val="0"/>
      <w:marTop w:val="0"/>
      <w:marBottom w:val="0"/>
      <w:divBdr>
        <w:top w:val="none" w:sz="0" w:space="0" w:color="auto"/>
        <w:left w:val="none" w:sz="0" w:space="0" w:color="auto"/>
        <w:bottom w:val="none" w:sz="0" w:space="0" w:color="auto"/>
        <w:right w:val="none" w:sz="0" w:space="0" w:color="auto"/>
      </w:divBdr>
    </w:div>
    <w:div w:id="1826781179">
      <w:bodyDiv w:val="1"/>
      <w:marLeft w:val="0"/>
      <w:marRight w:val="0"/>
      <w:marTop w:val="0"/>
      <w:marBottom w:val="0"/>
      <w:divBdr>
        <w:top w:val="none" w:sz="0" w:space="0" w:color="auto"/>
        <w:left w:val="none" w:sz="0" w:space="0" w:color="auto"/>
        <w:bottom w:val="none" w:sz="0" w:space="0" w:color="auto"/>
        <w:right w:val="none" w:sz="0" w:space="0" w:color="auto"/>
      </w:divBdr>
      <w:divsChild>
        <w:div w:id="2121802015">
          <w:marLeft w:val="0"/>
          <w:marRight w:val="0"/>
          <w:marTop w:val="0"/>
          <w:marBottom w:val="120"/>
          <w:divBdr>
            <w:top w:val="none" w:sz="0" w:space="0" w:color="auto"/>
            <w:left w:val="none" w:sz="0" w:space="0" w:color="auto"/>
            <w:bottom w:val="single" w:sz="12" w:space="9" w:color="F0F0F0"/>
            <w:right w:val="none" w:sz="0" w:space="0" w:color="auto"/>
          </w:divBdr>
          <w:divsChild>
            <w:div w:id="1702438948">
              <w:marLeft w:val="0"/>
              <w:marRight w:val="0"/>
              <w:marTop w:val="100"/>
              <w:marBottom w:val="100"/>
              <w:divBdr>
                <w:top w:val="none" w:sz="0" w:space="0" w:color="auto"/>
                <w:left w:val="none" w:sz="0" w:space="0" w:color="auto"/>
                <w:bottom w:val="none" w:sz="0" w:space="0" w:color="auto"/>
                <w:right w:val="none" w:sz="0" w:space="0" w:color="auto"/>
              </w:divBdr>
              <w:divsChild>
                <w:div w:id="115880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324851">
          <w:marLeft w:val="0"/>
          <w:marRight w:val="0"/>
          <w:marTop w:val="0"/>
          <w:marBottom w:val="120"/>
          <w:divBdr>
            <w:top w:val="none" w:sz="0" w:space="0" w:color="auto"/>
            <w:left w:val="none" w:sz="0" w:space="0" w:color="auto"/>
            <w:bottom w:val="none" w:sz="0" w:space="0" w:color="auto"/>
            <w:right w:val="none" w:sz="0" w:space="0" w:color="auto"/>
          </w:divBdr>
          <w:divsChild>
            <w:div w:id="1753235663">
              <w:marLeft w:val="0"/>
              <w:marRight w:val="0"/>
              <w:marTop w:val="0"/>
              <w:marBottom w:val="0"/>
              <w:divBdr>
                <w:top w:val="none" w:sz="0" w:space="0" w:color="auto"/>
                <w:left w:val="none" w:sz="0" w:space="0" w:color="auto"/>
                <w:bottom w:val="none" w:sz="0" w:space="0" w:color="auto"/>
                <w:right w:val="none" w:sz="0" w:space="0" w:color="auto"/>
              </w:divBdr>
              <w:divsChild>
                <w:div w:id="1803616415">
                  <w:marLeft w:val="0"/>
                  <w:marRight w:val="0"/>
                  <w:marTop w:val="0"/>
                  <w:marBottom w:val="0"/>
                  <w:divBdr>
                    <w:top w:val="none" w:sz="0" w:space="0" w:color="auto"/>
                    <w:left w:val="none" w:sz="0" w:space="0" w:color="auto"/>
                    <w:bottom w:val="none" w:sz="0" w:space="0" w:color="auto"/>
                    <w:right w:val="none" w:sz="0" w:space="0" w:color="auto"/>
                  </w:divBdr>
                  <w:divsChild>
                    <w:div w:id="73485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7005362">
      <w:bodyDiv w:val="1"/>
      <w:marLeft w:val="0"/>
      <w:marRight w:val="0"/>
      <w:marTop w:val="0"/>
      <w:marBottom w:val="0"/>
      <w:divBdr>
        <w:top w:val="none" w:sz="0" w:space="0" w:color="auto"/>
        <w:left w:val="none" w:sz="0" w:space="0" w:color="auto"/>
        <w:bottom w:val="none" w:sz="0" w:space="0" w:color="auto"/>
        <w:right w:val="none" w:sz="0" w:space="0" w:color="auto"/>
      </w:divBdr>
    </w:div>
    <w:div w:id="1972903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 TargetMode="External"/><Relationship Id="rId13" Type="http://schemas.openxmlformats.org/officeDocument/2006/relationships/hyperlink" Target="https://www.ons.gov.uk/peoplepopulationandcommunity/crimeandjustice/bulletins/domesticabuseinenglandandwalesoverview/november2022" TargetMode="External"/><Relationship Id="rId3" Type="http://schemas.openxmlformats.org/officeDocument/2006/relationships/webSettings" Target="webSettings.xml"/><Relationship Id="rId7" Type="http://schemas.openxmlformats.org/officeDocument/2006/relationships/hyperlink" Target="https://www.lawteacher.net/acts/police-and-criminal-evidence-act.php" TargetMode="External"/><Relationship Id="rId12" Type="http://schemas.openxmlformats.org/officeDocument/2006/relationships/hyperlink" Target="https://www.simplypsychology.org/cognitive-interview.htm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assets.publishing.service.gov.uk/media/5a7d867140f0b65084e75b94/Code_of_Ethics_2014_Web_Accessible.pdf" TargetMode="External"/><Relationship Id="rId11" Type="http://schemas.openxmlformats.org/officeDocument/2006/relationships/hyperlink" Target="https://www.college.police.uk/ethics/code-of-ethics/principles" TargetMode="External"/><Relationship Id="rId5" Type="http://schemas.openxmlformats.org/officeDocument/2006/relationships/hyperlink" Target="https://www.gov.uk/government/publications/the-7-principles-of-public-life/the-7-principles-of-public-life--2" TargetMode="External"/><Relationship Id="rId15" Type="http://schemas.openxmlformats.org/officeDocument/2006/relationships/hyperlink" Target="https://www.legislation.gov.uk/ukpga/1984/60/section/1" TargetMode="External"/><Relationship Id="rId10" Type="http://schemas.openxmlformats.org/officeDocument/2006/relationships/hyperlink" Target="https://journals.sagepub.com/doi/full/10.1177/0032258X211000834" TargetMode="External"/><Relationship Id="rId4" Type="http://schemas.openxmlformats.org/officeDocument/2006/relationships/hyperlink" Target="https://hmicfrs.justiceinspectorates.gov.uk/about-us/what-we-do/" TargetMode="External"/><Relationship Id="rId9" Type="http://schemas.openxmlformats.org/officeDocument/2006/relationships/hyperlink" Target="https://dictionary.cambridge.org/dictionary/english/vulnerable" TargetMode="External"/><Relationship Id="rId14" Type="http://schemas.openxmlformats.org/officeDocument/2006/relationships/hyperlink" Target="https://www.gov.uk/government/publications/policing-by-consent/definition-of-policing-by-cons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12559</TotalTime>
  <Pages>10</Pages>
  <Words>5106</Words>
  <Characters>29105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Hedger, Luke</dc:creator>
  <cp:keywords/>
  <dc:description/>
  <cp:lastModifiedBy>Hedger, Luke</cp:lastModifiedBy>
  <cp:revision>215</cp:revision>
  <dcterms:created xsi:type="dcterms:W3CDTF">2024-05-21T09:15:00Z</dcterms:created>
  <dcterms:modified xsi:type="dcterms:W3CDTF">2024-07-22T17:51:00Z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2024-05-21T12:24:36Z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1cd057d5-d05c-4eea-ae55-00e07637ad3c</vt:lpwstr>
  </property>
  <property fmtid="{D5CDD505-2E9C-101B-9397-08002B2CF9AE}" pid="8" name="MSIP_Label_f2acd28b-79a3-4a0f-b0ff-4b75658b1549_ContentBits">
    <vt:lpwstr>0</vt:lpwstr>
  </property>
</Properties>
</file>