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2F5802" w14:textId="4BB33EDA" w:rsidR="00BF7BFE" w:rsidRPr="00E4197F" w:rsidRDefault="00BF7BFE" w:rsidP="00BF7BFE">
      <w:pPr>
        <w:rPr>
          <w:rFonts w:ascii="Arial" w:hAnsi="Arial" w:cs="Arial"/>
          <w:sz w:val="24"/>
          <w:szCs w:val="24"/>
        </w:rPr>
      </w:pPr>
      <w:r w:rsidRPr="00E4197F">
        <w:rPr>
          <w:rFonts w:ascii="Arial" w:hAnsi="Arial" w:cs="Arial"/>
          <w:sz w:val="24"/>
          <w:szCs w:val="24"/>
        </w:rPr>
        <w:t>The Divorce, Dissolution, and Separation Act 2020 (DDSA 2020) marked a significant paradigm shift in the legal landscape governing divorce in England &amp; Wales. Historically, divorce laws in the region were steeped in a fault-based approach, necessitating the attribution of blame to one party, potentially exacerbating acrimony between spouses. However, the DDSA 2020, which came into effect to modernize and streamline the divorce process, introduced a no-fault provision, promising a more amicable and less contentious dissolution of marriages. This essay aims to critically examine the impact of the DDSA 2020 on divorce cases in England &amp; Wales, seeking to discern whether the legislative changes have ushered in a positive transformation or introduced unintended consequences. By delving into the historical context, key provisions of the DDSA 2020, and contrasting arguments regarding its effects, this analysis will navigate the nuanced terrain of family law, shedding light on the evolving dynamics of marital dissolution in the aftermath of this landmark legislation. As we explore both the merits and potential drawbacks of the DDSA 2020, the ultimate goal is to assess whether the recent legal reforms have succeeded in fostering healthier separations or inadvertently given rise to unforeseen challenges within the family law framework of England &amp; Wales.</w:t>
      </w:r>
    </w:p>
    <w:p w14:paraId="2474FB83" w14:textId="7C8D544D" w:rsidR="00B95058" w:rsidRPr="00E4197F" w:rsidRDefault="001A31EA" w:rsidP="00B95058">
      <w:pPr>
        <w:rPr>
          <w:rFonts w:ascii="Arial" w:hAnsi="Arial" w:cs="Arial"/>
          <w:sz w:val="24"/>
          <w:szCs w:val="24"/>
        </w:rPr>
      </w:pPr>
      <w:r>
        <w:rPr>
          <w:rFonts w:ascii="Arial" w:hAnsi="Arial" w:cs="Arial"/>
          <w:sz w:val="24"/>
          <w:szCs w:val="24"/>
          <w:lang w:eastAsia="en-GB"/>
        </w:rPr>
        <w:t xml:space="preserve">The predecessor of </w:t>
      </w:r>
      <w:r w:rsidR="003463C3">
        <w:rPr>
          <w:rFonts w:ascii="Arial" w:hAnsi="Arial" w:cs="Arial"/>
          <w:sz w:val="24"/>
          <w:szCs w:val="24"/>
          <w:lang w:eastAsia="en-GB"/>
        </w:rPr>
        <w:t xml:space="preserve">the DDSA 2020; </w:t>
      </w:r>
      <w:r w:rsidR="00C2521E" w:rsidRPr="00E4197F">
        <w:rPr>
          <w:rFonts w:ascii="Arial" w:hAnsi="Arial" w:cs="Arial"/>
          <w:sz w:val="24"/>
          <w:szCs w:val="24"/>
          <w:lang w:eastAsia="en-GB"/>
        </w:rPr>
        <w:t>The Matrimonial Causes Act 1973</w:t>
      </w:r>
      <w:r w:rsidR="003463C3">
        <w:rPr>
          <w:rFonts w:ascii="Arial" w:hAnsi="Arial" w:cs="Arial"/>
          <w:sz w:val="24"/>
          <w:szCs w:val="24"/>
          <w:lang w:eastAsia="en-GB"/>
        </w:rPr>
        <w:t>,</w:t>
      </w:r>
      <w:r w:rsidR="00C2521E" w:rsidRPr="00E4197F">
        <w:rPr>
          <w:rFonts w:ascii="Arial" w:hAnsi="Arial" w:cs="Arial"/>
          <w:sz w:val="24"/>
          <w:szCs w:val="24"/>
          <w:lang w:eastAsia="en-GB"/>
        </w:rPr>
        <w:t xml:space="preserve"> established the grounds for divorce, including adultery, unreasonable </w:t>
      </w:r>
      <w:r w:rsidR="00645B07" w:rsidRPr="00E4197F">
        <w:rPr>
          <w:rFonts w:ascii="Arial" w:hAnsi="Arial" w:cs="Arial"/>
          <w:sz w:val="24"/>
          <w:szCs w:val="24"/>
          <w:lang w:eastAsia="en-GB"/>
        </w:rPr>
        <w:t>behaviour</w:t>
      </w:r>
      <w:r w:rsidR="00C2521E" w:rsidRPr="00E4197F">
        <w:rPr>
          <w:rFonts w:ascii="Arial" w:hAnsi="Arial" w:cs="Arial"/>
          <w:sz w:val="24"/>
          <w:szCs w:val="24"/>
          <w:lang w:eastAsia="en-GB"/>
        </w:rPr>
        <w:t xml:space="preserve">, desertion, and periods of separation. </w:t>
      </w:r>
      <w:r w:rsidR="00A44B2E">
        <w:rPr>
          <w:rFonts w:ascii="Arial" w:hAnsi="Arial" w:cs="Arial"/>
          <w:sz w:val="24"/>
          <w:szCs w:val="24"/>
        </w:rPr>
        <w:t>In the case of</w:t>
      </w:r>
      <w:r w:rsidR="00EB033C">
        <w:rPr>
          <w:rFonts w:ascii="Arial" w:hAnsi="Arial" w:cs="Arial"/>
          <w:sz w:val="24"/>
          <w:szCs w:val="24"/>
        </w:rPr>
        <w:t xml:space="preserve"> Buffery v Buffery (1988), which involved a husband and wife </w:t>
      </w:r>
      <w:r w:rsidR="002C1047">
        <w:rPr>
          <w:rFonts w:ascii="Arial" w:hAnsi="Arial" w:cs="Arial"/>
          <w:sz w:val="24"/>
          <w:szCs w:val="24"/>
        </w:rPr>
        <w:t>who</w:t>
      </w:r>
      <w:r w:rsidR="00EB033C">
        <w:rPr>
          <w:rFonts w:ascii="Arial" w:hAnsi="Arial" w:cs="Arial"/>
          <w:sz w:val="24"/>
          <w:szCs w:val="24"/>
        </w:rPr>
        <w:t xml:space="preserve"> had been married for 20 years,</w:t>
      </w:r>
      <w:r w:rsidR="00A13E84">
        <w:rPr>
          <w:rFonts w:ascii="Arial" w:hAnsi="Arial" w:cs="Arial"/>
          <w:sz w:val="24"/>
          <w:szCs w:val="24"/>
        </w:rPr>
        <w:t xml:space="preserve"> </w:t>
      </w:r>
      <w:r w:rsidR="00EB033C">
        <w:rPr>
          <w:rFonts w:ascii="Arial" w:hAnsi="Arial" w:cs="Arial"/>
          <w:sz w:val="24"/>
          <w:szCs w:val="24"/>
        </w:rPr>
        <w:t xml:space="preserve">the wife complained that the marriage had broken down due to the pair having “nothing in common” since their children had left home. Her petition for divorce was denied, on the basis that the wife had not shown any unreasonable behaviour on the </w:t>
      </w:r>
      <w:r w:rsidR="002C2CEB">
        <w:rPr>
          <w:rFonts w:ascii="Arial" w:hAnsi="Arial" w:cs="Arial"/>
          <w:sz w:val="24"/>
          <w:szCs w:val="24"/>
        </w:rPr>
        <w:t>husband’s</w:t>
      </w:r>
      <w:r w:rsidR="00EB033C">
        <w:rPr>
          <w:rFonts w:ascii="Arial" w:hAnsi="Arial" w:cs="Arial"/>
          <w:sz w:val="24"/>
          <w:szCs w:val="24"/>
        </w:rPr>
        <w:t xml:space="preserve"> part, and therefore didn’t meet the requirements for divorce under s.1 (2)(b) of the Matrimonial Causes Act 1973. </w:t>
      </w:r>
      <w:r w:rsidR="00A90BC4">
        <w:rPr>
          <w:rFonts w:ascii="Arial" w:hAnsi="Arial" w:cs="Arial"/>
          <w:sz w:val="24"/>
          <w:szCs w:val="24"/>
        </w:rPr>
        <w:t xml:space="preserve">It may be argued in this case that it’s unfair to expect a wife to continue with </w:t>
      </w:r>
      <w:r w:rsidR="006B1AC0">
        <w:rPr>
          <w:rFonts w:ascii="Arial" w:hAnsi="Arial" w:cs="Arial"/>
          <w:sz w:val="24"/>
          <w:szCs w:val="24"/>
        </w:rPr>
        <w:t xml:space="preserve">a marriage and not be </w:t>
      </w:r>
      <w:r w:rsidR="00BB604A">
        <w:rPr>
          <w:rFonts w:ascii="Arial" w:hAnsi="Arial" w:cs="Arial"/>
          <w:sz w:val="24"/>
          <w:szCs w:val="24"/>
        </w:rPr>
        <w:t>permitted</w:t>
      </w:r>
      <w:r w:rsidR="006B1AC0">
        <w:rPr>
          <w:rFonts w:ascii="Arial" w:hAnsi="Arial" w:cs="Arial"/>
          <w:sz w:val="24"/>
          <w:szCs w:val="24"/>
        </w:rPr>
        <w:t xml:space="preserve"> to divorce if she is unhappy in the marriage. On the other hand, it can be argued that if the husband hasn’t </w:t>
      </w:r>
      <w:r w:rsidR="00DF4494">
        <w:rPr>
          <w:rFonts w:ascii="Arial" w:hAnsi="Arial" w:cs="Arial"/>
          <w:sz w:val="24"/>
          <w:szCs w:val="24"/>
        </w:rPr>
        <w:t xml:space="preserve">acted unreasonably in the marriage, </w:t>
      </w:r>
      <w:r w:rsidR="00DB088E">
        <w:rPr>
          <w:rFonts w:ascii="Arial" w:hAnsi="Arial" w:cs="Arial"/>
          <w:sz w:val="24"/>
          <w:szCs w:val="24"/>
        </w:rPr>
        <w:t>then there should be no grounds for divorce in the first place (LexisPSL</w:t>
      </w:r>
      <w:r w:rsidR="00567599">
        <w:rPr>
          <w:rFonts w:ascii="Arial" w:hAnsi="Arial" w:cs="Arial"/>
          <w:sz w:val="24"/>
          <w:szCs w:val="24"/>
        </w:rPr>
        <w:t>, no date).</w:t>
      </w:r>
      <w:r w:rsidR="002F3416">
        <w:rPr>
          <w:rFonts w:ascii="Arial" w:hAnsi="Arial" w:cs="Arial"/>
          <w:sz w:val="24"/>
          <w:szCs w:val="24"/>
        </w:rPr>
        <w:t xml:space="preserve"> In the case of Owens v Owens</w:t>
      </w:r>
      <w:r w:rsidR="00571F30">
        <w:rPr>
          <w:rFonts w:ascii="Arial" w:hAnsi="Arial" w:cs="Arial"/>
          <w:sz w:val="24"/>
          <w:szCs w:val="24"/>
        </w:rPr>
        <w:t xml:space="preserve"> (2017)</w:t>
      </w:r>
      <w:r w:rsidR="002F3416">
        <w:rPr>
          <w:rFonts w:ascii="Arial" w:hAnsi="Arial" w:cs="Arial"/>
          <w:sz w:val="24"/>
          <w:szCs w:val="24"/>
        </w:rPr>
        <w:t xml:space="preserve">, the judge found that the marriage had broken down, </w:t>
      </w:r>
      <w:r w:rsidR="0087127F">
        <w:rPr>
          <w:rFonts w:ascii="Arial" w:hAnsi="Arial" w:cs="Arial"/>
          <w:sz w:val="24"/>
          <w:szCs w:val="24"/>
        </w:rPr>
        <w:t>yet denied the applicant’s petition for divorce</w:t>
      </w:r>
      <w:r w:rsidR="00400719">
        <w:rPr>
          <w:rFonts w:ascii="Arial" w:hAnsi="Arial" w:cs="Arial"/>
          <w:sz w:val="24"/>
          <w:szCs w:val="24"/>
        </w:rPr>
        <w:t>, leaving critics with the view that the law was “unreasonable” (</w:t>
      </w:r>
      <w:r w:rsidR="007800DE">
        <w:rPr>
          <w:rFonts w:ascii="Arial" w:hAnsi="Arial" w:cs="Arial"/>
          <w:sz w:val="24"/>
          <w:szCs w:val="24"/>
        </w:rPr>
        <w:t xml:space="preserve">Carroll &amp; Pollock, 2018). </w:t>
      </w:r>
      <w:r w:rsidR="00C2521E" w:rsidRPr="00E4197F">
        <w:rPr>
          <w:rFonts w:ascii="Arial" w:hAnsi="Arial" w:cs="Arial"/>
          <w:sz w:val="24"/>
          <w:szCs w:val="24"/>
          <w:lang w:eastAsia="en-GB"/>
        </w:rPr>
        <w:t>Subsequent amendments made by the DDSA 2020 have refined these grounds and introduced new consideration</w:t>
      </w:r>
      <w:r w:rsidR="00645B07" w:rsidRPr="00E4197F">
        <w:rPr>
          <w:rFonts w:ascii="Arial" w:hAnsi="Arial" w:cs="Arial"/>
          <w:sz w:val="24"/>
          <w:szCs w:val="24"/>
          <w:lang w:eastAsia="en-GB"/>
        </w:rPr>
        <w:t>s</w:t>
      </w:r>
      <w:r w:rsidR="00F40C27" w:rsidRPr="00E4197F">
        <w:rPr>
          <w:rFonts w:ascii="Arial" w:hAnsi="Arial" w:cs="Arial"/>
          <w:sz w:val="24"/>
          <w:szCs w:val="24"/>
          <w:lang w:eastAsia="en-GB"/>
        </w:rPr>
        <w:t xml:space="preserve"> </w:t>
      </w:r>
      <w:r w:rsidR="00645B07" w:rsidRPr="00E4197F">
        <w:rPr>
          <w:rFonts w:ascii="Arial" w:hAnsi="Arial" w:cs="Arial"/>
          <w:sz w:val="24"/>
          <w:szCs w:val="24"/>
          <w:lang w:eastAsia="en-GB"/>
        </w:rPr>
        <w:t xml:space="preserve">by introducing a no-fault provision, eliminating the need to attribute blame publicly. </w:t>
      </w:r>
      <w:r w:rsidR="00B95058" w:rsidRPr="00E4197F">
        <w:rPr>
          <w:rFonts w:ascii="Arial" w:hAnsi="Arial" w:cs="Arial"/>
          <w:sz w:val="24"/>
          <w:szCs w:val="24"/>
          <w:lang w:eastAsia="en-GB"/>
        </w:rPr>
        <w:t>This change aimed to make divorce less acrimonious, reduce emotional distress, and streamline the legal process. Additionally, the Act emphasized the importance of mediation and alternative dispute resolution methods, reflecting a shift towards a more collaborative approach to divorce. While the DDSA 2020 marked a significant departure from the fault-based system of the Matrimonial Causes Act 1973, ongoing discussions and evaluations continue to shape the landscape of family law in England &amp; Wales.</w:t>
      </w:r>
      <w:r w:rsidR="00D45D7A" w:rsidRPr="00E4197F">
        <w:rPr>
          <w:rFonts w:ascii="Arial" w:hAnsi="Arial" w:cs="Arial"/>
          <w:sz w:val="24"/>
          <w:szCs w:val="24"/>
          <w:lang w:eastAsia="en-GB"/>
        </w:rPr>
        <w:t xml:space="preserve"> </w:t>
      </w:r>
      <w:r w:rsidR="0031771F">
        <w:rPr>
          <w:rFonts w:ascii="Arial" w:hAnsi="Arial" w:cs="Arial"/>
          <w:sz w:val="24"/>
          <w:szCs w:val="24"/>
          <w:lang w:eastAsia="en-GB"/>
        </w:rPr>
        <w:t>Now, there is</w:t>
      </w:r>
      <w:r w:rsidR="0031771F" w:rsidRPr="0031771F">
        <w:rPr>
          <w:rFonts w:ascii="Arial" w:hAnsi="Arial" w:cs="Arial"/>
          <w:sz w:val="24"/>
          <w:szCs w:val="24"/>
          <w:lang w:eastAsia="en-GB"/>
        </w:rPr>
        <w:t xml:space="preserve"> only one basis on which a divorce petition may be filed with the court by either of the parties to the marriage: the irretrievable breakdown of the marriage</w:t>
      </w:r>
      <w:r w:rsidR="00033403">
        <w:rPr>
          <w:rFonts w:ascii="Arial" w:hAnsi="Arial" w:cs="Arial"/>
          <w:sz w:val="24"/>
          <w:szCs w:val="24"/>
          <w:lang w:eastAsia="en-GB"/>
        </w:rPr>
        <w:t xml:space="preserve"> (</w:t>
      </w:r>
      <w:r w:rsidR="00D819E5">
        <w:rPr>
          <w:rFonts w:ascii="Arial" w:hAnsi="Arial" w:cs="Arial"/>
          <w:sz w:val="24"/>
          <w:szCs w:val="24"/>
          <w:lang w:eastAsia="en-GB"/>
        </w:rPr>
        <w:t xml:space="preserve">DDSA 2020, </w:t>
      </w:r>
      <w:r w:rsidR="003B3A33">
        <w:rPr>
          <w:rFonts w:ascii="Arial" w:hAnsi="Arial" w:cs="Arial"/>
          <w:sz w:val="24"/>
          <w:szCs w:val="24"/>
          <w:lang w:eastAsia="en-GB"/>
        </w:rPr>
        <w:t xml:space="preserve">s 1(1)). </w:t>
      </w:r>
      <w:r w:rsidR="002C551B" w:rsidRPr="002C551B">
        <w:rPr>
          <w:rFonts w:ascii="Arial" w:hAnsi="Arial" w:cs="Arial"/>
          <w:sz w:val="24"/>
          <w:szCs w:val="24"/>
          <w:lang w:eastAsia="en-GB"/>
        </w:rPr>
        <w:t>A new minimum overall time-frame of six months was introduced by DDSA 2020</w:t>
      </w:r>
      <w:r w:rsidR="004241C7">
        <w:rPr>
          <w:rFonts w:ascii="Arial" w:hAnsi="Arial" w:cs="Arial"/>
          <w:sz w:val="24"/>
          <w:szCs w:val="24"/>
          <w:lang w:eastAsia="en-GB"/>
        </w:rPr>
        <w:t xml:space="preserve"> (</w:t>
      </w:r>
      <w:r w:rsidR="00B00703">
        <w:rPr>
          <w:rFonts w:ascii="Arial" w:hAnsi="Arial" w:cs="Arial"/>
          <w:sz w:val="24"/>
          <w:szCs w:val="24"/>
          <w:lang w:eastAsia="en-GB"/>
        </w:rPr>
        <w:t>GOV.UK, no date)</w:t>
      </w:r>
      <w:r w:rsidR="002C551B" w:rsidRPr="002C551B">
        <w:rPr>
          <w:rFonts w:ascii="Arial" w:hAnsi="Arial" w:cs="Arial"/>
          <w:sz w:val="24"/>
          <w:szCs w:val="24"/>
          <w:lang w:eastAsia="en-GB"/>
        </w:rPr>
        <w:t xml:space="preserve">. This consists of a "minimum period" in divorce and dissolution proceedings of 20 weeks from the time the court issues the application to the point at which the </w:t>
      </w:r>
      <w:r w:rsidR="002C551B" w:rsidRPr="002C551B">
        <w:rPr>
          <w:rFonts w:ascii="Arial" w:hAnsi="Arial" w:cs="Arial"/>
          <w:sz w:val="24"/>
          <w:szCs w:val="24"/>
          <w:lang w:eastAsia="en-GB"/>
        </w:rPr>
        <w:lastRenderedPageBreak/>
        <w:t>applicant(s) may apply for a conditional order, and a minimum of 6 weeks from that point on until the order can be made final</w:t>
      </w:r>
      <w:r w:rsidR="002C551B">
        <w:rPr>
          <w:rFonts w:ascii="Arial" w:hAnsi="Arial" w:cs="Arial"/>
          <w:sz w:val="24"/>
          <w:szCs w:val="24"/>
          <w:lang w:eastAsia="en-GB"/>
        </w:rPr>
        <w:t xml:space="preserve"> (</w:t>
      </w:r>
      <w:r w:rsidR="00C87979">
        <w:rPr>
          <w:rFonts w:ascii="Arial" w:hAnsi="Arial" w:cs="Arial"/>
          <w:sz w:val="24"/>
          <w:szCs w:val="24"/>
          <w:lang w:eastAsia="en-GB"/>
        </w:rPr>
        <w:t xml:space="preserve">LexisPSL, 2020). </w:t>
      </w:r>
      <w:r w:rsidR="00F910F2">
        <w:rPr>
          <w:rFonts w:ascii="Arial" w:hAnsi="Arial" w:cs="Arial"/>
          <w:sz w:val="24"/>
          <w:szCs w:val="24"/>
          <w:lang w:eastAsia="en-GB"/>
        </w:rPr>
        <w:t>And, f</w:t>
      </w:r>
      <w:r w:rsidR="00F910F2" w:rsidRPr="00F910F2">
        <w:rPr>
          <w:rFonts w:ascii="Arial" w:hAnsi="Arial" w:cs="Arial"/>
          <w:sz w:val="24"/>
          <w:szCs w:val="24"/>
          <w:lang w:eastAsia="en-GB"/>
        </w:rPr>
        <w:t>or the first time, either or both of the parties to the marriage or civil partnership may file an application for a divorce, dissolution, or separation; this is known as a joint application</w:t>
      </w:r>
      <w:r w:rsidR="00F910F2">
        <w:rPr>
          <w:rFonts w:ascii="Arial" w:hAnsi="Arial" w:cs="Arial"/>
          <w:sz w:val="24"/>
          <w:szCs w:val="24"/>
          <w:lang w:eastAsia="en-GB"/>
        </w:rPr>
        <w:t xml:space="preserve"> (DDSA, s</w:t>
      </w:r>
      <w:r w:rsidR="00772DE6">
        <w:rPr>
          <w:rFonts w:ascii="Arial" w:hAnsi="Arial" w:cs="Arial"/>
          <w:sz w:val="24"/>
          <w:szCs w:val="24"/>
          <w:lang w:eastAsia="en-GB"/>
        </w:rPr>
        <w:t xml:space="preserve"> 1(1 &amp; 3)). </w:t>
      </w:r>
    </w:p>
    <w:p w14:paraId="42EC789E" w14:textId="02C2D163" w:rsidR="00723672" w:rsidRPr="00723672" w:rsidRDefault="00723672" w:rsidP="00723672">
      <w:pPr>
        <w:rPr>
          <w:rFonts w:ascii="Arial" w:hAnsi="Arial" w:cs="Arial"/>
          <w:sz w:val="24"/>
          <w:szCs w:val="24"/>
          <w:lang w:eastAsia="en-GB"/>
        </w:rPr>
      </w:pPr>
      <w:r w:rsidRPr="00723672">
        <w:rPr>
          <w:rFonts w:ascii="Arial" w:hAnsi="Arial" w:cs="Arial"/>
          <w:sz w:val="24"/>
          <w:szCs w:val="24"/>
          <w:lang w:eastAsia="en-GB"/>
        </w:rPr>
        <w:t xml:space="preserve">The Civil Partnership Act 2004 in England and Wales came into force on December 5, 2005. The primary purpose of this act was to create a legal framework for same-sex couples to </w:t>
      </w:r>
      <w:r w:rsidR="00E54E09" w:rsidRPr="00723672">
        <w:rPr>
          <w:rFonts w:ascii="Arial" w:hAnsi="Arial" w:cs="Arial"/>
          <w:sz w:val="24"/>
          <w:szCs w:val="24"/>
          <w:lang w:eastAsia="en-GB"/>
        </w:rPr>
        <w:t>enter</w:t>
      </w:r>
      <w:r w:rsidRPr="00723672">
        <w:rPr>
          <w:rFonts w:ascii="Arial" w:hAnsi="Arial" w:cs="Arial"/>
          <w:sz w:val="24"/>
          <w:szCs w:val="24"/>
          <w:lang w:eastAsia="en-GB"/>
        </w:rPr>
        <w:t xml:space="preserve"> civil partnerships</w:t>
      </w:r>
      <w:r w:rsidR="0010007E">
        <w:rPr>
          <w:rFonts w:ascii="Arial" w:hAnsi="Arial" w:cs="Arial"/>
          <w:sz w:val="24"/>
          <w:szCs w:val="24"/>
          <w:lang w:eastAsia="en-GB"/>
        </w:rPr>
        <w:t xml:space="preserve"> (Lexis+ UK, no date)</w:t>
      </w:r>
      <w:r w:rsidRPr="00723672">
        <w:rPr>
          <w:rFonts w:ascii="Arial" w:hAnsi="Arial" w:cs="Arial"/>
          <w:sz w:val="24"/>
          <w:szCs w:val="24"/>
          <w:lang w:eastAsia="en-GB"/>
        </w:rPr>
        <w:t>. Before this act, same-sex couples did not have a legal means to have their relationships officially recognized with the same legal rights and responsibilities as marriage.</w:t>
      </w:r>
      <w:r w:rsidR="00331676" w:rsidRPr="00331676">
        <w:rPr>
          <w:rFonts w:ascii="Arial" w:hAnsi="Arial" w:cs="Arial"/>
          <w:sz w:val="24"/>
          <w:szCs w:val="24"/>
          <w:lang w:eastAsia="en-GB"/>
        </w:rPr>
        <w:t xml:space="preserve"> </w:t>
      </w:r>
      <w:r w:rsidRPr="00723672">
        <w:rPr>
          <w:rFonts w:ascii="Arial" w:hAnsi="Arial" w:cs="Arial"/>
          <w:sz w:val="24"/>
          <w:szCs w:val="24"/>
          <w:lang w:eastAsia="en-GB"/>
        </w:rPr>
        <w:t>Civil partners have legal rights and responsibilities in areas such as property, inheritance, pensions, and next-of-kin status</w:t>
      </w:r>
      <w:r w:rsidR="00C0571E">
        <w:rPr>
          <w:rFonts w:ascii="Arial" w:hAnsi="Arial" w:cs="Arial"/>
          <w:sz w:val="24"/>
          <w:szCs w:val="24"/>
          <w:lang w:eastAsia="en-GB"/>
        </w:rPr>
        <w:t xml:space="preserve"> (</w:t>
      </w:r>
      <w:r w:rsidR="00294D14">
        <w:rPr>
          <w:rFonts w:ascii="Arial" w:hAnsi="Arial" w:cs="Arial"/>
          <w:sz w:val="24"/>
          <w:szCs w:val="24"/>
          <w:lang w:eastAsia="en-GB"/>
        </w:rPr>
        <w:t xml:space="preserve">Mallender &amp; Rayson, </w:t>
      </w:r>
      <w:r w:rsidR="00F161F9">
        <w:rPr>
          <w:rFonts w:ascii="Arial" w:hAnsi="Arial" w:cs="Arial"/>
          <w:sz w:val="24"/>
          <w:szCs w:val="24"/>
          <w:lang w:eastAsia="en-GB"/>
        </w:rPr>
        <w:t>2005, p.5)</w:t>
      </w:r>
      <w:r w:rsidRPr="00723672">
        <w:rPr>
          <w:rFonts w:ascii="Arial" w:hAnsi="Arial" w:cs="Arial"/>
          <w:sz w:val="24"/>
          <w:szCs w:val="24"/>
          <w:lang w:eastAsia="en-GB"/>
        </w:rPr>
        <w:t xml:space="preserve">. The act includes provisions for the dissolution of civil partnerships, which is </w:t>
      </w:r>
      <w:r w:rsidR="00E54E09">
        <w:rPr>
          <w:rFonts w:ascii="Arial" w:hAnsi="Arial" w:cs="Arial"/>
          <w:sz w:val="24"/>
          <w:szCs w:val="24"/>
          <w:lang w:eastAsia="en-GB"/>
        </w:rPr>
        <w:t xml:space="preserve">similar to </w:t>
      </w:r>
      <w:r w:rsidRPr="00723672">
        <w:rPr>
          <w:rFonts w:ascii="Arial" w:hAnsi="Arial" w:cs="Arial"/>
          <w:sz w:val="24"/>
          <w:szCs w:val="24"/>
          <w:lang w:eastAsia="en-GB"/>
        </w:rPr>
        <w:t xml:space="preserve">divorce for married couples. It outlines the legal processes for ending a civil </w:t>
      </w:r>
      <w:r w:rsidR="00E54E09" w:rsidRPr="00723672">
        <w:rPr>
          <w:rFonts w:ascii="Arial" w:hAnsi="Arial" w:cs="Arial"/>
          <w:sz w:val="24"/>
          <w:szCs w:val="24"/>
          <w:lang w:eastAsia="en-GB"/>
        </w:rPr>
        <w:t>partnership</w:t>
      </w:r>
      <w:r w:rsidR="003E02FF">
        <w:rPr>
          <w:rFonts w:ascii="Arial" w:hAnsi="Arial" w:cs="Arial"/>
          <w:sz w:val="24"/>
          <w:szCs w:val="24"/>
          <w:lang w:eastAsia="en-GB"/>
        </w:rPr>
        <w:t xml:space="preserve"> (GOV.UK, no date)</w:t>
      </w:r>
      <w:r w:rsidR="00E54E09" w:rsidRPr="00723672">
        <w:rPr>
          <w:rFonts w:ascii="Arial" w:hAnsi="Arial" w:cs="Arial"/>
          <w:sz w:val="24"/>
          <w:szCs w:val="24"/>
          <w:lang w:eastAsia="en-GB"/>
        </w:rPr>
        <w:t xml:space="preserve">. </w:t>
      </w:r>
      <w:r w:rsidR="006777D0">
        <w:rPr>
          <w:rFonts w:ascii="Arial" w:hAnsi="Arial" w:cs="Arial"/>
          <w:sz w:val="24"/>
          <w:szCs w:val="24"/>
          <w:lang w:eastAsia="en-GB"/>
        </w:rPr>
        <w:t>At</w:t>
      </w:r>
      <w:r w:rsidRPr="00723672">
        <w:rPr>
          <w:rFonts w:ascii="Arial" w:hAnsi="Arial" w:cs="Arial"/>
          <w:sz w:val="24"/>
          <w:szCs w:val="24"/>
          <w:lang w:eastAsia="en-GB"/>
        </w:rPr>
        <w:t xml:space="preserve"> the time of the Civil Partnership Act 2004, it was specifically focused on same-sex couples. However, subsequent legal developments expanded the availability of civil partnerships to opposite-sex couples as well. In 2018, the Supreme Court ruled that the exclusion of opposite-sex couples from civil partnerships was discriminatory, leading to a change in the law</w:t>
      </w:r>
      <w:r w:rsidR="0062710C">
        <w:rPr>
          <w:rFonts w:ascii="Arial" w:hAnsi="Arial" w:cs="Arial"/>
          <w:sz w:val="24"/>
          <w:szCs w:val="24"/>
          <w:lang w:eastAsia="en-GB"/>
        </w:rPr>
        <w:t xml:space="preserve"> (BBC, 2018)</w:t>
      </w:r>
      <w:r w:rsidRPr="00723672">
        <w:rPr>
          <w:rFonts w:ascii="Arial" w:hAnsi="Arial" w:cs="Arial"/>
          <w:sz w:val="24"/>
          <w:szCs w:val="24"/>
          <w:lang w:eastAsia="en-GB"/>
        </w:rPr>
        <w:t>.</w:t>
      </w:r>
      <w:r w:rsidR="00331676" w:rsidRPr="00331676">
        <w:rPr>
          <w:rFonts w:ascii="Arial" w:hAnsi="Arial" w:cs="Arial"/>
          <w:sz w:val="24"/>
          <w:szCs w:val="24"/>
          <w:lang w:eastAsia="en-GB"/>
        </w:rPr>
        <w:t xml:space="preserve"> The </w:t>
      </w:r>
      <w:r w:rsidRPr="00723672">
        <w:rPr>
          <w:rFonts w:ascii="Arial" w:hAnsi="Arial" w:cs="Arial"/>
          <w:sz w:val="24"/>
          <w:szCs w:val="24"/>
          <w:lang w:eastAsia="en-GB"/>
        </w:rPr>
        <w:t xml:space="preserve">Civil Partnership Act 2004 was a landmark piece of legislation that granted legal recognition and rights to same-sex couples in civil partnerships, </w:t>
      </w:r>
      <w:r w:rsidR="006F4878">
        <w:rPr>
          <w:rFonts w:ascii="Arial" w:hAnsi="Arial" w:cs="Arial"/>
          <w:sz w:val="24"/>
          <w:szCs w:val="24"/>
          <w:lang w:eastAsia="en-GB"/>
        </w:rPr>
        <w:t>later evolving</w:t>
      </w:r>
      <w:r w:rsidRPr="00723672">
        <w:rPr>
          <w:rFonts w:ascii="Arial" w:hAnsi="Arial" w:cs="Arial"/>
          <w:sz w:val="24"/>
          <w:szCs w:val="24"/>
          <w:lang w:eastAsia="en-GB"/>
        </w:rPr>
        <w:t xml:space="preserve"> to include opposite-sex couples as well</w:t>
      </w:r>
      <w:r w:rsidR="001218EA">
        <w:rPr>
          <w:rFonts w:ascii="Arial" w:hAnsi="Arial" w:cs="Arial"/>
          <w:sz w:val="24"/>
          <w:szCs w:val="24"/>
          <w:lang w:eastAsia="en-GB"/>
        </w:rPr>
        <w:t xml:space="preserve"> (</w:t>
      </w:r>
      <w:r w:rsidR="007649D9">
        <w:rPr>
          <w:rFonts w:ascii="Arial" w:hAnsi="Arial" w:cs="Arial"/>
          <w:sz w:val="24"/>
          <w:szCs w:val="24"/>
          <w:lang w:eastAsia="en-GB"/>
        </w:rPr>
        <w:t>Duffield,</w:t>
      </w:r>
      <w:r w:rsidR="00F1328E">
        <w:rPr>
          <w:rFonts w:ascii="Arial" w:hAnsi="Arial" w:cs="Arial"/>
          <w:sz w:val="24"/>
          <w:szCs w:val="24"/>
          <w:lang w:eastAsia="en-GB"/>
        </w:rPr>
        <w:t xml:space="preserve"> Kempton and Sabine,</w:t>
      </w:r>
      <w:r w:rsidR="007649D9">
        <w:rPr>
          <w:rFonts w:ascii="Arial" w:hAnsi="Arial" w:cs="Arial"/>
          <w:sz w:val="24"/>
          <w:szCs w:val="24"/>
          <w:lang w:eastAsia="en-GB"/>
        </w:rPr>
        <w:t xml:space="preserve"> </w:t>
      </w:r>
      <w:r w:rsidR="001218EA">
        <w:rPr>
          <w:rFonts w:ascii="Arial" w:hAnsi="Arial" w:cs="Arial"/>
          <w:sz w:val="24"/>
          <w:szCs w:val="24"/>
          <w:lang w:eastAsia="en-GB"/>
        </w:rPr>
        <w:t>2021, p.321)</w:t>
      </w:r>
      <w:r w:rsidR="00BF08EF">
        <w:rPr>
          <w:rFonts w:ascii="Arial" w:hAnsi="Arial" w:cs="Arial"/>
          <w:sz w:val="24"/>
          <w:szCs w:val="24"/>
          <w:lang w:eastAsia="en-GB"/>
        </w:rPr>
        <w:t>.</w:t>
      </w:r>
    </w:p>
    <w:p w14:paraId="47B625F1" w14:textId="463AE1D4" w:rsidR="00F4093E" w:rsidRPr="001A7DB2" w:rsidRDefault="0026672A" w:rsidP="00945DE9">
      <w:pPr>
        <w:rPr>
          <w:rFonts w:ascii="Arial" w:hAnsi="Arial" w:cs="Arial"/>
          <w:b/>
          <w:bCs/>
          <w:sz w:val="24"/>
          <w:szCs w:val="24"/>
        </w:rPr>
      </w:pPr>
      <w:r w:rsidRPr="00945DE9">
        <w:rPr>
          <w:rFonts w:ascii="Arial" w:hAnsi="Arial" w:cs="Arial"/>
          <w:sz w:val="24"/>
          <w:szCs w:val="24"/>
        </w:rPr>
        <w:t>The Human Fertilisation and Embryology Act 2008 in England and Wales is a significant piece of legislation that governs assisted reproductive technologies, including in vitro fertilization (IVF), and addresses the legal status and regulation of human embryos. The Act came into force on April 6, 2009</w:t>
      </w:r>
      <w:r w:rsidR="00945DE9" w:rsidRPr="00945DE9">
        <w:rPr>
          <w:rFonts w:ascii="Arial" w:hAnsi="Arial" w:cs="Arial"/>
          <w:sz w:val="24"/>
          <w:szCs w:val="24"/>
        </w:rPr>
        <w:t>, replacing</w:t>
      </w:r>
      <w:r w:rsidRPr="00945DE9">
        <w:rPr>
          <w:rFonts w:ascii="Arial" w:hAnsi="Arial" w:cs="Arial"/>
          <w:sz w:val="24"/>
          <w:szCs w:val="24"/>
        </w:rPr>
        <w:t xml:space="preserve"> the Human Fertilisation and Embryology Act 1990.</w:t>
      </w:r>
      <w:r w:rsidR="00945DE9" w:rsidRPr="00945DE9">
        <w:rPr>
          <w:rFonts w:ascii="Arial" w:hAnsi="Arial" w:cs="Arial"/>
          <w:sz w:val="24"/>
          <w:szCs w:val="24"/>
        </w:rPr>
        <w:t xml:space="preserve"> </w:t>
      </w:r>
      <w:r w:rsidR="00945DE9" w:rsidRPr="00945DE9">
        <w:rPr>
          <w:rFonts w:ascii="Arial" w:hAnsi="Arial" w:cs="Arial"/>
          <w:sz w:val="24"/>
          <w:szCs w:val="24"/>
        </w:rPr>
        <w:t>The Act reflects advancements in reproductive technologies and aims to balance the interests of individuals seeking fertility treatments with ethical considerations and the need for regulation in the field of assisted reproduction</w:t>
      </w:r>
      <w:r w:rsidR="003D2795">
        <w:rPr>
          <w:rFonts w:ascii="Arial" w:hAnsi="Arial" w:cs="Arial"/>
          <w:sz w:val="24"/>
          <w:szCs w:val="24"/>
        </w:rPr>
        <w:t xml:space="preserve"> (</w:t>
      </w:r>
      <w:r w:rsidR="003B0BD3">
        <w:rPr>
          <w:rFonts w:ascii="Arial" w:hAnsi="Arial" w:cs="Arial"/>
          <w:sz w:val="24"/>
          <w:szCs w:val="24"/>
        </w:rPr>
        <w:t>McCandless &amp; Sheldon, 2010)</w:t>
      </w:r>
      <w:r w:rsidR="00945DE9" w:rsidRPr="00945DE9">
        <w:rPr>
          <w:rFonts w:ascii="Arial" w:hAnsi="Arial" w:cs="Arial"/>
          <w:sz w:val="24"/>
          <w:szCs w:val="24"/>
        </w:rPr>
        <w:t>.</w:t>
      </w:r>
      <w:r w:rsidR="00F4194A">
        <w:rPr>
          <w:rFonts w:ascii="Arial" w:hAnsi="Arial" w:cs="Arial"/>
          <w:sz w:val="24"/>
          <w:szCs w:val="24"/>
        </w:rPr>
        <w:t xml:space="preserve"> </w:t>
      </w:r>
      <w:r w:rsidR="006650CF">
        <w:rPr>
          <w:rFonts w:ascii="Arial" w:hAnsi="Arial" w:cs="Arial"/>
          <w:sz w:val="24"/>
          <w:szCs w:val="24"/>
        </w:rPr>
        <w:t>Previously, the</w:t>
      </w:r>
      <w:r w:rsidR="00F4194A" w:rsidRPr="00F4194A">
        <w:rPr>
          <w:rFonts w:ascii="Arial" w:hAnsi="Arial" w:cs="Arial"/>
          <w:sz w:val="24"/>
          <w:szCs w:val="24"/>
        </w:rPr>
        <w:t xml:space="preserve"> question of who, in law, is or are the parent(s) of a child born as a result of treatment carried out under this legislation – </w:t>
      </w:r>
      <w:r w:rsidR="00606A35">
        <w:rPr>
          <w:rFonts w:ascii="Arial" w:hAnsi="Arial" w:cs="Arial"/>
          <w:sz w:val="24"/>
          <w:szCs w:val="24"/>
        </w:rPr>
        <w:t>was</w:t>
      </w:r>
      <w:r w:rsidR="00F22580">
        <w:rPr>
          <w:rFonts w:ascii="Arial" w:hAnsi="Arial" w:cs="Arial"/>
          <w:sz w:val="24"/>
          <w:szCs w:val="24"/>
        </w:rPr>
        <w:t xml:space="preserve"> an issue which </w:t>
      </w:r>
      <w:r w:rsidR="00606A35">
        <w:rPr>
          <w:rFonts w:ascii="Arial" w:hAnsi="Arial" w:cs="Arial"/>
          <w:sz w:val="24"/>
          <w:szCs w:val="24"/>
        </w:rPr>
        <w:t>had</w:t>
      </w:r>
      <w:r w:rsidR="00F22580">
        <w:rPr>
          <w:rFonts w:ascii="Arial" w:hAnsi="Arial" w:cs="Arial"/>
          <w:sz w:val="24"/>
          <w:szCs w:val="24"/>
        </w:rPr>
        <w:t xml:space="preserve"> caused uncertainty (</w:t>
      </w:r>
      <w:r w:rsidR="000F1673">
        <w:rPr>
          <w:rFonts w:ascii="Arial" w:hAnsi="Arial" w:cs="Arial"/>
          <w:sz w:val="24"/>
          <w:szCs w:val="24"/>
        </w:rPr>
        <w:t>Munby, 2015)</w:t>
      </w:r>
      <w:r w:rsidR="00606A35">
        <w:rPr>
          <w:rFonts w:ascii="Arial" w:hAnsi="Arial" w:cs="Arial"/>
          <w:sz w:val="24"/>
          <w:szCs w:val="24"/>
        </w:rPr>
        <w:t xml:space="preserve">. This </w:t>
      </w:r>
      <w:r w:rsidR="00553489">
        <w:rPr>
          <w:rFonts w:ascii="Arial" w:hAnsi="Arial" w:cs="Arial"/>
          <w:sz w:val="24"/>
          <w:szCs w:val="24"/>
        </w:rPr>
        <w:t>can be</w:t>
      </w:r>
      <w:r w:rsidR="006709A8">
        <w:rPr>
          <w:rFonts w:ascii="Arial" w:hAnsi="Arial" w:cs="Arial"/>
          <w:sz w:val="24"/>
          <w:szCs w:val="24"/>
        </w:rPr>
        <w:t xml:space="preserve"> seen in the case of Evans v United Kingdom (2007), </w:t>
      </w:r>
      <w:r w:rsidR="00BC3F15">
        <w:rPr>
          <w:rFonts w:ascii="Arial" w:hAnsi="Arial" w:cs="Arial"/>
          <w:sz w:val="24"/>
          <w:szCs w:val="24"/>
        </w:rPr>
        <w:t xml:space="preserve">the applicant and her partner had gone through </w:t>
      </w:r>
      <w:r w:rsidR="00905F72">
        <w:rPr>
          <w:rFonts w:ascii="Arial" w:hAnsi="Arial" w:cs="Arial"/>
          <w:sz w:val="24"/>
          <w:szCs w:val="24"/>
        </w:rPr>
        <w:t>a fertility process</w:t>
      </w:r>
      <w:r w:rsidR="0066557D">
        <w:rPr>
          <w:rFonts w:ascii="Arial" w:hAnsi="Arial" w:cs="Arial"/>
          <w:sz w:val="24"/>
          <w:szCs w:val="24"/>
        </w:rPr>
        <w:t xml:space="preserve"> involving </w:t>
      </w:r>
      <w:r w:rsidR="00E621F9">
        <w:rPr>
          <w:rFonts w:ascii="Arial" w:hAnsi="Arial" w:cs="Arial"/>
          <w:sz w:val="24"/>
          <w:szCs w:val="24"/>
        </w:rPr>
        <w:t xml:space="preserve">the freezing </w:t>
      </w:r>
      <w:r w:rsidR="00905F72">
        <w:rPr>
          <w:rFonts w:ascii="Arial" w:hAnsi="Arial" w:cs="Arial"/>
          <w:sz w:val="24"/>
          <w:szCs w:val="24"/>
        </w:rPr>
        <w:t xml:space="preserve">of the applicant’s eggs. Following a separation, the applicant’s partner requested that the eggs be destroyed. </w:t>
      </w:r>
      <w:r w:rsidR="00BA69E4" w:rsidRPr="00BA69E4">
        <w:rPr>
          <w:rFonts w:ascii="Arial" w:hAnsi="Arial" w:cs="Arial"/>
          <w:sz w:val="24"/>
          <w:szCs w:val="24"/>
        </w:rPr>
        <w:t xml:space="preserve">The applicant filed a case in the High Court, requesting among other things, a declaration that </w:t>
      </w:r>
      <w:r w:rsidR="00BA69E4">
        <w:rPr>
          <w:rFonts w:ascii="Arial" w:hAnsi="Arial" w:cs="Arial"/>
          <w:sz w:val="24"/>
          <w:szCs w:val="24"/>
        </w:rPr>
        <w:t xml:space="preserve">her </w:t>
      </w:r>
      <w:r w:rsidR="006846A2">
        <w:rPr>
          <w:rFonts w:ascii="Arial" w:hAnsi="Arial" w:cs="Arial"/>
          <w:sz w:val="24"/>
          <w:szCs w:val="24"/>
        </w:rPr>
        <w:t>ex-partner</w:t>
      </w:r>
      <w:r w:rsidR="00BA69E4" w:rsidRPr="00BA69E4">
        <w:rPr>
          <w:rFonts w:ascii="Arial" w:hAnsi="Arial" w:cs="Arial"/>
          <w:sz w:val="24"/>
          <w:szCs w:val="24"/>
        </w:rPr>
        <w:t xml:space="preserve"> had not changed and could not change his </w:t>
      </w:r>
      <w:r w:rsidR="00BA69E4">
        <w:rPr>
          <w:rFonts w:ascii="Arial" w:hAnsi="Arial" w:cs="Arial"/>
          <w:sz w:val="24"/>
          <w:szCs w:val="24"/>
        </w:rPr>
        <w:t>initial consent</w:t>
      </w:r>
      <w:r w:rsidR="00BA69E4" w:rsidRPr="00BA69E4">
        <w:rPr>
          <w:rFonts w:ascii="Arial" w:hAnsi="Arial" w:cs="Arial"/>
          <w:sz w:val="24"/>
          <w:szCs w:val="24"/>
        </w:rPr>
        <w:t xml:space="preserve">, and an injunction compelling </w:t>
      </w:r>
      <w:r w:rsidR="00391ACF">
        <w:rPr>
          <w:rFonts w:ascii="Arial" w:hAnsi="Arial" w:cs="Arial"/>
          <w:sz w:val="24"/>
          <w:szCs w:val="24"/>
        </w:rPr>
        <w:t>that he</w:t>
      </w:r>
      <w:r w:rsidR="00BA69E4" w:rsidRPr="00BA69E4">
        <w:rPr>
          <w:rFonts w:ascii="Arial" w:hAnsi="Arial" w:cs="Arial"/>
          <w:sz w:val="24"/>
          <w:szCs w:val="24"/>
        </w:rPr>
        <w:t xml:space="preserve"> restore his permission to the use and storage of the embryos. She also requested a declaration of incompatibility under the Human Rights Act of 1998</w:t>
      </w:r>
      <w:r w:rsidR="00F21DB7">
        <w:rPr>
          <w:rFonts w:ascii="Arial" w:hAnsi="Arial" w:cs="Arial"/>
          <w:sz w:val="24"/>
          <w:szCs w:val="24"/>
        </w:rPr>
        <w:t xml:space="preserve">. </w:t>
      </w:r>
      <w:r w:rsidR="00BA69E4" w:rsidRPr="00BA69E4">
        <w:rPr>
          <w:rFonts w:ascii="Arial" w:hAnsi="Arial" w:cs="Arial"/>
          <w:sz w:val="24"/>
          <w:szCs w:val="24"/>
        </w:rPr>
        <w:t>The clinic was mandated by interim orders to maintain the embryos until the proceedings concluded</w:t>
      </w:r>
      <w:r w:rsidR="006846A2">
        <w:rPr>
          <w:rFonts w:ascii="Arial" w:hAnsi="Arial" w:cs="Arial"/>
          <w:sz w:val="24"/>
          <w:szCs w:val="24"/>
        </w:rPr>
        <w:t xml:space="preserve"> (</w:t>
      </w:r>
      <w:r w:rsidR="008B11B4">
        <w:rPr>
          <w:rFonts w:ascii="Arial" w:hAnsi="Arial" w:cs="Arial"/>
          <w:sz w:val="24"/>
          <w:szCs w:val="24"/>
        </w:rPr>
        <w:t xml:space="preserve">Council of Europe, </w:t>
      </w:r>
      <w:r w:rsidR="00B03680">
        <w:rPr>
          <w:rFonts w:ascii="Arial" w:hAnsi="Arial" w:cs="Arial"/>
          <w:sz w:val="24"/>
          <w:szCs w:val="24"/>
        </w:rPr>
        <w:t xml:space="preserve">2006, p.4). </w:t>
      </w:r>
      <w:r w:rsidR="00FE1F60">
        <w:rPr>
          <w:rFonts w:ascii="Arial" w:hAnsi="Arial" w:cs="Arial"/>
          <w:sz w:val="24"/>
          <w:szCs w:val="24"/>
        </w:rPr>
        <w:t xml:space="preserve">The trail judge found </w:t>
      </w:r>
      <w:r w:rsidR="00FE1F60" w:rsidRPr="00FE1F60">
        <w:rPr>
          <w:rFonts w:ascii="Arial" w:hAnsi="Arial" w:cs="Arial"/>
          <w:sz w:val="24"/>
          <w:szCs w:val="24"/>
        </w:rPr>
        <w:t xml:space="preserve">that regardless of any change in circumstances, </w:t>
      </w:r>
      <w:r w:rsidR="00447197">
        <w:rPr>
          <w:rFonts w:ascii="Arial" w:hAnsi="Arial" w:cs="Arial"/>
          <w:sz w:val="24"/>
          <w:szCs w:val="24"/>
        </w:rPr>
        <w:t>the applicant’s ex-partner</w:t>
      </w:r>
      <w:r w:rsidR="00FE1F60" w:rsidRPr="00FE1F60">
        <w:rPr>
          <w:rFonts w:ascii="Arial" w:hAnsi="Arial" w:cs="Arial"/>
          <w:sz w:val="24"/>
          <w:szCs w:val="24"/>
        </w:rPr>
        <w:t xml:space="preserve"> had not consented to the treatment being continued </w:t>
      </w:r>
      <w:r w:rsidR="00447197">
        <w:rPr>
          <w:rFonts w:ascii="Arial" w:hAnsi="Arial" w:cs="Arial"/>
          <w:sz w:val="24"/>
          <w:szCs w:val="24"/>
        </w:rPr>
        <w:t xml:space="preserve">without him </w:t>
      </w:r>
      <w:r w:rsidR="00FE1F60" w:rsidRPr="00FE1F60">
        <w:rPr>
          <w:rFonts w:ascii="Arial" w:hAnsi="Arial" w:cs="Arial"/>
          <w:sz w:val="24"/>
          <w:szCs w:val="24"/>
        </w:rPr>
        <w:t xml:space="preserve">and had not provided his approval for the use of the embryos. </w:t>
      </w:r>
      <w:r w:rsidR="00A23F75">
        <w:rPr>
          <w:rFonts w:ascii="Arial" w:hAnsi="Arial" w:cs="Arial"/>
          <w:sz w:val="24"/>
          <w:szCs w:val="24"/>
        </w:rPr>
        <w:t>Both parties had</w:t>
      </w:r>
      <w:r w:rsidR="00FE1F60" w:rsidRPr="00FE1F60">
        <w:rPr>
          <w:rFonts w:ascii="Arial" w:hAnsi="Arial" w:cs="Arial"/>
          <w:sz w:val="24"/>
          <w:szCs w:val="24"/>
        </w:rPr>
        <w:t xml:space="preserve"> entered the treatment in good faith with the understanding that their relationship </w:t>
      </w:r>
      <w:r w:rsidR="00FE1F60" w:rsidRPr="00FE1F60">
        <w:rPr>
          <w:rFonts w:ascii="Arial" w:hAnsi="Arial" w:cs="Arial"/>
          <w:sz w:val="24"/>
          <w:szCs w:val="24"/>
        </w:rPr>
        <w:lastRenderedPageBreak/>
        <w:t xml:space="preserve">would continue, thus he rejected the applicant's </w:t>
      </w:r>
      <w:r w:rsidR="00185DFC">
        <w:rPr>
          <w:rFonts w:ascii="Arial" w:hAnsi="Arial" w:cs="Arial"/>
          <w:sz w:val="24"/>
          <w:szCs w:val="24"/>
        </w:rPr>
        <w:t xml:space="preserve">claim (Council of Europe, 2006, p. </w:t>
      </w:r>
      <w:r w:rsidR="001A7DB2">
        <w:rPr>
          <w:rFonts w:ascii="Arial" w:hAnsi="Arial" w:cs="Arial"/>
          <w:sz w:val="24"/>
          <w:szCs w:val="24"/>
        </w:rPr>
        <w:t xml:space="preserve">6). </w:t>
      </w:r>
      <w:r w:rsidR="004C1BC6">
        <w:rPr>
          <w:rFonts w:ascii="Arial" w:hAnsi="Arial" w:cs="Arial"/>
          <w:sz w:val="24"/>
          <w:szCs w:val="24"/>
        </w:rPr>
        <w:t>This</w:t>
      </w:r>
      <w:r w:rsidR="00E95F1D">
        <w:rPr>
          <w:rFonts w:ascii="Arial" w:hAnsi="Arial" w:cs="Arial"/>
          <w:sz w:val="24"/>
          <w:szCs w:val="24"/>
        </w:rPr>
        <w:t xml:space="preserve"> was a key case for fertility law, not only in England and Wales but in </w:t>
      </w:r>
      <w:r w:rsidR="00AB3F36">
        <w:rPr>
          <w:rFonts w:ascii="Arial" w:hAnsi="Arial" w:cs="Arial"/>
          <w:sz w:val="24"/>
          <w:szCs w:val="24"/>
        </w:rPr>
        <w:t xml:space="preserve">other Council of Europe countries. </w:t>
      </w:r>
    </w:p>
    <w:p w14:paraId="7649FFA2" w14:textId="06DCC475" w:rsidR="00024350" w:rsidRDefault="00024350" w:rsidP="00024350">
      <w:pPr>
        <w:rPr>
          <w:rFonts w:ascii="Arial" w:hAnsi="Arial" w:cs="Arial"/>
          <w:sz w:val="24"/>
          <w:szCs w:val="24"/>
        </w:rPr>
      </w:pPr>
      <w:r w:rsidRPr="000B0BE6">
        <w:rPr>
          <w:rFonts w:ascii="Arial" w:hAnsi="Arial" w:cs="Arial"/>
          <w:sz w:val="24"/>
          <w:szCs w:val="24"/>
        </w:rPr>
        <w:t xml:space="preserve">One of the key advantages of the DDSA 2020 is the introduction of a no-fault divorce system. Previously, individuals seeking a divorce in England and Wales had to establish fault grounds, such as adultery or unreasonable </w:t>
      </w:r>
      <w:r w:rsidR="0025504A" w:rsidRPr="000B0BE6">
        <w:rPr>
          <w:rFonts w:ascii="Arial" w:hAnsi="Arial" w:cs="Arial"/>
          <w:sz w:val="24"/>
          <w:szCs w:val="24"/>
        </w:rPr>
        <w:t>behaviour</w:t>
      </w:r>
      <w:r w:rsidR="0040156D">
        <w:rPr>
          <w:rFonts w:ascii="Arial" w:hAnsi="Arial" w:cs="Arial"/>
          <w:sz w:val="24"/>
          <w:szCs w:val="24"/>
        </w:rPr>
        <w:t xml:space="preserve"> (LexisPSL News Analysis, </w:t>
      </w:r>
      <w:r w:rsidR="001B5107">
        <w:rPr>
          <w:rFonts w:ascii="Arial" w:hAnsi="Arial" w:cs="Arial"/>
          <w:sz w:val="24"/>
          <w:szCs w:val="24"/>
        </w:rPr>
        <w:t>2020)</w:t>
      </w:r>
      <w:r w:rsidRPr="000B0BE6">
        <w:rPr>
          <w:rFonts w:ascii="Arial" w:hAnsi="Arial" w:cs="Arial"/>
          <w:sz w:val="24"/>
          <w:szCs w:val="24"/>
        </w:rPr>
        <w:t>. The new law allows couples to divorce without attributing blame, making the process less acrimonious and potentially reducing conflict.</w:t>
      </w:r>
      <w:r w:rsidRPr="000B0BE6">
        <w:rPr>
          <w:rFonts w:ascii="Arial" w:hAnsi="Arial" w:cs="Arial"/>
          <w:sz w:val="24"/>
          <w:szCs w:val="24"/>
        </w:rPr>
        <w:t xml:space="preserve"> </w:t>
      </w:r>
      <w:r w:rsidRPr="000B0BE6">
        <w:rPr>
          <w:rFonts w:ascii="Arial" w:hAnsi="Arial" w:cs="Arial"/>
          <w:sz w:val="24"/>
          <w:szCs w:val="24"/>
        </w:rPr>
        <w:t>By removing the need to assign fault, the DDSA 2020 aims to reduce hostility and conflict between divorcing couples. This can contribute to a more amicable and cooperative separation process, which may be particularly beneficial when children are involved.</w:t>
      </w:r>
      <w:r w:rsidRPr="000B0BE6">
        <w:rPr>
          <w:rFonts w:ascii="Arial" w:hAnsi="Arial" w:cs="Arial"/>
          <w:sz w:val="24"/>
          <w:szCs w:val="24"/>
        </w:rPr>
        <w:t xml:space="preserve"> The </w:t>
      </w:r>
      <w:r w:rsidRPr="000B0BE6">
        <w:rPr>
          <w:rFonts w:ascii="Arial" w:hAnsi="Arial" w:cs="Arial"/>
          <w:sz w:val="24"/>
          <w:szCs w:val="24"/>
        </w:rPr>
        <w:t>DDSA 2020 seeks to streamline the divorce process by eliminating the need for a legal finding of fault</w:t>
      </w:r>
      <w:r w:rsidR="00466FD9">
        <w:rPr>
          <w:rFonts w:ascii="Arial" w:hAnsi="Arial" w:cs="Arial"/>
          <w:sz w:val="24"/>
          <w:szCs w:val="24"/>
        </w:rPr>
        <w:t xml:space="preserve"> (‘Owens v Owens’, </w:t>
      </w:r>
      <w:r w:rsidR="00E77A30">
        <w:rPr>
          <w:rFonts w:ascii="Arial" w:hAnsi="Arial" w:cs="Arial"/>
          <w:sz w:val="24"/>
          <w:szCs w:val="24"/>
        </w:rPr>
        <w:t>2017)</w:t>
      </w:r>
      <w:r w:rsidRPr="000B0BE6">
        <w:rPr>
          <w:rFonts w:ascii="Arial" w:hAnsi="Arial" w:cs="Arial"/>
          <w:sz w:val="24"/>
          <w:szCs w:val="24"/>
        </w:rPr>
        <w:t>. This change is intended to make divorces more straightforward and efficient, potentially reducing the time it takes to complete the legal proceedings.</w:t>
      </w:r>
      <w:r w:rsidRPr="000B0BE6">
        <w:rPr>
          <w:rFonts w:ascii="Arial" w:hAnsi="Arial" w:cs="Arial"/>
          <w:sz w:val="24"/>
          <w:szCs w:val="24"/>
        </w:rPr>
        <w:t xml:space="preserve"> </w:t>
      </w:r>
      <w:r w:rsidRPr="000B0BE6">
        <w:rPr>
          <w:rFonts w:ascii="Arial" w:hAnsi="Arial" w:cs="Arial"/>
          <w:sz w:val="24"/>
          <w:szCs w:val="24"/>
        </w:rPr>
        <w:t>The emphasis on a no-fault system may encourage couples to consider alternative dispute resolution methods, such as mediation or collaborative law. These approaches can help couples work together to reach mutually agreeable solutions, rather than relying on adversarial legal processes</w:t>
      </w:r>
      <w:r w:rsidR="00F577D0">
        <w:rPr>
          <w:rFonts w:ascii="Arial" w:hAnsi="Arial" w:cs="Arial"/>
          <w:sz w:val="24"/>
          <w:szCs w:val="24"/>
        </w:rPr>
        <w:t xml:space="preserve"> (LexisPSL, no date)</w:t>
      </w:r>
      <w:r w:rsidRPr="000B0BE6">
        <w:rPr>
          <w:rFonts w:ascii="Arial" w:hAnsi="Arial" w:cs="Arial"/>
          <w:sz w:val="24"/>
          <w:szCs w:val="24"/>
        </w:rPr>
        <w:t>.</w:t>
      </w:r>
      <w:r w:rsidRPr="000B0BE6">
        <w:rPr>
          <w:rFonts w:ascii="Arial" w:hAnsi="Arial" w:cs="Arial"/>
          <w:sz w:val="24"/>
          <w:szCs w:val="24"/>
        </w:rPr>
        <w:t xml:space="preserve"> </w:t>
      </w:r>
      <w:r w:rsidRPr="000B0BE6">
        <w:rPr>
          <w:rFonts w:ascii="Arial" w:hAnsi="Arial" w:cs="Arial"/>
          <w:sz w:val="24"/>
          <w:szCs w:val="24"/>
        </w:rPr>
        <w:t>By promoting a less confrontational divorce process, the DDSA 2020 aims to minimize the negative impact of divorce on children. The reduced conflict may contribute to more cooperative co-parenting arrangements and better outcomes for children in the long run</w:t>
      </w:r>
      <w:r w:rsidR="007B6A50">
        <w:rPr>
          <w:rFonts w:ascii="Arial" w:hAnsi="Arial" w:cs="Arial"/>
          <w:sz w:val="24"/>
          <w:szCs w:val="24"/>
        </w:rPr>
        <w:t xml:space="preserve"> (The Law Society, 2022)</w:t>
      </w:r>
      <w:r w:rsidRPr="000B0BE6">
        <w:rPr>
          <w:rFonts w:ascii="Arial" w:hAnsi="Arial" w:cs="Arial"/>
          <w:sz w:val="24"/>
          <w:szCs w:val="24"/>
        </w:rPr>
        <w:t>.</w:t>
      </w:r>
    </w:p>
    <w:p w14:paraId="13AF3738" w14:textId="6F5D727A" w:rsidR="0025719B" w:rsidRPr="0025719B" w:rsidRDefault="00174B3F" w:rsidP="0025719B">
      <w:pPr>
        <w:rPr>
          <w:rFonts w:ascii="Arial" w:hAnsi="Arial" w:cs="Arial"/>
          <w:sz w:val="24"/>
          <w:szCs w:val="24"/>
        </w:rPr>
      </w:pPr>
      <w:r w:rsidRPr="0025719B">
        <w:rPr>
          <w:rFonts w:ascii="Arial" w:hAnsi="Arial" w:cs="Arial"/>
          <w:sz w:val="24"/>
          <w:szCs w:val="24"/>
        </w:rPr>
        <w:t>While the DDSA 2020</w:t>
      </w:r>
      <w:r w:rsidR="00DF308F">
        <w:rPr>
          <w:rFonts w:ascii="Arial" w:hAnsi="Arial" w:cs="Arial"/>
          <w:sz w:val="24"/>
          <w:szCs w:val="24"/>
        </w:rPr>
        <w:t xml:space="preserve"> </w:t>
      </w:r>
      <w:r w:rsidRPr="0025719B">
        <w:rPr>
          <w:rFonts w:ascii="Arial" w:hAnsi="Arial" w:cs="Arial"/>
          <w:sz w:val="24"/>
          <w:szCs w:val="24"/>
        </w:rPr>
        <w:t>in England and Wales brought about several positive changes to the divorce process, there are also potential concerns or disadvantages associated with the legislation.</w:t>
      </w:r>
      <w:r w:rsidR="00704102">
        <w:rPr>
          <w:rFonts w:ascii="Arial" w:hAnsi="Arial" w:cs="Arial"/>
          <w:sz w:val="24"/>
          <w:szCs w:val="24"/>
        </w:rPr>
        <w:t xml:space="preserve"> </w:t>
      </w:r>
      <w:r w:rsidR="0025719B" w:rsidRPr="0025719B">
        <w:rPr>
          <w:rFonts w:ascii="Arial" w:hAnsi="Arial" w:cs="Arial"/>
          <w:sz w:val="24"/>
          <w:szCs w:val="24"/>
        </w:rPr>
        <w:t>The streamlined, no-fault divorce process may allow couples to divorce more quickly</w:t>
      </w:r>
      <w:r w:rsidR="00201489">
        <w:rPr>
          <w:rFonts w:ascii="Arial" w:hAnsi="Arial" w:cs="Arial"/>
          <w:sz w:val="24"/>
          <w:szCs w:val="24"/>
        </w:rPr>
        <w:t xml:space="preserve"> (Porter, 2022)</w:t>
      </w:r>
      <w:r w:rsidR="0025719B" w:rsidRPr="0025719B">
        <w:rPr>
          <w:rFonts w:ascii="Arial" w:hAnsi="Arial" w:cs="Arial"/>
          <w:sz w:val="24"/>
          <w:szCs w:val="24"/>
        </w:rPr>
        <w:t>. While this can be advantageous in some cases, there is a concern that it might lead to hasty decisions, particularly if individuals feel pressured to finalize the divorce without sufficient reflection on the implications.</w:t>
      </w:r>
      <w:r w:rsidR="0025719B">
        <w:rPr>
          <w:rFonts w:ascii="Arial" w:hAnsi="Arial" w:cs="Arial"/>
          <w:sz w:val="24"/>
          <w:szCs w:val="24"/>
        </w:rPr>
        <w:t xml:space="preserve"> </w:t>
      </w:r>
      <w:r w:rsidR="0025719B" w:rsidRPr="0025719B">
        <w:rPr>
          <w:rFonts w:ascii="Arial" w:hAnsi="Arial" w:cs="Arial"/>
          <w:sz w:val="24"/>
          <w:szCs w:val="24"/>
        </w:rPr>
        <w:t>Critics argue that the removal of the need to assign fault might reduce the incentive for couples to attempt reconciliation before proceeding with divorce</w:t>
      </w:r>
      <w:r w:rsidR="00E353B3">
        <w:rPr>
          <w:rFonts w:ascii="Arial" w:hAnsi="Arial" w:cs="Arial"/>
          <w:sz w:val="24"/>
          <w:szCs w:val="24"/>
        </w:rPr>
        <w:t xml:space="preserve"> (</w:t>
      </w:r>
      <w:r w:rsidR="00DB016C">
        <w:rPr>
          <w:rFonts w:ascii="Arial" w:hAnsi="Arial" w:cs="Arial"/>
          <w:sz w:val="24"/>
          <w:szCs w:val="24"/>
        </w:rPr>
        <w:t>Coy, 2022)</w:t>
      </w:r>
      <w:r w:rsidR="0025719B" w:rsidRPr="0025719B">
        <w:rPr>
          <w:rFonts w:ascii="Arial" w:hAnsi="Arial" w:cs="Arial"/>
          <w:sz w:val="24"/>
          <w:szCs w:val="24"/>
        </w:rPr>
        <w:t>. The absence of fault allegations could mean that some couples might not engage in efforts to salvage the marriage before making the decision to divorce. Some critics express concerns that the ease of obtaining a divorce with the no-fault system may contribute to a perception that marriage is less of a lifelong commitment</w:t>
      </w:r>
      <w:r w:rsidR="004C7EEA">
        <w:rPr>
          <w:rFonts w:ascii="Arial" w:hAnsi="Arial" w:cs="Arial"/>
          <w:sz w:val="24"/>
          <w:szCs w:val="24"/>
        </w:rPr>
        <w:t xml:space="preserve"> (Fairbairn, 2020)</w:t>
      </w:r>
      <w:r w:rsidR="0025719B" w:rsidRPr="0025719B">
        <w:rPr>
          <w:rFonts w:ascii="Arial" w:hAnsi="Arial" w:cs="Arial"/>
          <w:sz w:val="24"/>
          <w:szCs w:val="24"/>
        </w:rPr>
        <w:t>. There is a worry that making divorce more straightforward might undermine the institution of marriage</w:t>
      </w:r>
      <w:r w:rsidR="00FB2D1C">
        <w:rPr>
          <w:rFonts w:ascii="Arial" w:hAnsi="Arial" w:cs="Arial"/>
          <w:sz w:val="24"/>
          <w:szCs w:val="24"/>
        </w:rPr>
        <w:t xml:space="preserve"> (LexisPSL</w:t>
      </w:r>
      <w:r w:rsidR="00C7098E">
        <w:rPr>
          <w:rFonts w:ascii="Arial" w:hAnsi="Arial" w:cs="Arial"/>
          <w:sz w:val="24"/>
          <w:szCs w:val="24"/>
        </w:rPr>
        <w:t xml:space="preserve"> News Analysis</w:t>
      </w:r>
      <w:r w:rsidR="00FB2D1C">
        <w:rPr>
          <w:rFonts w:ascii="Arial" w:hAnsi="Arial" w:cs="Arial"/>
          <w:sz w:val="24"/>
          <w:szCs w:val="24"/>
        </w:rPr>
        <w:t>, 2022)</w:t>
      </w:r>
      <w:r w:rsidR="0025719B" w:rsidRPr="0025719B">
        <w:rPr>
          <w:rFonts w:ascii="Arial" w:hAnsi="Arial" w:cs="Arial"/>
          <w:sz w:val="24"/>
          <w:szCs w:val="24"/>
        </w:rPr>
        <w:t>.</w:t>
      </w:r>
      <w:r w:rsidR="0025719B">
        <w:rPr>
          <w:rFonts w:ascii="Arial" w:hAnsi="Arial" w:cs="Arial"/>
          <w:sz w:val="24"/>
          <w:szCs w:val="24"/>
        </w:rPr>
        <w:t xml:space="preserve"> </w:t>
      </w:r>
      <w:r w:rsidR="0025719B" w:rsidRPr="0025719B">
        <w:rPr>
          <w:rFonts w:ascii="Arial" w:hAnsi="Arial" w:cs="Arial"/>
          <w:sz w:val="24"/>
          <w:szCs w:val="24"/>
        </w:rPr>
        <w:t>While the DDSA 2020 aims to reduce conflict, the emotional impact of divorce is still significant. Some argue that the simplified process might not adequately address the emotional challenges that individuals and families face during divorce, and it might not provide sufficient support for emotional well-being.</w:t>
      </w:r>
      <w:r w:rsidR="0025719B">
        <w:rPr>
          <w:rFonts w:ascii="Arial" w:hAnsi="Arial" w:cs="Arial"/>
          <w:sz w:val="24"/>
          <w:szCs w:val="24"/>
        </w:rPr>
        <w:t xml:space="preserve"> </w:t>
      </w:r>
      <w:r w:rsidR="0025719B" w:rsidRPr="0025719B">
        <w:rPr>
          <w:rFonts w:ascii="Arial" w:hAnsi="Arial" w:cs="Arial"/>
          <w:sz w:val="24"/>
          <w:szCs w:val="24"/>
        </w:rPr>
        <w:t>There is a concern that the no-fault system might be exploited, with one party initiating divorce without the other's agreement, potentially catching the other party off guard</w:t>
      </w:r>
      <w:r w:rsidR="008E16C7">
        <w:rPr>
          <w:rFonts w:ascii="Arial" w:hAnsi="Arial" w:cs="Arial"/>
          <w:sz w:val="24"/>
          <w:szCs w:val="24"/>
        </w:rPr>
        <w:t xml:space="preserve"> (Burrows, 2022)</w:t>
      </w:r>
      <w:r w:rsidR="0025719B" w:rsidRPr="0025719B">
        <w:rPr>
          <w:rFonts w:ascii="Arial" w:hAnsi="Arial" w:cs="Arial"/>
          <w:sz w:val="24"/>
          <w:szCs w:val="24"/>
        </w:rPr>
        <w:t>. This could lead to a perception of unfairness in certain cases.</w:t>
      </w:r>
      <w:r w:rsidR="0025719B">
        <w:rPr>
          <w:rFonts w:ascii="Arial" w:hAnsi="Arial" w:cs="Arial"/>
          <w:sz w:val="24"/>
          <w:szCs w:val="24"/>
        </w:rPr>
        <w:t xml:space="preserve"> </w:t>
      </w:r>
    </w:p>
    <w:p w14:paraId="175C8C46" w14:textId="74E38D4A" w:rsidR="00B750A9" w:rsidRPr="00B750A9" w:rsidRDefault="00573AAC" w:rsidP="00B750A9">
      <w:pPr>
        <w:rPr>
          <w:rFonts w:ascii="Arial" w:hAnsi="Arial" w:cs="Arial"/>
          <w:sz w:val="24"/>
          <w:szCs w:val="24"/>
        </w:rPr>
      </w:pPr>
      <w:r>
        <w:rPr>
          <w:rFonts w:ascii="Arial" w:hAnsi="Arial" w:cs="Arial"/>
          <w:sz w:val="24"/>
          <w:szCs w:val="24"/>
        </w:rPr>
        <w:t>The</w:t>
      </w:r>
      <w:r w:rsidR="00B750A9" w:rsidRPr="00B750A9">
        <w:rPr>
          <w:rFonts w:ascii="Arial" w:hAnsi="Arial" w:cs="Arial"/>
          <w:sz w:val="24"/>
          <w:szCs w:val="24"/>
        </w:rPr>
        <w:t xml:space="preserve"> Divorce, Dissolution, and Separation Act 2020</w:t>
      </w:r>
      <w:r>
        <w:rPr>
          <w:rFonts w:ascii="Arial" w:hAnsi="Arial" w:cs="Arial"/>
          <w:sz w:val="24"/>
          <w:szCs w:val="24"/>
        </w:rPr>
        <w:t xml:space="preserve"> </w:t>
      </w:r>
      <w:r w:rsidR="00B750A9" w:rsidRPr="00B750A9">
        <w:rPr>
          <w:rFonts w:ascii="Arial" w:hAnsi="Arial" w:cs="Arial"/>
          <w:sz w:val="24"/>
          <w:szCs w:val="24"/>
        </w:rPr>
        <w:t xml:space="preserve">undeniably marked a transformative moment in the legal landscape governing divorce in England and </w:t>
      </w:r>
      <w:r w:rsidR="00B750A9" w:rsidRPr="00B750A9">
        <w:rPr>
          <w:rFonts w:ascii="Arial" w:hAnsi="Arial" w:cs="Arial"/>
          <w:sz w:val="24"/>
          <w:szCs w:val="24"/>
        </w:rPr>
        <w:lastRenderedPageBreak/>
        <w:t xml:space="preserve">Wales. The historical context, exemplified by the fault-based Matrimonial Causes Act 1973, set a tone of blame and acrimony in marital dissolution. The DDSA 2020, however, ushered in a new era by introducing a no-fault provision, seeking to modernize and streamline the divorce process and promote a more amicable </w:t>
      </w:r>
      <w:r w:rsidRPr="00B750A9">
        <w:rPr>
          <w:rFonts w:ascii="Arial" w:hAnsi="Arial" w:cs="Arial"/>
          <w:sz w:val="24"/>
          <w:szCs w:val="24"/>
        </w:rPr>
        <w:t>separation. The</w:t>
      </w:r>
      <w:r w:rsidR="00B750A9" w:rsidRPr="00B750A9">
        <w:rPr>
          <w:rFonts w:ascii="Arial" w:hAnsi="Arial" w:cs="Arial"/>
          <w:sz w:val="24"/>
          <w:szCs w:val="24"/>
        </w:rPr>
        <w:t xml:space="preserve"> merits of the DDSA 2020 are evident in its departure from the fault-based system, which required individuals to establish grounds such as adultery or unreasonable </w:t>
      </w:r>
      <w:r w:rsidR="00A87F45" w:rsidRPr="00B750A9">
        <w:rPr>
          <w:rFonts w:ascii="Arial" w:hAnsi="Arial" w:cs="Arial"/>
          <w:sz w:val="24"/>
          <w:szCs w:val="24"/>
        </w:rPr>
        <w:t>behaviour</w:t>
      </w:r>
      <w:r w:rsidR="00B750A9" w:rsidRPr="00B750A9">
        <w:rPr>
          <w:rFonts w:ascii="Arial" w:hAnsi="Arial" w:cs="Arial"/>
          <w:sz w:val="24"/>
          <w:szCs w:val="24"/>
        </w:rPr>
        <w:t>. The introduction of a no-fault system is a commendable step towards reducing hostility and conflict between divorcing couples. By eliminating the need to attribute blame publicly, the legislation aims to foster a more cooperative and less contentious divorce process. This emphasis on a no-fault system aligns with contemporary approaches to family law, encouraging alternative dispute resolution methods and, in turn, potentially minimizing the negative impact of divorce on children.</w:t>
      </w:r>
      <w:r w:rsidR="00A87F45">
        <w:rPr>
          <w:rFonts w:ascii="Arial" w:hAnsi="Arial" w:cs="Arial"/>
          <w:sz w:val="24"/>
          <w:szCs w:val="24"/>
        </w:rPr>
        <w:t xml:space="preserve"> </w:t>
      </w:r>
      <w:r w:rsidR="00B750A9" w:rsidRPr="00B750A9">
        <w:rPr>
          <w:rFonts w:ascii="Arial" w:hAnsi="Arial" w:cs="Arial"/>
          <w:sz w:val="24"/>
          <w:szCs w:val="24"/>
        </w:rPr>
        <w:t>Moreover, the DDSA 2020 introduced procedural changes, such as the minimum time-frame of six months and the option for joint applications, reflecting a commitment to efficiency and collaboration in the divorce process. These changes emphasize the importance of mediation and alternative dispute resolution, aligning with a broader societal shift towards more collaborative approaches to conflict resolution.</w:t>
      </w:r>
      <w:r w:rsidR="008F47A7">
        <w:rPr>
          <w:rFonts w:ascii="Arial" w:hAnsi="Arial" w:cs="Arial"/>
          <w:sz w:val="24"/>
          <w:szCs w:val="24"/>
        </w:rPr>
        <w:t xml:space="preserve"> </w:t>
      </w:r>
      <w:r w:rsidR="00B750A9" w:rsidRPr="00B750A9">
        <w:rPr>
          <w:rFonts w:ascii="Arial" w:hAnsi="Arial" w:cs="Arial"/>
          <w:sz w:val="24"/>
          <w:szCs w:val="24"/>
        </w:rPr>
        <w:t>However, as with any significant legal reform, the DDSA 2020 is not without its critics. Concerns about the potential for hasty decisions and reduced incentives for reconciliation highlight the need for a delicate balance between expediency and thorough consideration. The worry that the streamlined process may contribute to a perception of marriage as less of a lifelong commitment underscores the importance of maintaining the sanctity of this institution, even in the face of evolving legal frameworks.</w:t>
      </w:r>
      <w:r w:rsidR="008F47A7">
        <w:rPr>
          <w:rFonts w:ascii="Arial" w:hAnsi="Arial" w:cs="Arial"/>
          <w:sz w:val="24"/>
          <w:szCs w:val="24"/>
        </w:rPr>
        <w:t xml:space="preserve"> </w:t>
      </w:r>
      <w:r w:rsidR="00B750A9" w:rsidRPr="00B750A9">
        <w:rPr>
          <w:rFonts w:ascii="Arial" w:hAnsi="Arial" w:cs="Arial"/>
          <w:sz w:val="24"/>
          <w:szCs w:val="24"/>
        </w:rPr>
        <w:t>The emotional impact of divorce remains a significant consideration. While the DDSA 2020 aims to reduce conflict, it is crucial to acknowledge that the emotional challenges associated with divorce may not be fully addressed by the simplified legal process. Ensuring adequate support for emotional well-being is an ongoing concern that merits attention in the evolving landscape of family law.</w:t>
      </w:r>
      <w:r w:rsidR="008F47A7">
        <w:rPr>
          <w:rFonts w:ascii="Arial" w:hAnsi="Arial" w:cs="Arial"/>
          <w:sz w:val="24"/>
          <w:szCs w:val="24"/>
        </w:rPr>
        <w:t xml:space="preserve"> The </w:t>
      </w:r>
      <w:r w:rsidR="00B750A9" w:rsidRPr="00B750A9">
        <w:rPr>
          <w:rFonts w:ascii="Arial" w:hAnsi="Arial" w:cs="Arial"/>
          <w:sz w:val="24"/>
          <w:szCs w:val="24"/>
        </w:rPr>
        <w:t>potential for the no-fault system to be exploited, leading to unfairness or overlooking financial disputes, emphasizes the need for careful implementation and ongoing evaluation of the legislation. Striking a balance between expeditious divorce proceedings and safeguarding the interests of all parties involved requires a nuanced approach.</w:t>
      </w:r>
    </w:p>
    <w:p w14:paraId="547E2242" w14:textId="77777777" w:rsidR="00B750A9" w:rsidRPr="00B750A9" w:rsidRDefault="00B750A9" w:rsidP="00B750A9">
      <w:pPr>
        <w:rPr>
          <w:rFonts w:ascii="Arial" w:hAnsi="Arial" w:cs="Arial"/>
          <w:sz w:val="24"/>
          <w:szCs w:val="24"/>
        </w:rPr>
      </w:pPr>
      <w:r w:rsidRPr="00B750A9">
        <w:rPr>
          <w:rFonts w:ascii="Arial" w:hAnsi="Arial" w:cs="Arial"/>
          <w:sz w:val="24"/>
          <w:szCs w:val="24"/>
        </w:rPr>
        <w:t>In conclusion, the DDSA 2020 represents a significant stride towards a more modern, collaborative, and compassionate approach to divorce in England and Wales. However, ongoing discussions, evaluations, and potential adjustments are essential to ensure that the legislation continues to meet its intended goals while addressing emerging challenges in the complex terrain of family law. The transformative impact of the DDSA 2020 is a testament to the dynamic nature of legal systems, constantly adapting to societal needs and evolving perspectives on marriage and divorce.</w:t>
      </w:r>
    </w:p>
    <w:p w14:paraId="7771D2E1" w14:textId="77777777" w:rsidR="00F4093E" w:rsidRDefault="00F4093E" w:rsidP="00F55890">
      <w:pPr>
        <w:rPr>
          <w:rFonts w:ascii="Arial" w:hAnsi="Arial" w:cs="Arial"/>
          <w:sz w:val="24"/>
          <w:szCs w:val="24"/>
          <w:lang w:eastAsia="en-GB"/>
        </w:rPr>
      </w:pPr>
    </w:p>
    <w:p w14:paraId="64E15894" w14:textId="77777777" w:rsidR="00F4093E" w:rsidRDefault="00F4093E" w:rsidP="00F55890">
      <w:pPr>
        <w:rPr>
          <w:rFonts w:ascii="Arial" w:hAnsi="Arial" w:cs="Arial"/>
          <w:sz w:val="24"/>
          <w:szCs w:val="24"/>
          <w:lang w:eastAsia="en-GB"/>
        </w:rPr>
      </w:pPr>
    </w:p>
    <w:p w14:paraId="699917C2" w14:textId="77777777" w:rsidR="00F4093E" w:rsidRDefault="00F4093E" w:rsidP="00F55890">
      <w:pPr>
        <w:rPr>
          <w:rFonts w:ascii="Arial" w:hAnsi="Arial" w:cs="Arial"/>
          <w:sz w:val="24"/>
          <w:szCs w:val="24"/>
          <w:lang w:eastAsia="en-GB"/>
        </w:rPr>
      </w:pPr>
    </w:p>
    <w:p w14:paraId="4B391835" w14:textId="77777777" w:rsidR="00F4093E" w:rsidRDefault="00F4093E" w:rsidP="00F55890">
      <w:pPr>
        <w:rPr>
          <w:rFonts w:ascii="Arial" w:hAnsi="Arial" w:cs="Arial"/>
          <w:sz w:val="24"/>
          <w:szCs w:val="24"/>
          <w:lang w:eastAsia="en-GB"/>
        </w:rPr>
      </w:pPr>
    </w:p>
    <w:p w14:paraId="28CD048D" w14:textId="77777777" w:rsidR="00F4093E" w:rsidRDefault="00F4093E" w:rsidP="00F55890">
      <w:pPr>
        <w:rPr>
          <w:rFonts w:ascii="Arial" w:hAnsi="Arial" w:cs="Arial"/>
          <w:sz w:val="24"/>
          <w:szCs w:val="24"/>
          <w:lang w:eastAsia="en-GB"/>
        </w:rPr>
      </w:pPr>
    </w:p>
    <w:p w14:paraId="62C66849" w14:textId="77777777" w:rsidR="00F4093E" w:rsidRDefault="00F4093E" w:rsidP="00F55890">
      <w:pPr>
        <w:rPr>
          <w:rFonts w:ascii="Arial" w:hAnsi="Arial" w:cs="Arial"/>
          <w:sz w:val="24"/>
          <w:szCs w:val="24"/>
          <w:lang w:eastAsia="en-GB"/>
        </w:rPr>
      </w:pPr>
    </w:p>
    <w:p w14:paraId="1C393A5D" w14:textId="77777777" w:rsidR="00F4093E" w:rsidRDefault="00F4093E" w:rsidP="00F55890">
      <w:pPr>
        <w:rPr>
          <w:rFonts w:ascii="Arial" w:hAnsi="Arial" w:cs="Arial"/>
          <w:sz w:val="24"/>
          <w:szCs w:val="24"/>
          <w:lang w:eastAsia="en-GB"/>
        </w:rPr>
      </w:pPr>
    </w:p>
    <w:p w14:paraId="1723D81A" w14:textId="77777777" w:rsidR="00F4093E" w:rsidRDefault="00F4093E" w:rsidP="00F55890">
      <w:pPr>
        <w:rPr>
          <w:rFonts w:ascii="Arial" w:hAnsi="Arial" w:cs="Arial"/>
          <w:sz w:val="24"/>
          <w:szCs w:val="24"/>
          <w:lang w:eastAsia="en-GB"/>
        </w:rPr>
      </w:pPr>
    </w:p>
    <w:p w14:paraId="2FDA059D" w14:textId="77777777" w:rsidR="00F4093E" w:rsidRDefault="00F4093E" w:rsidP="00F55890">
      <w:pPr>
        <w:rPr>
          <w:rFonts w:ascii="Arial" w:hAnsi="Arial" w:cs="Arial"/>
          <w:sz w:val="24"/>
          <w:szCs w:val="24"/>
          <w:lang w:eastAsia="en-GB"/>
        </w:rPr>
      </w:pPr>
    </w:p>
    <w:p w14:paraId="2158E67B" w14:textId="77777777" w:rsidR="00F4093E" w:rsidRDefault="00F4093E" w:rsidP="00F55890">
      <w:pPr>
        <w:rPr>
          <w:rFonts w:ascii="Arial" w:hAnsi="Arial" w:cs="Arial"/>
          <w:sz w:val="24"/>
          <w:szCs w:val="24"/>
          <w:lang w:eastAsia="en-GB"/>
        </w:rPr>
      </w:pPr>
    </w:p>
    <w:p w14:paraId="7F4263FA" w14:textId="77777777" w:rsidR="00F4093E" w:rsidRDefault="00F4093E" w:rsidP="00F55890">
      <w:pPr>
        <w:rPr>
          <w:rFonts w:ascii="Arial" w:hAnsi="Arial" w:cs="Arial"/>
          <w:sz w:val="24"/>
          <w:szCs w:val="24"/>
          <w:lang w:eastAsia="en-GB"/>
        </w:rPr>
      </w:pPr>
    </w:p>
    <w:p w14:paraId="4457F888" w14:textId="77777777" w:rsidR="00F4093E" w:rsidRDefault="00F4093E" w:rsidP="00F55890">
      <w:pPr>
        <w:rPr>
          <w:rFonts w:ascii="Arial" w:hAnsi="Arial" w:cs="Arial"/>
          <w:sz w:val="24"/>
          <w:szCs w:val="24"/>
          <w:lang w:eastAsia="en-GB"/>
        </w:rPr>
      </w:pPr>
    </w:p>
    <w:p w14:paraId="07F4CAFC" w14:textId="77777777" w:rsidR="00F4093E" w:rsidRDefault="00F4093E" w:rsidP="00F55890">
      <w:pPr>
        <w:rPr>
          <w:rFonts w:ascii="Arial" w:hAnsi="Arial" w:cs="Arial"/>
          <w:sz w:val="24"/>
          <w:szCs w:val="24"/>
          <w:lang w:eastAsia="en-GB"/>
        </w:rPr>
      </w:pPr>
    </w:p>
    <w:p w14:paraId="295E8179" w14:textId="77777777" w:rsidR="00F4093E" w:rsidRDefault="00F4093E" w:rsidP="00F55890">
      <w:pPr>
        <w:rPr>
          <w:rFonts w:ascii="Arial" w:hAnsi="Arial" w:cs="Arial"/>
          <w:sz w:val="24"/>
          <w:szCs w:val="24"/>
          <w:lang w:eastAsia="en-GB"/>
        </w:rPr>
      </w:pPr>
    </w:p>
    <w:p w14:paraId="0B72BA90" w14:textId="77777777" w:rsidR="00F4093E" w:rsidRDefault="00F4093E" w:rsidP="00F55890">
      <w:pPr>
        <w:rPr>
          <w:rFonts w:ascii="Arial" w:hAnsi="Arial" w:cs="Arial"/>
          <w:sz w:val="24"/>
          <w:szCs w:val="24"/>
          <w:lang w:eastAsia="en-GB"/>
        </w:rPr>
      </w:pPr>
    </w:p>
    <w:p w14:paraId="06BF4754" w14:textId="77777777" w:rsidR="00F4093E" w:rsidRDefault="00F4093E" w:rsidP="00F55890">
      <w:pPr>
        <w:rPr>
          <w:rFonts w:ascii="Arial" w:hAnsi="Arial" w:cs="Arial"/>
          <w:sz w:val="24"/>
          <w:szCs w:val="24"/>
          <w:lang w:eastAsia="en-GB"/>
        </w:rPr>
      </w:pPr>
    </w:p>
    <w:p w14:paraId="33954622" w14:textId="77777777" w:rsidR="00F4093E" w:rsidRDefault="00F4093E" w:rsidP="00F55890">
      <w:pPr>
        <w:rPr>
          <w:rFonts w:ascii="Arial" w:hAnsi="Arial" w:cs="Arial"/>
          <w:sz w:val="24"/>
          <w:szCs w:val="24"/>
          <w:lang w:eastAsia="en-GB"/>
        </w:rPr>
      </w:pPr>
    </w:p>
    <w:p w14:paraId="06E32672" w14:textId="77777777" w:rsidR="00F4093E" w:rsidRDefault="00F4093E" w:rsidP="00F55890">
      <w:pPr>
        <w:rPr>
          <w:rFonts w:ascii="Arial" w:hAnsi="Arial" w:cs="Arial"/>
          <w:sz w:val="24"/>
          <w:szCs w:val="24"/>
          <w:lang w:eastAsia="en-GB"/>
        </w:rPr>
      </w:pPr>
    </w:p>
    <w:p w14:paraId="566242A3" w14:textId="77777777" w:rsidR="00F4093E" w:rsidRDefault="00F4093E" w:rsidP="00F55890">
      <w:pPr>
        <w:rPr>
          <w:rFonts w:ascii="Arial" w:hAnsi="Arial" w:cs="Arial"/>
          <w:sz w:val="24"/>
          <w:szCs w:val="24"/>
          <w:lang w:eastAsia="en-GB"/>
        </w:rPr>
      </w:pPr>
    </w:p>
    <w:p w14:paraId="1F53819C" w14:textId="77777777" w:rsidR="00F4093E" w:rsidRDefault="00F4093E" w:rsidP="00F55890">
      <w:pPr>
        <w:rPr>
          <w:rFonts w:ascii="Arial" w:hAnsi="Arial" w:cs="Arial"/>
          <w:sz w:val="24"/>
          <w:szCs w:val="24"/>
          <w:lang w:eastAsia="en-GB"/>
        </w:rPr>
      </w:pPr>
    </w:p>
    <w:p w14:paraId="51AADCB0" w14:textId="77777777" w:rsidR="00F4093E" w:rsidRDefault="00F4093E" w:rsidP="00F55890">
      <w:pPr>
        <w:rPr>
          <w:rFonts w:ascii="Arial" w:hAnsi="Arial" w:cs="Arial"/>
          <w:sz w:val="24"/>
          <w:szCs w:val="24"/>
          <w:lang w:eastAsia="en-GB"/>
        </w:rPr>
      </w:pPr>
    </w:p>
    <w:p w14:paraId="35A0905E" w14:textId="77777777" w:rsidR="00F4093E" w:rsidRDefault="00F4093E" w:rsidP="00F55890">
      <w:pPr>
        <w:rPr>
          <w:rFonts w:ascii="Arial" w:hAnsi="Arial" w:cs="Arial"/>
          <w:sz w:val="24"/>
          <w:szCs w:val="24"/>
          <w:lang w:eastAsia="en-GB"/>
        </w:rPr>
      </w:pPr>
    </w:p>
    <w:p w14:paraId="067819E0" w14:textId="77777777" w:rsidR="00F4093E" w:rsidRDefault="00F4093E" w:rsidP="00F55890">
      <w:pPr>
        <w:rPr>
          <w:rFonts w:ascii="Arial" w:hAnsi="Arial" w:cs="Arial"/>
          <w:sz w:val="24"/>
          <w:szCs w:val="24"/>
          <w:lang w:eastAsia="en-GB"/>
        </w:rPr>
      </w:pPr>
    </w:p>
    <w:p w14:paraId="5484D015" w14:textId="77777777" w:rsidR="00BF7BFE" w:rsidRPr="00E4197F" w:rsidRDefault="00BF7BFE">
      <w:pPr>
        <w:rPr>
          <w:rFonts w:ascii="Arial" w:hAnsi="Arial" w:cs="Arial"/>
          <w:sz w:val="24"/>
          <w:szCs w:val="24"/>
        </w:rPr>
      </w:pPr>
    </w:p>
    <w:p w14:paraId="147798A3" w14:textId="77777777" w:rsidR="00E74E7D" w:rsidRDefault="00E74E7D" w:rsidP="00E4197F">
      <w:pPr>
        <w:jc w:val="center"/>
        <w:rPr>
          <w:rFonts w:ascii="Arial" w:hAnsi="Arial" w:cs="Arial"/>
          <w:sz w:val="24"/>
          <w:szCs w:val="24"/>
        </w:rPr>
      </w:pPr>
    </w:p>
    <w:p w14:paraId="42878D2F" w14:textId="77777777" w:rsidR="00E74E7D" w:rsidRDefault="00E74E7D" w:rsidP="00E4197F">
      <w:pPr>
        <w:jc w:val="center"/>
        <w:rPr>
          <w:rFonts w:ascii="Arial" w:hAnsi="Arial" w:cs="Arial"/>
          <w:sz w:val="24"/>
          <w:szCs w:val="24"/>
        </w:rPr>
      </w:pPr>
    </w:p>
    <w:p w14:paraId="684F8599" w14:textId="77777777" w:rsidR="00E74E7D" w:rsidRDefault="00E74E7D" w:rsidP="00E4197F">
      <w:pPr>
        <w:jc w:val="center"/>
        <w:rPr>
          <w:rFonts w:ascii="Arial" w:hAnsi="Arial" w:cs="Arial"/>
          <w:sz w:val="24"/>
          <w:szCs w:val="24"/>
        </w:rPr>
      </w:pPr>
    </w:p>
    <w:p w14:paraId="5CB6D657" w14:textId="77777777" w:rsidR="00826732" w:rsidRDefault="00826732" w:rsidP="00826732">
      <w:pPr>
        <w:rPr>
          <w:rFonts w:ascii="Arial" w:hAnsi="Arial" w:cs="Arial"/>
          <w:sz w:val="24"/>
          <w:szCs w:val="24"/>
        </w:rPr>
      </w:pPr>
    </w:p>
    <w:p w14:paraId="367C8532" w14:textId="77777777" w:rsidR="00DF308F" w:rsidRDefault="00DF308F" w:rsidP="00826732">
      <w:pPr>
        <w:jc w:val="center"/>
        <w:rPr>
          <w:rFonts w:ascii="Arial" w:hAnsi="Arial" w:cs="Arial"/>
          <w:sz w:val="24"/>
          <w:szCs w:val="24"/>
        </w:rPr>
      </w:pPr>
    </w:p>
    <w:p w14:paraId="11A03F81" w14:textId="77777777" w:rsidR="00DF308F" w:rsidRDefault="00DF308F" w:rsidP="00826732">
      <w:pPr>
        <w:jc w:val="center"/>
        <w:rPr>
          <w:rFonts w:ascii="Arial" w:hAnsi="Arial" w:cs="Arial"/>
          <w:sz w:val="24"/>
          <w:szCs w:val="24"/>
        </w:rPr>
      </w:pPr>
    </w:p>
    <w:p w14:paraId="2F1F2CE6" w14:textId="77777777" w:rsidR="00E02FF7" w:rsidRDefault="00E02FF7" w:rsidP="00826732">
      <w:pPr>
        <w:jc w:val="center"/>
        <w:rPr>
          <w:rFonts w:ascii="Arial" w:hAnsi="Arial" w:cs="Arial"/>
          <w:sz w:val="24"/>
          <w:szCs w:val="24"/>
        </w:rPr>
      </w:pPr>
    </w:p>
    <w:p w14:paraId="56A4403E" w14:textId="77777777" w:rsidR="00E02FF7" w:rsidRDefault="00E02FF7" w:rsidP="00826732">
      <w:pPr>
        <w:jc w:val="center"/>
        <w:rPr>
          <w:rFonts w:ascii="Arial" w:hAnsi="Arial" w:cs="Arial"/>
          <w:sz w:val="24"/>
          <w:szCs w:val="24"/>
        </w:rPr>
      </w:pPr>
    </w:p>
    <w:p w14:paraId="28E6A59F" w14:textId="77777777" w:rsidR="006A44AC" w:rsidRDefault="006A44AC" w:rsidP="006A44AC">
      <w:pPr>
        <w:rPr>
          <w:rFonts w:ascii="Arial" w:hAnsi="Arial" w:cs="Arial"/>
          <w:sz w:val="24"/>
          <w:szCs w:val="24"/>
        </w:rPr>
      </w:pPr>
    </w:p>
    <w:p w14:paraId="132E58C0" w14:textId="475527DA" w:rsidR="00E4197F" w:rsidRDefault="00E4197F" w:rsidP="006A44AC">
      <w:pPr>
        <w:jc w:val="center"/>
        <w:rPr>
          <w:rFonts w:ascii="Arial" w:hAnsi="Arial" w:cs="Arial"/>
          <w:sz w:val="24"/>
          <w:szCs w:val="24"/>
        </w:rPr>
      </w:pPr>
      <w:r w:rsidRPr="00E4197F">
        <w:rPr>
          <w:rFonts w:ascii="Arial" w:hAnsi="Arial" w:cs="Arial"/>
          <w:sz w:val="24"/>
          <w:szCs w:val="24"/>
        </w:rPr>
        <w:lastRenderedPageBreak/>
        <w:t>References</w:t>
      </w:r>
    </w:p>
    <w:p w14:paraId="542CBCAB" w14:textId="77777777" w:rsidR="00E02FF7" w:rsidRDefault="00E02FF7" w:rsidP="00E02FF7">
      <w:pPr>
        <w:rPr>
          <w:rFonts w:ascii="Arial" w:hAnsi="Arial" w:cs="Arial"/>
          <w:sz w:val="24"/>
          <w:szCs w:val="24"/>
        </w:rPr>
      </w:pPr>
      <w:r>
        <w:rPr>
          <w:rFonts w:ascii="Arial" w:hAnsi="Arial" w:cs="Arial"/>
          <w:sz w:val="24"/>
          <w:szCs w:val="24"/>
        </w:rPr>
        <w:t xml:space="preserve">BBC (2018) </w:t>
      </w:r>
      <w:r w:rsidRPr="0062209D">
        <w:rPr>
          <w:rFonts w:ascii="Arial" w:hAnsi="Arial" w:cs="Arial"/>
          <w:i/>
          <w:iCs/>
          <w:sz w:val="24"/>
          <w:szCs w:val="24"/>
        </w:rPr>
        <w:t>Heterosexual Couple Win Civil Partnership Case</w:t>
      </w:r>
      <w:r>
        <w:rPr>
          <w:rFonts w:ascii="Arial" w:hAnsi="Arial" w:cs="Arial"/>
          <w:sz w:val="24"/>
          <w:szCs w:val="24"/>
        </w:rPr>
        <w:t xml:space="preserve">. Available at: </w:t>
      </w:r>
      <w:hyperlink r:id="rId8" w:history="1">
        <w:r w:rsidRPr="00A55C63">
          <w:rPr>
            <w:rStyle w:val="Hyperlink"/>
            <w:rFonts w:ascii="Arial" w:hAnsi="Arial" w:cs="Arial"/>
            <w:sz w:val="24"/>
            <w:szCs w:val="24"/>
          </w:rPr>
          <w:t>https://www.bbc.co.uk/news/uk-44627990</w:t>
        </w:r>
      </w:hyperlink>
      <w:r>
        <w:rPr>
          <w:rFonts w:ascii="Arial" w:hAnsi="Arial" w:cs="Arial"/>
          <w:sz w:val="24"/>
          <w:szCs w:val="24"/>
        </w:rPr>
        <w:t xml:space="preserve"> (Accessed: 30 November 2023). </w:t>
      </w:r>
    </w:p>
    <w:p w14:paraId="3A1C57FB" w14:textId="77777777" w:rsidR="00E02FF7" w:rsidRDefault="00E02FF7" w:rsidP="00E02FF7">
      <w:pPr>
        <w:rPr>
          <w:rFonts w:ascii="Arial" w:hAnsi="Arial" w:cs="Arial"/>
          <w:sz w:val="24"/>
          <w:szCs w:val="24"/>
        </w:rPr>
      </w:pPr>
      <w:r>
        <w:rPr>
          <w:rFonts w:ascii="Arial" w:hAnsi="Arial" w:cs="Arial"/>
          <w:sz w:val="24"/>
          <w:szCs w:val="24"/>
        </w:rPr>
        <w:t>Burrows, D. (2022) ‘</w:t>
      </w:r>
      <w:r w:rsidRPr="00D017E8">
        <w:rPr>
          <w:rFonts w:ascii="Arial" w:hAnsi="Arial" w:cs="Arial"/>
          <w:sz w:val="24"/>
          <w:szCs w:val="24"/>
        </w:rPr>
        <w:t xml:space="preserve">Divorce and </w:t>
      </w:r>
      <w:r>
        <w:rPr>
          <w:rFonts w:ascii="Arial" w:hAnsi="Arial" w:cs="Arial"/>
          <w:sz w:val="24"/>
          <w:szCs w:val="24"/>
        </w:rPr>
        <w:t>C</w:t>
      </w:r>
      <w:r w:rsidRPr="00D017E8">
        <w:rPr>
          <w:rFonts w:ascii="Arial" w:hAnsi="Arial" w:cs="Arial"/>
          <w:sz w:val="24"/>
          <w:szCs w:val="24"/>
        </w:rPr>
        <w:t xml:space="preserve">ivil </w:t>
      </w:r>
      <w:r>
        <w:rPr>
          <w:rFonts w:ascii="Arial" w:hAnsi="Arial" w:cs="Arial"/>
          <w:sz w:val="24"/>
          <w:szCs w:val="24"/>
        </w:rPr>
        <w:t>P</w:t>
      </w:r>
      <w:r w:rsidRPr="00D017E8">
        <w:rPr>
          <w:rFonts w:ascii="Arial" w:hAnsi="Arial" w:cs="Arial"/>
          <w:sz w:val="24"/>
          <w:szCs w:val="24"/>
        </w:rPr>
        <w:t xml:space="preserve">artnership </w:t>
      </w:r>
      <w:r>
        <w:rPr>
          <w:rFonts w:ascii="Arial" w:hAnsi="Arial" w:cs="Arial"/>
          <w:sz w:val="24"/>
          <w:szCs w:val="24"/>
        </w:rPr>
        <w:t>D</w:t>
      </w:r>
      <w:r w:rsidRPr="00D017E8">
        <w:rPr>
          <w:rFonts w:ascii="Arial" w:hAnsi="Arial" w:cs="Arial"/>
          <w:sz w:val="24"/>
          <w:szCs w:val="24"/>
        </w:rPr>
        <w:t xml:space="preserve">issolution </w:t>
      </w:r>
      <w:r>
        <w:rPr>
          <w:rFonts w:ascii="Arial" w:hAnsi="Arial" w:cs="Arial"/>
          <w:sz w:val="24"/>
          <w:szCs w:val="24"/>
        </w:rPr>
        <w:t>R</w:t>
      </w:r>
      <w:r w:rsidRPr="00D017E8">
        <w:rPr>
          <w:rFonts w:ascii="Arial" w:hAnsi="Arial" w:cs="Arial"/>
          <w:sz w:val="24"/>
          <w:szCs w:val="24"/>
        </w:rPr>
        <w:t xml:space="preserve">eform: </w:t>
      </w:r>
      <w:r>
        <w:rPr>
          <w:rFonts w:ascii="Arial" w:hAnsi="Arial" w:cs="Arial"/>
          <w:sz w:val="24"/>
          <w:szCs w:val="24"/>
        </w:rPr>
        <w:t>H</w:t>
      </w:r>
      <w:r w:rsidRPr="00D017E8">
        <w:rPr>
          <w:rFonts w:ascii="Arial" w:hAnsi="Arial" w:cs="Arial"/>
          <w:sz w:val="24"/>
          <w:szCs w:val="24"/>
        </w:rPr>
        <w:t xml:space="preserve">ow </w:t>
      </w:r>
      <w:r>
        <w:rPr>
          <w:rFonts w:ascii="Arial" w:hAnsi="Arial" w:cs="Arial"/>
          <w:sz w:val="24"/>
          <w:szCs w:val="24"/>
        </w:rPr>
        <w:t>L</w:t>
      </w:r>
      <w:r w:rsidRPr="00D017E8">
        <w:rPr>
          <w:rFonts w:ascii="Arial" w:hAnsi="Arial" w:cs="Arial"/>
          <w:sz w:val="24"/>
          <w:szCs w:val="24"/>
        </w:rPr>
        <w:t>awful? Part 1</w:t>
      </w:r>
      <w:r>
        <w:rPr>
          <w:rFonts w:ascii="Arial" w:hAnsi="Arial" w:cs="Arial"/>
          <w:sz w:val="24"/>
          <w:szCs w:val="24"/>
        </w:rPr>
        <w:t xml:space="preserve">’, </w:t>
      </w:r>
      <w:r w:rsidRPr="00E05815">
        <w:rPr>
          <w:rFonts w:ascii="Arial" w:hAnsi="Arial" w:cs="Arial"/>
          <w:i/>
          <w:iCs/>
          <w:sz w:val="24"/>
          <w:szCs w:val="24"/>
        </w:rPr>
        <w:t>ICLR,</w:t>
      </w:r>
      <w:r>
        <w:rPr>
          <w:rFonts w:ascii="Arial" w:hAnsi="Arial" w:cs="Arial"/>
          <w:sz w:val="24"/>
          <w:szCs w:val="24"/>
        </w:rPr>
        <w:t xml:space="preserve"> 27 February. Available at: </w:t>
      </w:r>
      <w:hyperlink r:id="rId9" w:history="1">
        <w:r w:rsidRPr="00A55C63">
          <w:rPr>
            <w:rStyle w:val="Hyperlink"/>
            <w:rFonts w:ascii="Arial" w:hAnsi="Arial" w:cs="Arial"/>
            <w:sz w:val="24"/>
            <w:szCs w:val="24"/>
          </w:rPr>
          <w:t>https://www.iclr.co.uk/blog/commentary/divorce-and-civil-partnership-dissolution-reform-how-lawful-part-1/</w:t>
        </w:r>
      </w:hyperlink>
      <w:r>
        <w:rPr>
          <w:rFonts w:ascii="Arial" w:hAnsi="Arial" w:cs="Arial"/>
          <w:sz w:val="24"/>
          <w:szCs w:val="24"/>
        </w:rPr>
        <w:t xml:space="preserve"> (Accessed: 30 November 2023). </w:t>
      </w:r>
    </w:p>
    <w:p w14:paraId="29A55062" w14:textId="334E8B8A" w:rsidR="00A22CDA" w:rsidRPr="00A22CDA" w:rsidRDefault="00A22CDA" w:rsidP="00E02FF7">
      <w:pPr>
        <w:rPr>
          <w:b/>
          <w:bCs/>
        </w:rPr>
      </w:pPr>
      <w:r>
        <w:rPr>
          <w:rFonts w:ascii="Arial" w:hAnsi="Arial" w:cs="Arial"/>
          <w:sz w:val="24"/>
          <w:szCs w:val="24"/>
        </w:rPr>
        <w:t xml:space="preserve">Carroll, J., Pollock, J. (2018) </w:t>
      </w:r>
      <w:r w:rsidRPr="003A6A4E">
        <w:rPr>
          <w:rFonts w:ascii="Arial" w:hAnsi="Arial" w:cs="Arial"/>
          <w:sz w:val="24"/>
          <w:szCs w:val="24"/>
        </w:rPr>
        <w:t xml:space="preserve">Owens and Owens: </w:t>
      </w:r>
      <w:r>
        <w:rPr>
          <w:rFonts w:ascii="Arial" w:hAnsi="Arial" w:cs="Arial"/>
          <w:sz w:val="24"/>
          <w:szCs w:val="24"/>
        </w:rPr>
        <w:t>U</w:t>
      </w:r>
      <w:r w:rsidRPr="003A6A4E">
        <w:rPr>
          <w:rFonts w:ascii="Arial" w:hAnsi="Arial" w:cs="Arial"/>
          <w:sz w:val="24"/>
          <w:szCs w:val="24"/>
        </w:rPr>
        <w:t xml:space="preserve">nreasonable </w:t>
      </w:r>
      <w:r>
        <w:rPr>
          <w:rFonts w:ascii="Arial" w:hAnsi="Arial" w:cs="Arial"/>
          <w:sz w:val="24"/>
          <w:szCs w:val="24"/>
        </w:rPr>
        <w:t>L</w:t>
      </w:r>
      <w:r w:rsidRPr="003A6A4E">
        <w:rPr>
          <w:rFonts w:ascii="Arial" w:hAnsi="Arial" w:cs="Arial"/>
          <w:sz w:val="24"/>
          <w:szCs w:val="24"/>
        </w:rPr>
        <w:t xml:space="preserve">aw </w:t>
      </w:r>
      <w:r>
        <w:rPr>
          <w:rFonts w:ascii="Arial" w:hAnsi="Arial" w:cs="Arial"/>
          <w:sz w:val="24"/>
          <w:szCs w:val="24"/>
        </w:rPr>
        <w:t>N</w:t>
      </w:r>
      <w:r w:rsidRPr="003A6A4E">
        <w:rPr>
          <w:rFonts w:ascii="Arial" w:hAnsi="Arial" w:cs="Arial"/>
          <w:sz w:val="24"/>
          <w:szCs w:val="24"/>
        </w:rPr>
        <w:t xml:space="preserve">ot </w:t>
      </w:r>
      <w:r>
        <w:rPr>
          <w:rFonts w:ascii="Arial" w:hAnsi="Arial" w:cs="Arial"/>
          <w:sz w:val="24"/>
          <w:szCs w:val="24"/>
        </w:rPr>
        <w:t>U</w:t>
      </w:r>
      <w:r w:rsidRPr="003A6A4E">
        <w:rPr>
          <w:rFonts w:ascii="Arial" w:hAnsi="Arial" w:cs="Arial"/>
          <w:sz w:val="24"/>
          <w:szCs w:val="24"/>
        </w:rPr>
        <w:t xml:space="preserve">nreasonable </w:t>
      </w:r>
      <w:r>
        <w:rPr>
          <w:rFonts w:ascii="Arial" w:hAnsi="Arial" w:cs="Arial"/>
          <w:sz w:val="24"/>
          <w:szCs w:val="24"/>
        </w:rPr>
        <w:t>B</w:t>
      </w:r>
      <w:r w:rsidRPr="003A6A4E">
        <w:rPr>
          <w:rFonts w:ascii="Arial" w:hAnsi="Arial" w:cs="Arial"/>
          <w:sz w:val="24"/>
          <w:szCs w:val="24"/>
        </w:rPr>
        <w:t>ehaviour?</w:t>
      </w:r>
      <w:r>
        <w:rPr>
          <w:rFonts w:ascii="Arial" w:hAnsi="Arial" w:cs="Arial"/>
          <w:sz w:val="24"/>
          <w:szCs w:val="24"/>
        </w:rPr>
        <w:t xml:space="preserve"> Available at: </w:t>
      </w:r>
      <w:hyperlink r:id="rId10" w:history="1">
        <w:r w:rsidRPr="00A55C63">
          <w:rPr>
            <w:rStyle w:val="Hyperlink"/>
            <w:rFonts w:ascii="Arial" w:hAnsi="Arial" w:cs="Arial"/>
            <w:sz w:val="24"/>
            <w:szCs w:val="24"/>
          </w:rPr>
          <w:t>https://www.lawsociety.org.uk/topics/family-and-children/owens-and-owens</w:t>
        </w:r>
      </w:hyperlink>
      <w:r>
        <w:rPr>
          <w:rFonts w:ascii="Arial" w:hAnsi="Arial" w:cs="Arial"/>
          <w:sz w:val="24"/>
          <w:szCs w:val="24"/>
        </w:rPr>
        <w:t xml:space="preserve"> (Accessed: 30 November 2023). </w:t>
      </w:r>
    </w:p>
    <w:p w14:paraId="0332E174" w14:textId="0FBB908E" w:rsidR="00E02FF7" w:rsidRDefault="00E02FF7" w:rsidP="00E02FF7">
      <w:pPr>
        <w:rPr>
          <w:rFonts w:ascii="Arial" w:hAnsi="Arial" w:cs="Arial"/>
          <w:sz w:val="24"/>
          <w:szCs w:val="24"/>
        </w:rPr>
      </w:pPr>
      <w:r w:rsidRPr="000B6517">
        <w:rPr>
          <w:rFonts w:ascii="Arial" w:hAnsi="Arial" w:cs="Arial"/>
          <w:i/>
          <w:iCs/>
          <w:sz w:val="24"/>
          <w:szCs w:val="24"/>
        </w:rPr>
        <w:t>Civil Partnership Act 2004</w:t>
      </w:r>
      <w:r>
        <w:rPr>
          <w:rFonts w:ascii="Arial" w:hAnsi="Arial" w:cs="Arial"/>
          <w:sz w:val="24"/>
          <w:szCs w:val="24"/>
        </w:rPr>
        <w:t xml:space="preserve">, c.33. Available at: </w:t>
      </w:r>
      <w:hyperlink r:id="rId11" w:history="1">
        <w:r w:rsidRPr="00A55C63">
          <w:rPr>
            <w:rStyle w:val="Hyperlink"/>
            <w:rFonts w:ascii="Arial" w:hAnsi="Arial" w:cs="Arial"/>
            <w:sz w:val="24"/>
            <w:szCs w:val="24"/>
          </w:rPr>
          <w:t>https://www.legislation.gov.uk/ukpga/2004/33/contents</w:t>
        </w:r>
      </w:hyperlink>
      <w:r>
        <w:rPr>
          <w:rFonts w:ascii="Arial" w:hAnsi="Arial" w:cs="Arial"/>
          <w:sz w:val="24"/>
          <w:szCs w:val="24"/>
        </w:rPr>
        <w:t xml:space="preserve"> (Accessed: 28 November 2023). </w:t>
      </w:r>
    </w:p>
    <w:p w14:paraId="5C272C8F" w14:textId="77777777" w:rsidR="00E02FF7" w:rsidRDefault="00E02FF7" w:rsidP="00E02FF7">
      <w:pPr>
        <w:rPr>
          <w:rFonts w:ascii="Arial" w:hAnsi="Arial" w:cs="Arial"/>
          <w:sz w:val="24"/>
          <w:szCs w:val="24"/>
        </w:rPr>
      </w:pPr>
      <w:r>
        <w:rPr>
          <w:rFonts w:ascii="Arial" w:hAnsi="Arial" w:cs="Arial"/>
          <w:sz w:val="24"/>
          <w:szCs w:val="24"/>
        </w:rPr>
        <w:t xml:space="preserve">Council of Europe (2006) </w:t>
      </w:r>
      <w:r w:rsidRPr="00AA796C">
        <w:rPr>
          <w:rFonts w:ascii="Arial" w:hAnsi="Arial" w:cs="Arial"/>
          <w:i/>
          <w:iCs/>
          <w:sz w:val="24"/>
          <w:szCs w:val="24"/>
        </w:rPr>
        <w:t>Case of Evans v. The United Kingdom</w:t>
      </w:r>
      <w:r>
        <w:rPr>
          <w:rFonts w:ascii="Arial" w:hAnsi="Arial" w:cs="Arial"/>
          <w:sz w:val="24"/>
          <w:szCs w:val="24"/>
        </w:rPr>
        <w:t xml:space="preserve">. Available at: </w:t>
      </w:r>
      <w:hyperlink r:id="rId12" w:history="1">
        <w:r w:rsidRPr="00A55C63">
          <w:rPr>
            <w:rStyle w:val="Hyperlink"/>
            <w:rFonts w:ascii="Arial" w:hAnsi="Arial" w:cs="Arial"/>
            <w:sz w:val="24"/>
            <w:szCs w:val="24"/>
          </w:rPr>
          <w:t>https://hudoc.echr.coe.int/app/conversion/pdf/?library=ECHR&amp;id=001-72684&amp;filename=001-72684.pdf&amp;TID=ihgdqbxnfi</w:t>
        </w:r>
      </w:hyperlink>
      <w:r>
        <w:rPr>
          <w:rFonts w:ascii="Arial" w:hAnsi="Arial" w:cs="Arial"/>
          <w:sz w:val="24"/>
          <w:szCs w:val="24"/>
        </w:rPr>
        <w:t xml:space="preserve"> (Accessed: 28 November 2023). </w:t>
      </w:r>
    </w:p>
    <w:p w14:paraId="606433A6" w14:textId="0B364934" w:rsidR="00E4197F" w:rsidRDefault="00444C92" w:rsidP="00E4197F">
      <w:pPr>
        <w:rPr>
          <w:rFonts w:ascii="Arial" w:hAnsi="Arial" w:cs="Arial"/>
          <w:sz w:val="24"/>
          <w:szCs w:val="24"/>
        </w:rPr>
      </w:pPr>
      <w:r w:rsidRPr="00CB4D42">
        <w:rPr>
          <w:rFonts w:ascii="Arial" w:hAnsi="Arial" w:cs="Arial"/>
          <w:i/>
          <w:iCs/>
          <w:sz w:val="24"/>
          <w:szCs w:val="24"/>
        </w:rPr>
        <w:t>Divorce, Dissolution and Separation Act 2020</w:t>
      </w:r>
      <w:r w:rsidR="00272A14">
        <w:rPr>
          <w:rFonts w:ascii="Arial" w:hAnsi="Arial" w:cs="Arial"/>
          <w:sz w:val="24"/>
          <w:szCs w:val="24"/>
        </w:rPr>
        <w:t>, c.11.</w:t>
      </w:r>
      <w:r w:rsidR="00617B31">
        <w:rPr>
          <w:rFonts w:ascii="Arial" w:hAnsi="Arial" w:cs="Arial"/>
          <w:sz w:val="24"/>
          <w:szCs w:val="24"/>
        </w:rPr>
        <w:t xml:space="preserve"> Available at: </w:t>
      </w:r>
      <w:hyperlink r:id="rId13" w:history="1">
        <w:r w:rsidR="00617B31" w:rsidRPr="00A55C63">
          <w:rPr>
            <w:rStyle w:val="Hyperlink"/>
            <w:rFonts w:ascii="Arial" w:hAnsi="Arial" w:cs="Arial"/>
            <w:sz w:val="24"/>
            <w:szCs w:val="24"/>
          </w:rPr>
          <w:t>https://www.legislation.gov.uk/ukpga/2020/11/contents/enacted</w:t>
        </w:r>
      </w:hyperlink>
      <w:r w:rsidR="00617B31">
        <w:rPr>
          <w:rFonts w:ascii="Arial" w:hAnsi="Arial" w:cs="Arial"/>
          <w:sz w:val="24"/>
          <w:szCs w:val="24"/>
        </w:rPr>
        <w:t xml:space="preserve"> (Accessed: 26 November 2023). </w:t>
      </w:r>
      <w:r w:rsidR="00272A14">
        <w:rPr>
          <w:rFonts w:ascii="Arial" w:hAnsi="Arial" w:cs="Arial"/>
          <w:sz w:val="24"/>
          <w:szCs w:val="24"/>
        </w:rPr>
        <w:t xml:space="preserve"> </w:t>
      </w:r>
    </w:p>
    <w:p w14:paraId="1016CB22" w14:textId="77777777" w:rsidR="00A22CDA" w:rsidRDefault="00A22CDA" w:rsidP="00A22CDA">
      <w:pPr>
        <w:rPr>
          <w:rFonts w:ascii="Arial" w:hAnsi="Arial" w:cs="Arial"/>
          <w:sz w:val="24"/>
          <w:szCs w:val="24"/>
        </w:rPr>
      </w:pPr>
      <w:r>
        <w:rPr>
          <w:rFonts w:ascii="Arial" w:hAnsi="Arial" w:cs="Arial"/>
          <w:sz w:val="24"/>
          <w:szCs w:val="24"/>
        </w:rPr>
        <w:t xml:space="preserve">Duffield, N., Kempton, J. and Sabine.C. (2021) </w:t>
      </w:r>
      <w:r w:rsidRPr="00B834F4">
        <w:rPr>
          <w:rFonts w:ascii="Arial" w:hAnsi="Arial" w:cs="Arial"/>
          <w:i/>
          <w:iCs/>
          <w:sz w:val="24"/>
          <w:szCs w:val="24"/>
        </w:rPr>
        <w:t>Family Law and Practice</w:t>
      </w:r>
      <w:r>
        <w:rPr>
          <w:rFonts w:ascii="Arial" w:hAnsi="Arial" w:cs="Arial"/>
          <w:sz w:val="24"/>
          <w:szCs w:val="24"/>
        </w:rPr>
        <w:t xml:space="preserve">. Guildford: College Law of Publishing. </w:t>
      </w:r>
    </w:p>
    <w:p w14:paraId="1A7D5790" w14:textId="77777777" w:rsidR="00A22CDA" w:rsidRDefault="00A22CDA" w:rsidP="00A22CDA">
      <w:pPr>
        <w:rPr>
          <w:rFonts w:ascii="Arial" w:hAnsi="Arial" w:cs="Arial"/>
          <w:sz w:val="24"/>
          <w:szCs w:val="24"/>
        </w:rPr>
      </w:pPr>
      <w:r>
        <w:rPr>
          <w:rFonts w:ascii="Arial" w:hAnsi="Arial" w:cs="Arial"/>
          <w:sz w:val="24"/>
          <w:szCs w:val="24"/>
        </w:rPr>
        <w:t xml:space="preserve">Fairbairn, C. (2020) </w:t>
      </w:r>
      <w:r w:rsidRPr="00DF308F">
        <w:rPr>
          <w:rFonts w:ascii="Arial" w:hAnsi="Arial" w:cs="Arial"/>
          <w:i/>
          <w:iCs/>
          <w:sz w:val="24"/>
          <w:szCs w:val="24"/>
        </w:rPr>
        <w:t>Commons Library Analysis: Divorce, Dissolution and Separation Bill [HL] 2019-21</w:t>
      </w:r>
      <w:r>
        <w:rPr>
          <w:rFonts w:ascii="Arial" w:hAnsi="Arial" w:cs="Arial"/>
          <w:sz w:val="24"/>
          <w:szCs w:val="24"/>
        </w:rPr>
        <w:t xml:space="preserve">. Available at: </w:t>
      </w:r>
      <w:hyperlink r:id="rId14" w:history="1">
        <w:r w:rsidRPr="00A55C63">
          <w:rPr>
            <w:rStyle w:val="Hyperlink"/>
            <w:rFonts w:ascii="Arial" w:hAnsi="Arial" w:cs="Arial"/>
            <w:sz w:val="24"/>
            <w:szCs w:val="24"/>
          </w:rPr>
          <w:t>https://commonslibrary.parliament.uk/research-briefings/cbp-8697/</w:t>
        </w:r>
      </w:hyperlink>
      <w:r>
        <w:rPr>
          <w:rFonts w:ascii="Arial" w:hAnsi="Arial" w:cs="Arial"/>
          <w:sz w:val="24"/>
          <w:szCs w:val="24"/>
        </w:rPr>
        <w:t xml:space="preserve"> (Accessed: 30 November 2023). </w:t>
      </w:r>
    </w:p>
    <w:p w14:paraId="563C76E6" w14:textId="77777777" w:rsidR="00A22CDA" w:rsidRDefault="00A22CDA" w:rsidP="00A22CDA">
      <w:pPr>
        <w:rPr>
          <w:rFonts w:ascii="Arial" w:hAnsi="Arial" w:cs="Arial"/>
          <w:sz w:val="24"/>
          <w:szCs w:val="24"/>
        </w:rPr>
      </w:pPr>
      <w:r>
        <w:rPr>
          <w:rFonts w:ascii="Arial" w:hAnsi="Arial" w:cs="Arial"/>
          <w:sz w:val="24"/>
          <w:szCs w:val="24"/>
        </w:rPr>
        <w:t xml:space="preserve">GOV.UK (no date) </w:t>
      </w:r>
      <w:r w:rsidRPr="001D0694">
        <w:rPr>
          <w:rFonts w:ascii="Arial" w:hAnsi="Arial" w:cs="Arial"/>
          <w:i/>
          <w:iCs/>
          <w:sz w:val="24"/>
          <w:szCs w:val="24"/>
        </w:rPr>
        <w:t>End a Civil Partnership.</w:t>
      </w:r>
      <w:r>
        <w:rPr>
          <w:rFonts w:ascii="Arial" w:hAnsi="Arial" w:cs="Arial"/>
          <w:sz w:val="24"/>
          <w:szCs w:val="24"/>
        </w:rPr>
        <w:t xml:space="preserve"> Available at: </w:t>
      </w:r>
      <w:hyperlink r:id="rId15" w:history="1">
        <w:r w:rsidRPr="00A55C63">
          <w:rPr>
            <w:rStyle w:val="Hyperlink"/>
            <w:rFonts w:ascii="Arial" w:hAnsi="Arial" w:cs="Arial"/>
            <w:sz w:val="24"/>
            <w:szCs w:val="24"/>
          </w:rPr>
          <w:t>https://www.gov.uk/end-civil-partnership</w:t>
        </w:r>
      </w:hyperlink>
      <w:r>
        <w:rPr>
          <w:rFonts w:ascii="Arial" w:hAnsi="Arial" w:cs="Arial"/>
          <w:sz w:val="24"/>
          <w:szCs w:val="24"/>
        </w:rPr>
        <w:t xml:space="preserve"> (Accessed: 30 November 2023). </w:t>
      </w:r>
    </w:p>
    <w:p w14:paraId="19D4EE74" w14:textId="77777777" w:rsidR="00A22CDA" w:rsidRDefault="00A22CDA" w:rsidP="00A22CDA">
      <w:pPr>
        <w:rPr>
          <w:rFonts w:ascii="Arial" w:hAnsi="Arial" w:cs="Arial"/>
          <w:sz w:val="24"/>
          <w:szCs w:val="24"/>
        </w:rPr>
      </w:pPr>
      <w:r>
        <w:rPr>
          <w:rFonts w:ascii="Arial" w:hAnsi="Arial" w:cs="Arial"/>
          <w:sz w:val="24"/>
          <w:szCs w:val="24"/>
        </w:rPr>
        <w:t xml:space="preserve">GOV.UK (no date) </w:t>
      </w:r>
      <w:r w:rsidRPr="00394622">
        <w:rPr>
          <w:rFonts w:ascii="Arial" w:hAnsi="Arial" w:cs="Arial"/>
          <w:i/>
          <w:iCs/>
          <w:sz w:val="24"/>
          <w:szCs w:val="24"/>
        </w:rPr>
        <w:t>Get a Divorce</w:t>
      </w:r>
      <w:r>
        <w:rPr>
          <w:rFonts w:ascii="Arial" w:hAnsi="Arial" w:cs="Arial"/>
          <w:sz w:val="24"/>
          <w:szCs w:val="24"/>
        </w:rPr>
        <w:t xml:space="preserve">. Available at: </w:t>
      </w:r>
      <w:hyperlink r:id="rId16" w:history="1">
        <w:r w:rsidRPr="00A55C63">
          <w:rPr>
            <w:rStyle w:val="Hyperlink"/>
            <w:rFonts w:ascii="Arial" w:hAnsi="Arial" w:cs="Arial"/>
            <w:sz w:val="24"/>
            <w:szCs w:val="24"/>
          </w:rPr>
          <w:t>https://www.gov.uk/divorce</w:t>
        </w:r>
      </w:hyperlink>
      <w:r>
        <w:rPr>
          <w:rFonts w:ascii="Arial" w:hAnsi="Arial" w:cs="Arial"/>
          <w:sz w:val="24"/>
          <w:szCs w:val="24"/>
        </w:rPr>
        <w:t xml:space="preserve"> (Accessed: 30 November 2023). </w:t>
      </w:r>
    </w:p>
    <w:p w14:paraId="28A75B8B" w14:textId="1A64FC3B" w:rsidR="00006569" w:rsidRDefault="00006569" w:rsidP="00A22CDA">
      <w:pPr>
        <w:rPr>
          <w:rFonts w:ascii="Arial" w:hAnsi="Arial" w:cs="Arial"/>
          <w:sz w:val="24"/>
          <w:szCs w:val="24"/>
        </w:rPr>
      </w:pPr>
      <w:r w:rsidRPr="00E02FF7">
        <w:rPr>
          <w:rFonts w:ascii="Arial" w:hAnsi="Arial" w:cs="Arial"/>
          <w:i/>
          <w:iCs/>
          <w:sz w:val="24"/>
          <w:szCs w:val="24"/>
        </w:rPr>
        <w:t>Human Fertilisation and Embryology Act 1990</w:t>
      </w:r>
      <w:r>
        <w:rPr>
          <w:rFonts w:ascii="Arial" w:hAnsi="Arial" w:cs="Arial"/>
          <w:sz w:val="24"/>
          <w:szCs w:val="24"/>
        </w:rPr>
        <w:t xml:space="preserve">, c.37. Available at: </w:t>
      </w:r>
      <w:hyperlink r:id="rId17" w:history="1">
        <w:r w:rsidRPr="00A55C63">
          <w:rPr>
            <w:rStyle w:val="Hyperlink"/>
            <w:rFonts w:ascii="Arial" w:hAnsi="Arial" w:cs="Arial"/>
            <w:sz w:val="24"/>
            <w:szCs w:val="24"/>
          </w:rPr>
          <w:t>https://www.legislation.gov.uk/ukpga/1990/37/contents</w:t>
        </w:r>
      </w:hyperlink>
      <w:r>
        <w:rPr>
          <w:rFonts w:ascii="Arial" w:hAnsi="Arial" w:cs="Arial"/>
          <w:sz w:val="24"/>
          <w:szCs w:val="24"/>
        </w:rPr>
        <w:t xml:space="preserve"> (Accessed: 30 November 2023). </w:t>
      </w:r>
    </w:p>
    <w:p w14:paraId="20A33AE9" w14:textId="77777777" w:rsidR="00A22CDA" w:rsidRDefault="00A22CDA" w:rsidP="00A22CDA">
      <w:pPr>
        <w:rPr>
          <w:rFonts w:ascii="Arial" w:hAnsi="Arial" w:cs="Arial"/>
          <w:sz w:val="24"/>
          <w:szCs w:val="24"/>
        </w:rPr>
      </w:pPr>
      <w:r w:rsidRPr="000B6517">
        <w:rPr>
          <w:rFonts w:ascii="Arial" w:hAnsi="Arial" w:cs="Arial"/>
          <w:i/>
          <w:iCs/>
          <w:sz w:val="24"/>
          <w:szCs w:val="24"/>
        </w:rPr>
        <w:t>Human Fertilisation and Embryology Act 2008</w:t>
      </w:r>
      <w:r>
        <w:rPr>
          <w:rFonts w:ascii="Arial" w:hAnsi="Arial" w:cs="Arial"/>
          <w:sz w:val="24"/>
          <w:szCs w:val="24"/>
        </w:rPr>
        <w:t xml:space="preserve">, c.22. Available at: </w:t>
      </w:r>
      <w:hyperlink r:id="rId18" w:history="1">
        <w:r w:rsidRPr="00A55C63">
          <w:rPr>
            <w:rStyle w:val="Hyperlink"/>
            <w:rFonts w:ascii="Arial" w:hAnsi="Arial" w:cs="Arial"/>
            <w:sz w:val="24"/>
            <w:szCs w:val="24"/>
          </w:rPr>
          <w:t>https://www.legislation.gov.uk/ukpga/2008/22/contents</w:t>
        </w:r>
      </w:hyperlink>
      <w:r>
        <w:rPr>
          <w:rFonts w:ascii="Arial" w:hAnsi="Arial" w:cs="Arial"/>
          <w:sz w:val="24"/>
          <w:szCs w:val="24"/>
        </w:rPr>
        <w:t xml:space="preserve"> (Accessed: 28 November 2023). </w:t>
      </w:r>
    </w:p>
    <w:p w14:paraId="659CA36F" w14:textId="77777777" w:rsidR="00006569" w:rsidRDefault="00006569" w:rsidP="00006569">
      <w:pPr>
        <w:rPr>
          <w:rFonts w:ascii="Arial" w:hAnsi="Arial" w:cs="Arial"/>
          <w:sz w:val="24"/>
          <w:szCs w:val="24"/>
        </w:rPr>
      </w:pPr>
      <w:r w:rsidRPr="006D0476">
        <w:rPr>
          <w:rFonts w:ascii="Arial" w:hAnsi="Arial" w:cs="Arial"/>
          <w:i/>
          <w:iCs/>
          <w:sz w:val="24"/>
          <w:szCs w:val="24"/>
        </w:rPr>
        <w:t>Human Rights Act 1998</w:t>
      </w:r>
      <w:r>
        <w:rPr>
          <w:rFonts w:ascii="Arial" w:hAnsi="Arial" w:cs="Arial"/>
          <w:sz w:val="24"/>
          <w:szCs w:val="24"/>
        </w:rPr>
        <w:t xml:space="preserve">, c.42. Available at: </w:t>
      </w:r>
      <w:hyperlink r:id="rId19" w:history="1">
        <w:r w:rsidRPr="00A55C63">
          <w:rPr>
            <w:rStyle w:val="Hyperlink"/>
            <w:rFonts w:ascii="Arial" w:hAnsi="Arial" w:cs="Arial"/>
            <w:sz w:val="24"/>
            <w:szCs w:val="24"/>
          </w:rPr>
          <w:t>https://www.legislation.gov.uk/ukpga/1998/42/contents</w:t>
        </w:r>
      </w:hyperlink>
      <w:r>
        <w:rPr>
          <w:rFonts w:ascii="Arial" w:hAnsi="Arial" w:cs="Arial"/>
          <w:sz w:val="24"/>
          <w:szCs w:val="24"/>
        </w:rPr>
        <w:t xml:space="preserve"> (Accessed: 30 November 2023). </w:t>
      </w:r>
    </w:p>
    <w:p w14:paraId="5856067D" w14:textId="59C09E21" w:rsidR="00006569" w:rsidRDefault="00006569" w:rsidP="00006569">
      <w:pPr>
        <w:rPr>
          <w:rFonts w:ascii="Arial" w:hAnsi="Arial" w:cs="Arial"/>
          <w:sz w:val="24"/>
          <w:szCs w:val="24"/>
        </w:rPr>
      </w:pPr>
      <w:r>
        <w:rPr>
          <w:rFonts w:ascii="Arial" w:hAnsi="Arial" w:cs="Arial"/>
          <w:sz w:val="24"/>
          <w:szCs w:val="24"/>
        </w:rPr>
        <w:t xml:space="preserve">Legislation.gov.uk (2018) </w:t>
      </w:r>
      <w:r w:rsidRPr="00E24CFC">
        <w:rPr>
          <w:rFonts w:ascii="Arial" w:hAnsi="Arial" w:cs="Arial"/>
          <w:i/>
          <w:iCs/>
          <w:sz w:val="24"/>
          <w:szCs w:val="24"/>
        </w:rPr>
        <w:t>Explanatory Memorandum to the Civil Partnership (Opposite-Sex Couples) Regulations 2019.</w:t>
      </w:r>
      <w:r>
        <w:rPr>
          <w:rFonts w:ascii="Arial" w:hAnsi="Arial" w:cs="Arial"/>
          <w:sz w:val="24"/>
          <w:szCs w:val="24"/>
        </w:rPr>
        <w:t xml:space="preserve"> Available at: </w:t>
      </w:r>
      <w:hyperlink r:id="rId20" w:history="1">
        <w:r w:rsidRPr="00A55C63">
          <w:rPr>
            <w:rStyle w:val="Hyperlink"/>
            <w:rFonts w:ascii="Arial" w:hAnsi="Arial" w:cs="Arial"/>
            <w:sz w:val="24"/>
            <w:szCs w:val="24"/>
          </w:rPr>
          <w:t>https://www.legislation.gov.uk/uksi/2019/1458/pdfs/uksiem_20191458_en.pdf</w:t>
        </w:r>
      </w:hyperlink>
      <w:r>
        <w:rPr>
          <w:rFonts w:ascii="Arial" w:hAnsi="Arial" w:cs="Arial"/>
          <w:sz w:val="24"/>
          <w:szCs w:val="24"/>
        </w:rPr>
        <w:t xml:space="preserve"> (Accessed: 30 November 2023). </w:t>
      </w:r>
    </w:p>
    <w:p w14:paraId="0B473F91" w14:textId="77777777" w:rsidR="00006569" w:rsidRDefault="00006569" w:rsidP="00006569">
      <w:pPr>
        <w:rPr>
          <w:rFonts w:ascii="Arial" w:hAnsi="Arial" w:cs="Arial"/>
          <w:sz w:val="24"/>
          <w:szCs w:val="24"/>
        </w:rPr>
      </w:pPr>
      <w:r>
        <w:rPr>
          <w:rFonts w:ascii="Arial" w:hAnsi="Arial" w:cs="Arial"/>
          <w:sz w:val="24"/>
          <w:szCs w:val="24"/>
        </w:rPr>
        <w:t xml:space="preserve">LexisPSL (2020) </w:t>
      </w:r>
      <w:r w:rsidRPr="00815EFA">
        <w:rPr>
          <w:rFonts w:ascii="Arial" w:hAnsi="Arial" w:cs="Arial"/>
          <w:i/>
          <w:iCs/>
          <w:sz w:val="24"/>
          <w:szCs w:val="24"/>
        </w:rPr>
        <w:t>Introduction to the Divorce, Dissolution and Separation Act 2020</w:t>
      </w:r>
      <w:r>
        <w:rPr>
          <w:rFonts w:ascii="Arial" w:hAnsi="Arial" w:cs="Arial"/>
          <w:sz w:val="24"/>
          <w:szCs w:val="24"/>
        </w:rPr>
        <w:t xml:space="preserve">. Available at: </w:t>
      </w:r>
      <w:hyperlink r:id="rId21" w:history="1">
        <w:r w:rsidRPr="00A55C63">
          <w:rPr>
            <w:rStyle w:val="Hyperlink"/>
            <w:rFonts w:ascii="Arial" w:hAnsi="Arial" w:cs="Arial"/>
            <w:sz w:val="24"/>
            <w:szCs w:val="24"/>
          </w:rPr>
          <w:t>https://plus-lexis-com.ezproxy.uwtsd.ac.uk/uk/document/?pdmfid=1001073&amp;crid=4785ada3-7493-4db1-b413-0df3137515da&amp;pddocfullpath=%2Fshared%2Fdocument%2Fpractical-guidance-uk%2Furn%3AcontentItem%3A650Y-GSB3-CGX8-005J-00000-00&amp;pdcontentcomponentid=128513&amp;pdteaserkey=&amp;pdislpamode=false&amp;pddocumentnumber=4&amp;ecomp=dt5k&amp;earg=sr3&amp;prid=5f6d3c72-f8c6-4d68-9e0e-b0b3ca2a06a5</w:t>
        </w:r>
      </w:hyperlink>
      <w:r>
        <w:rPr>
          <w:rFonts w:ascii="Arial" w:hAnsi="Arial" w:cs="Arial"/>
          <w:sz w:val="24"/>
          <w:szCs w:val="24"/>
        </w:rPr>
        <w:t xml:space="preserve"> (Accessed: 28 November 2023). </w:t>
      </w:r>
    </w:p>
    <w:p w14:paraId="44221F65" w14:textId="77777777" w:rsidR="00006569" w:rsidRDefault="00006569" w:rsidP="00006569">
      <w:pPr>
        <w:rPr>
          <w:rFonts w:ascii="Arial" w:hAnsi="Arial" w:cs="Arial"/>
          <w:sz w:val="24"/>
          <w:szCs w:val="24"/>
        </w:rPr>
      </w:pPr>
      <w:r>
        <w:rPr>
          <w:rFonts w:ascii="Arial" w:hAnsi="Arial" w:cs="Arial"/>
          <w:sz w:val="24"/>
          <w:szCs w:val="24"/>
        </w:rPr>
        <w:t xml:space="preserve">LexisPSL News Analysis (2020) </w:t>
      </w:r>
      <w:r w:rsidRPr="00552FBB">
        <w:rPr>
          <w:rFonts w:ascii="Arial" w:hAnsi="Arial" w:cs="Arial"/>
          <w:i/>
          <w:iCs/>
          <w:sz w:val="24"/>
          <w:szCs w:val="24"/>
        </w:rPr>
        <w:t>Implementing No Fault Divorce—The Road Ahead.</w:t>
      </w:r>
      <w:r>
        <w:rPr>
          <w:rFonts w:ascii="Arial" w:hAnsi="Arial" w:cs="Arial"/>
          <w:sz w:val="24"/>
          <w:szCs w:val="24"/>
        </w:rPr>
        <w:t xml:space="preserve"> Available at: </w:t>
      </w:r>
      <w:hyperlink r:id="rId22" w:history="1">
        <w:r w:rsidRPr="00A55C63">
          <w:rPr>
            <w:rStyle w:val="Hyperlink"/>
            <w:rFonts w:ascii="Arial" w:hAnsi="Arial" w:cs="Arial"/>
            <w:sz w:val="24"/>
            <w:szCs w:val="24"/>
          </w:rPr>
          <w:t>https://plus-lexis-com.ezproxy.uwtsd.ac.uk/uk/document/?pdmfid=1001073&amp;crid=cc167698-5b3d-4452-8124-74bd0c410aa9&amp;pddocfullpath=%2Fshared%2Fdocument%2Fnews-uk%2Furn%3AcontentItem%3A609K-BWR3-CGXG-03FH-00000-00&amp;pdcontentcomponentid=184200&amp;pdteaserkey=&amp;pdislpamode=false&amp;pddocumentnumber=4&amp;ecomp=dt5k&amp;earg=sr3&amp;prid=ae28bc5b-1e8c-4c92-996a-158498fc1dcd</w:t>
        </w:r>
      </w:hyperlink>
      <w:r>
        <w:rPr>
          <w:rFonts w:ascii="Arial" w:hAnsi="Arial" w:cs="Arial"/>
          <w:sz w:val="24"/>
          <w:szCs w:val="24"/>
        </w:rPr>
        <w:t xml:space="preserve"> (Accessed: 30 November 2023). </w:t>
      </w:r>
    </w:p>
    <w:p w14:paraId="6C1B4E5D" w14:textId="77777777" w:rsidR="00006569" w:rsidRDefault="00006569" w:rsidP="00006569">
      <w:pPr>
        <w:rPr>
          <w:rFonts w:ascii="Arial" w:hAnsi="Arial" w:cs="Arial"/>
          <w:sz w:val="24"/>
          <w:szCs w:val="24"/>
        </w:rPr>
      </w:pPr>
      <w:r>
        <w:rPr>
          <w:rFonts w:ascii="Arial" w:hAnsi="Arial" w:cs="Arial"/>
          <w:sz w:val="24"/>
          <w:szCs w:val="24"/>
        </w:rPr>
        <w:t xml:space="preserve">LexisPSL News Analysis (2022) </w:t>
      </w:r>
      <w:r w:rsidRPr="009B7ED4">
        <w:rPr>
          <w:rFonts w:ascii="Arial" w:hAnsi="Arial" w:cs="Arial"/>
          <w:i/>
          <w:iCs/>
          <w:sz w:val="24"/>
          <w:szCs w:val="24"/>
        </w:rPr>
        <w:t xml:space="preserve">DDSA 2020—The View From the Front Line. </w:t>
      </w:r>
      <w:r>
        <w:rPr>
          <w:rFonts w:ascii="Arial" w:hAnsi="Arial" w:cs="Arial"/>
          <w:sz w:val="24"/>
          <w:szCs w:val="24"/>
        </w:rPr>
        <w:t xml:space="preserve">Available at: </w:t>
      </w:r>
      <w:hyperlink r:id="rId23" w:history="1">
        <w:r w:rsidRPr="00A55C63">
          <w:rPr>
            <w:rStyle w:val="Hyperlink"/>
            <w:rFonts w:ascii="Arial" w:hAnsi="Arial" w:cs="Arial"/>
            <w:sz w:val="24"/>
            <w:szCs w:val="24"/>
          </w:rPr>
          <w:t>https://plus-lexis-com.ezproxy.uwtsd.ac.uk/api/permalink/313bbf92-60ec-479e-a815-5b7fb0af397d/?context=1001073</w:t>
        </w:r>
      </w:hyperlink>
      <w:r>
        <w:rPr>
          <w:rFonts w:ascii="Arial" w:hAnsi="Arial" w:cs="Arial"/>
          <w:sz w:val="24"/>
          <w:szCs w:val="24"/>
        </w:rPr>
        <w:t xml:space="preserve"> (Accessed: 30 November 2023). </w:t>
      </w:r>
    </w:p>
    <w:p w14:paraId="0F865452" w14:textId="77777777" w:rsidR="00260A60" w:rsidRDefault="00260A60" w:rsidP="00260A60">
      <w:pPr>
        <w:rPr>
          <w:rFonts w:ascii="Arial" w:hAnsi="Arial" w:cs="Arial"/>
          <w:sz w:val="24"/>
          <w:szCs w:val="24"/>
        </w:rPr>
      </w:pPr>
      <w:r w:rsidRPr="00397782">
        <w:rPr>
          <w:rFonts w:ascii="Arial" w:hAnsi="Arial" w:cs="Arial"/>
          <w:sz w:val="24"/>
          <w:szCs w:val="24"/>
        </w:rPr>
        <w:t xml:space="preserve">LexisPSL (no date) </w:t>
      </w:r>
      <w:r w:rsidRPr="004202ED">
        <w:rPr>
          <w:rFonts w:ascii="Arial" w:hAnsi="Arial" w:cs="Arial"/>
          <w:i/>
          <w:iCs/>
          <w:sz w:val="24"/>
          <w:szCs w:val="24"/>
        </w:rPr>
        <w:t>Unreasonable behaviour (pre-DDSA 2020)</w:t>
      </w:r>
      <w:r>
        <w:rPr>
          <w:rFonts w:ascii="Arial" w:hAnsi="Arial" w:cs="Arial"/>
          <w:sz w:val="24"/>
          <w:szCs w:val="24"/>
        </w:rPr>
        <w:t xml:space="preserve">. Available at: </w:t>
      </w:r>
      <w:hyperlink r:id="rId24" w:history="1">
        <w:r w:rsidRPr="00A55C63">
          <w:rPr>
            <w:rStyle w:val="Hyperlink"/>
            <w:rFonts w:ascii="Arial" w:hAnsi="Arial" w:cs="Arial"/>
            <w:sz w:val="24"/>
            <w:szCs w:val="24"/>
          </w:rPr>
          <w:t>https://plus-lexis-com.ezproxy.uwtsd.ac.uk/uk/practical-guidance-uk/unreasonable-behaviour?crid=d4164d7a-f2b7-4e1f-bc21-67e6f7aed64f</w:t>
        </w:r>
      </w:hyperlink>
      <w:r>
        <w:rPr>
          <w:rFonts w:ascii="Arial" w:hAnsi="Arial" w:cs="Arial"/>
          <w:sz w:val="24"/>
          <w:szCs w:val="24"/>
        </w:rPr>
        <w:t xml:space="preserve"> (Accessed: 28 November 2023). </w:t>
      </w:r>
    </w:p>
    <w:p w14:paraId="4E0DE373" w14:textId="77777777" w:rsidR="00006569" w:rsidRDefault="00006569" w:rsidP="00006569">
      <w:pPr>
        <w:rPr>
          <w:rFonts w:ascii="Arial" w:hAnsi="Arial" w:cs="Arial"/>
          <w:sz w:val="24"/>
          <w:szCs w:val="24"/>
        </w:rPr>
      </w:pPr>
      <w:r>
        <w:rPr>
          <w:rFonts w:ascii="Arial" w:hAnsi="Arial" w:cs="Arial"/>
          <w:sz w:val="24"/>
          <w:szCs w:val="24"/>
        </w:rPr>
        <w:t xml:space="preserve">Lexis+ UK (no date) </w:t>
      </w:r>
      <w:r w:rsidRPr="00050CDA">
        <w:rPr>
          <w:rFonts w:ascii="Arial" w:hAnsi="Arial" w:cs="Arial"/>
          <w:i/>
          <w:iCs/>
          <w:sz w:val="24"/>
          <w:szCs w:val="24"/>
        </w:rPr>
        <w:t>Explanatory Notes of Primary Legislation – Civil Partnership Act 2004.</w:t>
      </w:r>
      <w:r>
        <w:rPr>
          <w:rFonts w:ascii="Arial" w:hAnsi="Arial" w:cs="Arial"/>
          <w:sz w:val="24"/>
          <w:szCs w:val="24"/>
        </w:rPr>
        <w:t xml:space="preserve"> Available at: </w:t>
      </w:r>
      <w:hyperlink r:id="rId25" w:history="1">
        <w:r w:rsidRPr="00A55C63">
          <w:rPr>
            <w:rStyle w:val="Hyperlink"/>
            <w:rFonts w:ascii="Arial" w:hAnsi="Arial" w:cs="Arial"/>
            <w:sz w:val="24"/>
            <w:szCs w:val="24"/>
          </w:rPr>
          <w:t>https://plus-lexis-com.ezproxy.uwtsd.ac.uk/uk/document/?pdmfid=1001073&amp;crid=f554da9c-833a-478f-9168-621ec346762a&amp;pddocfullpath=%2Fshared%2Fdocument%2Fanalytical-materials-uk%2Furn%3AcontentItem%3A5C0F-T5V1-F04M-N14K-00000-00&amp;pdcontentcomponentid=298911&amp;pdteaserkey=&amp;pdislpamode=false&amp;pddocumentnumber=4&amp;ecomp=dt5k&amp;earg=sr3&amp;prid=1bfc2eb6-9903-4c0c-93bd-aff056fed252</w:t>
        </w:r>
      </w:hyperlink>
      <w:r>
        <w:rPr>
          <w:rFonts w:ascii="Arial" w:hAnsi="Arial" w:cs="Arial"/>
          <w:sz w:val="24"/>
          <w:szCs w:val="24"/>
        </w:rPr>
        <w:t xml:space="preserve"> (Accessed: 30 November 2023). </w:t>
      </w:r>
    </w:p>
    <w:p w14:paraId="70500AF9" w14:textId="7C178349" w:rsidR="00CB4D42" w:rsidRDefault="001504D0" w:rsidP="00E4197F">
      <w:pPr>
        <w:rPr>
          <w:rFonts w:ascii="Arial" w:hAnsi="Arial" w:cs="Arial"/>
          <w:sz w:val="24"/>
          <w:szCs w:val="24"/>
        </w:rPr>
      </w:pPr>
      <w:r w:rsidRPr="00794F2E">
        <w:rPr>
          <w:rFonts w:ascii="Arial" w:hAnsi="Arial" w:cs="Arial"/>
          <w:i/>
          <w:iCs/>
          <w:sz w:val="24"/>
          <w:szCs w:val="24"/>
        </w:rPr>
        <w:t>Matrimonial Causes Act 1973</w:t>
      </w:r>
      <w:r>
        <w:rPr>
          <w:rFonts w:ascii="Arial" w:hAnsi="Arial" w:cs="Arial"/>
          <w:sz w:val="24"/>
          <w:szCs w:val="24"/>
        </w:rPr>
        <w:t xml:space="preserve">, </w:t>
      </w:r>
      <w:r w:rsidR="00794F2E">
        <w:rPr>
          <w:rFonts w:ascii="Arial" w:hAnsi="Arial" w:cs="Arial"/>
          <w:sz w:val="24"/>
          <w:szCs w:val="24"/>
        </w:rPr>
        <w:t xml:space="preserve">c.18. Available at: </w:t>
      </w:r>
      <w:hyperlink r:id="rId26" w:history="1">
        <w:r w:rsidR="00794F2E" w:rsidRPr="00A55C63">
          <w:rPr>
            <w:rStyle w:val="Hyperlink"/>
            <w:rFonts w:ascii="Arial" w:hAnsi="Arial" w:cs="Arial"/>
            <w:sz w:val="24"/>
            <w:szCs w:val="24"/>
          </w:rPr>
          <w:t>https://www.legislation.gov.uk/ukpga/1973/18/contents</w:t>
        </w:r>
      </w:hyperlink>
      <w:r w:rsidR="00794F2E">
        <w:rPr>
          <w:rFonts w:ascii="Arial" w:hAnsi="Arial" w:cs="Arial"/>
          <w:sz w:val="24"/>
          <w:szCs w:val="24"/>
        </w:rPr>
        <w:t xml:space="preserve"> (Accessed: 26 November 2023). </w:t>
      </w:r>
    </w:p>
    <w:p w14:paraId="22EE7696" w14:textId="323E9B04" w:rsidR="00260A60" w:rsidRDefault="00260A60" w:rsidP="00E4197F">
      <w:pPr>
        <w:rPr>
          <w:rFonts w:ascii="Arial" w:hAnsi="Arial" w:cs="Arial"/>
          <w:sz w:val="24"/>
          <w:szCs w:val="24"/>
        </w:rPr>
      </w:pPr>
      <w:r>
        <w:rPr>
          <w:rFonts w:ascii="Arial" w:hAnsi="Arial" w:cs="Arial"/>
          <w:sz w:val="24"/>
          <w:szCs w:val="24"/>
        </w:rPr>
        <w:t xml:space="preserve">McCandless, J., Sheldon, S. (2010) </w:t>
      </w:r>
      <w:r w:rsidRPr="00921502">
        <w:rPr>
          <w:rFonts w:ascii="Arial" w:hAnsi="Arial" w:cs="Arial"/>
          <w:sz w:val="24"/>
          <w:szCs w:val="24"/>
        </w:rPr>
        <w:t>The Human Fertilisation and Embryology Act (2008) and the Tenacity of the Sexual Family Form</w:t>
      </w:r>
      <w:r>
        <w:rPr>
          <w:rFonts w:ascii="Arial" w:hAnsi="Arial" w:cs="Arial"/>
          <w:sz w:val="24"/>
          <w:szCs w:val="24"/>
        </w:rPr>
        <w:t xml:space="preserve">. Available at: </w:t>
      </w:r>
      <w:hyperlink r:id="rId27" w:history="1">
        <w:r w:rsidRPr="00A55C63">
          <w:rPr>
            <w:rStyle w:val="Hyperlink"/>
            <w:rFonts w:ascii="Arial" w:hAnsi="Arial" w:cs="Arial"/>
            <w:sz w:val="24"/>
            <w:szCs w:val="24"/>
          </w:rPr>
          <w:t>https://onlinelibrary.wiley.com/doi/10.1111/j.1468-2230.2010.00790.x</w:t>
        </w:r>
      </w:hyperlink>
      <w:r>
        <w:rPr>
          <w:rFonts w:ascii="Arial" w:hAnsi="Arial" w:cs="Arial"/>
          <w:sz w:val="24"/>
          <w:szCs w:val="24"/>
        </w:rPr>
        <w:t xml:space="preserve"> (Accessed: 30 November 2023). </w:t>
      </w:r>
    </w:p>
    <w:p w14:paraId="61E88FDC" w14:textId="6D4DA437" w:rsidR="00260A60" w:rsidRDefault="00260A60" w:rsidP="00E4197F">
      <w:pPr>
        <w:rPr>
          <w:rFonts w:ascii="Arial" w:hAnsi="Arial" w:cs="Arial"/>
          <w:sz w:val="24"/>
          <w:szCs w:val="24"/>
        </w:rPr>
      </w:pPr>
      <w:r>
        <w:rPr>
          <w:rFonts w:ascii="Arial" w:hAnsi="Arial" w:cs="Arial"/>
          <w:sz w:val="24"/>
          <w:szCs w:val="24"/>
        </w:rPr>
        <w:t xml:space="preserve">Mallender, P., Rayson, J. (2005) </w:t>
      </w:r>
      <w:r w:rsidRPr="004A3964">
        <w:rPr>
          <w:rFonts w:ascii="Arial" w:hAnsi="Arial" w:cs="Arial"/>
          <w:i/>
          <w:iCs/>
          <w:sz w:val="24"/>
          <w:szCs w:val="24"/>
        </w:rPr>
        <w:t>The Civil Partnership Act 2004: A Practical Guide</w:t>
      </w:r>
      <w:r>
        <w:rPr>
          <w:rFonts w:ascii="Arial" w:hAnsi="Arial" w:cs="Arial"/>
          <w:sz w:val="24"/>
          <w:szCs w:val="24"/>
        </w:rPr>
        <w:t xml:space="preserve">. Cambridge: University Press. </w:t>
      </w:r>
    </w:p>
    <w:p w14:paraId="00AAD393" w14:textId="51ECB8C8" w:rsidR="00FE5686" w:rsidRDefault="00FE5686" w:rsidP="00E4197F">
      <w:pPr>
        <w:rPr>
          <w:rFonts w:ascii="Arial" w:hAnsi="Arial" w:cs="Arial"/>
          <w:sz w:val="24"/>
          <w:szCs w:val="24"/>
        </w:rPr>
      </w:pPr>
      <w:r>
        <w:rPr>
          <w:rFonts w:ascii="Arial" w:hAnsi="Arial" w:cs="Arial"/>
          <w:sz w:val="24"/>
          <w:szCs w:val="24"/>
        </w:rPr>
        <w:lastRenderedPageBreak/>
        <w:t xml:space="preserve">Munby, J. (2015) </w:t>
      </w:r>
      <w:r w:rsidR="00781E09" w:rsidRPr="00F873F9">
        <w:rPr>
          <w:rFonts w:ascii="Arial" w:hAnsi="Arial" w:cs="Arial"/>
          <w:i/>
          <w:iCs/>
          <w:sz w:val="24"/>
          <w:szCs w:val="24"/>
        </w:rPr>
        <w:t xml:space="preserve">Approved Judgement in the </w:t>
      </w:r>
      <w:r w:rsidR="00F873F9" w:rsidRPr="00F873F9">
        <w:rPr>
          <w:rFonts w:ascii="Arial" w:hAnsi="Arial" w:cs="Arial"/>
          <w:i/>
          <w:iCs/>
          <w:sz w:val="24"/>
          <w:szCs w:val="24"/>
        </w:rPr>
        <w:t>High Court of Justice Family Division.</w:t>
      </w:r>
      <w:r w:rsidR="00F873F9">
        <w:rPr>
          <w:rFonts w:ascii="Arial" w:hAnsi="Arial" w:cs="Arial"/>
          <w:sz w:val="24"/>
          <w:szCs w:val="24"/>
        </w:rPr>
        <w:t xml:space="preserve"> Available at: </w:t>
      </w:r>
      <w:hyperlink r:id="rId28" w:history="1">
        <w:r w:rsidR="00F873F9" w:rsidRPr="00A55C63">
          <w:rPr>
            <w:rStyle w:val="Hyperlink"/>
            <w:rFonts w:ascii="Arial" w:hAnsi="Arial" w:cs="Arial"/>
            <w:sz w:val="24"/>
            <w:szCs w:val="24"/>
          </w:rPr>
          <w:t>https://www.judiciary.uk/wp-content/uploads/2015/09/parentage.pdf</w:t>
        </w:r>
      </w:hyperlink>
      <w:r w:rsidR="00F873F9">
        <w:rPr>
          <w:rFonts w:ascii="Arial" w:hAnsi="Arial" w:cs="Arial"/>
          <w:sz w:val="24"/>
          <w:szCs w:val="24"/>
        </w:rPr>
        <w:t xml:space="preserve"> (Accessed: 28 November 2023). </w:t>
      </w:r>
    </w:p>
    <w:p w14:paraId="1A897FFC" w14:textId="77777777" w:rsidR="00260A60" w:rsidRDefault="00260A60" w:rsidP="00260A60">
      <w:pPr>
        <w:rPr>
          <w:rFonts w:ascii="Arial" w:hAnsi="Arial" w:cs="Arial"/>
          <w:sz w:val="24"/>
          <w:szCs w:val="24"/>
        </w:rPr>
      </w:pPr>
      <w:r>
        <w:rPr>
          <w:rFonts w:ascii="Arial" w:hAnsi="Arial" w:cs="Arial"/>
          <w:sz w:val="24"/>
          <w:szCs w:val="24"/>
        </w:rPr>
        <w:t xml:space="preserve">‘Owens v Owens’ (2007) </w:t>
      </w:r>
      <w:r w:rsidRPr="002D11B3">
        <w:rPr>
          <w:rFonts w:ascii="Arial" w:hAnsi="Arial" w:cs="Arial"/>
          <w:i/>
          <w:iCs/>
          <w:sz w:val="24"/>
          <w:szCs w:val="24"/>
        </w:rPr>
        <w:t>All England Reporter</w:t>
      </w:r>
      <w:r>
        <w:rPr>
          <w:rFonts w:ascii="Arial" w:hAnsi="Arial" w:cs="Arial"/>
          <w:sz w:val="24"/>
          <w:szCs w:val="24"/>
        </w:rPr>
        <w:t xml:space="preserve">, 182, p.1. Available at: </w:t>
      </w:r>
      <w:hyperlink r:id="rId29" w:history="1">
        <w:r w:rsidRPr="00A55C63">
          <w:rPr>
            <w:rStyle w:val="Hyperlink"/>
            <w:rFonts w:ascii="Arial" w:hAnsi="Arial" w:cs="Arial"/>
            <w:sz w:val="24"/>
            <w:szCs w:val="24"/>
          </w:rPr>
          <w:t>https://plus-lexis-com.ezproxy.uwtsd.ac.uk/uk/cases-uk/owens-v-owens-2017-all-er-d-23-apr?crid=9ef5f02a-ca33-4b31-b58e-b1a634f73cd7</w:t>
        </w:r>
      </w:hyperlink>
      <w:r>
        <w:rPr>
          <w:rFonts w:ascii="Arial" w:hAnsi="Arial" w:cs="Arial"/>
          <w:sz w:val="24"/>
          <w:szCs w:val="24"/>
        </w:rPr>
        <w:t xml:space="preserve"> (Accessed: 30 November 2023).  </w:t>
      </w:r>
    </w:p>
    <w:p w14:paraId="116171D2" w14:textId="48E34E73" w:rsidR="00623AD7" w:rsidRDefault="00623AD7" w:rsidP="00E4197F">
      <w:pPr>
        <w:rPr>
          <w:rFonts w:ascii="Arial" w:hAnsi="Arial" w:cs="Arial"/>
          <w:sz w:val="24"/>
          <w:szCs w:val="24"/>
        </w:rPr>
      </w:pPr>
      <w:r>
        <w:rPr>
          <w:rFonts w:ascii="Arial" w:hAnsi="Arial" w:cs="Arial"/>
          <w:sz w:val="24"/>
          <w:szCs w:val="24"/>
        </w:rPr>
        <w:t xml:space="preserve">Supreme Court (2018) </w:t>
      </w:r>
      <w:r w:rsidR="0062182D" w:rsidRPr="0062182D">
        <w:rPr>
          <w:rFonts w:ascii="Arial" w:hAnsi="Arial" w:cs="Arial"/>
          <w:i/>
          <w:iCs/>
          <w:sz w:val="24"/>
          <w:szCs w:val="24"/>
        </w:rPr>
        <w:t>JUDGMENT R (on the application of Steinfeld and Keidan) (Appellants) v Secretary of State for International Development (in substitution for the Home Secretary and the Education Secretary) (Respondent)</w:t>
      </w:r>
      <w:r w:rsidR="0062182D">
        <w:rPr>
          <w:rFonts w:ascii="Arial" w:hAnsi="Arial" w:cs="Arial"/>
          <w:sz w:val="24"/>
          <w:szCs w:val="24"/>
        </w:rPr>
        <w:t xml:space="preserve">. Available at: </w:t>
      </w:r>
      <w:hyperlink r:id="rId30" w:history="1">
        <w:r w:rsidR="0062182D" w:rsidRPr="00A55C63">
          <w:rPr>
            <w:rStyle w:val="Hyperlink"/>
            <w:rFonts w:ascii="Arial" w:hAnsi="Arial" w:cs="Arial"/>
            <w:sz w:val="24"/>
            <w:szCs w:val="24"/>
          </w:rPr>
          <w:t>https://www.supremecourt.uk/cases/docs/uksc-2017-0060-judgment.pdf</w:t>
        </w:r>
      </w:hyperlink>
      <w:r w:rsidR="0062182D">
        <w:rPr>
          <w:rFonts w:ascii="Arial" w:hAnsi="Arial" w:cs="Arial"/>
          <w:sz w:val="24"/>
          <w:szCs w:val="24"/>
        </w:rPr>
        <w:t xml:space="preserve"> (Accessed: 30 November 2023). </w:t>
      </w:r>
    </w:p>
    <w:p w14:paraId="106985CC" w14:textId="13B6F907" w:rsidR="007B6A50" w:rsidRDefault="007B6A50" w:rsidP="00E4197F">
      <w:pPr>
        <w:rPr>
          <w:rFonts w:ascii="Arial" w:hAnsi="Arial" w:cs="Arial"/>
          <w:sz w:val="24"/>
          <w:szCs w:val="24"/>
        </w:rPr>
      </w:pPr>
      <w:r>
        <w:rPr>
          <w:rFonts w:ascii="Arial" w:hAnsi="Arial" w:cs="Arial"/>
          <w:sz w:val="24"/>
          <w:szCs w:val="24"/>
        </w:rPr>
        <w:t xml:space="preserve">The Law Society (2022) </w:t>
      </w:r>
      <w:r w:rsidR="009B7ED4" w:rsidRPr="009B7ED4">
        <w:rPr>
          <w:rFonts w:ascii="Arial" w:hAnsi="Arial" w:cs="Arial"/>
          <w:i/>
          <w:iCs/>
          <w:sz w:val="24"/>
          <w:szCs w:val="24"/>
        </w:rPr>
        <w:t>No Fault Divorce.</w:t>
      </w:r>
      <w:r w:rsidR="009B7ED4">
        <w:rPr>
          <w:rFonts w:ascii="Arial" w:hAnsi="Arial" w:cs="Arial"/>
          <w:sz w:val="24"/>
          <w:szCs w:val="24"/>
        </w:rPr>
        <w:t xml:space="preserve"> Available at: </w:t>
      </w:r>
      <w:hyperlink r:id="rId31" w:history="1">
        <w:r w:rsidR="009B7ED4" w:rsidRPr="00A55C63">
          <w:rPr>
            <w:rStyle w:val="Hyperlink"/>
            <w:rFonts w:ascii="Arial" w:hAnsi="Arial" w:cs="Arial"/>
            <w:sz w:val="24"/>
            <w:szCs w:val="24"/>
          </w:rPr>
          <w:t>https://www.lawsociety.org.uk/topics/family-and-children/no-fault-divorce</w:t>
        </w:r>
      </w:hyperlink>
      <w:r w:rsidR="009B7ED4">
        <w:rPr>
          <w:rFonts w:ascii="Arial" w:hAnsi="Arial" w:cs="Arial"/>
          <w:sz w:val="24"/>
          <w:szCs w:val="24"/>
        </w:rPr>
        <w:t xml:space="preserve"> (Accessed: 30 November 2023). </w:t>
      </w:r>
    </w:p>
    <w:p w14:paraId="199279A8" w14:textId="18EE0612" w:rsidR="001B5107" w:rsidRPr="001B5107" w:rsidRDefault="001B5107" w:rsidP="00E4197F"/>
    <w:p w14:paraId="6E6E3CA9" w14:textId="0CD7ADF5" w:rsidR="00DB3198" w:rsidRDefault="00DB3198" w:rsidP="00DB3198">
      <w:pPr>
        <w:jc w:val="center"/>
        <w:rPr>
          <w:rFonts w:ascii="Arial" w:hAnsi="Arial" w:cs="Arial"/>
          <w:sz w:val="24"/>
          <w:szCs w:val="24"/>
        </w:rPr>
      </w:pPr>
      <w:r>
        <w:rPr>
          <w:rFonts w:ascii="Arial" w:hAnsi="Arial" w:cs="Arial"/>
          <w:sz w:val="24"/>
          <w:szCs w:val="24"/>
        </w:rPr>
        <w:t>Case Law</w:t>
      </w:r>
    </w:p>
    <w:p w14:paraId="35B62DA8" w14:textId="758D54BA" w:rsidR="00DB3198" w:rsidRDefault="00DB3198" w:rsidP="00E4197F">
      <w:pPr>
        <w:rPr>
          <w:rFonts w:ascii="Arial" w:hAnsi="Arial" w:cs="Arial"/>
          <w:color w:val="111111"/>
          <w:sz w:val="24"/>
          <w:szCs w:val="24"/>
          <w:shd w:val="clear" w:color="auto" w:fill="FFFFFF"/>
        </w:rPr>
      </w:pPr>
      <w:r w:rsidRPr="00DB3198">
        <w:rPr>
          <w:rFonts w:ascii="Arial" w:hAnsi="Arial" w:cs="Arial"/>
          <w:color w:val="111111"/>
          <w:sz w:val="24"/>
          <w:szCs w:val="24"/>
          <w:shd w:val="clear" w:color="auto" w:fill="FFFFFF"/>
        </w:rPr>
        <w:t>Buffery v Buffery [1988] 2 FLR 365, CA</w:t>
      </w:r>
    </w:p>
    <w:p w14:paraId="4EE47CA2" w14:textId="770062C3" w:rsidR="00A950A5" w:rsidRDefault="00A950A5" w:rsidP="00A950A5">
      <w:pPr>
        <w:rPr>
          <w:rFonts w:ascii="Arial" w:hAnsi="Arial" w:cs="Arial"/>
          <w:sz w:val="24"/>
          <w:szCs w:val="24"/>
        </w:rPr>
      </w:pPr>
      <w:r w:rsidRPr="00A950A5">
        <w:rPr>
          <w:rFonts w:ascii="Arial" w:hAnsi="Arial" w:cs="Arial"/>
          <w:sz w:val="24"/>
          <w:szCs w:val="24"/>
        </w:rPr>
        <w:t>Evans v United Kingdom</w:t>
      </w:r>
      <w:r w:rsidRPr="00A950A5">
        <w:rPr>
          <w:rFonts w:ascii="Arial" w:hAnsi="Arial" w:cs="Arial"/>
          <w:sz w:val="24"/>
          <w:szCs w:val="24"/>
        </w:rPr>
        <w:t xml:space="preserve"> </w:t>
      </w:r>
      <w:r w:rsidRPr="00A950A5">
        <w:rPr>
          <w:rFonts w:ascii="Arial" w:hAnsi="Arial" w:cs="Arial"/>
          <w:sz w:val="24"/>
          <w:szCs w:val="24"/>
        </w:rPr>
        <w:t>(2007) 46 EHRR 728,[2007] 1 FLR 1990,[2007] 2 FCR 5,[2007] Fam Law 588,95 BMLR 107,[2007] NLJR 599,(2007) Times, 2 May,22 BHRC 190,[2007] ECHR 6339/05,[2007] All ER (D) 109 (Apr)</w:t>
      </w:r>
    </w:p>
    <w:p w14:paraId="3944B682" w14:textId="3F4CB2DF" w:rsidR="00E77A30" w:rsidRPr="00A950A5" w:rsidRDefault="00E77A30" w:rsidP="00A950A5">
      <w:pPr>
        <w:rPr>
          <w:rFonts w:ascii="Arial" w:hAnsi="Arial" w:cs="Arial"/>
          <w:sz w:val="24"/>
          <w:szCs w:val="24"/>
        </w:rPr>
      </w:pPr>
      <w:r w:rsidRPr="00E77A30">
        <w:rPr>
          <w:rFonts w:ascii="Arial" w:hAnsi="Arial" w:cs="Arial"/>
          <w:sz w:val="24"/>
          <w:szCs w:val="24"/>
        </w:rPr>
        <w:t>Owens v Owens [2017] All ER (D) 23 (Apr)</w:t>
      </w:r>
    </w:p>
    <w:sectPr w:rsidR="00E77A30" w:rsidRPr="00A950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8525D"/>
    <w:multiLevelType w:val="multilevel"/>
    <w:tmpl w:val="E5A227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B66058"/>
    <w:multiLevelType w:val="multilevel"/>
    <w:tmpl w:val="A396614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47945D0"/>
    <w:multiLevelType w:val="multilevel"/>
    <w:tmpl w:val="145437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EE602FD"/>
    <w:multiLevelType w:val="multilevel"/>
    <w:tmpl w:val="93E6577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7495D3E"/>
    <w:multiLevelType w:val="multilevel"/>
    <w:tmpl w:val="BF2C6A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43539334">
    <w:abstractNumId w:val="3"/>
  </w:num>
  <w:num w:numId="2" w16cid:durableId="366420087">
    <w:abstractNumId w:val="1"/>
  </w:num>
  <w:num w:numId="3" w16cid:durableId="1477337813">
    <w:abstractNumId w:val="2"/>
  </w:num>
  <w:num w:numId="4" w16cid:durableId="1106005978">
    <w:abstractNumId w:val="4"/>
  </w:num>
  <w:num w:numId="5" w16cid:durableId="5910841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BFE"/>
    <w:rsid w:val="00006569"/>
    <w:rsid w:val="00010CAE"/>
    <w:rsid w:val="0001730B"/>
    <w:rsid w:val="00024350"/>
    <w:rsid w:val="00033403"/>
    <w:rsid w:val="00050CDA"/>
    <w:rsid w:val="000578FD"/>
    <w:rsid w:val="00060F2D"/>
    <w:rsid w:val="000765A0"/>
    <w:rsid w:val="000B0BE6"/>
    <w:rsid w:val="000B3D78"/>
    <w:rsid w:val="000B6517"/>
    <w:rsid w:val="000D562B"/>
    <w:rsid w:val="000E5771"/>
    <w:rsid w:val="000F1673"/>
    <w:rsid w:val="0010007E"/>
    <w:rsid w:val="001218EA"/>
    <w:rsid w:val="0012401A"/>
    <w:rsid w:val="001504D0"/>
    <w:rsid w:val="0015066F"/>
    <w:rsid w:val="00174B3F"/>
    <w:rsid w:val="00185DFC"/>
    <w:rsid w:val="00190276"/>
    <w:rsid w:val="001A31EA"/>
    <w:rsid w:val="001A7DB2"/>
    <w:rsid w:val="001B5107"/>
    <w:rsid w:val="001D0694"/>
    <w:rsid w:val="001F6FC3"/>
    <w:rsid w:val="00201489"/>
    <w:rsid w:val="00227C37"/>
    <w:rsid w:val="0025504A"/>
    <w:rsid w:val="0025719B"/>
    <w:rsid w:val="00260A60"/>
    <w:rsid w:val="0026672A"/>
    <w:rsid w:val="00272A14"/>
    <w:rsid w:val="00294D14"/>
    <w:rsid w:val="0029795D"/>
    <w:rsid w:val="002C1047"/>
    <w:rsid w:val="002C2CEB"/>
    <w:rsid w:val="002C551B"/>
    <w:rsid w:val="002D11B3"/>
    <w:rsid w:val="002F3416"/>
    <w:rsid w:val="00306802"/>
    <w:rsid w:val="0031771F"/>
    <w:rsid w:val="003262B2"/>
    <w:rsid w:val="00331676"/>
    <w:rsid w:val="003341D6"/>
    <w:rsid w:val="003463C3"/>
    <w:rsid w:val="00391ACF"/>
    <w:rsid w:val="00394622"/>
    <w:rsid w:val="00397782"/>
    <w:rsid w:val="003A6A4E"/>
    <w:rsid w:val="003B0BD3"/>
    <w:rsid w:val="003B3A33"/>
    <w:rsid w:val="003D2795"/>
    <w:rsid w:val="003E02FF"/>
    <w:rsid w:val="003F12C9"/>
    <w:rsid w:val="00400719"/>
    <w:rsid w:val="0040156D"/>
    <w:rsid w:val="004202ED"/>
    <w:rsid w:val="004241C7"/>
    <w:rsid w:val="00444C92"/>
    <w:rsid w:val="00447197"/>
    <w:rsid w:val="00466FD9"/>
    <w:rsid w:val="004A3964"/>
    <w:rsid w:val="004C1BC6"/>
    <w:rsid w:val="004C7EEA"/>
    <w:rsid w:val="005161C5"/>
    <w:rsid w:val="00531DDF"/>
    <w:rsid w:val="005320CD"/>
    <w:rsid w:val="00552FBB"/>
    <w:rsid w:val="00553489"/>
    <w:rsid w:val="00567599"/>
    <w:rsid w:val="005703E6"/>
    <w:rsid w:val="00571F30"/>
    <w:rsid w:val="00573AAC"/>
    <w:rsid w:val="00606A35"/>
    <w:rsid w:val="00617B31"/>
    <w:rsid w:val="0062182D"/>
    <w:rsid w:val="0062209D"/>
    <w:rsid w:val="0062339E"/>
    <w:rsid w:val="00623AD7"/>
    <w:rsid w:val="0062710C"/>
    <w:rsid w:val="00645B07"/>
    <w:rsid w:val="006650CF"/>
    <w:rsid w:val="0066557D"/>
    <w:rsid w:val="006709A8"/>
    <w:rsid w:val="006777D0"/>
    <w:rsid w:val="006846A2"/>
    <w:rsid w:val="006877A4"/>
    <w:rsid w:val="006A44AC"/>
    <w:rsid w:val="006B1AC0"/>
    <w:rsid w:val="006D0476"/>
    <w:rsid w:val="006F4878"/>
    <w:rsid w:val="006F4AEE"/>
    <w:rsid w:val="00704102"/>
    <w:rsid w:val="00723672"/>
    <w:rsid w:val="007649D9"/>
    <w:rsid w:val="00772DE6"/>
    <w:rsid w:val="007800DE"/>
    <w:rsid w:val="00781E09"/>
    <w:rsid w:val="00794F2E"/>
    <w:rsid w:val="007A6284"/>
    <w:rsid w:val="007B6705"/>
    <w:rsid w:val="007B6A50"/>
    <w:rsid w:val="007D5EEA"/>
    <w:rsid w:val="007F48AE"/>
    <w:rsid w:val="00815EFA"/>
    <w:rsid w:val="00826732"/>
    <w:rsid w:val="0087127F"/>
    <w:rsid w:val="008A593A"/>
    <w:rsid w:val="008B11B4"/>
    <w:rsid w:val="008E16C7"/>
    <w:rsid w:val="008E2F80"/>
    <w:rsid w:val="008F47A7"/>
    <w:rsid w:val="00905F72"/>
    <w:rsid w:val="00916159"/>
    <w:rsid w:val="00921502"/>
    <w:rsid w:val="00945B8C"/>
    <w:rsid w:val="00945DE9"/>
    <w:rsid w:val="009571D5"/>
    <w:rsid w:val="009808A9"/>
    <w:rsid w:val="009B64F9"/>
    <w:rsid w:val="009B7ED4"/>
    <w:rsid w:val="009D119B"/>
    <w:rsid w:val="009F2354"/>
    <w:rsid w:val="00A01F2B"/>
    <w:rsid w:val="00A13E84"/>
    <w:rsid w:val="00A22CDA"/>
    <w:rsid w:val="00A23F75"/>
    <w:rsid w:val="00A444AE"/>
    <w:rsid w:val="00A44B2E"/>
    <w:rsid w:val="00A55237"/>
    <w:rsid w:val="00A87F45"/>
    <w:rsid w:val="00A90BC4"/>
    <w:rsid w:val="00A950A5"/>
    <w:rsid w:val="00AA796C"/>
    <w:rsid w:val="00AB1058"/>
    <w:rsid w:val="00AB3F36"/>
    <w:rsid w:val="00AB4491"/>
    <w:rsid w:val="00AC183E"/>
    <w:rsid w:val="00AD4A9E"/>
    <w:rsid w:val="00B00481"/>
    <w:rsid w:val="00B00703"/>
    <w:rsid w:val="00B03680"/>
    <w:rsid w:val="00B35A54"/>
    <w:rsid w:val="00B750A9"/>
    <w:rsid w:val="00B834F4"/>
    <w:rsid w:val="00B95058"/>
    <w:rsid w:val="00BA69E4"/>
    <w:rsid w:val="00BB604A"/>
    <w:rsid w:val="00BC3F15"/>
    <w:rsid w:val="00BF08EF"/>
    <w:rsid w:val="00BF7BFE"/>
    <w:rsid w:val="00C0571E"/>
    <w:rsid w:val="00C2521E"/>
    <w:rsid w:val="00C5703F"/>
    <w:rsid w:val="00C6416E"/>
    <w:rsid w:val="00C66A8E"/>
    <w:rsid w:val="00C7098E"/>
    <w:rsid w:val="00C87979"/>
    <w:rsid w:val="00C97637"/>
    <w:rsid w:val="00CA23B8"/>
    <w:rsid w:val="00CB4D42"/>
    <w:rsid w:val="00CE4C2B"/>
    <w:rsid w:val="00CE4CD9"/>
    <w:rsid w:val="00CF3777"/>
    <w:rsid w:val="00CF5FA4"/>
    <w:rsid w:val="00D017E8"/>
    <w:rsid w:val="00D148C4"/>
    <w:rsid w:val="00D45D7A"/>
    <w:rsid w:val="00D54250"/>
    <w:rsid w:val="00D819E5"/>
    <w:rsid w:val="00DB016C"/>
    <w:rsid w:val="00DB088E"/>
    <w:rsid w:val="00DB3198"/>
    <w:rsid w:val="00DF09FE"/>
    <w:rsid w:val="00DF308F"/>
    <w:rsid w:val="00DF4494"/>
    <w:rsid w:val="00E018CF"/>
    <w:rsid w:val="00E02FF7"/>
    <w:rsid w:val="00E0544B"/>
    <w:rsid w:val="00E05815"/>
    <w:rsid w:val="00E24CFC"/>
    <w:rsid w:val="00E353B3"/>
    <w:rsid w:val="00E4197F"/>
    <w:rsid w:val="00E54E09"/>
    <w:rsid w:val="00E621F9"/>
    <w:rsid w:val="00E74E7D"/>
    <w:rsid w:val="00E77A30"/>
    <w:rsid w:val="00E95F1D"/>
    <w:rsid w:val="00EA093D"/>
    <w:rsid w:val="00EA1127"/>
    <w:rsid w:val="00EA255F"/>
    <w:rsid w:val="00EA324D"/>
    <w:rsid w:val="00EB033C"/>
    <w:rsid w:val="00ED6A00"/>
    <w:rsid w:val="00EF7F91"/>
    <w:rsid w:val="00F02111"/>
    <w:rsid w:val="00F1328E"/>
    <w:rsid w:val="00F161F9"/>
    <w:rsid w:val="00F21DB7"/>
    <w:rsid w:val="00F22580"/>
    <w:rsid w:val="00F4093E"/>
    <w:rsid w:val="00F40C27"/>
    <w:rsid w:val="00F4194A"/>
    <w:rsid w:val="00F55890"/>
    <w:rsid w:val="00F577D0"/>
    <w:rsid w:val="00F873F9"/>
    <w:rsid w:val="00F910F2"/>
    <w:rsid w:val="00FB1DF0"/>
    <w:rsid w:val="00FB2D1C"/>
    <w:rsid w:val="00FC6EB2"/>
    <w:rsid w:val="00FE1F60"/>
    <w:rsid w:val="00FE5686"/>
    <w:rsid w:val="00FF5A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673D08"/>
  <w15:chartTrackingRefBased/>
  <w15:docId w15:val="{DF98E87B-4976-4FC0-B000-E826EBB689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9778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5589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F55890"/>
    <w:rPr>
      <w:b/>
      <w:bCs/>
    </w:rPr>
  </w:style>
  <w:style w:type="character" w:styleId="Hyperlink">
    <w:name w:val="Hyperlink"/>
    <w:basedOn w:val="DefaultParagraphFont"/>
    <w:uiPriority w:val="99"/>
    <w:unhideWhenUsed/>
    <w:rsid w:val="00617B31"/>
    <w:rPr>
      <w:color w:val="0563C1" w:themeColor="hyperlink"/>
      <w:u w:val="single"/>
    </w:rPr>
  </w:style>
  <w:style w:type="character" w:styleId="UnresolvedMention">
    <w:name w:val="Unresolved Mention"/>
    <w:basedOn w:val="DefaultParagraphFont"/>
    <w:uiPriority w:val="99"/>
    <w:semiHidden/>
    <w:unhideWhenUsed/>
    <w:rsid w:val="00617B31"/>
    <w:rPr>
      <w:color w:val="605E5C"/>
      <w:shd w:val="clear" w:color="auto" w:fill="E1DFDD"/>
    </w:rPr>
  </w:style>
  <w:style w:type="paragraph" w:styleId="z-TopofForm">
    <w:name w:val="HTML Top of Form"/>
    <w:basedOn w:val="Normal"/>
    <w:next w:val="Normal"/>
    <w:link w:val="z-TopofFormChar"/>
    <w:hidden/>
    <w:uiPriority w:val="99"/>
    <w:semiHidden/>
    <w:unhideWhenUsed/>
    <w:rsid w:val="00723672"/>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723672"/>
    <w:rPr>
      <w:rFonts w:ascii="Arial" w:eastAsia="Times New Roman" w:hAnsi="Arial" w:cs="Arial"/>
      <w:vanish/>
      <w:kern w:val="0"/>
      <w:sz w:val="16"/>
      <w:szCs w:val="16"/>
      <w:lang w:eastAsia="en-GB"/>
      <w14:ligatures w14:val="none"/>
    </w:rPr>
  </w:style>
  <w:style w:type="character" w:customStyle="1" w:styleId="Heading1Char">
    <w:name w:val="Heading 1 Char"/>
    <w:basedOn w:val="DefaultParagraphFont"/>
    <w:link w:val="Heading1"/>
    <w:uiPriority w:val="9"/>
    <w:rsid w:val="00397782"/>
    <w:rPr>
      <w:rFonts w:ascii="Times New Roman" w:eastAsia="Times New Roman" w:hAnsi="Times New Roman" w:cs="Times New Roman"/>
      <w:b/>
      <w:bCs/>
      <w:kern w:val="36"/>
      <w:sz w:val="48"/>
      <w:szCs w:val="48"/>
      <w:lang w:eastAsia="en-GB"/>
      <w14:ligatures w14:val="none"/>
    </w:rPr>
  </w:style>
  <w:style w:type="character" w:customStyle="1" w:styleId="sssh">
    <w:name w:val="ss_sh"/>
    <w:basedOn w:val="DefaultParagraphFont"/>
    <w:rsid w:val="00A950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852353">
      <w:bodyDiv w:val="1"/>
      <w:marLeft w:val="0"/>
      <w:marRight w:val="0"/>
      <w:marTop w:val="0"/>
      <w:marBottom w:val="0"/>
      <w:divBdr>
        <w:top w:val="none" w:sz="0" w:space="0" w:color="auto"/>
        <w:left w:val="none" w:sz="0" w:space="0" w:color="auto"/>
        <w:bottom w:val="none" w:sz="0" w:space="0" w:color="auto"/>
        <w:right w:val="none" w:sz="0" w:space="0" w:color="auto"/>
      </w:divBdr>
    </w:div>
    <w:div w:id="223491413">
      <w:bodyDiv w:val="1"/>
      <w:marLeft w:val="0"/>
      <w:marRight w:val="0"/>
      <w:marTop w:val="0"/>
      <w:marBottom w:val="0"/>
      <w:divBdr>
        <w:top w:val="none" w:sz="0" w:space="0" w:color="auto"/>
        <w:left w:val="none" w:sz="0" w:space="0" w:color="auto"/>
        <w:bottom w:val="none" w:sz="0" w:space="0" w:color="auto"/>
        <w:right w:val="none" w:sz="0" w:space="0" w:color="auto"/>
      </w:divBdr>
    </w:div>
    <w:div w:id="558983441">
      <w:bodyDiv w:val="1"/>
      <w:marLeft w:val="0"/>
      <w:marRight w:val="0"/>
      <w:marTop w:val="0"/>
      <w:marBottom w:val="0"/>
      <w:divBdr>
        <w:top w:val="none" w:sz="0" w:space="0" w:color="auto"/>
        <w:left w:val="none" w:sz="0" w:space="0" w:color="auto"/>
        <w:bottom w:val="none" w:sz="0" w:space="0" w:color="auto"/>
        <w:right w:val="none" w:sz="0" w:space="0" w:color="auto"/>
      </w:divBdr>
    </w:div>
    <w:div w:id="905337211">
      <w:bodyDiv w:val="1"/>
      <w:marLeft w:val="0"/>
      <w:marRight w:val="0"/>
      <w:marTop w:val="0"/>
      <w:marBottom w:val="0"/>
      <w:divBdr>
        <w:top w:val="none" w:sz="0" w:space="0" w:color="auto"/>
        <w:left w:val="none" w:sz="0" w:space="0" w:color="auto"/>
        <w:bottom w:val="none" w:sz="0" w:space="0" w:color="auto"/>
        <w:right w:val="none" w:sz="0" w:space="0" w:color="auto"/>
      </w:divBdr>
    </w:div>
    <w:div w:id="906262260">
      <w:bodyDiv w:val="1"/>
      <w:marLeft w:val="0"/>
      <w:marRight w:val="0"/>
      <w:marTop w:val="0"/>
      <w:marBottom w:val="0"/>
      <w:divBdr>
        <w:top w:val="none" w:sz="0" w:space="0" w:color="auto"/>
        <w:left w:val="none" w:sz="0" w:space="0" w:color="auto"/>
        <w:bottom w:val="none" w:sz="0" w:space="0" w:color="auto"/>
        <w:right w:val="none" w:sz="0" w:space="0" w:color="auto"/>
      </w:divBdr>
    </w:div>
    <w:div w:id="1212962247">
      <w:bodyDiv w:val="1"/>
      <w:marLeft w:val="0"/>
      <w:marRight w:val="0"/>
      <w:marTop w:val="0"/>
      <w:marBottom w:val="0"/>
      <w:divBdr>
        <w:top w:val="none" w:sz="0" w:space="0" w:color="auto"/>
        <w:left w:val="none" w:sz="0" w:space="0" w:color="auto"/>
        <w:bottom w:val="none" w:sz="0" w:space="0" w:color="auto"/>
        <w:right w:val="none" w:sz="0" w:space="0" w:color="auto"/>
      </w:divBdr>
      <w:divsChild>
        <w:div w:id="1042092622">
          <w:marLeft w:val="0"/>
          <w:marRight w:val="0"/>
          <w:marTop w:val="0"/>
          <w:marBottom w:val="0"/>
          <w:divBdr>
            <w:top w:val="none" w:sz="0" w:space="0" w:color="auto"/>
            <w:left w:val="none" w:sz="0" w:space="0" w:color="auto"/>
            <w:bottom w:val="none" w:sz="0" w:space="0" w:color="auto"/>
            <w:right w:val="none" w:sz="0" w:space="0" w:color="auto"/>
          </w:divBdr>
        </w:div>
      </w:divsChild>
    </w:div>
    <w:div w:id="1544362161">
      <w:bodyDiv w:val="1"/>
      <w:marLeft w:val="0"/>
      <w:marRight w:val="0"/>
      <w:marTop w:val="0"/>
      <w:marBottom w:val="0"/>
      <w:divBdr>
        <w:top w:val="none" w:sz="0" w:space="0" w:color="auto"/>
        <w:left w:val="none" w:sz="0" w:space="0" w:color="auto"/>
        <w:bottom w:val="none" w:sz="0" w:space="0" w:color="auto"/>
        <w:right w:val="none" w:sz="0" w:space="0" w:color="auto"/>
      </w:divBdr>
      <w:divsChild>
        <w:div w:id="893657508">
          <w:marLeft w:val="0"/>
          <w:marRight w:val="0"/>
          <w:marTop w:val="0"/>
          <w:marBottom w:val="0"/>
          <w:divBdr>
            <w:top w:val="single" w:sz="2" w:space="0" w:color="D9D9E3"/>
            <w:left w:val="single" w:sz="2" w:space="0" w:color="D9D9E3"/>
            <w:bottom w:val="single" w:sz="2" w:space="0" w:color="D9D9E3"/>
            <w:right w:val="single" w:sz="2" w:space="0" w:color="D9D9E3"/>
          </w:divBdr>
          <w:divsChild>
            <w:div w:id="1827359577">
              <w:marLeft w:val="0"/>
              <w:marRight w:val="0"/>
              <w:marTop w:val="0"/>
              <w:marBottom w:val="0"/>
              <w:divBdr>
                <w:top w:val="single" w:sz="2" w:space="0" w:color="D9D9E3"/>
                <w:left w:val="single" w:sz="2" w:space="0" w:color="D9D9E3"/>
                <w:bottom w:val="single" w:sz="2" w:space="0" w:color="D9D9E3"/>
                <w:right w:val="single" w:sz="2" w:space="0" w:color="D9D9E3"/>
              </w:divBdr>
              <w:divsChild>
                <w:div w:id="1403484718">
                  <w:marLeft w:val="0"/>
                  <w:marRight w:val="0"/>
                  <w:marTop w:val="0"/>
                  <w:marBottom w:val="0"/>
                  <w:divBdr>
                    <w:top w:val="single" w:sz="2" w:space="0" w:color="D9D9E3"/>
                    <w:left w:val="single" w:sz="2" w:space="0" w:color="D9D9E3"/>
                    <w:bottom w:val="single" w:sz="2" w:space="0" w:color="D9D9E3"/>
                    <w:right w:val="single" w:sz="2" w:space="0" w:color="D9D9E3"/>
                  </w:divBdr>
                  <w:divsChild>
                    <w:div w:id="616106841">
                      <w:marLeft w:val="0"/>
                      <w:marRight w:val="0"/>
                      <w:marTop w:val="0"/>
                      <w:marBottom w:val="0"/>
                      <w:divBdr>
                        <w:top w:val="single" w:sz="2" w:space="0" w:color="D9D9E3"/>
                        <w:left w:val="single" w:sz="2" w:space="0" w:color="D9D9E3"/>
                        <w:bottom w:val="single" w:sz="2" w:space="0" w:color="D9D9E3"/>
                        <w:right w:val="single" w:sz="2" w:space="0" w:color="D9D9E3"/>
                      </w:divBdr>
                      <w:divsChild>
                        <w:div w:id="309679084">
                          <w:marLeft w:val="0"/>
                          <w:marRight w:val="0"/>
                          <w:marTop w:val="0"/>
                          <w:marBottom w:val="0"/>
                          <w:divBdr>
                            <w:top w:val="single" w:sz="2" w:space="0" w:color="D9D9E3"/>
                            <w:left w:val="single" w:sz="2" w:space="0" w:color="D9D9E3"/>
                            <w:bottom w:val="single" w:sz="2" w:space="0" w:color="D9D9E3"/>
                            <w:right w:val="single" w:sz="2" w:space="0" w:color="D9D9E3"/>
                          </w:divBdr>
                          <w:divsChild>
                            <w:div w:id="1171067075">
                              <w:marLeft w:val="0"/>
                              <w:marRight w:val="0"/>
                              <w:marTop w:val="100"/>
                              <w:marBottom w:val="100"/>
                              <w:divBdr>
                                <w:top w:val="single" w:sz="2" w:space="0" w:color="D9D9E3"/>
                                <w:left w:val="single" w:sz="2" w:space="0" w:color="D9D9E3"/>
                                <w:bottom w:val="single" w:sz="2" w:space="0" w:color="D9D9E3"/>
                                <w:right w:val="single" w:sz="2" w:space="0" w:color="D9D9E3"/>
                              </w:divBdr>
                              <w:divsChild>
                                <w:div w:id="1055010974">
                                  <w:marLeft w:val="0"/>
                                  <w:marRight w:val="0"/>
                                  <w:marTop w:val="0"/>
                                  <w:marBottom w:val="0"/>
                                  <w:divBdr>
                                    <w:top w:val="single" w:sz="2" w:space="0" w:color="D9D9E3"/>
                                    <w:left w:val="single" w:sz="2" w:space="0" w:color="D9D9E3"/>
                                    <w:bottom w:val="single" w:sz="2" w:space="0" w:color="D9D9E3"/>
                                    <w:right w:val="single" w:sz="2" w:space="0" w:color="D9D9E3"/>
                                  </w:divBdr>
                                  <w:divsChild>
                                    <w:div w:id="1860895005">
                                      <w:marLeft w:val="0"/>
                                      <w:marRight w:val="0"/>
                                      <w:marTop w:val="0"/>
                                      <w:marBottom w:val="0"/>
                                      <w:divBdr>
                                        <w:top w:val="single" w:sz="2" w:space="0" w:color="D9D9E3"/>
                                        <w:left w:val="single" w:sz="2" w:space="0" w:color="D9D9E3"/>
                                        <w:bottom w:val="single" w:sz="2" w:space="0" w:color="D9D9E3"/>
                                        <w:right w:val="single" w:sz="2" w:space="0" w:color="D9D9E3"/>
                                      </w:divBdr>
                                      <w:divsChild>
                                        <w:div w:id="866522907">
                                          <w:marLeft w:val="0"/>
                                          <w:marRight w:val="0"/>
                                          <w:marTop w:val="0"/>
                                          <w:marBottom w:val="0"/>
                                          <w:divBdr>
                                            <w:top w:val="single" w:sz="2" w:space="0" w:color="D9D9E3"/>
                                            <w:left w:val="single" w:sz="2" w:space="0" w:color="D9D9E3"/>
                                            <w:bottom w:val="single" w:sz="2" w:space="0" w:color="D9D9E3"/>
                                            <w:right w:val="single" w:sz="2" w:space="0" w:color="D9D9E3"/>
                                          </w:divBdr>
                                          <w:divsChild>
                                            <w:div w:id="665284110">
                                              <w:marLeft w:val="0"/>
                                              <w:marRight w:val="0"/>
                                              <w:marTop w:val="0"/>
                                              <w:marBottom w:val="0"/>
                                              <w:divBdr>
                                                <w:top w:val="single" w:sz="2" w:space="0" w:color="D9D9E3"/>
                                                <w:left w:val="single" w:sz="2" w:space="0" w:color="D9D9E3"/>
                                                <w:bottom w:val="single" w:sz="2" w:space="0" w:color="D9D9E3"/>
                                                <w:right w:val="single" w:sz="2" w:space="0" w:color="D9D9E3"/>
                                              </w:divBdr>
                                              <w:divsChild>
                                                <w:div w:id="1240364882">
                                                  <w:marLeft w:val="0"/>
                                                  <w:marRight w:val="0"/>
                                                  <w:marTop w:val="0"/>
                                                  <w:marBottom w:val="0"/>
                                                  <w:divBdr>
                                                    <w:top w:val="single" w:sz="2" w:space="0" w:color="D9D9E3"/>
                                                    <w:left w:val="single" w:sz="2" w:space="0" w:color="D9D9E3"/>
                                                    <w:bottom w:val="single" w:sz="2" w:space="0" w:color="D9D9E3"/>
                                                    <w:right w:val="single" w:sz="2" w:space="0" w:color="D9D9E3"/>
                                                  </w:divBdr>
                                                  <w:divsChild>
                                                    <w:div w:id="12426437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3131740">
          <w:marLeft w:val="0"/>
          <w:marRight w:val="0"/>
          <w:marTop w:val="0"/>
          <w:marBottom w:val="0"/>
          <w:divBdr>
            <w:top w:val="none" w:sz="0" w:space="0" w:color="auto"/>
            <w:left w:val="none" w:sz="0" w:space="0" w:color="auto"/>
            <w:bottom w:val="none" w:sz="0" w:space="0" w:color="auto"/>
            <w:right w:val="none" w:sz="0" w:space="0" w:color="auto"/>
          </w:divBdr>
        </w:div>
      </w:divsChild>
    </w:div>
    <w:div w:id="1881168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2020/11/contents/enacted" TargetMode="External"/><Relationship Id="rId18" Type="http://schemas.openxmlformats.org/officeDocument/2006/relationships/hyperlink" Target="https://www.legislation.gov.uk/ukpga/2008/22/contents" TargetMode="External"/><Relationship Id="rId26" Type="http://schemas.openxmlformats.org/officeDocument/2006/relationships/hyperlink" Target="https://www.legislation.gov.uk/ukpga/1973/18/contents" TargetMode="External"/><Relationship Id="rId3" Type="http://schemas.openxmlformats.org/officeDocument/2006/relationships/customXml" Target="../customXml/item3.xml"/><Relationship Id="rId21" Type="http://schemas.openxmlformats.org/officeDocument/2006/relationships/hyperlink" Target="https://plus-lexis-com.ezproxy.uwtsd.ac.uk/uk/document/?pdmfid=1001073&amp;crid=4785ada3-7493-4db1-b413-0df3137515da&amp;pddocfullpath=%2Fshared%2Fdocument%2Fpractical-guidance-uk%2Furn%3AcontentItem%3A650Y-GSB3-CGX8-005J-00000-00&amp;pdcontentcomponentid=128513&amp;pdteaserkey=&amp;pdislpamode=false&amp;pddocumentnumber=4&amp;ecomp=dt5k&amp;earg=sr3&amp;prid=5f6d3c72-f8c6-4d68-9e0e-b0b3ca2a06a5" TargetMode="External"/><Relationship Id="rId7" Type="http://schemas.openxmlformats.org/officeDocument/2006/relationships/webSettings" Target="webSettings.xml"/><Relationship Id="rId12" Type="http://schemas.openxmlformats.org/officeDocument/2006/relationships/hyperlink" Target="https://hudoc.echr.coe.int/app/conversion/pdf/?library=ECHR&amp;id=001-72684&amp;filename=001-72684.pdf&amp;TID=ihgdqbxnfi" TargetMode="External"/><Relationship Id="rId17" Type="http://schemas.openxmlformats.org/officeDocument/2006/relationships/hyperlink" Target="https://www.legislation.gov.uk/ukpga/1990/37/contents" TargetMode="External"/><Relationship Id="rId25" Type="http://schemas.openxmlformats.org/officeDocument/2006/relationships/hyperlink" Target="https://plus-lexis-com.ezproxy.uwtsd.ac.uk/uk/document/?pdmfid=1001073&amp;crid=f554da9c-833a-478f-9168-621ec346762a&amp;pddocfullpath=%2Fshared%2Fdocument%2Fanalytical-materials-uk%2Furn%3AcontentItem%3A5C0F-T5V1-F04M-N14K-00000-00&amp;pdcontentcomponentid=298911&amp;pdteaserkey=&amp;pdislpamode=false&amp;pddocumentnumber=4&amp;ecomp=dt5k&amp;earg=sr3&amp;prid=1bfc2eb6-9903-4c0c-93bd-aff056fed252"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gov.uk/divorce" TargetMode="External"/><Relationship Id="rId20" Type="http://schemas.openxmlformats.org/officeDocument/2006/relationships/hyperlink" Target="https://www.legislation.gov.uk/uksi/2019/1458/pdfs/uksiem_20191458_en.pdf" TargetMode="External"/><Relationship Id="rId29" Type="http://schemas.openxmlformats.org/officeDocument/2006/relationships/hyperlink" Target="https://plus-lexis-com.ezproxy.uwtsd.ac.uk/uk/cases-uk/owens-v-owens-2017-all-er-d-23-apr?crid=9ef5f02a-ca33-4b31-b58e-b1a634f73cd7"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ukpga/2004/33/contents" TargetMode="External"/><Relationship Id="rId24" Type="http://schemas.openxmlformats.org/officeDocument/2006/relationships/hyperlink" Target="https://plus-lexis-com.ezproxy.uwtsd.ac.uk/uk/practical-guidance-uk/unreasonable-behaviour?crid=d4164d7a-f2b7-4e1f-bc21-67e6f7aed64f"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gov.uk/end-civil-partnership" TargetMode="External"/><Relationship Id="rId23" Type="http://schemas.openxmlformats.org/officeDocument/2006/relationships/hyperlink" Target="https://plus-lexis-com.ezproxy.uwtsd.ac.uk/api/permalink/313bbf92-60ec-479e-a815-5b7fb0af397d/?context=1001073" TargetMode="External"/><Relationship Id="rId28" Type="http://schemas.openxmlformats.org/officeDocument/2006/relationships/hyperlink" Target="https://www.judiciary.uk/wp-content/uploads/2015/09/parentage.pdf" TargetMode="External"/><Relationship Id="rId10" Type="http://schemas.openxmlformats.org/officeDocument/2006/relationships/hyperlink" Target="https://www.lawsociety.org.uk/topics/family-and-children/owens-and-owens" TargetMode="External"/><Relationship Id="rId19" Type="http://schemas.openxmlformats.org/officeDocument/2006/relationships/hyperlink" Target="https://www.legislation.gov.uk/ukpga/1998/42/contents" TargetMode="External"/><Relationship Id="rId31" Type="http://schemas.openxmlformats.org/officeDocument/2006/relationships/hyperlink" Target="https://www.lawsociety.org.uk/topics/family-and-children/no-fault-divorce" TargetMode="External"/><Relationship Id="rId4" Type="http://schemas.openxmlformats.org/officeDocument/2006/relationships/numbering" Target="numbering.xml"/><Relationship Id="rId9" Type="http://schemas.openxmlformats.org/officeDocument/2006/relationships/hyperlink" Target="https://www.iclr.co.uk/blog/commentary/divorce-and-civil-partnership-dissolution-reform-how-lawful-part-1/" TargetMode="External"/><Relationship Id="rId14" Type="http://schemas.openxmlformats.org/officeDocument/2006/relationships/hyperlink" Target="https://commonslibrary.parliament.uk/research-briefings/cbp-8697/" TargetMode="External"/><Relationship Id="rId22" Type="http://schemas.openxmlformats.org/officeDocument/2006/relationships/hyperlink" Target="https://plus-lexis-com.ezproxy.uwtsd.ac.uk/uk/document/?pdmfid=1001073&amp;crid=cc167698-5b3d-4452-8124-74bd0c410aa9&amp;pddocfullpath=%2Fshared%2Fdocument%2Fnews-uk%2Furn%3AcontentItem%3A609K-BWR3-CGXG-03FH-00000-00&amp;pdcontentcomponentid=184200&amp;pdteaserkey=&amp;pdislpamode=false&amp;pddocumentnumber=4&amp;ecomp=dt5k&amp;earg=sr3&amp;prid=ae28bc5b-1e8c-4c92-996a-158498fc1dcd" TargetMode="External"/><Relationship Id="rId27" Type="http://schemas.openxmlformats.org/officeDocument/2006/relationships/hyperlink" Target="https://onlinelibrary.wiley.com/doi/10.1111/j.1468-2230.2010.00790.x" TargetMode="External"/><Relationship Id="rId30" Type="http://schemas.openxmlformats.org/officeDocument/2006/relationships/hyperlink" Target="https://www.supremecourt.uk/cases/docs/uksc-2017-0060-judgment.pdf" TargetMode="External"/><Relationship Id="rId8" Type="http://schemas.openxmlformats.org/officeDocument/2006/relationships/hyperlink" Target="https://www.bbc.co.uk/news/uk-446279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8" ma:contentTypeDescription="Create a new document." ma:contentTypeScope="" ma:versionID="04bba224e801cc79edef9b5eadcd5ab1">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f085440466e69737d27e995209250576"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A62CF7FD-1D9E-40D1-B93E-05BD769F0E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D14E5-D76C-47B2-A2BF-AF9507F3CE35}">
  <ds:schemaRefs>
    <ds:schemaRef ds:uri="http://schemas.microsoft.com/sharepoint/v3/contenttype/forms"/>
  </ds:schemaRefs>
</ds:datastoreItem>
</file>

<file path=customXml/itemProps3.xml><?xml version="1.0" encoding="utf-8"?>
<ds:datastoreItem xmlns:ds="http://schemas.openxmlformats.org/officeDocument/2006/customXml" ds:itemID="{CB887BDB-DAE1-4036-8DCF-49D1F4CC2094}">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2870</TotalTime>
  <Pages>8</Pages>
  <Words>3456</Words>
  <Characters>19705</Characters>
  <Application>Microsoft Office Word</Application>
  <DocSecurity>0</DocSecurity>
  <Lines>164</Lines>
  <Paragraphs>46</Paragraphs>
  <ScaleCrop>false</ScaleCrop>
  <Company/>
  <LinksUpToDate>false</LinksUpToDate>
  <CharactersWithSpaces>23115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Alexandra Olivia Emery (2224078)</dc:creator>
  <cp:keywords/>
  <dc:description/>
  <cp:lastModifiedBy>Phoebe Alexandra Olivia Emery</cp:lastModifiedBy>
  <cp:revision>214</cp:revision>
  <dcterms:created xsi:type="dcterms:W3CDTF">2023-11-16T16:03:00Z</dcterms:created>
  <dcterms:modified xsi:type="dcterms:W3CDTF">2023-11-30T13:09:00Z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