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CAE3AA" w14:textId="36D526C7" w:rsidR="00D839A3" w:rsidRDefault="004464D0" w:rsidP="6814F2F8">
      <w:pPr>
        <w:spacing w:after="0"/>
        <w:jc w:val="center"/>
      </w:pPr>
      <w:r>
        <w:br/>
      </w:r>
    </w:p>
    <w:p w14:paraId="27D6F690" w14:textId="3AE64790" w:rsidR="00D839A3" w:rsidRDefault="5C664E9F" w:rsidP="6814F2F8">
      <w:pPr>
        <w:spacing w:line="360" w:lineRule="auto"/>
        <w:jc w:val="center"/>
      </w:pPr>
      <w:r w:rsidRPr="6814F2F8">
        <w:t xml:space="preserve"> A critical evaluation and the identification of next teaching and learning steps focusing on a case study of an individual learner or a group of learners, based on an observed critical incident.</w:t>
      </w:r>
    </w:p>
    <w:p w14:paraId="03B754AE" w14:textId="5DF0242D" w:rsidR="00D839A3" w:rsidRDefault="36BEF324" w:rsidP="6814F2F8">
      <w:pPr>
        <w:spacing w:line="360" w:lineRule="auto"/>
        <w:jc w:val="center"/>
      </w:pPr>
      <w:r>
        <w:t xml:space="preserve">Word Count - </w:t>
      </w:r>
      <w:r w:rsidR="108F5D6F">
        <w:t>3781</w:t>
      </w:r>
    </w:p>
    <w:p w14:paraId="5E5787A5" w14:textId="434FC37D" w:rsidR="00D839A3" w:rsidRDefault="00D839A3" w:rsidP="6814F2F8">
      <w:pPr>
        <w:spacing w:line="480" w:lineRule="auto"/>
        <w:jc w:val="center"/>
      </w:pPr>
    </w:p>
    <w:p w14:paraId="0CD12FE5" w14:textId="4286C561" w:rsidR="6814F2F8" w:rsidRDefault="6814F2F8" w:rsidP="6814F2F8">
      <w:pPr>
        <w:spacing w:line="480" w:lineRule="auto"/>
        <w:jc w:val="center"/>
      </w:pPr>
    </w:p>
    <w:p w14:paraId="21694DE5" w14:textId="309A4CD3" w:rsidR="6814F2F8" w:rsidRDefault="6814F2F8" w:rsidP="6814F2F8">
      <w:pPr>
        <w:spacing w:line="480" w:lineRule="auto"/>
        <w:jc w:val="center"/>
      </w:pPr>
    </w:p>
    <w:p w14:paraId="7A729934" w14:textId="710AD8E6" w:rsidR="6814F2F8" w:rsidRDefault="6814F2F8" w:rsidP="6814F2F8">
      <w:pPr>
        <w:spacing w:line="480" w:lineRule="auto"/>
        <w:jc w:val="center"/>
      </w:pPr>
    </w:p>
    <w:p w14:paraId="5E115A85" w14:textId="7D97122D" w:rsidR="6814F2F8" w:rsidRDefault="6814F2F8" w:rsidP="6814F2F8">
      <w:pPr>
        <w:spacing w:line="480" w:lineRule="auto"/>
        <w:jc w:val="center"/>
      </w:pPr>
    </w:p>
    <w:p w14:paraId="55B511F8" w14:textId="6FAF2EAA" w:rsidR="6814F2F8" w:rsidRDefault="6814F2F8" w:rsidP="6814F2F8">
      <w:pPr>
        <w:spacing w:line="480" w:lineRule="auto"/>
        <w:jc w:val="center"/>
      </w:pPr>
    </w:p>
    <w:p w14:paraId="129DF566" w14:textId="44EAED83" w:rsidR="6814F2F8" w:rsidRDefault="6814F2F8" w:rsidP="6814F2F8">
      <w:pPr>
        <w:spacing w:line="480" w:lineRule="auto"/>
        <w:jc w:val="center"/>
      </w:pPr>
    </w:p>
    <w:p w14:paraId="16AFD8C5" w14:textId="3E8387EF" w:rsidR="6814F2F8" w:rsidRDefault="6814F2F8" w:rsidP="6814F2F8">
      <w:pPr>
        <w:spacing w:line="480" w:lineRule="auto"/>
        <w:jc w:val="center"/>
      </w:pPr>
    </w:p>
    <w:p w14:paraId="464A0E63" w14:textId="33EA752D" w:rsidR="6814F2F8" w:rsidRDefault="6814F2F8" w:rsidP="6814F2F8">
      <w:pPr>
        <w:spacing w:line="480" w:lineRule="auto"/>
        <w:jc w:val="center"/>
      </w:pPr>
    </w:p>
    <w:p w14:paraId="49EFF5DC" w14:textId="6BA4D4CB" w:rsidR="6814F2F8" w:rsidRDefault="6814F2F8" w:rsidP="6814F2F8">
      <w:pPr>
        <w:spacing w:line="480" w:lineRule="auto"/>
        <w:jc w:val="center"/>
      </w:pPr>
    </w:p>
    <w:p w14:paraId="57EAD9FA" w14:textId="2FDE6997" w:rsidR="6814F2F8" w:rsidRDefault="6814F2F8" w:rsidP="6814F2F8">
      <w:pPr>
        <w:spacing w:line="480" w:lineRule="auto"/>
        <w:jc w:val="center"/>
      </w:pPr>
    </w:p>
    <w:p w14:paraId="21F4A64B" w14:textId="740619C5" w:rsidR="6814F2F8" w:rsidRDefault="6814F2F8" w:rsidP="6814F2F8">
      <w:pPr>
        <w:spacing w:line="480" w:lineRule="auto"/>
        <w:jc w:val="center"/>
      </w:pPr>
    </w:p>
    <w:p w14:paraId="063D0C04" w14:textId="3956CC95" w:rsidR="6814F2F8" w:rsidRDefault="6814F2F8" w:rsidP="6814F2F8">
      <w:pPr>
        <w:spacing w:line="480" w:lineRule="auto"/>
        <w:jc w:val="center"/>
      </w:pPr>
    </w:p>
    <w:p w14:paraId="7F12F84C" w14:textId="52FC37CC" w:rsidR="6814F2F8" w:rsidRDefault="6814F2F8" w:rsidP="6814F2F8">
      <w:pPr>
        <w:spacing w:line="480" w:lineRule="auto"/>
        <w:jc w:val="center"/>
      </w:pPr>
    </w:p>
    <w:p w14:paraId="7499F6BB" w14:textId="5C9002A8" w:rsidR="6814F2F8" w:rsidRDefault="6814F2F8" w:rsidP="6814F2F8">
      <w:pPr>
        <w:spacing w:line="480" w:lineRule="auto"/>
        <w:jc w:val="center"/>
      </w:pPr>
    </w:p>
    <w:p w14:paraId="74100D0B" w14:textId="503400EE" w:rsidR="6814F2F8" w:rsidRDefault="6814F2F8" w:rsidP="6814F2F8">
      <w:pPr>
        <w:spacing w:line="480" w:lineRule="auto"/>
        <w:jc w:val="center"/>
      </w:pPr>
    </w:p>
    <w:p w14:paraId="7E0D6FAD" w14:textId="6564A90C" w:rsidR="57D87A28" w:rsidRDefault="57D87A28" w:rsidP="57D87A28">
      <w:pPr>
        <w:spacing w:line="480" w:lineRule="auto"/>
        <w:jc w:val="center"/>
        <w:rPr>
          <w:rFonts w:ascii="Calibri" w:eastAsia="Calibri" w:hAnsi="Calibri" w:cs="Calibri"/>
          <w:b/>
          <w:bCs/>
          <w:color w:val="0E101A"/>
          <w:u w:val="single"/>
        </w:rPr>
      </w:pPr>
    </w:p>
    <w:p w14:paraId="7DE12C3B" w14:textId="2E686FDE" w:rsidR="6814F2F8" w:rsidRDefault="6814F2F8" w:rsidP="072E6950">
      <w:pPr>
        <w:spacing w:after="0" w:line="480" w:lineRule="auto"/>
      </w:pPr>
    </w:p>
    <w:p w14:paraId="503F0C22" w14:textId="63362E31" w:rsidR="6814F2F8" w:rsidRDefault="376C472C" w:rsidP="00206ED2">
      <w:pPr>
        <w:spacing w:after="0" w:line="480" w:lineRule="auto"/>
        <w:jc w:val="center"/>
        <w:rPr>
          <w:u w:val="single"/>
        </w:rPr>
      </w:pPr>
      <w:r w:rsidRPr="072E6950">
        <w:rPr>
          <w:u w:val="single"/>
        </w:rPr>
        <w:t>I</w:t>
      </w:r>
      <w:r w:rsidR="2D27E58B" w:rsidRPr="072E6950">
        <w:rPr>
          <w:u w:val="single"/>
        </w:rPr>
        <w:t>ntroduction</w:t>
      </w:r>
    </w:p>
    <w:p w14:paraId="74F26F81" w14:textId="55A01B18" w:rsidR="6814F2F8" w:rsidRDefault="2D27E58B" w:rsidP="072E6950">
      <w:pPr>
        <w:spacing w:after="0" w:line="480" w:lineRule="auto"/>
      </w:pPr>
      <w:r>
        <w:t>The concept of reflection has become a prevalent concept in the field of teacher education (Webb, 1999). Teacher education based on the principles of 'reflective practice' comprises a set of techniques that aim to enhance professional performance by observing, analysing, and reflecting to improve professional practice (</w:t>
      </w:r>
      <w:proofErr w:type="spellStart"/>
      <w:r>
        <w:t>Belvis</w:t>
      </w:r>
      <w:proofErr w:type="spellEnd"/>
      <w:r>
        <w:t xml:space="preserve"> et al.</w:t>
      </w:r>
      <w:r w:rsidR="14E55785">
        <w:t>,</w:t>
      </w:r>
      <w:r>
        <w:t xml:space="preserve"> 2013). This assignment will employ David Tripp's (1993) critical incident methodology to analyse and explore an observed incident within a classroom. This methodology emphasises the importance of reflection by educators to improve classroom action research. According to </w:t>
      </w:r>
      <w:proofErr w:type="spellStart"/>
      <w:r>
        <w:t>Tripps</w:t>
      </w:r>
      <w:proofErr w:type="spellEnd"/>
      <w:r>
        <w:t xml:space="preserve"> (2011), it requires educators to use their own interpretation and professional judgment based on scholarly analysis of the incident rather than relying solely on their experience of it. The distinction is that turning teaching practices into literature transforms the experience. This approach transforms teaching practices into literature, making even seemingly minor incidents significant.</w:t>
      </w:r>
    </w:p>
    <w:p w14:paraId="4CD42997" w14:textId="4AB9C670" w:rsidR="6814F2F8" w:rsidRDefault="6814F2F8" w:rsidP="072E6950">
      <w:pPr>
        <w:spacing w:after="0" w:line="480" w:lineRule="auto"/>
      </w:pPr>
    </w:p>
    <w:p w14:paraId="2057E628" w14:textId="2FF02DF3" w:rsidR="6814F2F8" w:rsidRDefault="2D27E58B" w:rsidP="072E6950">
      <w:pPr>
        <w:spacing w:after="0" w:line="480" w:lineRule="auto"/>
      </w:pPr>
      <w:r>
        <w:t>The designated observation period of 'pupil trials' provided an opportunity to observe and accurately record authentic incidents within a classroom context, which can be found in the appendices. From those incidents, one has been selected for further examination. The following sections will delve into theoretical concepts related to reflective practice and how they apply to teaching, as well as provide an overview of the school's context before outlining and discussing the chosen incident in relation to the curriculum reform in Wales. A review of relevant literature will be included to understand the incident's significance better. Finally, I will offer my own reflections on the incident and suggest potential next steps for future practice.</w:t>
      </w:r>
    </w:p>
    <w:p w14:paraId="2718CCCD" w14:textId="0E0E10DB" w:rsidR="6814F2F8" w:rsidRDefault="6814F2F8" w:rsidP="072E6950">
      <w:pPr>
        <w:spacing w:after="0" w:line="480" w:lineRule="auto"/>
      </w:pPr>
    </w:p>
    <w:p w14:paraId="32B2575A" w14:textId="385D79D9" w:rsidR="6814F2F8" w:rsidRDefault="2D27E58B" w:rsidP="00206ED2">
      <w:pPr>
        <w:spacing w:after="0" w:line="480" w:lineRule="auto"/>
        <w:jc w:val="center"/>
        <w:rPr>
          <w:u w:val="single"/>
        </w:rPr>
      </w:pPr>
      <w:r w:rsidRPr="072E6950">
        <w:rPr>
          <w:u w:val="single"/>
        </w:rPr>
        <w:t>Role of Critical Reflection</w:t>
      </w:r>
    </w:p>
    <w:p w14:paraId="62D64050" w14:textId="2D943FDF" w:rsidR="6814F2F8" w:rsidRDefault="2D27E58B" w:rsidP="072E6950">
      <w:pPr>
        <w:spacing w:after="0" w:line="480" w:lineRule="auto"/>
      </w:pPr>
      <w:r>
        <w:t xml:space="preserve">The seminal work of John Dewey on reflective thinking in education has left a lasting impression on the field. Dewey (1933) initially defined reflection as the "active, persistent and careful consideration </w:t>
      </w:r>
      <w:r>
        <w:lastRenderedPageBreak/>
        <w:t xml:space="preserve">of any belief or supposed form of knowledge in the light of </w:t>
      </w:r>
      <w:r w:rsidRPr="00206ED2">
        <w:t>the grounds that support it and the further conclusions to which it tends" (p. 9). Therefore, reflection is a valuable tool that allows professionals to deliberate on their thoughts and actions (Slade et al. 2019), leading to a more refined decision-making process. This is supported by Moon (1999), who communicates the vital role reflection has in enhancing one's professional practice by facilitating a deeper level of cognitive learning and comprehension. (Galea, 2012) Contended</w:t>
      </w:r>
      <w:r>
        <w:t xml:space="preserve"> that developing a reflective mindset is considered an essential attribute for teachers to function effectively. Adopting a mindset that actively seeks to challenge and learn from previous experiences can inform new modes of thinking and teaching, ultimately leading to better educational outcomes (</w:t>
      </w:r>
      <w:r w:rsidRPr="00206ED2">
        <w:t>Galea, 2012). Valli (1997)</w:t>
      </w:r>
      <w:r>
        <w:t xml:space="preserve"> expresses similar notions to Dewey (1933), Moon (1999) and Galea (2012), characterising reflective teachers as those who can analyse events, make judgments about them, and modify their teaching practices based on expertise in their field, research, and ethical considerations.</w:t>
      </w:r>
    </w:p>
    <w:p w14:paraId="44495C98" w14:textId="2693C9D7" w:rsidR="6814F2F8" w:rsidRDefault="2D27E58B" w:rsidP="072E6950">
      <w:pPr>
        <w:spacing w:after="0" w:line="480" w:lineRule="auto"/>
      </w:pPr>
      <w:r>
        <w:t>Additionally, when engaging in reflective practice, one must recognise one's beliefs, attitudes, and the extent of one's existing knowledge (</w:t>
      </w:r>
      <w:proofErr w:type="spellStart"/>
      <w:r>
        <w:t>Zeichner</w:t>
      </w:r>
      <w:proofErr w:type="spellEnd"/>
      <w:r>
        <w:t xml:space="preserve"> and Liston (1996). Continuous professional development is vital in ensuring the quality of academic instruction and adapting to the changing demands of our society (</w:t>
      </w:r>
      <w:proofErr w:type="spellStart"/>
      <w:r>
        <w:t>Belvis</w:t>
      </w:r>
      <w:proofErr w:type="spellEnd"/>
      <w:r>
        <w:t xml:space="preserve"> et al., 2013). </w:t>
      </w:r>
      <w:r w:rsidRPr="00206ED2">
        <w:t xml:space="preserve">Similarly, </w:t>
      </w:r>
      <w:proofErr w:type="spellStart"/>
      <w:r w:rsidRPr="00206ED2">
        <w:t>Zeicher</w:t>
      </w:r>
      <w:proofErr w:type="spellEnd"/>
      <w:r w:rsidRPr="00206ED2">
        <w:t xml:space="preserve"> and Liston (1996),</w:t>
      </w:r>
      <w:r>
        <w:t xml:space="preserve"> urge teachers to go beyond asking if their practice is effective and instead understand how and for whom it works. Therefore, one's interpretation of an incident largely hinges on familiarity with the specific learner or group of learners. Considering this, the relationship can profoundly affect the 'position' taken and future teaching and learning steps. Such factors play a vital role in the accurate evaluation of the incident. Therefore, it is crucial to consider all pertinent details when analysing an occurrence to arrive at a comprehensive conclusion (</w:t>
      </w:r>
      <w:proofErr w:type="spellStart"/>
      <w:r>
        <w:t>Zeichner</w:t>
      </w:r>
      <w:proofErr w:type="spellEnd"/>
      <w:r>
        <w:t xml:space="preserve"> &amp; Liston, 1996).</w:t>
      </w:r>
    </w:p>
    <w:p w14:paraId="63F372B8" w14:textId="297EF8DE" w:rsidR="6814F2F8" w:rsidRDefault="6814F2F8" w:rsidP="072E6950">
      <w:pPr>
        <w:spacing w:after="0" w:line="480" w:lineRule="auto"/>
      </w:pPr>
    </w:p>
    <w:p w14:paraId="18B7EEC6" w14:textId="20C91F64" w:rsidR="6814F2F8" w:rsidRDefault="2D27E58B" w:rsidP="00206ED2">
      <w:pPr>
        <w:spacing w:after="0" w:line="480" w:lineRule="auto"/>
        <w:jc w:val="center"/>
        <w:rPr>
          <w:u w:val="single"/>
        </w:rPr>
      </w:pPr>
      <w:r w:rsidRPr="072E6950">
        <w:rPr>
          <w:u w:val="single"/>
        </w:rPr>
        <w:t>School and lesson context</w:t>
      </w:r>
    </w:p>
    <w:p w14:paraId="1038E1F2" w14:textId="5C9F4FC1" w:rsidR="6814F2F8" w:rsidRDefault="2D27E58B" w:rsidP="072E6950">
      <w:pPr>
        <w:spacing w:after="0" w:line="480" w:lineRule="auto"/>
      </w:pPr>
      <w:r>
        <w:t xml:space="preserve">This section aims to provide contextual information about the school and the lesson during which the observed incident occurred. Data from the school's latest ESTYN report (2023) has been utilised </w:t>
      </w:r>
      <w:r>
        <w:lastRenderedPageBreak/>
        <w:t xml:space="preserve">for accurate, up-to-date information when considering the position taken and the supporting literature. As stipulated by the British Educational Research Association (BERA) Ethical Guidelines (2018), the following assignment will uphold the confidentiality and anonymity of the educational institution and individuals involved in the case study. </w:t>
      </w:r>
    </w:p>
    <w:p w14:paraId="0A6F1006" w14:textId="0A1B07B7" w:rsidR="6814F2F8" w:rsidRDefault="6814F2F8" w:rsidP="072E6950">
      <w:pPr>
        <w:spacing w:after="0" w:line="480" w:lineRule="auto"/>
      </w:pPr>
    </w:p>
    <w:p w14:paraId="29418A77" w14:textId="26D3596B" w:rsidR="6814F2F8" w:rsidRDefault="2D27E58B" w:rsidP="072E6950">
      <w:pPr>
        <w:spacing w:after="0" w:line="480" w:lineRule="auto"/>
      </w:pPr>
      <w:r>
        <w:t xml:space="preserve">The critical incident occurred in an English-medium secondary school in the Local Authority, City and Council of Swansea. The school has a diverse population of 1285 pupils aged 11-18 (Swansea Council, 2023). The Estyn report shows 25.3% of pupils are eligible for free school meals. Additionally, 20.8% of children were identified as having additional learning needs. Considering this, the school emphasises the well-being of its students and staff to create an inclusive learning environment. It is characterised by robust working relationships between teachers and pupils as the foundation for effective teaching and learning within the school. </w:t>
      </w:r>
    </w:p>
    <w:p w14:paraId="340162E4" w14:textId="77777777" w:rsidR="00206ED2" w:rsidRDefault="00206ED2" w:rsidP="072E6950">
      <w:pPr>
        <w:spacing w:after="0" w:line="480" w:lineRule="auto"/>
      </w:pPr>
    </w:p>
    <w:p w14:paraId="605D3F90" w14:textId="343BA39D" w:rsidR="6814F2F8" w:rsidRDefault="2D27E58B" w:rsidP="072E6950">
      <w:pPr>
        <w:spacing w:after="0" w:line="480" w:lineRule="auto"/>
      </w:pPr>
      <w:r>
        <w:t xml:space="preserve">The incident occurred on the second day of the designated observation period of 'pupil trials', following a KS3 year seven class of pupils from lesson to lesson. The purpose of the allocated observation period was to understand and document various aspects of the school's educational process. The following incident occurred during a third-period English lesson after break time. The class comprised 30 pupils with mixed abilities from sets two and three. </w:t>
      </w:r>
    </w:p>
    <w:p w14:paraId="0384ACEC" w14:textId="77777777" w:rsidR="00206ED2" w:rsidRDefault="00206ED2" w:rsidP="072E6950">
      <w:pPr>
        <w:spacing w:after="0" w:line="480" w:lineRule="auto"/>
      </w:pPr>
    </w:p>
    <w:p w14:paraId="08F52C4E" w14:textId="063E5FB8" w:rsidR="6814F2F8" w:rsidRDefault="2D27E58B" w:rsidP="072E6950">
      <w:pPr>
        <w:spacing w:after="0" w:line="480" w:lineRule="auto"/>
      </w:pPr>
      <w:r>
        <w:t xml:space="preserve">Before the commencement of the lesson, the teacher informed me that the year seven pupils had been studying myths and legends in literature to improve their creative writing skills. The upcoming lesson would serve as a mid-term formative assessment for the teacher, and the students would be required to </w:t>
      </w:r>
      <w:bookmarkStart w:id="0" w:name="_Int_QESbd8lx"/>
      <w:r>
        <w:t>write</w:t>
      </w:r>
      <w:bookmarkEnd w:id="0"/>
      <w:r>
        <w:t xml:space="preserve"> their own short story based on the titles 'The Quest' or 'The Underworld.' The following incident was deemed noteworthy due to its potential impact on the learning environment and the steps taken by the teacher. </w:t>
      </w:r>
    </w:p>
    <w:p w14:paraId="717120EA" w14:textId="38A00983" w:rsidR="6814F2F8" w:rsidRDefault="6814F2F8" w:rsidP="072E6950">
      <w:pPr>
        <w:spacing w:after="0" w:line="480" w:lineRule="auto"/>
      </w:pPr>
      <w:r>
        <w:lastRenderedPageBreak/>
        <w:br/>
      </w:r>
    </w:p>
    <w:p w14:paraId="51BF9148" w14:textId="1A0C9ACA" w:rsidR="6814F2F8" w:rsidRPr="00206ED2" w:rsidRDefault="2D27E58B" w:rsidP="00206ED2">
      <w:pPr>
        <w:spacing w:after="0" w:line="480" w:lineRule="auto"/>
        <w:jc w:val="center"/>
        <w:rPr>
          <w:u w:val="single"/>
        </w:rPr>
      </w:pPr>
      <w:r w:rsidRPr="072E6950">
        <w:rPr>
          <w:u w:val="single"/>
        </w:rPr>
        <w:t>Critical incident overview</w:t>
      </w:r>
    </w:p>
    <w:p w14:paraId="2A320B88" w14:textId="77777777" w:rsidR="00206ED2" w:rsidRDefault="00206ED2" w:rsidP="072E6950">
      <w:pPr>
        <w:spacing w:after="0" w:line="480" w:lineRule="auto"/>
      </w:pPr>
    </w:p>
    <w:p w14:paraId="21F662BB" w14:textId="04365789" w:rsidR="00206ED2" w:rsidRDefault="2D27E58B" w:rsidP="072E6950">
      <w:pPr>
        <w:spacing w:after="0" w:line="480" w:lineRule="auto"/>
      </w:pPr>
      <w:r>
        <w:t xml:space="preserve">On arrival, pupils were greeted outside the classroom by the teacher. This routine was consistent across the school and not limited to just one teacher. Moreover, the teacher addressed the class to elicit a calm and organised start to the lesson. Here, I noted one </w:t>
      </w:r>
      <w:proofErr w:type="gramStart"/>
      <w:r>
        <w:t>particular pupil</w:t>
      </w:r>
      <w:proofErr w:type="gramEnd"/>
      <w:r>
        <w:t xml:space="preserve"> whom, for this assignment, shall be referred to as Pupil (A). </w:t>
      </w:r>
    </w:p>
    <w:p w14:paraId="39884F4D" w14:textId="77777777" w:rsidR="00206ED2" w:rsidRDefault="00206ED2" w:rsidP="072E6950">
      <w:pPr>
        <w:spacing w:after="0" w:line="480" w:lineRule="auto"/>
      </w:pPr>
    </w:p>
    <w:p w14:paraId="6646B0A7" w14:textId="5AC64E2C" w:rsidR="6814F2F8" w:rsidRDefault="2D27E58B" w:rsidP="072E6950">
      <w:pPr>
        <w:spacing w:after="0" w:line="480" w:lineRule="auto"/>
      </w:pPr>
      <w:r>
        <w:t>Pupil (A) took this opportunity to speak to their teacher privately outside the classroom while the rest of the class settled in, taking down the '</w:t>
      </w:r>
      <w:proofErr w:type="spellStart"/>
      <w:r>
        <w:t>dyddiad</w:t>
      </w:r>
      <w:proofErr w:type="spellEnd"/>
      <w:r>
        <w:t xml:space="preserve">' (date) and 'nod y </w:t>
      </w:r>
      <w:proofErr w:type="spellStart"/>
      <w:r>
        <w:t>wers'</w:t>
      </w:r>
      <w:proofErr w:type="spellEnd"/>
      <w:r>
        <w:t xml:space="preserve"> (aim of the lesson). After approximately 10 minutes, the teacher returned, leaving Pupil (A) outside. Thanking the class for their patience and promptly following instructions, the teacher directed them to the starter task while the register was taken.</w:t>
      </w:r>
      <w:r w:rsidR="386D7B12">
        <w:t xml:space="preserve"> </w:t>
      </w:r>
      <w:r>
        <w:t xml:space="preserve">Once completed, pupils were introduced to the main task of the lesson, eliciting the expectations in which the assessment would take place and discussing the success criteria provided on the board. </w:t>
      </w:r>
      <w:r w:rsidR="7419ABD5">
        <w:t xml:space="preserve"> </w:t>
      </w:r>
      <w:r>
        <w:t xml:space="preserve">Shortly after the start of the assessment, Pupil (A) re-entered the lesson, causing a mild disturbance. Approximately five minutes in, Pupil A was </w:t>
      </w:r>
      <w:r w:rsidR="79A43557">
        <w:t xml:space="preserve">observed </w:t>
      </w:r>
      <w:r>
        <w:t xml:space="preserve">whispering to a pupil on a neighbouring table further contributed to the earlier disruption. The teacher calmly and delicately intervened in this interaction by reminding the entire class of the success criteria. Pupil A showed some willingness to try to tackle the assessment task. Looking puzzled and unable to concentrate, Pupil (A) began to turn their attention to their peers working on their writing behind and to the left of them. Pupil (A) then proceeded to catch the attention of a different pupil at the front of the class, this time mouthing, "What is your title?" trying not to catch the teacher's attention this time. They did this several times, further disrupting the learning environment of others around them. The teacher intervened again by praising their resilience and redirecting them to the success criteria. Pupil (A) turned their attention back to the writing task for a couple of minutes before </w:t>
      </w:r>
      <w:r>
        <w:lastRenderedPageBreak/>
        <w:t>becoming visibly irritated, sinking into their seat with their head in their hands. They then raised their hand and asked the teacher for assistance after quietly expressing uncertainty: "I don't know what to do."</w:t>
      </w:r>
    </w:p>
    <w:p w14:paraId="3199DDCC" w14:textId="4F895FAB" w:rsidR="6814F2F8" w:rsidRDefault="2D27E58B" w:rsidP="072E6950">
      <w:pPr>
        <w:spacing w:after="0" w:line="480" w:lineRule="auto"/>
      </w:pPr>
      <w:r>
        <w:t xml:space="preserve">Upon further discussion with the teacher, it was revealed that Pupil A had confided in them about a matter causing them great upset. </w:t>
      </w:r>
      <w:proofErr w:type="gramStart"/>
      <w:r>
        <w:t>In order to</w:t>
      </w:r>
      <w:proofErr w:type="gramEnd"/>
      <w:r>
        <w:t xml:space="preserve"> assist Pupil (A) in regaining their composure, the teacher allowed them some time outside to re-regulate before proceeding with an assessment task. The teacher's rationale was that Pupil (A) would not be able to perform to the best of their ability if they were still emotionally overwhelmed.</w:t>
      </w:r>
    </w:p>
    <w:p w14:paraId="275EAB86" w14:textId="55DC4E49" w:rsidR="6814F2F8" w:rsidRDefault="6814F2F8" w:rsidP="072E6950">
      <w:pPr>
        <w:spacing w:after="0" w:line="480" w:lineRule="auto"/>
      </w:pPr>
    </w:p>
    <w:p w14:paraId="6F0DAAB6" w14:textId="65DF66A9" w:rsidR="6814F2F8" w:rsidRDefault="2D27E58B" w:rsidP="072E6950">
      <w:pPr>
        <w:spacing w:after="0" w:line="480" w:lineRule="auto"/>
        <w:jc w:val="center"/>
        <w:rPr>
          <w:u w:val="single"/>
        </w:rPr>
      </w:pPr>
      <w:r w:rsidRPr="072E6950">
        <w:rPr>
          <w:u w:val="single"/>
        </w:rPr>
        <w:t>Literature Review</w:t>
      </w:r>
    </w:p>
    <w:p w14:paraId="3239DF9D" w14:textId="6FC53697" w:rsidR="6814F2F8" w:rsidRDefault="2D27E58B" w:rsidP="072E6950">
      <w:pPr>
        <w:spacing w:after="0" w:line="480" w:lineRule="auto"/>
      </w:pPr>
      <w:r>
        <w:t>The critical incident has conveyed several vital areas that merit further analysis and discussion through linked literature. In particular, the school emphasises well-being and the subsequent steps taken concerning Pupil A. The review will discuss the role of schools in sustaining children's well-being, theories surrounding well-being, and the literature discourse of a "wellbeing-efficiency trade-off in education", as described by Heller-</w:t>
      </w:r>
      <w:proofErr w:type="spellStart"/>
      <w:r>
        <w:t>Sahlgren</w:t>
      </w:r>
      <w:proofErr w:type="spellEnd"/>
      <w:r>
        <w:t xml:space="preserve"> (2018, p.67).</w:t>
      </w:r>
    </w:p>
    <w:p w14:paraId="41E76353" w14:textId="05E87BB9" w:rsidR="6814F2F8" w:rsidRDefault="6814F2F8" w:rsidP="072E6950">
      <w:pPr>
        <w:spacing w:after="0" w:line="480" w:lineRule="auto"/>
      </w:pPr>
    </w:p>
    <w:p w14:paraId="3A3C92C2" w14:textId="2E2D16A0" w:rsidR="6814F2F8" w:rsidRDefault="2D27E58B" w:rsidP="072E6950">
      <w:pPr>
        <w:spacing w:after="0" w:line="480" w:lineRule="auto"/>
      </w:pPr>
      <w:bookmarkStart w:id="1" w:name="_Int_mVLsBERS"/>
      <w:proofErr w:type="gramStart"/>
      <w:r>
        <w:t>After reviewing the ESTYN report, it</w:t>
      </w:r>
      <w:bookmarkEnd w:id="1"/>
      <w:proofErr w:type="gramEnd"/>
      <w:r>
        <w:t xml:space="preserve"> has become evident that modern educational institutions are facing a range of challenges that go beyond the conventional focus on academic achievement. These challenges include a greater responsibility to promote positive social behaviour and well-being among children, as well as providing an increasingly diverse range of instructional support</w:t>
      </w:r>
      <w:r w:rsidR="1B30B997">
        <w:t xml:space="preserve"> </w:t>
      </w:r>
      <w:r>
        <w:t xml:space="preserve">(Greenwood, Horner, &amp; </w:t>
      </w:r>
      <w:proofErr w:type="spellStart"/>
      <w:r>
        <w:t>Kratochwill</w:t>
      </w:r>
      <w:proofErr w:type="spellEnd"/>
      <w:r>
        <w:t xml:space="preserve">, 2008; </w:t>
      </w:r>
      <w:proofErr w:type="spellStart"/>
      <w:r>
        <w:t>Sugai</w:t>
      </w:r>
      <w:proofErr w:type="spellEnd"/>
      <w:r>
        <w:t xml:space="preserve">, Horner, &amp; Gresham, 2002). The school environment has emerged as a crucial context for shaping individual well-being in contemporary society. Educators must now pay attention to their pupils' educational development and well-being (Craig, 2009). This comes at a time when children's well-being has been identified to be continually declining (The Children's Society, 2020). This further elicits the need for a 'positive education' movement, which recognises the formative years spent in school as a critical period in developing </w:t>
      </w:r>
      <w:r w:rsidRPr="00206ED2">
        <w:lastRenderedPageBreak/>
        <w:t>future citizens (Seligman, 2011).</w:t>
      </w:r>
      <w:r>
        <w:t xml:space="preserve"> As a result, the school system has taken on a significant role in fostering the foundations of well-being for the citizens of tomorrow. This is echoed in the UK Government's support for improving student well-being as an effective strategy to enhance academic </w:t>
      </w:r>
      <w:r w:rsidRPr="00206ED2">
        <w:t>success (Public Health England, 2014). Additionally</w:t>
      </w:r>
      <w:r>
        <w:t xml:space="preserve">, </w:t>
      </w:r>
      <w:proofErr w:type="spellStart"/>
      <w:r>
        <w:t>groundbreaking</w:t>
      </w:r>
      <w:proofErr w:type="spellEnd"/>
      <w:r>
        <w:t xml:space="preserve"> developments have been made in Wales following Professor Graham Donaldson's Independent Review of Curriculum and Assessment Arrangements in Wales, Successful Furthers (2015). Successful Futures initiated the blueprint for a new 'purpose-based' curriculum that shifts away from the traditionally 'prescribed' content-based national curriculum and into one that focuses on teaching skills needed for adult life and aims to teach what matters (Dauncey, 2022), including but not limited to, developing healthy strategies to help regulate emotions (Curriculum for Wales, 2021). The National Survey for Wales in 2023 further highlights the need to teach such skills, particularly among younger people who tend to have lower levels of well-being than those 65 years or older. The new curriculum sets the course for the </w:t>
      </w:r>
      <w:r w:rsidRPr="00206ED2">
        <w:t>Well-being of Future Generations Act (2015),</w:t>
      </w:r>
      <w:r>
        <w:t xml:space="preserve"> which strives for Wales's long-term economic, </w:t>
      </w:r>
      <w:r w:rsidR="462E8C4F">
        <w:t>environmental,</w:t>
      </w:r>
      <w:r>
        <w:t xml:space="preserve"> and social well-being. However, the question remains - how will this vision be integrated into the curriculum? </w:t>
      </w:r>
      <w:r w:rsidR="3FC7F5EB">
        <w:t>And what implications might</w:t>
      </w:r>
      <w:r>
        <w:t xml:space="preserve"> be had</w:t>
      </w:r>
      <w:r w:rsidR="0DEDE432">
        <w:t xml:space="preserve"> within achieving these goals</w:t>
      </w:r>
      <w:r>
        <w:t xml:space="preserve">? To begin with, we must establish the context in which we are considering the term' well-being'. </w:t>
      </w:r>
      <w:r w:rsidR="6814F2F8">
        <w:br/>
      </w:r>
    </w:p>
    <w:p w14:paraId="3AAC375F" w14:textId="2E21F5FE" w:rsidR="6814F2F8" w:rsidRDefault="2D27E58B" w:rsidP="072E6950">
      <w:pPr>
        <w:spacing w:after="0" w:line="480" w:lineRule="auto"/>
      </w:pPr>
      <w:r>
        <w:t xml:space="preserve">The state of well-being encompasses many facets and complexities and has been a prominent subject of discourse since the earliest stages of intellectual history. The concept of well-being has </w:t>
      </w:r>
      <w:r w:rsidRPr="00206ED2">
        <w:t>been scrutinised by scholars and experts alike to understand its multifaceted nature and implications (Dodge et al.</w:t>
      </w:r>
      <w:r w:rsidR="3EF21981" w:rsidRPr="00206ED2">
        <w:t xml:space="preserve">, </w:t>
      </w:r>
      <w:r w:rsidRPr="00206ED2">
        <w:t>2012). The exact</w:t>
      </w:r>
      <w:r>
        <w:t xml:space="preserve"> definition of well-being is not universally agreed upon but is </w:t>
      </w:r>
      <w:bookmarkStart w:id="2" w:name="_Int_JJSHywsZ"/>
      <w:r>
        <w:t>predominantly characterised</w:t>
      </w:r>
      <w:bookmarkEnd w:id="2"/>
      <w:r>
        <w:t xml:space="preserve"> as either </w:t>
      </w:r>
      <w:proofErr w:type="spellStart"/>
      <w:r>
        <w:t>Eudaimonic</w:t>
      </w:r>
      <w:proofErr w:type="spellEnd"/>
      <w:r>
        <w:t xml:space="preserve"> or Hedonic well-being. </w:t>
      </w:r>
      <w:proofErr w:type="spellStart"/>
      <w:r>
        <w:t>Eudaimonic</w:t>
      </w:r>
      <w:proofErr w:type="spellEnd"/>
      <w:r>
        <w:t xml:space="preserve"> well-being </w:t>
      </w:r>
      <w:r w:rsidRPr="00206ED2">
        <w:t>refers to a continual direction towards "growth, authenticity, meaning, and excellence" (</w:t>
      </w:r>
      <w:proofErr w:type="spellStart"/>
      <w:r w:rsidRPr="00206ED2">
        <w:t>Huta</w:t>
      </w:r>
      <w:proofErr w:type="spellEnd"/>
      <w:r w:rsidRPr="00206ED2">
        <w:t xml:space="preserve"> &amp; Waterman, 2014, p. 1448</w:t>
      </w:r>
      <w:r>
        <w:t xml:space="preserve">) or a set of specific positive </w:t>
      </w:r>
      <w:r w:rsidRPr="00206ED2">
        <w:t>behaviours (Steger et al., 2008). Keyes (2002)</w:t>
      </w:r>
      <w:r>
        <w:t xml:space="preserve"> argues that eudaimonia requires both psychological and social well-being. Involving personal growth, value-led living, relationships, and community contribution. In contrast, hedonic, derived </w:t>
      </w:r>
      <w:r>
        <w:lastRenderedPageBreak/>
        <w:t xml:space="preserve">from the Greek word </w:t>
      </w:r>
      <w:proofErr w:type="spellStart"/>
      <w:r>
        <w:t>hedone</w:t>
      </w:r>
      <w:proofErr w:type="spellEnd"/>
      <w:r>
        <w:t xml:space="preserve">, meaning pleasure (Harper, </w:t>
      </w:r>
      <w:proofErr w:type="spellStart"/>
      <w:r>
        <w:t>n.d.a</w:t>
      </w:r>
      <w:proofErr w:type="spellEnd"/>
      <w:r>
        <w:t xml:space="preserve">), refers to an individual's sense of happiness and pleasure in life. It is distinguished from </w:t>
      </w:r>
      <w:proofErr w:type="spellStart"/>
      <w:r>
        <w:t>eudaimonic</w:t>
      </w:r>
      <w:proofErr w:type="spellEnd"/>
      <w:r>
        <w:t xml:space="preserve"> well-being as seeking short-term gratification as the primary factor in one's well-being, characterised by pursuing pleasure, positive experiences, and the absence of negative experiences (Dodge et al. 2012). However, when considering this in terms of childhood, it must be recognised as a phase of constant growth, encompassing physical transformations and social challenges that can affect an individual's overall well-being (</w:t>
      </w:r>
      <w:proofErr w:type="spellStart"/>
      <w:r>
        <w:t>Minkkinen</w:t>
      </w:r>
      <w:proofErr w:type="spellEnd"/>
      <w:r>
        <w:t>, 2013). Thus, to better understand the concept of child well-being, one can additionally apply models such as Bronfenbrenner's Ecological Systems Theory (1979) and Maslow's Hierarchy of Needs (1943). These models can help us analyse the different factors that influence the well-being of a child. According to Bronfenbrenner (1979) cited in (</w:t>
      </w:r>
      <w:proofErr w:type="spellStart"/>
      <w:r>
        <w:t>Minkkinen</w:t>
      </w:r>
      <w:proofErr w:type="spellEnd"/>
      <w:r>
        <w:t xml:space="preserve">, 2013), a child's well-being is a multidimensional concept shaped by various factors and societal circumstances. It is essential to consider all these influencing factors when considering a child's overall well-being. By doing so, we can gain a better understanding of the complex interplay between a child's internal characteristics and external environments. Therefore, this understanding can help us to identify and address any issues that may negatively impact a child's well-being. Therefore, Placing the child at the centre, this model indicates that the child's well-being is influenced by various factors. These factors include daily caregiving interactions that meet the child's physical and emotional needs, as well as cultural and societal norms that have a more indirect effect on the child's </w:t>
      </w:r>
      <w:r w:rsidRPr="00206ED2">
        <w:t xml:space="preserve">well-being (Newland, 2015). According to </w:t>
      </w:r>
      <w:proofErr w:type="spellStart"/>
      <w:r w:rsidRPr="00206ED2">
        <w:t>Minkkinen</w:t>
      </w:r>
      <w:proofErr w:type="spellEnd"/>
      <w:r w:rsidRPr="00206ED2">
        <w:t xml:space="preserve"> (2013), the interplay between these factors is significant. As cited in (</w:t>
      </w:r>
      <w:proofErr w:type="spellStart"/>
      <w:r w:rsidRPr="00206ED2">
        <w:t>Pichère</w:t>
      </w:r>
      <w:proofErr w:type="spellEnd"/>
      <w:r w:rsidRPr="00206ED2">
        <w:t xml:space="preserve"> and Cadiat,2015),</w:t>
      </w:r>
      <w:r>
        <w:t xml:space="preserve"> Maslow (1954) proposed five basic needs: physiological, safety, belongingness, esteem, and self-actualisation. The pyramid of needs, commonly referred to as Maslow's pyramid, is a well-known framework that outlines human needs across five distinct levels. At the foundation lie the most fundamental needs, like food and shelter, while higher up are the more complex needs, such as self-esteem and self-actualisation, at the very top. Before progressing to the next level, Maslow suggests fulfilling the requirements of each level. It is widely accepted that the human brain's performance can be influenced by temporary fluctuations in nutrient availability, </w:t>
      </w:r>
      <w:r>
        <w:lastRenderedPageBreak/>
        <w:t xml:space="preserve">which can subsequently affect cognitive abilities. This means that hunger can have a negative impact on both short-term and long-term brain function </w:t>
      </w:r>
      <w:r w:rsidRPr="00206ED2">
        <w:t xml:space="preserve">(Afridi, </w:t>
      </w:r>
      <w:proofErr w:type="spellStart"/>
      <w:r w:rsidRPr="00206ED2">
        <w:t>Barooah</w:t>
      </w:r>
      <w:proofErr w:type="spellEnd"/>
      <w:r w:rsidRPr="00206ED2">
        <w:t xml:space="preserve">, and </w:t>
      </w:r>
      <w:proofErr w:type="spellStart"/>
      <w:r w:rsidRPr="00206ED2">
        <w:t>Somanathan</w:t>
      </w:r>
      <w:proofErr w:type="spellEnd"/>
      <w:r w:rsidRPr="00206ED2">
        <w:t>, 2019).</w:t>
      </w:r>
      <w:r>
        <w:t xml:space="preserve"> Consequently, if we consider this theory in the context of children's educational growth, it becomes clear that a hungry child is unable to reach higher levels of creativity, self-esteem, confidence, and achievement - all of which are crucial components of learning and well-being. However, as to why a child is going hungry extends to circumstances out of their control, such as deprivation or socioeconomics. Thus, influencing factors on well-being proposed by Bronfenbrenner (1979) cannot be ignored.</w:t>
      </w:r>
      <w:r w:rsidR="56691DC1">
        <w:t xml:space="preserve"> </w:t>
      </w:r>
      <w:r>
        <w:t xml:space="preserve">The guidance set out by Donaldson (2015) proposed that the purpose of education in Wales should be that children and young people develop as "Ambitious, capable learners, ready to learn throughout their lives; Enterprising, creative contributors, ready to play a full part in life and work; Ethical, informed citizens of Wales and the world; Healthy, confident individuals, ready to lead fulfilling lives as valued members of society" (p. 29). In realising these 'Four Purposes' the terms' mental health' and 'well-being' are directly referenced within the 'Statements of What Matters' that form part of the framework of the new Curriculum (Welsh Government 2023). </w:t>
      </w:r>
    </w:p>
    <w:p w14:paraId="42A4E19C" w14:textId="72934FB5" w:rsidR="6814F2F8" w:rsidRDefault="6814F2F8" w:rsidP="072E6950">
      <w:pPr>
        <w:spacing w:after="0" w:line="480" w:lineRule="auto"/>
      </w:pPr>
    </w:p>
    <w:p w14:paraId="76A214CA" w14:textId="767BB99B" w:rsidR="6814F2F8" w:rsidRDefault="2D27E58B" w:rsidP="072E6950">
      <w:pPr>
        <w:spacing w:after="0" w:line="480" w:lineRule="auto"/>
        <w:jc w:val="center"/>
      </w:pPr>
      <w:r>
        <w:t xml:space="preserve">"How we process and respond to our experiences affects our mental health and emotional well-being" (Curriculum for Wales, 2021). </w:t>
      </w:r>
    </w:p>
    <w:p w14:paraId="67590604" w14:textId="69C27A48" w:rsidR="6814F2F8" w:rsidRDefault="6814F2F8" w:rsidP="072E6950">
      <w:pPr>
        <w:spacing w:after="0" w:line="480" w:lineRule="auto"/>
      </w:pPr>
    </w:p>
    <w:p w14:paraId="5152010F" w14:textId="4BE8EEC3" w:rsidR="6814F2F8" w:rsidRDefault="2D27E58B" w:rsidP="072E6950">
      <w:pPr>
        <w:spacing w:after="0" w:line="480" w:lineRule="auto"/>
      </w:pPr>
      <w:r>
        <w:t xml:space="preserve">Henceforth, educators are required to support children in comprehending the intricate interconnections between their experiences, mental health, and emotional well-being. By allowing learners to explore the complexities of such connections, they can be empowered to acknowledge that feelings and emotions are not static. Developing healthy strategies to help regulate these emotions contributes to good mental health and emotional well-being (Curriculum for Wales, 2021). Moreover, when considering the Statements of What Matters, it is essential to note that they are designed to complement each other and should not be viewed in isolation. Each statement plays a significant role in realising the 'Four Purposes' prescribed by Donaldson (Welsh Government, 2021). </w:t>
      </w:r>
      <w:r>
        <w:lastRenderedPageBreak/>
        <w:t xml:space="preserve">While teacher-led lessons are a part of developing these healthy strategies, educationalists such as </w:t>
      </w:r>
      <w:r w:rsidR="1ECD4A52">
        <w:t>(</w:t>
      </w:r>
      <w:r>
        <w:t xml:space="preserve">Morgan, </w:t>
      </w:r>
      <w:proofErr w:type="gramStart"/>
      <w:r>
        <w:t>Ellis</w:t>
      </w:r>
      <w:proofErr w:type="gramEnd"/>
      <w:r w:rsidR="2533E0B6">
        <w:t xml:space="preserve"> and </w:t>
      </w:r>
      <w:r>
        <w:t>Gillian</w:t>
      </w:r>
      <w:r w:rsidR="3F0FC3F3">
        <w:t xml:space="preserve">, </w:t>
      </w:r>
      <w:r>
        <w:t xml:space="preserve">2011) provide strategies for instructional support and modelling positive behaviour within any lesson. It is the responsibility of educators to uphold the realisation of the Four Purposes across the curriculum (Donaldson, 2015). Considering this, the integrated well-being measures into the new Curriculum for Wales takes a holistic approach that considers the broader societal factors that may impact children's development </w:t>
      </w:r>
      <w:r w:rsidR="3139FB10">
        <w:t>(</w:t>
      </w:r>
      <w:r>
        <w:t xml:space="preserve">Bronfenbrenner, 1979) With an aim to promote </w:t>
      </w:r>
      <w:proofErr w:type="spellStart"/>
      <w:r>
        <w:t>eudaimonic</w:t>
      </w:r>
      <w:proofErr w:type="spellEnd"/>
      <w:r>
        <w:t xml:space="preserve"> well-being in children by instilling positive behaviours (Steger et al., 2008) to equip them with the necessary tools to lead fulfilling lives. </w:t>
      </w:r>
    </w:p>
    <w:p w14:paraId="192C598E" w14:textId="02439ED9" w:rsidR="6814F2F8" w:rsidRDefault="6814F2F8" w:rsidP="072E6950">
      <w:pPr>
        <w:spacing w:after="0" w:line="480" w:lineRule="auto"/>
      </w:pPr>
    </w:p>
    <w:p w14:paraId="35169756" w14:textId="769219B7" w:rsidR="6814F2F8" w:rsidRDefault="2D27E58B" w:rsidP="072E6950">
      <w:pPr>
        <w:spacing w:after="0" w:line="480" w:lineRule="auto"/>
      </w:pPr>
      <w:r>
        <w:t xml:space="preserve">While some have welcomed these recent changes to curriculum policy, there is a notable tension in the discourse surrounding the relationship between children's well-being and their academic achievement (Clarke, 2020), additionally with more significant stress on the ethical responsibility of educators to understand the 'how, why, and what' of education (Donaldson, 2015), questions are also raised concerning the parameters of educators' job descriptions. According to Craig (2009), while educators can benefit from reflective practice, their role in contributing to the overall well-being of young people is primarily that of an educator and not that of a surrogate mental health professional. </w:t>
      </w:r>
      <w:r w:rsidR="404C280D">
        <w:t xml:space="preserve">Similarly, </w:t>
      </w:r>
      <w:r>
        <w:t xml:space="preserve">Claxon (2005) expresses that there may be a </w:t>
      </w:r>
      <w:proofErr w:type="gramStart"/>
      <w:r>
        <w:t>risk;</w:t>
      </w:r>
      <w:proofErr w:type="gramEnd"/>
      <w:r>
        <w:t xml:space="preserve"> in some situations, </w:t>
      </w:r>
    </w:p>
    <w:p w14:paraId="50421A37" w14:textId="2F815583" w:rsidR="6814F2F8" w:rsidRDefault="2D27E58B" w:rsidP="072E6950">
      <w:pPr>
        <w:spacing w:after="0" w:line="480" w:lineRule="auto"/>
      </w:pPr>
      <w:r>
        <w:t>too much attention to children's emotions could neglect the development of resilience, and the teachers must intuitively decide between stopping to attend to the feelings or encouraging them to 'just get on with it' (p. 17). This is also supported by Hayes and Ecclestone (2009), who claim that 'therapeutic education' draws children away from a desire to rise to the challenge of pursuing truth, mastering a complex subject, or learning craft skills.' (Hayes and Ecclestone, 2009, p. 156). Furthermore, a recent report by Gabriel Heller-</w:t>
      </w:r>
      <w:proofErr w:type="spellStart"/>
      <w:r>
        <w:t>Sahlgren</w:t>
      </w:r>
      <w:proofErr w:type="spellEnd"/>
      <w:r>
        <w:t xml:space="preserve"> (2018) titled 'The Achievement-Wellbeing Trade-Off in Education' has drawn similar criticism. The report argues that there is a conflict between academic performance and well-being. Any improvements in one area will inevitably result in a loss or compromise in the other (Heller-</w:t>
      </w:r>
      <w:proofErr w:type="spellStart"/>
      <w:r>
        <w:t>Sahlgren</w:t>
      </w:r>
      <w:proofErr w:type="spellEnd"/>
      <w:r>
        <w:t>, 2018). However, given the complexity of well-</w:t>
      </w:r>
      <w:r>
        <w:lastRenderedPageBreak/>
        <w:t>being, researchers should be mindful of the terminology used and provide clear definitions (Clarke, 2020). Heller-</w:t>
      </w:r>
      <w:proofErr w:type="spellStart"/>
      <w:r>
        <w:t>Sahlgren's</w:t>
      </w:r>
      <w:proofErr w:type="spellEnd"/>
      <w:r>
        <w:t xml:space="preserve"> report uses terms interchangeably without clear definitions, requiring separate conceptualisations. Therefore, if we are to ascertain the context in which well-being </w:t>
      </w:r>
      <w:proofErr w:type="spellStart"/>
      <w:r>
        <w:t>Sahlgren</w:t>
      </w:r>
      <w:proofErr w:type="spellEnd"/>
      <w:r>
        <w:t xml:space="preserve"> refers to, then we must unpick the language used, for example, 'If the goal of education is achievement, the most effective pedagogies are teacher-led, which are in turn 'less joyful', resulting in lower pupil happiness' (Heller-</w:t>
      </w:r>
      <w:proofErr w:type="spellStart"/>
      <w:r>
        <w:t>Sahlgren</w:t>
      </w:r>
      <w:proofErr w:type="spellEnd"/>
      <w:r>
        <w:t>, 2018, pp. v-vi). The proposal that teacher-led pedagogies are a 'less joyful' experience suggests well-being is viewed through a hedonic lens and constrained to a singular experience that does not consider the 'bigger picture' limiting Heller-</w:t>
      </w:r>
      <w:proofErr w:type="spellStart"/>
      <w:r>
        <w:t>Sahlgren's</w:t>
      </w:r>
      <w:proofErr w:type="spellEnd"/>
      <w:r>
        <w:t xml:space="preserve"> argument. Furthermore, research suggests there is, in fact, a positive correlation between the two. </w:t>
      </w:r>
      <w:r w:rsidR="53610332">
        <w:t>(</w:t>
      </w:r>
      <w:r>
        <w:t>Proctor et al</w:t>
      </w:r>
      <w:r w:rsidR="7D130039">
        <w:t xml:space="preserve">, </w:t>
      </w:r>
      <w:r>
        <w:t xml:space="preserve">2010) concluded that children who reported higher levels of life satisfaction also had significantly better academic achievements. Additionally, in a more recent study conducted by </w:t>
      </w:r>
      <w:r w:rsidR="00DBBD62">
        <w:t>(</w:t>
      </w:r>
      <w:r>
        <w:t>Smith et al.</w:t>
      </w:r>
      <w:r w:rsidR="456306D5">
        <w:t>,</w:t>
      </w:r>
      <w:r>
        <w:t xml:space="preserve"> </w:t>
      </w:r>
      <w:r w:rsidR="1087D93B">
        <w:t>2019,</w:t>
      </w:r>
      <w:r w:rsidR="402755E4">
        <w:t xml:space="preserve"> pp.2</w:t>
      </w:r>
      <w:r>
        <w:t xml:space="preserve">), longitudinal research was carried out to evaluate the impact of mental health and well-being on educational attainment during early adolescence. The study found that good well-being levels between ages 11 and 14 were positively linked to higher GCSE attainment </w:t>
      </w:r>
      <w:proofErr w:type="gramStart"/>
      <w:r>
        <w:t>later on</w:t>
      </w:r>
      <w:proofErr w:type="gramEnd"/>
      <w:r>
        <w:t xml:space="preserve">. Nearly half (48%) of the children who reported being unhappy with their life during this age range did not achieve a minimum of 5 A* to C GCSEs, whereas only about a third (35%) of their happier counterparts did. Literature has shown that individuals with a greater sense of hedonic well-being tend to exhibit other valuable academic characteristics. These include possessing a growth mindset and pursuing mastery-approach goals. The latter is a particularly beneficial form of motivational goal, as it involves learners striving to improve their knowledge and abilities rather than focusing solely on performance or avoidance. Such an approach can have significant positive impacts on learning outcomes. (Cheng and Furnham, 2002; King, 2017; </w:t>
      </w:r>
      <w:proofErr w:type="spellStart"/>
      <w:r>
        <w:t>Wormington</w:t>
      </w:r>
      <w:proofErr w:type="spellEnd"/>
      <w:r>
        <w:t xml:space="preserve"> and </w:t>
      </w:r>
      <w:proofErr w:type="spellStart"/>
      <w:r>
        <w:t>Linnenbrink</w:t>
      </w:r>
      <w:proofErr w:type="spellEnd"/>
      <w:r>
        <w:t xml:space="preserve">-Garcia, 2017). </w:t>
      </w:r>
    </w:p>
    <w:p w14:paraId="4AD8E523" w14:textId="77777777" w:rsidR="00206ED2" w:rsidRDefault="6814F2F8" w:rsidP="072E6950">
      <w:pPr>
        <w:spacing w:after="0" w:line="480" w:lineRule="auto"/>
        <w:rPr>
          <w:u w:val="single"/>
        </w:rPr>
      </w:pPr>
      <w:r>
        <w:br/>
      </w:r>
    </w:p>
    <w:p w14:paraId="62ACC6B8" w14:textId="77777777" w:rsidR="00206ED2" w:rsidRDefault="00206ED2" w:rsidP="072E6950">
      <w:pPr>
        <w:spacing w:after="0" w:line="480" w:lineRule="auto"/>
        <w:rPr>
          <w:u w:val="single"/>
        </w:rPr>
      </w:pPr>
    </w:p>
    <w:p w14:paraId="574F691A" w14:textId="19506B78" w:rsidR="6814F2F8" w:rsidRDefault="2D27E58B" w:rsidP="00206ED2">
      <w:pPr>
        <w:spacing w:after="0" w:line="480" w:lineRule="auto"/>
        <w:jc w:val="center"/>
        <w:rPr>
          <w:u w:val="single"/>
        </w:rPr>
      </w:pPr>
      <w:r w:rsidRPr="072E6950">
        <w:rPr>
          <w:u w:val="single"/>
        </w:rPr>
        <w:lastRenderedPageBreak/>
        <w:t>Conclusion</w:t>
      </w:r>
    </w:p>
    <w:p w14:paraId="1EDDC461" w14:textId="2734A2B4" w:rsidR="6814F2F8" w:rsidRDefault="2D27E58B" w:rsidP="072E6950">
      <w:pPr>
        <w:spacing w:after="0" w:line="480" w:lineRule="auto"/>
      </w:pPr>
      <w:r>
        <w:t xml:space="preserve">In brief, the incident was observed within the context of a formative assessment of learning. Pupil (A) was noticeably disengaged and demotivated, presenting as low-level disruptive behaviour. As the observer, I was instantly concerned when noticing the disengaged Pupil (A), who, from body language, indicated that they were feeling frustrated and unable to concentrate. It became clear that this low-level behaviour could have been due to distressing emotions caused by a problem they were experiencing. It was positive to witness a robust relationship between the teacher and pupil. Additionally, it highlighted the impact of how some of the children were subject to unmet needs. While the nature of the problem was not disclosed to me, one could question whether Pupil (A) 's unmet need was positive caregiving interactions indicated with Maslow's (1943) and Bronfenbrenner's (1979) theories. Additionally, the observed incident showed evidence of strategies for promoting positive behaviour in the classroom presented by Morgan, </w:t>
      </w:r>
      <w:proofErr w:type="gramStart"/>
      <w:r w:rsidR="186C7EC8">
        <w:t>Ellis</w:t>
      </w:r>
      <w:proofErr w:type="gramEnd"/>
      <w:r w:rsidR="186C7EC8">
        <w:t xml:space="preserve"> and </w:t>
      </w:r>
      <w:r>
        <w:t>Gillian</w:t>
      </w:r>
      <w:r w:rsidR="2D149F2B">
        <w:t xml:space="preserve"> (2</w:t>
      </w:r>
      <w:r>
        <w:t>011).</w:t>
      </w:r>
    </w:p>
    <w:p w14:paraId="29B3C955" w14:textId="318FE86E" w:rsidR="6814F2F8" w:rsidRDefault="2D27E58B" w:rsidP="072E6950">
      <w:pPr>
        <w:spacing w:after="0" w:line="480" w:lineRule="auto"/>
      </w:pPr>
      <w:r>
        <w:t xml:space="preserve">While </w:t>
      </w:r>
      <w:r w:rsidR="0407EC07">
        <w:t>they</w:t>
      </w:r>
      <w:r>
        <w:t xml:space="preserve"> suggest that if a child is not ready to enter the classroom, time to re-regulate outside can be effective, this was not evidenced in the following behaviour from Pupil (A). However, I found the positive reinforcement taken by the teacher to redirect Pupil (A) to be positive and sustaining of the relationship, which was reflected in their submission to ask for assistance. Given the evidence in the literature, a positive correlation can be identified between educational attainment and well-being. The need for the wider school community and practitioners alike to take responsibility for child well-being should be equal to the teaching of core material. My perspective is also supported by the likes of (</w:t>
      </w:r>
      <w:proofErr w:type="spellStart"/>
      <w:r>
        <w:t>Cigman</w:t>
      </w:r>
      <w:proofErr w:type="spellEnd"/>
      <w:r>
        <w:t>, 2012 and Clarke, 2020).</w:t>
      </w:r>
    </w:p>
    <w:p w14:paraId="5566FBC4" w14:textId="0D1BB127" w:rsidR="6814F2F8" w:rsidRDefault="2D27E58B" w:rsidP="072E6950">
      <w:pPr>
        <w:spacing w:after="0" w:line="480" w:lineRule="auto"/>
      </w:pPr>
      <w:r>
        <w:t>Schools play a crucial role in shaping children's growth into responsible adults. Schools need to provide academic education and nurture the social and emotional aspects of a child's development. Refrain from any of these aspects to acknowledge the broader responsibilities of education towards a nation's societal and economic progress. Although academic education can help children grow, schools that prioritise the holistic development of children should be the ideal vision for education and are fully capable of holding more than one goal at a time.</w:t>
      </w:r>
      <w:r w:rsidR="00206ED2">
        <w:t xml:space="preserve"> </w:t>
      </w:r>
      <w:r>
        <w:t xml:space="preserve">The development of the New </w:t>
      </w:r>
      <w:r>
        <w:lastRenderedPageBreak/>
        <w:t>Curriculum for Wales looks to be a positive step towards fostering a society "where talk about mental health and emotional well-being is normalised" (Curriculum for Wales, 2021). However, the well-being of children is an issue that cannot be entirely controlled when they are not in school. It is concerning that just over one in three children with a diagnosable mental health condition can access NHS care and treatment (</w:t>
      </w:r>
      <w:proofErr w:type="spellStart"/>
      <w:r>
        <w:t>YoungMinds</w:t>
      </w:r>
      <w:proofErr w:type="spellEnd"/>
      <w:r>
        <w:t>, 2023). Therefore, it may be worth considering the concerns raised by Craig (2009) that educators risk becoming "surrogate mental health professionals." Therefore, investment in Child and Adolescent Mental Health Services (CAMHS) is required to meet the increasing demand.</w:t>
      </w:r>
    </w:p>
    <w:p w14:paraId="46C3720A" w14:textId="1FB71E29" w:rsidR="6814F2F8" w:rsidRDefault="6814F2F8" w:rsidP="072E6950">
      <w:pPr>
        <w:spacing w:after="0" w:line="480" w:lineRule="auto"/>
      </w:pPr>
      <w:r>
        <w:br/>
      </w:r>
    </w:p>
    <w:p w14:paraId="03047D82" w14:textId="77777777" w:rsidR="00206ED2" w:rsidRDefault="00206ED2" w:rsidP="00206ED2">
      <w:pPr>
        <w:spacing w:after="0" w:line="480" w:lineRule="auto"/>
        <w:jc w:val="center"/>
        <w:rPr>
          <w:u w:val="single"/>
        </w:rPr>
      </w:pPr>
    </w:p>
    <w:p w14:paraId="2BE963AF" w14:textId="77777777" w:rsidR="00206ED2" w:rsidRDefault="00206ED2" w:rsidP="00206ED2">
      <w:pPr>
        <w:spacing w:after="0" w:line="480" w:lineRule="auto"/>
        <w:jc w:val="center"/>
        <w:rPr>
          <w:u w:val="single"/>
        </w:rPr>
      </w:pPr>
    </w:p>
    <w:p w14:paraId="65CA8BFA" w14:textId="77777777" w:rsidR="00206ED2" w:rsidRDefault="00206ED2" w:rsidP="00206ED2">
      <w:pPr>
        <w:spacing w:after="0" w:line="480" w:lineRule="auto"/>
        <w:jc w:val="center"/>
        <w:rPr>
          <w:u w:val="single"/>
        </w:rPr>
      </w:pPr>
    </w:p>
    <w:p w14:paraId="21D5EB52" w14:textId="77777777" w:rsidR="00206ED2" w:rsidRDefault="00206ED2" w:rsidP="00206ED2">
      <w:pPr>
        <w:spacing w:after="0" w:line="480" w:lineRule="auto"/>
        <w:jc w:val="center"/>
        <w:rPr>
          <w:u w:val="single"/>
        </w:rPr>
      </w:pPr>
    </w:p>
    <w:p w14:paraId="01E4B810" w14:textId="77777777" w:rsidR="00206ED2" w:rsidRDefault="00206ED2" w:rsidP="00206ED2">
      <w:pPr>
        <w:spacing w:after="0" w:line="480" w:lineRule="auto"/>
        <w:jc w:val="center"/>
        <w:rPr>
          <w:u w:val="single"/>
        </w:rPr>
      </w:pPr>
    </w:p>
    <w:p w14:paraId="4CF8BE18" w14:textId="77777777" w:rsidR="00206ED2" w:rsidRDefault="00206ED2" w:rsidP="00206ED2">
      <w:pPr>
        <w:spacing w:after="0" w:line="480" w:lineRule="auto"/>
        <w:jc w:val="center"/>
        <w:rPr>
          <w:u w:val="single"/>
        </w:rPr>
      </w:pPr>
    </w:p>
    <w:p w14:paraId="34C08CF6" w14:textId="77777777" w:rsidR="00206ED2" w:rsidRDefault="00206ED2" w:rsidP="00206ED2">
      <w:pPr>
        <w:spacing w:after="0" w:line="480" w:lineRule="auto"/>
        <w:jc w:val="center"/>
        <w:rPr>
          <w:u w:val="single"/>
        </w:rPr>
      </w:pPr>
    </w:p>
    <w:p w14:paraId="62347CCE" w14:textId="77777777" w:rsidR="00206ED2" w:rsidRDefault="00206ED2" w:rsidP="00206ED2">
      <w:pPr>
        <w:spacing w:after="0" w:line="480" w:lineRule="auto"/>
        <w:jc w:val="center"/>
        <w:rPr>
          <w:u w:val="single"/>
        </w:rPr>
      </w:pPr>
    </w:p>
    <w:p w14:paraId="59F6C608" w14:textId="77777777" w:rsidR="00206ED2" w:rsidRDefault="00206ED2" w:rsidP="00206ED2">
      <w:pPr>
        <w:spacing w:after="0" w:line="480" w:lineRule="auto"/>
        <w:jc w:val="center"/>
        <w:rPr>
          <w:u w:val="single"/>
        </w:rPr>
      </w:pPr>
    </w:p>
    <w:p w14:paraId="122F00BC" w14:textId="77777777" w:rsidR="00206ED2" w:rsidRDefault="00206ED2" w:rsidP="00206ED2">
      <w:pPr>
        <w:spacing w:after="0" w:line="480" w:lineRule="auto"/>
        <w:jc w:val="center"/>
        <w:rPr>
          <w:u w:val="single"/>
        </w:rPr>
      </w:pPr>
    </w:p>
    <w:p w14:paraId="0454FCFC" w14:textId="77777777" w:rsidR="00206ED2" w:rsidRDefault="00206ED2" w:rsidP="00206ED2">
      <w:pPr>
        <w:spacing w:after="0" w:line="480" w:lineRule="auto"/>
        <w:jc w:val="center"/>
        <w:rPr>
          <w:u w:val="single"/>
        </w:rPr>
      </w:pPr>
    </w:p>
    <w:p w14:paraId="22B61026" w14:textId="77777777" w:rsidR="00206ED2" w:rsidRDefault="00206ED2" w:rsidP="00206ED2">
      <w:pPr>
        <w:spacing w:after="0" w:line="480" w:lineRule="auto"/>
        <w:jc w:val="center"/>
        <w:rPr>
          <w:u w:val="single"/>
        </w:rPr>
      </w:pPr>
    </w:p>
    <w:p w14:paraId="46E2D8B1" w14:textId="77777777" w:rsidR="00206ED2" w:rsidRDefault="00206ED2" w:rsidP="00206ED2">
      <w:pPr>
        <w:spacing w:after="0" w:line="480" w:lineRule="auto"/>
        <w:jc w:val="center"/>
        <w:rPr>
          <w:u w:val="single"/>
        </w:rPr>
      </w:pPr>
    </w:p>
    <w:p w14:paraId="179E8C7F" w14:textId="77777777" w:rsidR="00206ED2" w:rsidRDefault="00206ED2" w:rsidP="00206ED2">
      <w:pPr>
        <w:spacing w:after="0" w:line="480" w:lineRule="auto"/>
        <w:jc w:val="center"/>
        <w:rPr>
          <w:u w:val="single"/>
        </w:rPr>
      </w:pPr>
    </w:p>
    <w:p w14:paraId="3C4485AB" w14:textId="77777777" w:rsidR="00206ED2" w:rsidRDefault="00206ED2" w:rsidP="00206ED2">
      <w:pPr>
        <w:spacing w:after="0" w:line="480" w:lineRule="auto"/>
        <w:jc w:val="center"/>
        <w:rPr>
          <w:u w:val="single"/>
        </w:rPr>
      </w:pPr>
    </w:p>
    <w:p w14:paraId="4FA961DA" w14:textId="77777777" w:rsidR="00206ED2" w:rsidRDefault="00206ED2" w:rsidP="00206ED2">
      <w:pPr>
        <w:spacing w:after="0" w:line="480" w:lineRule="auto"/>
        <w:jc w:val="center"/>
        <w:rPr>
          <w:u w:val="single"/>
        </w:rPr>
      </w:pPr>
    </w:p>
    <w:p w14:paraId="2B14ED96" w14:textId="77777777" w:rsidR="00206ED2" w:rsidRDefault="00206ED2" w:rsidP="00206ED2">
      <w:pPr>
        <w:spacing w:after="0" w:line="480" w:lineRule="auto"/>
        <w:jc w:val="center"/>
        <w:rPr>
          <w:u w:val="single"/>
        </w:rPr>
      </w:pPr>
    </w:p>
    <w:p w14:paraId="1B340CD0" w14:textId="109B2631" w:rsidR="00206ED2" w:rsidRPr="00206ED2" w:rsidRDefault="3D4077B2" w:rsidP="00206ED2">
      <w:pPr>
        <w:spacing w:after="0" w:line="480" w:lineRule="auto"/>
        <w:jc w:val="center"/>
        <w:rPr>
          <w:u w:val="single"/>
        </w:rPr>
      </w:pPr>
      <w:r w:rsidRPr="072E6950">
        <w:rPr>
          <w:u w:val="single"/>
        </w:rPr>
        <w:t>References</w:t>
      </w:r>
    </w:p>
    <w:p w14:paraId="36DC40BC" w14:textId="77777777" w:rsidR="00206ED2" w:rsidRDefault="00206ED2" w:rsidP="072E6950">
      <w:pPr>
        <w:widowControl w:val="0"/>
        <w:spacing w:after="40" w:line="240" w:lineRule="auto"/>
      </w:pPr>
    </w:p>
    <w:p w14:paraId="3AAC367A" w14:textId="77777777" w:rsidR="00206ED2" w:rsidRDefault="00206ED2" w:rsidP="072E6950">
      <w:pPr>
        <w:widowControl w:val="0"/>
        <w:spacing w:after="140" w:line="240" w:lineRule="auto"/>
      </w:pPr>
      <w:r>
        <w:t xml:space="preserve"> Afridi, F., </w:t>
      </w:r>
      <w:proofErr w:type="spellStart"/>
      <w:r>
        <w:t>Barooah</w:t>
      </w:r>
      <w:proofErr w:type="spellEnd"/>
      <w:r>
        <w:t xml:space="preserve">, B., &amp; </w:t>
      </w:r>
      <w:proofErr w:type="spellStart"/>
      <w:r>
        <w:t>Somanathan</w:t>
      </w:r>
      <w:proofErr w:type="spellEnd"/>
      <w:r>
        <w:t xml:space="preserve">, R. (2019) 'Hunger and Performance in the Classroom'.  </w:t>
      </w:r>
    </w:p>
    <w:p w14:paraId="7BB2B96A" w14:textId="77777777" w:rsidR="00206ED2" w:rsidRDefault="00206ED2" w:rsidP="072E6950">
      <w:pPr>
        <w:widowControl w:val="0"/>
        <w:spacing w:after="40" w:line="240" w:lineRule="auto"/>
      </w:pPr>
      <w:r>
        <w:t>among adolescents. Social Indicators Research 98(3): 519–532.</w:t>
      </w:r>
    </w:p>
    <w:p w14:paraId="12800235" w14:textId="77777777" w:rsidR="00206ED2" w:rsidRDefault="00206ED2" w:rsidP="072E6950">
      <w:pPr>
        <w:widowControl w:val="0"/>
        <w:spacing w:after="140" w:line="240" w:lineRule="auto"/>
      </w:pPr>
      <w:proofErr w:type="spellStart"/>
      <w:r>
        <w:t>Belvis</w:t>
      </w:r>
      <w:proofErr w:type="spellEnd"/>
      <w:r>
        <w:t xml:space="preserve">, E., Pineda, P., </w:t>
      </w:r>
      <w:proofErr w:type="spellStart"/>
      <w:r>
        <w:t>Armengol</w:t>
      </w:r>
      <w:proofErr w:type="spellEnd"/>
      <w:r>
        <w:t xml:space="preserve">, C., &amp; Moreno, V. (2013) 'Evaluation of reflective practice in teacher education', European Journal of Teacher Education, 36(3), pp. 279–292.  </w:t>
      </w:r>
    </w:p>
    <w:p w14:paraId="53E177E8" w14:textId="77777777" w:rsidR="00206ED2" w:rsidRDefault="00206ED2" w:rsidP="072E6950">
      <w:pPr>
        <w:widowControl w:val="0"/>
        <w:spacing w:after="140" w:line="240" w:lineRule="auto"/>
      </w:pPr>
      <w:r>
        <w:t xml:space="preserve">British Educational Research Association (BERA, 2018) Ethical Guidelines for Educational Research, fourth edition, London. </w:t>
      </w:r>
      <w:hyperlink r:id="rId5">
        <w:r w:rsidRPr="072E6950">
          <w:rPr>
            <w:rStyle w:val="Hyperlink"/>
          </w:rPr>
          <w:t>https://www.bera.ac.uk/researchers-resources/publications/ethicalguidelines-for-educational-research-2018</w:t>
        </w:r>
      </w:hyperlink>
    </w:p>
    <w:p w14:paraId="0BC1D228" w14:textId="77777777" w:rsidR="00206ED2" w:rsidRDefault="00206ED2" w:rsidP="072E6950">
      <w:pPr>
        <w:widowControl w:val="0"/>
        <w:spacing w:line="240" w:lineRule="auto"/>
      </w:pPr>
      <w:r>
        <w:t>Clark, T. (2020) 'Children’s wellbeing and their academic achievement: The dangerous discourse of ‘trade-offs’ in education', Theory and Research in Education, 18(3), pp. 263-294.</w:t>
      </w:r>
    </w:p>
    <w:p w14:paraId="25A7F7F6" w14:textId="77777777" w:rsidR="00206ED2" w:rsidRDefault="00206ED2" w:rsidP="072E6950">
      <w:pPr>
        <w:widowControl w:val="0"/>
        <w:spacing w:after="140" w:line="240" w:lineRule="auto"/>
      </w:pPr>
      <w:r>
        <w:t>Claxon G (2005) An Intelligent Look at Emotional Intelligence. London: The Association of Teachers and Lecturers, pp.1 0-36</w:t>
      </w:r>
    </w:p>
    <w:p w14:paraId="37E07162" w14:textId="77777777" w:rsidR="00206ED2" w:rsidRDefault="00206ED2" w:rsidP="072E6950">
      <w:pPr>
        <w:widowControl w:val="0"/>
        <w:spacing w:after="40" w:line="240" w:lineRule="auto"/>
      </w:pPr>
      <w:r>
        <w:t>Confidence and Wellbeing.</w:t>
      </w:r>
    </w:p>
    <w:p w14:paraId="386A8E59" w14:textId="77777777" w:rsidR="00206ED2" w:rsidRDefault="00206ED2" w:rsidP="072E6950">
      <w:pPr>
        <w:widowControl w:val="0"/>
        <w:spacing w:after="40" w:line="240" w:lineRule="auto"/>
      </w:pPr>
      <w:r>
        <w:t>Craig C (2009) Well-Being in Schools: The Curious Case of the Tail Wagging the Dog? Centre for</w:t>
      </w:r>
    </w:p>
    <w:p w14:paraId="6AE3CCB0" w14:textId="77777777" w:rsidR="00206ED2" w:rsidRDefault="00206ED2" w:rsidP="072E6950">
      <w:pPr>
        <w:widowControl w:val="0"/>
        <w:spacing w:line="240" w:lineRule="auto"/>
      </w:pPr>
      <w:r>
        <w:t>Curriculum for Wales. (2020) 'Statements of what matters - Health and Well-being.' Available at: https://hwb.gov.wales/curriculum-for-wales/health-and-well-being/statements-of-what-matters/ (Accessed: [10/11/2023]).</w:t>
      </w:r>
    </w:p>
    <w:p w14:paraId="40306C68" w14:textId="77777777" w:rsidR="00206ED2" w:rsidRDefault="00206ED2" w:rsidP="072E6950">
      <w:pPr>
        <w:widowControl w:val="0"/>
        <w:spacing w:line="240" w:lineRule="auto"/>
      </w:pPr>
      <w:r>
        <w:t>Dauncey, M. (2022) 'Going live: Rolling out the new curriculum from this September', Senedd Research, Welsh Parliament. Available at: https://research.senedd.wales/research-articles/going-live-rolling-out-the-new-curriculum-from-this-september/ (Accessed: [10/11/2023]).</w:t>
      </w:r>
    </w:p>
    <w:p w14:paraId="1CBB9DFC" w14:textId="77777777" w:rsidR="00206ED2" w:rsidRDefault="00206ED2" w:rsidP="072E6950">
      <w:pPr>
        <w:widowControl w:val="0"/>
        <w:spacing w:after="140" w:line="240" w:lineRule="auto"/>
      </w:pPr>
      <w:r>
        <w:t>Dewey, J. (1933) How We Think: A Restatement of the Relation of Reflective Thinking to the Educative Process. Boston: DC Heath and Company.</w:t>
      </w:r>
    </w:p>
    <w:p w14:paraId="64A89BF8" w14:textId="77777777" w:rsidR="00206ED2" w:rsidRDefault="00206ED2" w:rsidP="072E6950">
      <w:pPr>
        <w:widowControl w:val="0"/>
        <w:spacing w:after="140" w:line="240" w:lineRule="auto"/>
      </w:pPr>
      <w:r>
        <w:t xml:space="preserve">Dodge, R., Daly, A., </w:t>
      </w:r>
      <w:proofErr w:type="spellStart"/>
      <w:r>
        <w:t>Huyton</w:t>
      </w:r>
      <w:proofErr w:type="spellEnd"/>
      <w:r>
        <w:t>, J., &amp; Sanders, L. (2012) 'The challenge of defining wellbeing', International Journal of Wellbeing, 2(3), pp. 222-235.</w:t>
      </w:r>
    </w:p>
    <w:p w14:paraId="3374679D" w14:textId="77777777" w:rsidR="00206ED2" w:rsidRDefault="00206ED2" w:rsidP="072E6950">
      <w:pPr>
        <w:widowControl w:val="0"/>
        <w:spacing w:after="140" w:line="240" w:lineRule="auto"/>
      </w:pPr>
      <w:r>
        <w:t xml:space="preserve">Ecclestone, K., &amp; Hayes, D. (2009). Changing the subject: the educational implications of developing emotional well-being. Oxford Review of Education, 35(3), 371–389. </w:t>
      </w:r>
      <w:hyperlink r:id="rId6">
        <w:r w:rsidRPr="072E6950">
          <w:rPr>
            <w:rStyle w:val="Hyperlink"/>
          </w:rPr>
          <w:t>https://doi.org/10.1080/03054980902934662</w:t>
        </w:r>
      </w:hyperlink>
    </w:p>
    <w:p w14:paraId="13B7C8CE" w14:textId="77777777" w:rsidR="00206ED2" w:rsidRDefault="00206ED2" w:rsidP="072E6950">
      <w:pPr>
        <w:widowControl w:val="0"/>
        <w:spacing w:after="140" w:line="240" w:lineRule="auto"/>
      </w:pPr>
      <w:r>
        <w:t>Estyn. (2023) 'Inspection Report: 2023'. Available at: https://www.estyn.gov.wales/system/files?file=2023-06/Inspection%20report%20Bishop%20Gore%20School%202023_0.pdf (Accessed: [12/10/2023]).</w:t>
      </w:r>
    </w:p>
    <w:p w14:paraId="0C9F475A" w14:textId="77777777" w:rsidR="00206ED2" w:rsidRDefault="00206ED2" w:rsidP="072E6950">
      <w:pPr>
        <w:widowControl w:val="0"/>
        <w:spacing w:after="140" w:line="240" w:lineRule="auto"/>
      </w:pPr>
      <w:r>
        <w:t>Future Generations Commissioner for Wales. (2015) 'About Us - Future Generations Act'. Available at: https://www.futuregenerations.wales/about-us/future-generations-act/ (Accessed: [13/10/2023]).</w:t>
      </w:r>
    </w:p>
    <w:p w14:paraId="55810A3B" w14:textId="77777777" w:rsidR="00206ED2" w:rsidRDefault="00206ED2" w:rsidP="072E6950">
      <w:pPr>
        <w:widowControl w:val="0"/>
        <w:spacing w:after="140" w:line="240" w:lineRule="auto"/>
      </w:pPr>
      <w:r>
        <w:t>Galea, S., 2012. Reflecting reflective practice. Educational philosophy and theory, 44(3), pp.245-258.</w:t>
      </w:r>
    </w:p>
    <w:p w14:paraId="52725EA9" w14:textId="77777777" w:rsidR="00206ED2" w:rsidRDefault="00206ED2" w:rsidP="072E6950">
      <w:pPr>
        <w:widowControl w:val="0"/>
        <w:spacing w:after="40" w:line="240" w:lineRule="auto"/>
      </w:pPr>
      <w:r>
        <w:t xml:space="preserve">GCSE performance in England: A longitudinal analysis of the national pupil database </w:t>
      </w:r>
      <w:proofErr w:type="gramStart"/>
      <w:r>
        <w:t>linked</w:t>
      </w:r>
      <w:proofErr w:type="gramEnd"/>
    </w:p>
    <w:p w14:paraId="08A66273" w14:textId="77777777" w:rsidR="00206ED2" w:rsidRDefault="00206ED2" w:rsidP="072E6950">
      <w:pPr>
        <w:widowControl w:val="0"/>
        <w:spacing w:line="240" w:lineRule="auto"/>
      </w:pPr>
      <w:r>
        <w:t xml:space="preserve">Greenwood, C. R., Horner, R. H., &amp; </w:t>
      </w:r>
      <w:proofErr w:type="spellStart"/>
      <w:r>
        <w:t>Kratochwill</w:t>
      </w:r>
      <w:proofErr w:type="spellEnd"/>
      <w:r>
        <w:t>, T. R. (2008). Schoolwide prevention models (pp. 3–30). New York, NY: Guilford.</w:t>
      </w:r>
    </w:p>
    <w:p w14:paraId="721B7C36" w14:textId="77777777" w:rsidR="00206ED2" w:rsidRDefault="00206ED2" w:rsidP="072E6950">
      <w:pPr>
        <w:widowControl w:val="0"/>
        <w:spacing w:line="240" w:lineRule="auto"/>
      </w:pPr>
      <w:r>
        <w:t>Harper, D. R. (</w:t>
      </w:r>
      <w:proofErr w:type="spellStart"/>
      <w:r>
        <w:t>n.d.a</w:t>
      </w:r>
      <w:proofErr w:type="spellEnd"/>
      <w:r>
        <w:t>) 'Hedonism', in Online Etymology Dictionary. Available at: https://www.etymonline.com/search?q=hedonic (Accessed: [11/11/2023])</w:t>
      </w:r>
    </w:p>
    <w:p w14:paraId="23792ACA" w14:textId="77777777" w:rsidR="00206ED2" w:rsidRDefault="00206ED2" w:rsidP="072E6950">
      <w:pPr>
        <w:widowControl w:val="0"/>
        <w:spacing w:after="0"/>
      </w:pPr>
      <w:r w:rsidRPr="072E6950">
        <w:rPr>
          <w:rFonts w:ascii="Calibri" w:eastAsia="Calibri" w:hAnsi="Calibri" w:cs="Calibri"/>
        </w:rPr>
        <w:lastRenderedPageBreak/>
        <w:t>Heller-</w:t>
      </w:r>
      <w:proofErr w:type="spellStart"/>
      <w:r w:rsidRPr="072E6950">
        <w:rPr>
          <w:rFonts w:ascii="Calibri" w:eastAsia="Calibri" w:hAnsi="Calibri" w:cs="Calibri"/>
        </w:rPr>
        <w:t>Sahlgren</w:t>
      </w:r>
      <w:proofErr w:type="spellEnd"/>
      <w:r w:rsidRPr="072E6950">
        <w:rPr>
          <w:rFonts w:ascii="Calibri" w:eastAsia="Calibri" w:hAnsi="Calibri" w:cs="Calibri"/>
        </w:rPr>
        <w:t xml:space="preserve">, G. (2018). Smart but unhappy: Independent-school competition and the wellbeing-efficiency trade-off in education. </w:t>
      </w:r>
      <w:r w:rsidRPr="072E6950">
        <w:rPr>
          <w:rFonts w:ascii="Calibri" w:eastAsia="Calibri" w:hAnsi="Calibri" w:cs="Calibri"/>
          <w:i/>
          <w:iCs/>
        </w:rPr>
        <w:t>Economics of Education Review</w:t>
      </w:r>
      <w:r w:rsidRPr="072E6950">
        <w:rPr>
          <w:rFonts w:ascii="Calibri" w:eastAsia="Calibri" w:hAnsi="Calibri" w:cs="Calibri"/>
        </w:rPr>
        <w:t xml:space="preserve">, </w:t>
      </w:r>
      <w:r w:rsidRPr="072E6950">
        <w:rPr>
          <w:rFonts w:ascii="Calibri" w:eastAsia="Calibri" w:hAnsi="Calibri" w:cs="Calibri"/>
          <w:i/>
          <w:iCs/>
        </w:rPr>
        <w:t>62</w:t>
      </w:r>
      <w:r w:rsidRPr="072E6950">
        <w:rPr>
          <w:rFonts w:ascii="Calibri" w:eastAsia="Calibri" w:hAnsi="Calibri" w:cs="Calibri"/>
        </w:rPr>
        <w:t xml:space="preserve">, 66–81. </w:t>
      </w:r>
      <w:hyperlink r:id="rId7">
        <w:r w:rsidRPr="072E6950">
          <w:rPr>
            <w:rStyle w:val="Hyperlink"/>
            <w:rFonts w:ascii="Calibri" w:eastAsia="Calibri" w:hAnsi="Calibri" w:cs="Calibri"/>
          </w:rPr>
          <w:t>https://doi.org/10.1016/j.econedurev.2017.10.005</w:t>
        </w:r>
      </w:hyperlink>
    </w:p>
    <w:p w14:paraId="7A6B54EE" w14:textId="77777777" w:rsidR="00206ED2" w:rsidRDefault="00206ED2" w:rsidP="072E6950">
      <w:pPr>
        <w:widowControl w:val="0"/>
        <w:spacing w:line="240" w:lineRule="auto"/>
      </w:pPr>
      <w:proofErr w:type="spellStart"/>
      <w:r>
        <w:t>Huta</w:t>
      </w:r>
      <w:proofErr w:type="spellEnd"/>
      <w:r>
        <w:t xml:space="preserve">, V., &amp; Waterman, A. S. (2014) 'Eudaimonia and its distinction from </w:t>
      </w:r>
      <w:proofErr w:type="spellStart"/>
      <w:r>
        <w:t>hedonia</w:t>
      </w:r>
      <w:proofErr w:type="spellEnd"/>
      <w:r>
        <w:t>: Developing a classification and terminology for understanding conceptual and operational definitions', Journal of Happiness Studies, 15(6), pp. 1425–1456.</w:t>
      </w:r>
    </w:p>
    <w:p w14:paraId="02A62E98" w14:textId="77777777" w:rsidR="00206ED2" w:rsidRDefault="00206ED2" w:rsidP="072E6950">
      <w:pPr>
        <w:widowControl w:val="0"/>
        <w:spacing w:line="240" w:lineRule="auto"/>
      </w:pPr>
      <w:proofErr w:type="spellStart"/>
      <w:r>
        <w:t>HWB.gov.wales</w:t>
      </w:r>
      <w:proofErr w:type="spellEnd"/>
      <w:r>
        <w:t>. (n.d.) 'Introduction - Curriculum for Wales'. Available at: https://hwb.gov.wales/curriculum-for-wales/introduction (Accessed: [11/11/2023]).</w:t>
      </w:r>
    </w:p>
    <w:p w14:paraId="3C56218F" w14:textId="77777777" w:rsidR="00206ED2" w:rsidRDefault="00206ED2" w:rsidP="072E6950">
      <w:pPr>
        <w:widowControl w:val="0"/>
        <w:spacing w:line="240" w:lineRule="auto"/>
      </w:pPr>
      <w:r>
        <w:t>Keyes, C. L. M. (2002). The mental health continuum: From languishing to flourishing in life. Journal of Health and Social Behaviour, 43, 207–222</w:t>
      </w:r>
    </w:p>
    <w:p w14:paraId="4F524876" w14:textId="77777777" w:rsidR="00206ED2" w:rsidRDefault="00206ED2" w:rsidP="072E6950">
      <w:pPr>
        <w:widowControl w:val="0"/>
        <w:spacing w:after="140" w:line="240" w:lineRule="auto"/>
      </w:pPr>
      <w:proofErr w:type="spellStart"/>
      <w:r>
        <w:t>Minkkinen</w:t>
      </w:r>
      <w:proofErr w:type="spellEnd"/>
      <w:r>
        <w:t>, J., 2013. The structural model of child well-being. Child Indicators Research, 6(3), pp.547-558.</w:t>
      </w:r>
    </w:p>
    <w:p w14:paraId="22B2BBB9" w14:textId="77777777" w:rsidR="00206ED2" w:rsidRDefault="00206ED2" w:rsidP="072E6950">
      <w:pPr>
        <w:widowControl w:val="0"/>
        <w:spacing w:after="140" w:line="240" w:lineRule="auto"/>
      </w:pPr>
      <w:r>
        <w:t xml:space="preserve"> Moon, J. A. (1999). Reflection in learning and professional development: Theory and practice. Routledge. </w:t>
      </w:r>
    </w:p>
    <w:p w14:paraId="3DD86E6A" w14:textId="77777777" w:rsidR="00206ED2" w:rsidRDefault="00206ED2" w:rsidP="072E6950">
      <w:pPr>
        <w:widowControl w:val="0"/>
        <w:spacing w:after="140" w:line="240" w:lineRule="auto"/>
      </w:pPr>
      <w:r>
        <w:t>Moon, J. A. (1999). Reflection in learning and professional development: Theory and practice. Routledge.</w:t>
      </w:r>
    </w:p>
    <w:p w14:paraId="3310B9EA" w14:textId="77777777" w:rsidR="00206ED2" w:rsidRDefault="00206ED2" w:rsidP="072E6950">
      <w:pPr>
        <w:widowControl w:val="0"/>
        <w:spacing w:after="140" w:line="240" w:lineRule="auto"/>
      </w:pPr>
      <w:r>
        <w:t xml:space="preserve"> Morgan, N. S., &amp; Ellis, Gillian. (2011). A kit bag for promoting positive behaviour in the classroom. Jessica Kingsley Publishers.</w:t>
      </w:r>
    </w:p>
    <w:p w14:paraId="23B924F2" w14:textId="77777777" w:rsidR="00206ED2" w:rsidRDefault="00206ED2" w:rsidP="072E6950">
      <w:pPr>
        <w:widowControl w:val="0"/>
        <w:spacing w:after="140" w:line="240" w:lineRule="auto"/>
      </w:pPr>
      <w:r>
        <w:t>Newland, L.A., 2015. Family well-being, parenting, and child well-being: Pathways to healthy adjustment. Clinical Psychologist, 19(1), pp.3-14.</w:t>
      </w:r>
    </w:p>
    <w:p w14:paraId="10CB10B7" w14:textId="77777777" w:rsidR="00206ED2" w:rsidRDefault="00206ED2" w:rsidP="072E6950">
      <w:pPr>
        <w:widowControl w:val="0"/>
        <w:spacing w:after="140" w:line="240" w:lineRule="auto"/>
      </w:pPr>
      <w:r>
        <w:t xml:space="preserve"> </w:t>
      </w:r>
      <w:proofErr w:type="spellStart"/>
      <w:r>
        <w:t>Pichère</w:t>
      </w:r>
      <w:proofErr w:type="spellEnd"/>
      <w:r>
        <w:t xml:space="preserve">, P., &amp; </w:t>
      </w:r>
      <w:proofErr w:type="spellStart"/>
      <w:r>
        <w:t>Cadiat</w:t>
      </w:r>
      <w:proofErr w:type="spellEnd"/>
      <w:r>
        <w:t xml:space="preserve">, A.-C. (2015). Maslow’s hierarchy of needs (C. Probert, Trans.). Lemaitre Publishing. </w:t>
      </w:r>
    </w:p>
    <w:p w14:paraId="594CE3D1" w14:textId="77777777" w:rsidR="00206ED2" w:rsidRDefault="00206ED2" w:rsidP="072E6950">
      <w:pPr>
        <w:widowControl w:val="0"/>
        <w:spacing w:after="40" w:line="240" w:lineRule="auto"/>
      </w:pPr>
      <w:r>
        <w:t xml:space="preserve">Proctor C, Linley </w:t>
      </w:r>
      <w:proofErr w:type="gramStart"/>
      <w:r>
        <w:t>PA</w:t>
      </w:r>
      <w:proofErr w:type="gramEnd"/>
      <w:r>
        <w:t xml:space="preserve"> and Maltby J (2010) Very happy youths: Benefits of very high life satisfaction</w:t>
      </w:r>
    </w:p>
    <w:p w14:paraId="75CCB0A0" w14:textId="77777777" w:rsidR="00206ED2" w:rsidRDefault="00206ED2" w:rsidP="072E6950">
      <w:pPr>
        <w:widowControl w:val="0"/>
        <w:spacing w:after="140" w:line="240" w:lineRule="auto"/>
      </w:pPr>
      <w:r w:rsidRPr="072E6950">
        <w:rPr>
          <w:rFonts w:ascii="Calibri" w:eastAsia="Calibri" w:hAnsi="Calibri" w:cs="Calibri"/>
        </w:rPr>
        <w:t xml:space="preserve">Seligman, A. B. (2011). Trust, </w:t>
      </w:r>
      <w:proofErr w:type="gramStart"/>
      <w:r w:rsidRPr="072E6950">
        <w:rPr>
          <w:rFonts w:ascii="Calibri" w:eastAsia="Calibri" w:hAnsi="Calibri" w:cs="Calibri"/>
        </w:rPr>
        <w:t>Tolerance</w:t>
      </w:r>
      <w:proofErr w:type="gramEnd"/>
      <w:r w:rsidRPr="072E6950">
        <w:rPr>
          <w:rFonts w:ascii="Calibri" w:eastAsia="Calibri" w:hAnsi="Calibri" w:cs="Calibri"/>
        </w:rPr>
        <w:t xml:space="preserve"> and the Challenge of Difference. </w:t>
      </w:r>
      <w:r w:rsidRPr="072E6950">
        <w:rPr>
          <w:rFonts w:ascii="Calibri" w:eastAsia="Calibri" w:hAnsi="Calibri" w:cs="Calibri"/>
          <w:i/>
          <w:iCs/>
        </w:rPr>
        <w:t>Comparative Sociology</w:t>
      </w:r>
      <w:r w:rsidRPr="072E6950">
        <w:rPr>
          <w:rFonts w:ascii="Calibri" w:eastAsia="Calibri" w:hAnsi="Calibri" w:cs="Calibri"/>
        </w:rPr>
        <w:t xml:space="preserve">, </w:t>
      </w:r>
      <w:r w:rsidRPr="072E6950">
        <w:rPr>
          <w:rFonts w:ascii="Calibri" w:eastAsia="Calibri" w:hAnsi="Calibri" w:cs="Calibri"/>
          <w:i/>
          <w:iCs/>
        </w:rPr>
        <w:t>10</w:t>
      </w:r>
      <w:r w:rsidRPr="072E6950">
        <w:rPr>
          <w:rFonts w:ascii="Calibri" w:eastAsia="Calibri" w:hAnsi="Calibri" w:cs="Calibri"/>
        </w:rPr>
        <w:t xml:space="preserve">(3), 337–357. </w:t>
      </w:r>
      <w:hyperlink r:id="rId8">
        <w:r w:rsidRPr="072E6950">
          <w:rPr>
            <w:rStyle w:val="Hyperlink"/>
            <w:rFonts w:ascii="Calibri" w:eastAsia="Calibri" w:hAnsi="Calibri" w:cs="Calibri"/>
          </w:rPr>
          <w:t>https://doi.org/10.1163/156913311X578181</w:t>
        </w:r>
      </w:hyperlink>
    </w:p>
    <w:p w14:paraId="48A0D2F3" w14:textId="77777777" w:rsidR="00206ED2" w:rsidRDefault="00206ED2" w:rsidP="072E6950">
      <w:pPr>
        <w:widowControl w:val="0"/>
        <w:spacing w:after="140" w:line="240" w:lineRule="auto"/>
      </w:pPr>
      <w:r>
        <w:t xml:space="preserve">Slade, M. L., Burnham, T. J., </w:t>
      </w:r>
      <w:proofErr w:type="spellStart"/>
      <w:r>
        <w:t>Catalana</w:t>
      </w:r>
      <w:proofErr w:type="spellEnd"/>
      <w:r>
        <w:t>, S. M., &amp; Waters, T. (2019) 'The Impact of Reflective Practice on Teacher Candidates' Learning', Winthrop University.</w:t>
      </w:r>
    </w:p>
    <w:p w14:paraId="5CC9929C" w14:textId="77777777" w:rsidR="00206ED2" w:rsidRDefault="00206ED2" w:rsidP="072E6950">
      <w:pPr>
        <w:widowControl w:val="0"/>
        <w:spacing w:after="40" w:line="240" w:lineRule="auto"/>
      </w:pPr>
      <w:r>
        <w:t xml:space="preserve">Smith NR, Marshall L, </w:t>
      </w:r>
      <w:proofErr w:type="spellStart"/>
      <w:r>
        <w:t>Albakri</w:t>
      </w:r>
      <w:proofErr w:type="spellEnd"/>
      <w:r>
        <w:t xml:space="preserve"> M, et al. (2019) The impact of mental health and wellbeing on</w:t>
      </w:r>
    </w:p>
    <w:p w14:paraId="3C0A5ED0" w14:textId="77777777" w:rsidR="00206ED2" w:rsidRDefault="00206ED2" w:rsidP="072E6950">
      <w:pPr>
        <w:widowControl w:val="0"/>
        <w:spacing w:after="40" w:line="240" w:lineRule="auto"/>
      </w:pPr>
      <w:r>
        <w:t xml:space="preserve">Steger, M. F., </w:t>
      </w:r>
      <w:proofErr w:type="spellStart"/>
      <w:r>
        <w:t>Kashdan</w:t>
      </w:r>
      <w:proofErr w:type="spellEnd"/>
      <w:r>
        <w:t xml:space="preserve">, T. B., &amp; Oishi, S. (2008). Being good by doing good: Daily </w:t>
      </w:r>
      <w:proofErr w:type="spellStart"/>
      <w:r>
        <w:t>eudaimonic</w:t>
      </w:r>
      <w:proofErr w:type="spellEnd"/>
      <w:r>
        <w:t xml:space="preserve"> activity and well-being. Journal of Research in Personality, 42, 22–42.</w:t>
      </w:r>
    </w:p>
    <w:p w14:paraId="74E419DE" w14:textId="77777777" w:rsidR="00206ED2" w:rsidRDefault="00206ED2" w:rsidP="072E6950">
      <w:pPr>
        <w:widowControl w:val="0"/>
        <w:spacing w:after="140" w:line="240" w:lineRule="auto"/>
      </w:pPr>
      <w:proofErr w:type="spellStart"/>
      <w:r>
        <w:t>Sugai</w:t>
      </w:r>
      <w:proofErr w:type="spellEnd"/>
      <w:r>
        <w:t>, G., Horner, R. H., &amp; Gresham, F. M. (2002) '</w:t>
      </w:r>
      <w:proofErr w:type="spellStart"/>
      <w:r>
        <w:t>Behaviorally</w:t>
      </w:r>
      <w:proofErr w:type="spellEnd"/>
      <w:r>
        <w:t xml:space="preserve"> Effective School Environments', in M. R. Shinn, H. M. Walker, &amp; G. Stoner (Eds.), Interventions for Academic and </w:t>
      </w:r>
      <w:proofErr w:type="spellStart"/>
      <w:r>
        <w:t>Behavior</w:t>
      </w:r>
      <w:proofErr w:type="spellEnd"/>
      <w:r>
        <w:t xml:space="preserve"> Problems II: Preventive and Remedial Approaches, pp. 315–350. National Association of School Psychologists.</w:t>
      </w:r>
    </w:p>
    <w:p w14:paraId="6DC13E59" w14:textId="77777777" w:rsidR="00206ED2" w:rsidRDefault="00206ED2" w:rsidP="072E6950">
      <w:pPr>
        <w:widowControl w:val="0"/>
        <w:spacing w:after="140" w:line="240" w:lineRule="auto"/>
      </w:pPr>
      <w:r>
        <w:t>Swansea Council. (2023</w:t>
      </w:r>
      <w:proofErr w:type="gramStart"/>
      <w:r>
        <w:t>).Available</w:t>
      </w:r>
      <w:proofErr w:type="gramEnd"/>
      <w:r>
        <w:t xml:space="preserve"> at: https://www.swansea.gov.uk/bishopgorecomprehensiveschool (Accessed: [12/10/2023).</w:t>
      </w:r>
    </w:p>
    <w:p w14:paraId="2981E155" w14:textId="77777777" w:rsidR="00206ED2" w:rsidRDefault="00206ED2" w:rsidP="072E6950">
      <w:pPr>
        <w:widowControl w:val="0"/>
        <w:spacing w:line="240" w:lineRule="auto"/>
      </w:pPr>
      <w:r>
        <w:t>The Children’s Society. (2020) The Good Childhood Report 2020. Available at: https://www.childrenssociety.org.uk/sites/default/files/2020-09/PRE022a_Good%20Childhood%202020_V6_LR.pdf (Accessed: [04/11/2023]).</w:t>
      </w:r>
    </w:p>
    <w:p w14:paraId="76AE3D3D" w14:textId="77777777" w:rsidR="00206ED2" w:rsidRDefault="00206ED2" w:rsidP="072E6950">
      <w:pPr>
        <w:widowControl w:val="0"/>
        <w:spacing w:after="40" w:line="240" w:lineRule="auto"/>
      </w:pPr>
      <w:r>
        <w:t>to understanding society. BMJ Paediatrics Open 3(</w:t>
      </w:r>
      <w:proofErr w:type="spellStart"/>
      <w:r>
        <w:t>suppl</w:t>
      </w:r>
      <w:proofErr w:type="spellEnd"/>
      <w:r>
        <w:t xml:space="preserve"> 1): A2.1–A2.</w:t>
      </w:r>
    </w:p>
    <w:p w14:paraId="15703251" w14:textId="77777777" w:rsidR="00206ED2" w:rsidRDefault="00206ED2" w:rsidP="072E6950">
      <w:pPr>
        <w:widowControl w:val="0"/>
        <w:spacing w:after="140" w:line="240" w:lineRule="auto"/>
      </w:pPr>
      <w:r>
        <w:t>Tripp, D., 2011. Critical incidents in teaching (classic edition): Developing professional judgement.</w:t>
      </w:r>
    </w:p>
    <w:p w14:paraId="0C470926" w14:textId="77777777" w:rsidR="00206ED2" w:rsidRDefault="00206ED2" w:rsidP="072E6950">
      <w:pPr>
        <w:widowControl w:val="0"/>
        <w:spacing w:after="140" w:line="240" w:lineRule="auto"/>
      </w:pPr>
      <w:r>
        <w:t>UK Government. (2014) 'Headteacher Briefing on Mental Health and Behaviour'. Available at: https://assets.publishing.service.gov.uk/media/5a7ede2ded915d74e33f2eba/HT_briefing_layoutvFINALvii.pdf (Accessed: [22/10/2023]).</w:t>
      </w:r>
    </w:p>
    <w:p w14:paraId="1C36A15E" w14:textId="77777777" w:rsidR="00206ED2" w:rsidRDefault="00206ED2" w:rsidP="072E6950">
      <w:pPr>
        <w:widowControl w:val="0"/>
        <w:spacing w:after="140" w:line="240" w:lineRule="auto"/>
      </w:pPr>
      <w:r w:rsidRPr="072E6950">
        <w:lastRenderedPageBreak/>
        <w:t xml:space="preserve">Valli, L. (1997). Listening to other voices: A description of teacher reflection in the United States. </w:t>
      </w:r>
      <w:r w:rsidRPr="072E6950">
        <w:rPr>
          <w:i/>
          <w:iCs/>
        </w:rPr>
        <w:t>Peabody Journal of Education</w:t>
      </w:r>
      <w:r w:rsidRPr="072E6950">
        <w:t xml:space="preserve">, </w:t>
      </w:r>
      <w:r w:rsidRPr="072E6950">
        <w:rPr>
          <w:i/>
          <w:iCs/>
        </w:rPr>
        <w:t>72</w:t>
      </w:r>
      <w:r w:rsidRPr="072E6950">
        <w:t xml:space="preserve">(1), 67–88. </w:t>
      </w:r>
      <w:hyperlink r:id="rId9">
        <w:r w:rsidRPr="072E6950">
          <w:rPr>
            <w:rStyle w:val="Hyperlink"/>
          </w:rPr>
          <w:t>https://doi.org/10.1207/s15327930pje7201_4</w:t>
        </w:r>
      </w:hyperlink>
    </w:p>
    <w:p w14:paraId="76D94D37" w14:textId="77777777" w:rsidR="00206ED2" w:rsidRDefault="00206ED2" w:rsidP="072E6950">
      <w:pPr>
        <w:widowControl w:val="0"/>
        <w:spacing w:after="40" w:line="240" w:lineRule="auto"/>
      </w:pPr>
      <w:r>
        <w:t>Webb, P. T. (1999) 'The Use of Language in Reflective Teaching: Implications for Self-understanding'. Paper presented at the annual meeting of the American Educational Research Association, Montreal, Canada</w:t>
      </w:r>
    </w:p>
    <w:p w14:paraId="09742E6B" w14:textId="77777777" w:rsidR="00206ED2" w:rsidRDefault="00206ED2" w:rsidP="072E6950">
      <w:pPr>
        <w:widowControl w:val="0"/>
        <w:spacing w:after="140" w:line="240" w:lineRule="auto"/>
      </w:pPr>
      <w:r>
        <w:t>Welsh Government. (2015) 'Successful Futures: Independent Review of Curriculum and Assessment Arrangements in Wales'. Available at: https://www.gov.wales/sites/default/files/publications/2018-03/successful-futures.pdf (Accessed: [13/10/2023]).</w:t>
      </w:r>
    </w:p>
    <w:p w14:paraId="492586E0" w14:textId="77777777" w:rsidR="00206ED2" w:rsidRDefault="00206ED2" w:rsidP="072E6950">
      <w:pPr>
        <w:widowControl w:val="0"/>
        <w:spacing w:line="480" w:lineRule="auto"/>
      </w:pPr>
      <w:r>
        <w:t>Welsh Government. (2020) 'Curriculum for Wales: Statements of what matters - Code'.  https://www.gov.wales/curriculum-wales-statements-what-matters-code (Accessed: [10/11/23]).</w:t>
      </w:r>
    </w:p>
    <w:p w14:paraId="3FB42E92" w14:textId="77777777" w:rsidR="00206ED2" w:rsidRDefault="00206ED2" w:rsidP="072E6950">
      <w:pPr>
        <w:widowControl w:val="0"/>
        <w:spacing w:line="240" w:lineRule="auto"/>
      </w:pPr>
      <w:r>
        <w:t>Welsh Government. (2023) 'Curriculum for Wales: Statements of what matters - Code'. Available at: https://www.gov.wales/sites/default/files/publications/2023-06/curriculum-for-wales-statements-of-what-matters-code.pdf (Accessed: [10/11/23]).</w:t>
      </w:r>
    </w:p>
    <w:p w14:paraId="7E6B5FCA" w14:textId="77777777" w:rsidR="00206ED2" w:rsidRDefault="00206ED2" w:rsidP="072E6950">
      <w:pPr>
        <w:widowControl w:val="0"/>
        <w:spacing w:line="240" w:lineRule="auto"/>
      </w:pPr>
      <w:r>
        <w:t>Welsh Government. (2023) 'Curriculum for Wales'. Available at: https://www.gov.wales/curriculum-for-wales (Accessed: [10/11/2023])</w:t>
      </w:r>
    </w:p>
    <w:p w14:paraId="7846D6E5" w14:textId="77777777" w:rsidR="00206ED2" w:rsidRDefault="00206ED2" w:rsidP="072E6950">
      <w:pPr>
        <w:widowControl w:val="0"/>
        <w:spacing w:line="240" w:lineRule="auto"/>
      </w:pPr>
      <w:r>
        <w:t>Welsh Government. (2023) National Survey for Wales Headline Results: April 2022 to March 2023. Available at: [https://www.gov.wales/national-survey-wales-headline-results-april-2022-march-2023-html] (Accessed: [04/11/2023]).</w:t>
      </w:r>
    </w:p>
    <w:p w14:paraId="50AEFB76" w14:textId="77777777" w:rsidR="00206ED2" w:rsidRDefault="00206ED2" w:rsidP="072E6950">
      <w:pPr>
        <w:widowControl w:val="0"/>
        <w:spacing w:after="140" w:line="240" w:lineRule="auto"/>
      </w:pPr>
      <w:proofErr w:type="spellStart"/>
      <w:r>
        <w:t>YoungMinds</w:t>
      </w:r>
      <w:proofErr w:type="spellEnd"/>
      <w:r>
        <w:t xml:space="preserve">. (2023) 'Mental Health Statistics'. Available at: https://www.youngminds.org.uk/about-us/media-centre/mental-health-statistics/?gad_source=1&amp;gclid=Cj0KCQiAjMKqBhCgARIsAPDgWlzHrzPZGbxyZLmafaLszVq_9FhzoAkO_kYEWGqFQdnx50Rdu_i-OgUaAkG5EALw_wcB (Accessed: [12/11/2023]) </w:t>
      </w:r>
    </w:p>
    <w:p w14:paraId="63F1C9D6" w14:textId="77777777" w:rsidR="00206ED2" w:rsidRDefault="00206ED2" w:rsidP="072E6950">
      <w:pPr>
        <w:widowControl w:val="0"/>
        <w:spacing w:after="140" w:line="240" w:lineRule="auto"/>
      </w:pPr>
      <w:proofErr w:type="spellStart"/>
      <w:r>
        <w:t>Zeichner</w:t>
      </w:r>
      <w:proofErr w:type="spellEnd"/>
      <w:r>
        <w:t xml:space="preserve">, K. M., &amp; &amp;Liston, D. P. (1996). Reflective teaching:  An introduction. Mahwah, New Jersey: Lawrence Erlbaum Associates. </w:t>
      </w:r>
    </w:p>
    <w:p w14:paraId="21996FA7" w14:textId="75A5FE67" w:rsidR="072E6950" w:rsidRDefault="072E6950" w:rsidP="072E6950">
      <w:pPr>
        <w:widowControl w:val="0"/>
        <w:spacing w:after="40" w:line="240" w:lineRule="auto"/>
      </w:pPr>
    </w:p>
    <w:p w14:paraId="58D84CB5" w14:textId="0893AE5F" w:rsidR="072E6950" w:rsidRDefault="072E6950" w:rsidP="072E6950">
      <w:pPr>
        <w:widowControl w:val="0"/>
        <w:spacing w:after="40" w:line="240" w:lineRule="auto"/>
      </w:pPr>
    </w:p>
    <w:p w14:paraId="07C50135" w14:textId="2CB02FC1" w:rsidR="072E6950" w:rsidRDefault="072E6950" w:rsidP="072E6950">
      <w:pPr>
        <w:widowControl w:val="0"/>
        <w:spacing w:after="40" w:line="240" w:lineRule="auto"/>
      </w:pPr>
    </w:p>
    <w:p w14:paraId="45FE05D8" w14:textId="267785A2" w:rsidR="072E6950" w:rsidRDefault="072E6950" w:rsidP="072E6950">
      <w:pPr>
        <w:spacing w:after="140" w:line="240" w:lineRule="auto"/>
      </w:pPr>
    </w:p>
    <w:p w14:paraId="5258A256" w14:textId="30F9884A" w:rsidR="072E6950" w:rsidRDefault="072E6950" w:rsidP="072E6950">
      <w:pPr>
        <w:spacing w:after="140" w:line="240" w:lineRule="auto"/>
      </w:pPr>
    </w:p>
    <w:p w14:paraId="09857525" w14:textId="1ED2C832" w:rsidR="072E6950" w:rsidRDefault="072E6950" w:rsidP="072E6950">
      <w:pPr>
        <w:spacing w:after="140" w:line="240" w:lineRule="auto"/>
      </w:pPr>
    </w:p>
    <w:p w14:paraId="6034240B" w14:textId="5774F92E" w:rsidR="072E6950" w:rsidRDefault="072E6950" w:rsidP="072E6950">
      <w:pPr>
        <w:spacing w:after="140" w:line="240" w:lineRule="auto"/>
      </w:pPr>
    </w:p>
    <w:p w14:paraId="24F7160D" w14:textId="16607FFD" w:rsidR="072E6950" w:rsidRDefault="072E6950" w:rsidP="072E6950">
      <w:pPr>
        <w:spacing w:after="140" w:line="240" w:lineRule="auto"/>
      </w:pPr>
    </w:p>
    <w:p w14:paraId="22501610" w14:textId="06E24AEC" w:rsidR="072E6950" w:rsidRDefault="072E6950" w:rsidP="072E6950">
      <w:pPr>
        <w:spacing w:after="140" w:line="240" w:lineRule="auto"/>
      </w:pPr>
    </w:p>
    <w:p w14:paraId="110CD51F" w14:textId="3241C282" w:rsidR="072E6950" w:rsidRDefault="072E6950" w:rsidP="072E6950">
      <w:pPr>
        <w:spacing w:after="140" w:line="240" w:lineRule="auto"/>
      </w:pPr>
    </w:p>
    <w:sectPr w:rsidR="072E695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TjjrXfb87uZ9eh" int2:id="QfMqPAqW">
      <int2:state int2:value="Rejected" int2:type="AugLoop_Text_Critique"/>
    </int2:textHash>
    <int2:textHash int2:hashCode="ywUMEKOjgqVh45" int2:id="OGF6sQNg">
      <int2:state int2:value="Rejected" int2:type="AugLoop_Text_Critique"/>
    </int2:textHash>
    <int2:textHash int2:hashCode="VMBd2ltnBZQ77Y" int2:id="wB2ydYVG">
      <int2:state int2:value="Rejected" int2:type="AugLoop_Text_Critique"/>
    </int2:textHash>
    <int2:textHash int2:hashCode="rx5//lam2bToqa" int2:id="3kDZvv3O">
      <int2:state int2:value="Rejected" int2:type="AugLoop_Text_Critique"/>
    </int2:textHash>
    <int2:textHash int2:hashCode="WV0qJZfB7w9bb2" int2:id="DJiWPJNf">
      <int2:state int2:value="Rejected" int2:type="AugLoop_Text_Critique"/>
    </int2:textHash>
    <int2:textHash int2:hashCode="XIaHUk/ct47pWp" int2:id="KZcw4wLq">
      <int2:state int2:value="Rejected" int2:type="AugLoop_Text_Critique"/>
    </int2:textHash>
    <int2:textHash int2:hashCode="QoD5rZqyjd9edO" int2:id="lbCOisF5">
      <int2:state int2:value="Rejected" int2:type="AugLoop_Text_Critique"/>
    </int2:textHash>
    <int2:textHash int2:hashCode="3yR4DL/HNKfpTM" int2:id="159Vldop">
      <int2:state int2:value="Rejected" int2:type="AugLoop_Text_Critique"/>
    </int2:textHash>
    <int2:textHash int2:hashCode="9he3AYfUelr4WC" int2:id="3g9xsMHd">
      <int2:state int2:value="Rejected" int2:type="AugLoop_Text_Critique"/>
    </int2:textHash>
    <int2:textHash int2:hashCode="/JHP6ZqJQvygQX" int2:id="DZyju0hu">
      <int2:state int2:value="Rejected" int2:type="AugLoop_Text_Critique"/>
    </int2:textHash>
    <int2:bookmark int2:bookmarkName="_Int_QESbd8lx" int2:invalidationBookmarkName="" int2:hashCode="4dDGwcKeatUWQH" int2:id="pKowEi3H">
      <int2:state int2:value="Rejected" int2:type="AugLoop_Text_Critique"/>
    </int2:bookmark>
    <int2:bookmark int2:bookmarkName="_Int_JJSHywsZ" int2:invalidationBookmarkName="" int2:hashCode="//2Z5U5PX1QMYe" int2:id="f7YjDu53">
      <int2:state int2:value="Rejected" int2:type="AugLoop_Text_Critique"/>
    </int2:bookmark>
    <int2:bookmark int2:bookmarkName="_Int_mVLsBERS" int2:invalidationBookmarkName="" int2:hashCode="KTctKGFdycutM9" int2:id="88QcxPb6">
      <int2:state int2:value="Rejected" int2:type="AugLoop_Text_Critique"/>
    </int2:bookmark>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3169F"/>
    <w:multiLevelType w:val="hybridMultilevel"/>
    <w:tmpl w:val="9518367C"/>
    <w:lvl w:ilvl="0" w:tplc="925687BC">
      <w:start w:val="1"/>
      <w:numFmt w:val="bullet"/>
      <w:lvlText w:val=""/>
      <w:lvlJc w:val="left"/>
      <w:pPr>
        <w:ind w:left="720" w:hanging="360"/>
      </w:pPr>
      <w:rPr>
        <w:rFonts w:ascii="Symbol" w:hAnsi="Symbol" w:hint="default"/>
      </w:rPr>
    </w:lvl>
    <w:lvl w:ilvl="1" w:tplc="A9664200">
      <w:start w:val="1"/>
      <w:numFmt w:val="bullet"/>
      <w:lvlText w:val="o"/>
      <w:lvlJc w:val="left"/>
      <w:pPr>
        <w:ind w:left="1440" w:hanging="360"/>
      </w:pPr>
      <w:rPr>
        <w:rFonts w:ascii="Courier New" w:hAnsi="Courier New" w:hint="default"/>
      </w:rPr>
    </w:lvl>
    <w:lvl w:ilvl="2" w:tplc="55227280">
      <w:start w:val="1"/>
      <w:numFmt w:val="bullet"/>
      <w:lvlText w:val=""/>
      <w:lvlJc w:val="left"/>
      <w:pPr>
        <w:ind w:left="2160" w:hanging="360"/>
      </w:pPr>
      <w:rPr>
        <w:rFonts w:ascii="Wingdings" w:hAnsi="Wingdings" w:hint="default"/>
      </w:rPr>
    </w:lvl>
    <w:lvl w:ilvl="3" w:tplc="2F66B42E">
      <w:start w:val="1"/>
      <w:numFmt w:val="bullet"/>
      <w:lvlText w:val=""/>
      <w:lvlJc w:val="left"/>
      <w:pPr>
        <w:ind w:left="2880" w:hanging="360"/>
      </w:pPr>
      <w:rPr>
        <w:rFonts w:ascii="Symbol" w:hAnsi="Symbol" w:hint="default"/>
      </w:rPr>
    </w:lvl>
    <w:lvl w:ilvl="4" w:tplc="C31E0806">
      <w:start w:val="1"/>
      <w:numFmt w:val="bullet"/>
      <w:lvlText w:val="o"/>
      <w:lvlJc w:val="left"/>
      <w:pPr>
        <w:ind w:left="3600" w:hanging="360"/>
      </w:pPr>
      <w:rPr>
        <w:rFonts w:ascii="Courier New" w:hAnsi="Courier New" w:hint="default"/>
      </w:rPr>
    </w:lvl>
    <w:lvl w:ilvl="5" w:tplc="1CE4D0B6">
      <w:start w:val="1"/>
      <w:numFmt w:val="bullet"/>
      <w:lvlText w:val=""/>
      <w:lvlJc w:val="left"/>
      <w:pPr>
        <w:ind w:left="4320" w:hanging="360"/>
      </w:pPr>
      <w:rPr>
        <w:rFonts w:ascii="Wingdings" w:hAnsi="Wingdings" w:hint="default"/>
      </w:rPr>
    </w:lvl>
    <w:lvl w:ilvl="6" w:tplc="4BB863EC">
      <w:start w:val="1"/>
      <w:numFmt w:val="bullet"/>
      <w:lvlText w:val=""/>
      <w:lvlJc w:val="left"/>
      <w:pPr>
        <w:ind w:left="5040" w:hanging="360"/>
      </w:pPr>
      <w:rPr>
        <w:rFonts w:ascii="Symbol" w:hAnsi="Symbol" w:hint="default"/>
      </w:rPr>
    </w:lvl>
    <w:lvl w:ilvl="7" w:tplc="D9C27938">
      <w:start w:val="1"/>
      <w:numFmt w:val="bullet"/>
      <w:lvlText w:val="o"/>
      <w:lvlJc w:val="left"/>
      <w:pPr>
        <w:ind w:left="5760" w:hanging="360"/>
      </w:pPr>
      <w:rPr>
        <w:rFonts w:ascii="Courier New" w:hAnsi="Courier New" w:hint="default"/>
      </w:rPr>
    </w:lvl>
    <w:lvl w:ilvl="8" w:tplc="C2F815F4">
      <w:start w:val="1"/>
      <w:numFmt w:val="bullet"/>
      <w:lvlText w:val=""/>
      <w:lvlJc w:val="left"/>
      <w:pPr>
        <w:ind w:left="6480" w:hanging="360"/>
      </w:pPr>
      <w:rPr>
        <w:rFonts w:ascii="Wingdings" w:hAnsi="Wingdings" w:hint="default"/>
      </w:rPr>
    </w:lvl>
  </w:abstractNum>
  <w:abstractNum w:abstractNumId="1" w15:restartNumberingAfterBreak="0">
    <w:nsid w:val="0F6FD331"/>
    <w:multiLevelType w:val="hybridMultilevel"/>
    <w:tmpl w:val="7F5084C6"/>
    <w:lvl w:ilvl="0" w:tplc="26ACDE94">
      <w:start w:val="1"/>
      <w:numFmt w:val="bullet"/>
      <w:lvlText w:val=""/>
      <w:lvlJc w:val="left"/>
      <w:pPr>
        <w:ind w:left="720" w:hanging="360"/>
      </w:pPr>
      <w:rPr>
        <w:rFonts w:ascii="Symbol" w:hAnsi="Symbol" w:hint="default"/>
      </w:rPr>
    </w:lvl>
    <w:lvl w:ilvl="1" w:tplc="950EC926">
      <w:start w:val="1"/>
      <w:numFmt w:val="bullet"/>
      <w:lvlText w:val="o"/>
      <w:lvlJc w:val="left"/>
      <w:pPr>
        <w:ind w:left="1440" w:hanging="360"/>
      </w:pPr>
      <w:rPr>
        <w:rFonts w:ascii="Courier New" w:hAnsi="Courier New" w:hint="default"/>
      </w:rPr>
    </w:lvl>
    <w:lvl w:ilvl="2" w:tplc="589E0440">
      <w:start w:val="1"/>
      <w:numFmt w:val="bullet"/>
      <w:lvlText w:val=""/>
      <w:lvlJc w:val="left"/>
      <w:pPr>
        <w:ind w:left="2160" w:hanging="360"/>
      </w:pPr>
      <w:rPr>
        <w:rFonts w:ascii="Wingdings" w:hAnsi="Wingdings" w:hint="default"/>
      </w:rPr>
    </w:lvl>
    <w:lvl w:ilvl="3" w:tplc="565A0B90">
      <w:start w:val="1"/>
      <w:numFmt w:val="bullet"/>
      <w:lvlText w:val=""/>
      <w:lvlJc w:val="left"/>
      <w:pPr>
        <w:ind w:left="2880" w:hanging="360"/>
      </w:pPr>
      <w:rPr>
        <w:rFonts w:ascii="Symbol" w:hAnsi="Symbol" w:hint="default"/>
      </w:rPr>
    </w:lvl>
    <w:lvl w:ilvl="4" w:tplc="D5B62380">
      <w:start w:val="1"/>
      <w:numFmt w:val="bullet"/>
      <w:lvlText w:val="o"/>
      <w:lvlJc w:val="left"/>
      <w:pPr>
        <w:ind w:left="3600" w:hanging="360"/>
      </w:pPr>
      <w:rPr>
        <w:rFonts w:ascii="Courier New" w:hAnsi="Courier New" w:hint="default"/>
      </w:rPr>
    </w:lvl>
    <w:lvl w:ilvl="5" w:tplc="33C8E6DA">
      <w:start w:val="1"/>
      <w:numFmt w:val="bullet"/>
      <w:lvlText w:val=""/>
      <w:lvlJc w:val="left"/>
      <w:pPr>
        <w:ind w:left="4320" w:hanging="360"/>
      </w:pPr>
      <w:rPr>
        <w:rFonts w:ascii="Wingdings" w:hAnsi="Wingdings" w:hint="default"/>
      </w:rPr>
    </w:lvl>
    <w:lvl w:ilvl="6" w:tplc="D33EA136">
      <w:start w:val="1"/>
      <w:numFmt w:val="bullet"/>
      <w:lvlText w:val=""/>
      <w:lvlJc w:val="left"/>
      <w:pPr>
        <w:ind w:left="5040" w:hanging="360"/>
      </w:pPr>
      <w:rPr>
        <w:rFonts w:ascii="Symbol" w:hAnsi="Symbol" w:hint="default"/>
      </w:rPr>
    </w:lvl>
    <w:lvl w:ilvl="7" w:tplc="01F20D20">
      <w:start w:val="1"/>
      <w:numFmt w:val="bullet"/>
      <w:lvlText w:val="o"/>
      <w:lvlJc w:val="left"/>
      <w:pPr>
        <w:ind w:left="5760" w:hanging="360"/>
      </w:pPr>
      <w:rPr>
        <w:rFonts w:ascii="Courier New" w:hAnsi="Courier New" w:hint="default"/>
      </w:rPr>
    </w:lvl>
    <w:lvl w:ilvl="8" w:tplc="045A4A52">
      <w:start w:val="1"/>
      <w:numFmt w:val="bullet"/>
      <w:lvlText w:val=""/>
      <w:lvlJc w:val="left"/>
      <w:pPr>
        <w:ind w:left="6480" w:hanging="360"/>
      </w:pPr>
      <w:rPr>
        <w:rFonts w:ascii="Wingdings" w:hAnsi="Wingdings" w:hint="default"/>
      </w:rPr>
    </w:lvl>
  </w:abstractNum>
  <w:abstractNum w:abstractNumId="2" w15:restartNumberingAfterBreak="0">
    <w:nsid w:val="30B974BD"/>
    <w:multiLevelType w:val="hybridMultilevel"/>
    <w:tmpl w:val="FFFFFFFF"/>
    <w:lvl w:ilvl="0" w:tplc="AB6E3C3C">
      <w:start w:val="1"/>
      <w:numFmt w:val="bullet"/>
      <w:lvlText w:val=""/>
      <w:lvlJc w:val="left"/>
      <w:pPr>
        <w:ind w:left="720" w:hanging="360"/>
      </w:pPr>
      <w:rPr>
        <w:rFonts w:ascii="Symbol" w:hAnsi="Symbol" w:hint="default"/>
      </w:rPr>
    </w:lvl>
    <w:lvl w:ilvl="1" w:tplc="52C848E4">
      <w:start w:val="1"/>
      <w:numFmt w:val="bullet"/>
      <w:lvlText w:val="o"/>
      <w:lvlJc w:val="left"/>
      <w:pPr>
        <w:ind w:left="1440" w:hanging="360"/>
      </w:pPr>
      <w:rPr>
        <w:rFonts w:ascii="Courier New" w:hAnsi="Courier New" w:hint="default"/>
      </w:rPr>
    </w:lvl>
    <w:lvl w:ilvl="2" w:tplc="CA34A500">
      <w:start w:val="1"/>
      <w:numFmt w:val="bullet"/>
      <w:lvlText w:val=""/>
      <w:lvlJc w:val="left"/>
      <w:pPr>
        <w:ind w:left="2160" w:hanging="360"/>
      </w:pPr>
      <w:rPr>
        <w:rFonts w:ascii="Wingdings" w:hAnsi="Wingdings" w:hint="default"/>
      </w:rPr>
    </w:lvl>
    <w:lvl w:ilvl="3" w:tplc="8BC0E756">
      <w:start w:val="1"/>
      <w:numFmt w:val="bullet"/>
      <w:lvlText w:val=""/>
      <w:lvlJc w:val="left"/>
      <w:pPr>
        <w:ind w:left="2880" w:hanging="360"/>
      </w:pPr>
      <w:rPr>
        <w:rFonts w:ascii="Symbol" w:hAnsi="Symbol" w:hint="default"/>
      </w:rPr>
    </w:lvl>
    <w:lvl w:ilvl="4" w:tplc="8E68B532">
      <w:start w:val="1"/>
      <w:numFmt w:val="bullet"/>
      <w:lvlText w:val="o"/>
      <w:lvlJc w:val="left"/>
      <w:pPr>
        <w:ind w:left="3600" w:hanging="360"/>
      </w:pPr>
      <w:rPr>
        <w:rFonts w:ascii="Courier New" w:hAnsi="Courier New" w:hint="default"/>
      </w:rPr>
    </w:lvl>
    <w:lvl w:ilvl="5" w:tplc="DADCEB20">
      <w:start w:val="1"/>
      <w:numFmt w:val="bullet"/>
      <w:lvlText w:val=""/>
      <w:lvlJc w:val="left"/>
      <w:pPr>
        <w:ind w:left="4320" w:hanging="360"/>
      </w:pPr>
      <w:rPr>
        <w:rFonts w:ascii="Wingdings" w:hAnsi="Wingdings" w:hint="default"/>
      </w:rPr>
    </w:lvl>
    <w:lvl w:ilvl="6" w:tplc="E82A3A1C">
      <w:start w:val="1"/>
      <w:numFmt w:val="bullet"/>
      <w:lvlText w:val=""/>
      <w:lvlJc w:val="left"/>
      <w:pPr>
        <w:ind w:left="5040" w:hanging="360"/>
      </w:pPr>
      <w:rPr>
        <w:rFonts w:ascii="Symbol" w:hAnsi="Symbol" w:hint="default"/>
      </w:rPr>
    </w:lvl>
    <w:lvl w:ilvl="7" w:tplc="C4D4AB82">
      <w:start w:val="1"/>
      <w:numFmt w:val="bullet"/>
      <w:lvlText w:val="o"/>
      <w:lvlJc w:val="left"/>
      <w:pPr>
        <w:ind w:left="5760" w:hanging="360"/>
      </w:pPr>
      <w:rPr>
        <w:rFonts w:ascii="Courier New" w:hAnsi="Courier New" w:hint="default"/>
      </w:rPr>
    </w:lvl>
    <w:lvl w:ilvl="8" w:tplc="3B10211C">
      <w:start w:val="1"/>
      <w:numFmt w:val="bullet"/>
      <w:lvlText w:val=""/>
      <w:lvlJc w:val="left"/>
      <w:pPr>
        <w:ind w:left="6480" w:hanging="360"/>
      </w:pPr>
      <w:rPr>
        <w:rFonts w:ascii="Wingdings" w:hAnsi="Wingdings" w:hint="default"/>
      </w:rPr>
    </w:lvl>
  </w:abstractNum>
  <w:abstractNum w:abstractNumId="3" w15:restartNumberingAfterBreak="0">
    <w:nsid w:val="3F2D1A02"/>
    <w:multiLevelType w:val="hybridMultilevel"/>
    <w:tmpl w:val="3F7C0316"/>
    <w:lvl w:ilvl="0" w:tplc="CB7E3D22">
      <w:start w:val="1"/>
      <w:numFmt w:val="bullet"/>
      <w:lvlText w:val=""/>
      <w:lvlJc w:val="left"/>
      <w:pPr>
        <w:ind w:left="720" w:hanging="360"/>
      </w:pPr>
      <w:rPr>
        <w:rFonts w:ascii="Symbol" w:hAnsi="Symbol" w:hint="default"/>
      </w:rPr>
    </w:lvl>
    <w:lvl w:ilvl="1" w:tplc="BDC6E318">
      <w:start w:val="1"/>
      <w:numFmt w:val="bullet"/>
      <w:lvlText w:val="o"/>
      <w:lvlJc w:val="left"/>
      <w:pPr>
        <w:ind w:left="1440" w:hanging="360"/>
      </w:pPr>
      <w:rPr>
        <w:rFonts w:ascii="Courier New" w:hAnsi="Courier New" w:hint="default"/>
      </w:rPr>
    </w:lvl>
    <w:lvl w:ilvl="2" w:tplc="BE7C2F72">
      <w:start w:val="1"/>
      <w:numFmt w:val="bullet"/>
      <w:lvlText w:val=""/>
      <w:lvlJc w:val="left"/>
      <w:pPr>
        <w:ind w:left="2160" w:hanging="360"/>
      </w:pPr>
      <w:rPr>
        <w:rFonts w:ascii="Wingdings" w:hAnsi="Wingdings" w:hint="default"/>
      </w:rPr>
    </w:lvl>
    <w:lvl w:ilvl="3" w:tplc="A12C8C48">
      <w:start w:val="1"/>
      <w:numFmt w:val="bullet"/>
      <w:lvlText w:val=""/>
      <w:lvlJc w:val="left"/>
      <w:pPr>
        <w:ind w:left="2880" w:hanging="360"/>
      </w:pPr>
      <w:rPr>
        <w:rFonts w:ascii="Symbol" w:hAnsi="Symbol" w:hint="default"/>
      </w:rPr>
    </w:lvl>
    <w:lvl w:ilvl="4" w:tplc="2F0C4126">
      <w:start w:val="1"/>
      <w:numFmt w:val="bullet"/>
      <w:lvlText w:val="o"/>
      <w:lvlJc w:val="left"/>
      <w:pPr>
        <w:ind w:left="3600" w:hanging="360"/>
      </w:pPr>
      <w:rPr>
        <w:rFonts w:ascii="Courier New" w:hAnsi="Courier New" w:hint="default"/>
      </w:rPr>
    </w:lvl>
    <w:lvl w:ilvl="5" w:tplc="DBCC9BAA">
      <w:start w:val="1"/>
      <w:numFmt w:val="bullet"/>
      <w:lvlText w:val=""/>
      <w:lvlJc w:val="left"/>
      <w:pPr>
        <w:ind w:left="4320" w:hanging="360"/>
      </w:pPr>
      <w:rPr>
        <w:rFonts w:ascii="Wingdings" w:hAnsi="Wingdings" w:hint="default"/>
      </w:rPr>
    </w:lvl>
    <w:lvl w:ilvl="6" w:tplc="593A951A">
      <w:start w:val="1"/>
      <w:numFmt w:val="bullet"/>
      <w:lvlText w:val=""/>
      <w:lvlJc w:val="left"/>
      <w:pPr>
        <w:ind w:left="5040" w:hanging="360"/>
      </w:pPr>
      <w:rPr>
        <w:rFonts w:ascii="Symbol" w:hAnsi="Symbol" w:hint="default"/>
      </w:rPr>
    </w:lvl>
    <w:lvl w:ilvl="7" w:tplc="9E50FBA6">
      <w:start w:val="1"/>
      <w:numFmt w:val="bullet"/>
      <w:lvlText w:val="o"/>
      <w:lvlJc w:val="left"/>
      <w:pPr>
        <w:ind w:left="5760" w:hanging="360"/>
      </w:pPr>
      <w:rPr>
        <w:rFonts w:ascii="Courier New" w:hAnsi="Courier New" w:hint="default"/>
      </w:rPr>
    </w:lvl>
    <w:lvl w:ilvl="8" w:tplc="A8845B50">
      <w:start w:val="1"/>
      <w:numFmt w:val="bullet"/>
      <w:lvlText w:val=""/>
      <w:lvlJc w:val="left"/>
      <w:pPr>
        <w:ind w:left="6480" w:hanging="360"/>
      </w:pPr>
      <w:rPr>
        <w:rFonts w:ascii="Wingdings" w:hAnsi="Wingdings" w:hint="default"/>
      </w:rPr>
    </w:lvl>
  </w:abstractNum>
  <w:abstractNum w:abstractNumId="4" w15:restartNumberingAfterBreak="0">
    <w:nsid w:val="4BE7829C"/>
    <w:multiLevelType w:val="hybridMultilevel"/>
    <w:tmpl w:val="3796CDF2"/>
    <w:lvl w:ilvl="0" w:tplc="3EEAF986">
      <w:start w:val="1"/>
      <w:numFmt w:val="bullet"/>
      <w:lvlText w:val=""/>
      <w:lvlJc w:val="left"/>
      <w:pPr>
        <w:ind w:left="720" w:hanging="360"/>
      </w:pPr>
      <w:rPr>
        <w:rFonts w:ascii="Symbol" w:hAnsi="Symbol" w:hint="default"/>
      </w:rPr>
    </w:lvl>
    <w:lvl w:ilvl="1" w:tplc="382AEC42">
      <w:start w:val="1"/>
      <w:numFmt w:val="bullet"/>
      <w:lvlText w:val="o"/>
      <w:lvlJc w:val="left"/>
      <w:pPr>
        <w:ind w:left="1440" w:hanging="360"/>
      </w:pPr>
      <w:rPr>
        <w:rFonts w:ascii="Courier New" w:hAnsi="Courier New" w:hint="default"/>
      </w:rPr>
    </w:lvl>
    <w:lvl w:ilvl="2" w:tplc="28A24418">
      <w:start w:val="1"/>
      <w:numFmt w:val="bullet"/>
      <w:lvlText w:val=""/>
      <w:lvlJc w:val="left"/>
      <w:pPr>
        <w:ind w:left="2160" w:hanging="360"/>
      </w:pPr>
      <w:rPr>
        <w:rFonts w:ascii="Wingdings" w:hAnsi="Wingdings" w:hint="default"/>
      </w:rPr>
    </w:lvl>
    <w:lvl w:ilvl="3" w:tplc="A740DC02">
      <w:start w:val="1"/>
      <w:numFmt w:val="bullet"/>
      <w:lvlText w:val=""/>
      <w:lvlJc w:val="left"/>
      <w:pPr>
        <w:ind w:left="2880" w:hanging="360"/>
      </w:pPr>
      <w:rPr>
        <w:rFonts w:ascii="Symbol" w:hAnsi="Symbol" w:hint="default"/>
      </w:rPr>
    </w:lvl>
    <w:lvl w:ilvl="4" w:tplc="EFB0E8FA">
      <w:start w:val="1"/>
      <w:numFmt w:val="bullet"/>
      <w:lvlText w:val="o"/>
      <w:lvlJc w:val="left"/>
      <w:pPr>
        <w:ind w:left="3600" w:hanging="360"/>
      </w:pPr>
      <w:rPr>
        <w:rFonts w:ascii="Courier New" w:hAnsi="Courier New" w:hint="default"/>
      </w:rPr>
    </w:lvl>
    <w:lvl w:ilvl="5" w:tplc="6B4CA2F8">
      <w:start w:val="1"/>
      <w:numFmt w:val="bullet"/>
      <w:lvlText w:val=""/>
      <w:lvlJc w:val="left"/>
      <w:pPr>
        <w:ind w:left="4320" w:hanging="360"/>
      </w:pPr>
      <w:rPr>
        <w:rFonts w:ascii="Wingdings" w:hAnsi="Wingdings" w:hint="default"/>
      </w:rPr>
    </w:lvl>
    <w:lvl w:ilvl="6" w:tplc="A42CA100">
      <w:start w:val="1"/>
      <w:numFmt w:val="bullet"/>
      <w:lvlText w:val=""/>
      <w:lvlJc w:val="left"/>
      <w:pPr>
        <w:ind w:left="5040" w:hanging="360"/>
      </w:pPr>
      <w:rPr>
        <w:rFonts w:ascii="Symbol" w:hAnsi="Symbol" w:hint="default"/>
      </w:rPr>
    </w:lvl>
    <w:lvl w:ilvl="7" w:tplc="0EDC5F84">
      <w:start w:val="1"/>
      <w:numFmt w:val="bullet"/>
      <w:lvlText w:val="o"/>
      <w:lvlJc w:val="left"/>
      <w:pPr>
        <w:ind w:left="5760" w:hanging="360"/>
      </w:pPr>
      <w:rPr>
        <w:rFonts w:ascii="Courier New" w:hAnsi="Courier New" w:hint="default"/>
      </w:rPr>
    </w:lvl>
    <w:lvl w:ilvl="8" w:tplc="D1F06836">
      <w:start w:val="1"/>
      <w:numFmt w:val="bullet"/>
      <w:lvlText w:val=""/>
      <w:lvlJc w:val="left"/>
      <w:pPr>
        <w:ind w:left="6480" w:hanging="360"/>
      </w:pPr>
      <w:rPr>
        <w:rFonts w:ascii="Wingdings" w:hAnsi="Wingdings" w:hint="default"/>
      </w:rPr>
    </w:lvl>
  </w:abstractNum>
  <w:abstractNum w:abstractNumId="5" w15:restartNumberingAfterBreak="0">
    <w:nsid w:val="7F8C8833"/>
    <w:multiLevelType w:val="hybridMultilevel"/>
    <w:tmpl w:val="399C80DC"/>
    <w:lvl w:ilvl="0" w:tplc="EE5CD782">
      <w:start w:val="1"/>
      <w:numFmt w:val="bullet"/>
      <w:lvlText w:val=""/>
      <w:lvlJc w:val="left"/>
      <w:pPr>
        <w:ind w:left="720" w:hanging="360"/>
      </w:pPr>
      <w:rPr>
        <w:rFonts w:ascii="Symbol" w:hAnsi="Symbol" w:hint="default"/>
      </w:rPr>
    </w:lvl>
    <w:lvl w:ilvl="1" w:tplc="4FAC0D94">
      <w:start w:val="1"/>
      <w:numFmt w:val="bullet"/>
      <w:lvlText w:val="o"/>
      <w:lvlJc w:val="left"/>
      <w:pPr>
        <w:ind w:left="1440" w:hanging="360"/>
      </w:pPr>
      <w:rPr>
        <w:rFonts w:ascii="Courier New" w:hAnsi="Courier New" w:hint="default"/>
      </w:rPr>
    </w:lvl>
    <w:lvl w:ilvl="2" w:tplc="483E03B8">
      <w:start w:val="1"/>
      <w:numFmt w:val="bullet"/>
      <w:lvlText w:val=""/>
      <w:lvlJc w:val="left"/>
      <w:pPr>
        <w:ind w:left="2160" w:hanging="360"/>
      </w:pPr>
      <w:rPr>
        <w:rFonts w:ascii="Wingdings" w:hAnsi="Wingdings" w:hint="default"/>
      </w:rPr>
    </w:lvl>
    <w:lvl w:ilvl="3" w:tplc="03703900">
      <w:start w:val="1"/>
      <w:numFmt w:val="bullet"/>
      <w:lvlText w:val=""/>
      <w:lvlJc w:val="left"/>
      <w:pPr>
        <w:ind w:left="2880" w:hanging="360"/>
      </w:pPr>
      <w:rPr>
        <w:rFonts w:ascii="Symbol" w:hAnsi="Symbol" w:hint="default"/>
      </w:rPr>
    </w:lvl>
    <w:lvl w:ilvl="4" w:tplc="37BECA2A">
      <w:start w:val="1"/>
      <w:numFmt w:val="bullet"/>
      <w:lvlText w:val="o"/>
      <w:lvlJc w:val="left"/>
      <w:pPr>
        <w:ind w:left="3600" w:hanging="360"/>
      </w:pPr>
      <w:rPr>
        <w:rFonts w:ascii="Courier New" w:hAnsi="Courier New" w:hint="default"/>
      </w:rPr>
    </w:lvl>
    <w:lvl w:ilvl="5" w:tplc="5276F670">
      <w:start w:val="1"/>
      <w:numFmt w:val="bullet"/>
      <w:lvlText w:val=""/>
      <w:lvlJc w:val="left"/>
      <w:pPr>
        <w:ind w:left="4320" w:hanging="360"/>
      </w:pPr>
      <w:rPr>
        <w:rFonts w:ascii="Wingdings" w:hAnsi="Wingdings" w:hint="default"/>
      </w:rPr>
    </w:lvl>
    <w:lvl w:ilvl="6" w:tplc="ECAC4632">
      <w:start w:val="1"/>
      <w:numFmt w:val="bullet"/>
      <w:lvlText w:val=""/>
      <w:lvlJc w:val="left"/>
      <w:pPr>
        <w:ind w:left="5040" w:hanging="360"/>
      </w:pPr>
      <w:rPr>
        <w:rFonts w:ascii="Symbol" w:hAnsi="Symbol" w:hint="default"/>
      </w:rPr>
    </w:lvl>
    <w:lvl w:ilvl="7" w:tplc="5D7A6558">
      <w:start w:val="1"/>
      <w:numFmt w:val="bullet"/>
      <w:lvlText w:val="o"/>
      <w:lvlJc w:val="left"/>
      <w:pPr>
        <w:ind w:left="5760" w:hanging="360"/>
      </w:pPr>
      <w:rPr>
        <w:rFonts w:ascii="Courier New" w:hAnsi="Courier New" w:hint="default"/>
      </w:rPr>
    </w:lvl>
    <w:lvl w:ilvl="8" w:tplc="46BAB1FC">
      <w:start w:val="1"/>
      <w:numFmt w:val="bullet"/>
      <w:lvlText w:val=""/>
      <w:lvlJc w:val="left"/>
      <w:pPr>
        <w:ind w:left="6480" w:hanging="360"/>
      </w:pPr>
      <w:rPr>
        <w:rFonts w:ascii="Wingdings" w:hAnsi="Wingdings" w:hint="default"/>
      </w:rPr>
    </w:lvl>
  </w:abstractNum>
  <w:num w:numId="1" w16cid:durableId="459156234">
    <w:abstractNumId w:val="5"/>
  </w:num>
  <w:num w:numId="2" w16cid:durableId="1237932354">
    <w:abstractNumId w:val="4"/>
  </w:num>
  <w:num w:numId="3" w16cid:durableId="26487460">
    <w:abstractNumId w:val="0"/>
  </w:num>
  <w:num w:numId="4" w16cid:durableId="1614240341">
    <w:abstractNumId w:val="3"/>
  </w:num>
  <w:num w:numId="5" w16cid:durableId="770783118">
    <w:abstractNumId w:val="1"/>
  </w:num>
  <w:num w:numId="6" w16cid:durableId="16125878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13ED48"/>
    <w:rsid w:val="000A6BDB"/>
    <w:rsid w:val="001010CF"/>
    <w:rsid w:val="00206ED2"/>
    <w:rsid w:val="003D3C45"/>
    <w:rsid w:val="004314E6"/>
    <w:rsid w:val="004464D0"/>
    <w:rsid w:val="0046487F"/>
    <w:rsid w:val="004C56A6"/>
    <w:rsid w:val="00630B90"/>
    <w:rsid w:val="008DCAA1"/>
    <w:rsid w:val="00A15252"/>
    <w:rsid w:val="00AE5DE0"/>
    <w:rsid w:val="00D839A3"/>
    <w:rsid w:val="00DBBD62"/>
    <w:rsid w:val="00E52D87"/>
    <w:rsid w:val="00EB69E1"/>
    <w:rsid w:val="00F73D57"/>
    <w:rsid w:val="011E559A"/>
    <w:rsid w:val="012B376F"/>
    <w:rsid w:val="0132B3F4"/>
    <w:rsid w:val="013AC125"/>
    <w:rsid w:val="016DBE32"/>
    <w:rsid w:val="016FCC58"/>
    <w:rsid w:val="01BE89C4"/>
    <w:rsid w:val="02C707D0"/>
    <w:rsid w:val="02EC6EFC"/>
    <w:rsid w:val="03C64EAD"/>
    <w:rsid w:val="0406CD72"/>
    <w:rsid w:val="0407EC07"/>
    <w:rsid w:val="042D0735"/>
    <w:rsid w:val="044321FC"/>
    <w:rsid w:val="04836134"/>
    <w:rsid w:val="04883F5D"/>
    <w:rsid w:val="0581CF03"/>
    <w:rsid w:val="05C45901"/>
    <w:rsid w:val="06084FD6"/>
    <w:rsid w:val="06240FBE"/>
    <w:rsid w:val="06B80C33"/>
    <w:rsid w:val="06D63366"/>
    <w:rsid w:val="071D9F64"/>
    <w:rsid w:val="072E6950"/>
    <w:rsid w:val="07536D20"/>
    <w:rsid w:val="075536F2"/>
    <w:rsid w:val="077EAA5E"/>
    <w:rsid w:val="078A7235"/>
    <w:rsid w:val="0795D0A9"/>
    <w:rsid w:val="082DCB48"/>
    <w:rsid w:val="083AF00B"/>
    <w:rsid w:val="083D66F5"/>
    <w:rsid w:val="08A04768"/>
    <w:rsid w:val="08F10753"/>
    <w:rsid w:val="095BB080"/>
    <w:rsid w:val="0AC0C5FE"/>
    <w:rsid w:val="0BA13BEB"/>
    <w:rsid w:val="0BC5DF49"/>
    <w:rsid w:val="0BD105BE"/>
    <w:rsid w:val="0D007BF2"/>
    <w:rsid w:val="0D1330B9"/>
    <w:rsid w:val="0DEDE432"/>
    <w:rsid w:val="0E9D0CCC"/>
    <w:rsid w:val="0EDA1635"/>
    <w:rsid w:val="0F37EE3F"/>
    <w:rsid w:val="1008C490"/>
    <w:rsid w:val="104A5C0D"/>
    <w:rsid w:val="1087D93B"/>
    <w:rsid w:val="108F5D6F"/>
    <w:rsid w:val="1100B68E"/>
    <w:rsid w:val="110B8A3D"/>
    <w:rsid w:val="1125D2BC"/>
    <w:rsid w:val="11B02475"/>
    <w:rsid w:val="11D4BDAE"/>
    <w:rsid w:val="11D4E3E3"/>
    <w:rsid w:val="11D5B96E"/>
    <w:rsid w:val="12353AA4"/>
    <w:rsid w:val="12987214"/>
    <w:rsid w:val="12D3FF13"/>
    <w:rsid w:val="13536166"/>
    <w:rsid w:val="1390B263"/>
    <w:rsid w:val="13E2FA0F"/>
    <w:rsid w:val="141D0B5A"/>
    <w:rsid w:val="14385750"/>
    <w:rsid w:val="1489A3BA"/>
    <w:rsid w:val="14BFECA9"/>
    <w:rsid w:val="14C4BEFC"/>
    <w:rsid w:val="14D854CF"/>
    <w:rsid w:val="14E55785"/>
    <w:rsid w:val="15D012D6"/>
    <w:rsid w:val="17DA5E4E"/>
    <w:rsid w:val="180C3EE7"/>
    <w:rsid w:val="181D4D68"/>
    <w:rsid w:val="18339E5F"/>
    <w:rsid w:val="1851069C"/>
    <w:rsid w:val="186C7EC8"/>
    <w:rsid w:val="19278B00"/>
    <w:rsid w:val="19ABE57C"/>
    <w:rsid w:val="19BB365A"/>
    <w:rsid w:val="19CFA2F7"/>
    <w:rsid w:val="19ECD6FD"/>
    <w:rsid w:val="1A020353"/>
    <w:rsid w:val="1A19F8A8"/>
    <w:rsid w:val="1A262CC3"/>
    <w:rsid w:val="1A401D64"/>
    <w:rsid w:val="1A4FF829"/>
    <w:rsid w:val="1AAA4501"/>
    <w:rsid w:val="1AEB82BB"/>
    <w:rsid w:val="1AFC6C7A"/>
    <w:rsid w:val="1B30B997"/>
    <w:rsid w:val="1B54EE2A"/>
    <w:rsid w:val="1B6B7358"/>
    <w:rsid w:val="1BE36118"/>
    <w:rsid w:val="1CB6BDA8"/>
    <w:rsid w:val="1D11C1C1"/>
    <w:rsid w:val="1D7F91EA"/>
    <w:rsid w:val="1DE0BFF4"/>
    <w:rsid w:val="1E0FAE00"/>
    <w:rsid w:val="1E89C2E8"/>
    <w:rsid w:val="1ECD4A52"/>
    <w:rsid w:val="1F1226C0"/>
    <w:rsid w:val="1F38C776"/>
    <w:rsid w:val="1F6F9EB7"/>
    <w:rsid w:val="1FFB48BC"/>
    <w:rsid w:val="20368CB8"/>
    <w:rsid w:val="203F3CC3"/>
    <w:rsid w:val="20496283"/>
    <w:rsid w:val="212DF394"/>
    <w:rsid w:val="2161D501"/>
    <w:rsid w:val="21676690"/>
    <w:rsid w:val="219DAF7A"/>
    <w:rsid w:val="21AE0B22"/>
    <w:rsid w:val="21E532E4"/>
    <w:rsid w:val="2267489B"/>
    <w:rsid w:val="22C56BEE"/>
    <w:rsid w:val="230B26BC"/>
    <w:rsid w:val="233D54AC"/>
    <w:rsid w:val="23810345"/>
    <w:rsid w:val="23E40E31"/>
    <w:rsid w:val="24613C4F"/>
    <w:rsid w:val="2491BDF2"/>
    <w:rsid w:val="24BD971C"/>
    <w:rsid w:val="2533E0B6"/>
    <w:rsid w:val="2559B39D"/>
    <w:rsid w:val="25616963"/>
    <w:rsid w:val="2588CBC5"/>
    <w:rsid w:val="25D8286A"/>
    <w:rsid w:val="2623555A"/>
    <w:rsid w:val="26FC70E3"/>
    <w:rsid w:val="272899C8"/>
    <w:rsid w:val="27467350"/>
    <w:rsid w:val="27759282"/>
    <w:rsid w:val="27E419AD"/>
    <w:rsid w:val="2884D681"/>
    <w:rsid w:val="289A923A"/>
    <w:rsid w:val="28D1DBE5"/>
    <w:rsid w:val="290F8F0D"/>
    <w:rsid w:val="2942FA26"/>
    <w:rsid w:val="29C4D6B1"/>
    <w:rsid w:val="2A1E0537"/>
    <w:rsid w:val="2A2D24C0"/>
    <w:rsid w:val="2A448C24"/>
    <w:rsid w:val="2A8E707C"/>
    <w:rsid w:val="2A93BFCE"/>
    <w:rsid w:val="2AE32F69"/>
    <w:rsid w:val="2AF0B247"/>
    <w:rsid w:val="2B0B0C0A"/>
    <w:rsid w:val="2B1BBA6F"/>
    <w:rsid w:val="2B849365"/>
    <w:rsid w:val="2B9F817E"/>
    <w:rsid w:val="2BA4F42F"/>
    <w:rsid w:val="2BC8F521"/>
    <w:rsid w:val="2D149F2B"/>
    <w:rsid w:val="2D27E58B"/>
    <w:rsid w:val="2D64C582"/>
    <w:rsid w:val="2D761649"/>
    <w:rsid w:val="2D7CB9C6"/>
    <w:rsid w:val="2DE2B214"/>
    <w:rsid w:val="2DFE62F3"/>
    <w:rsid w:val="2E158DAF"/>
    <w:rsid w:val="2E5EF5DB"/>
    <w:rsid w:val="2E69B98D"/>
    <w:rsid w:val="2EB44027"/>
    <w:rsid w:val="2EFF393A"/>
    <w:rsid w:val="2FDF6FB9"/>
    <w:rsid w:val="30265C81"/>
    <w:rsid w:val="3068B727"/>
    <w:rsid w:val="30810C02"/>
    <w:rsid w:val="30A7CA58"/>
    <w:rsid w:val="30AFC92F"/>
    <w:rsid w:val="312365E2"/>
    <w:rsid w:val="3139FB10"/>
    <w:rsid w:val="31AC11FA"/>
    <w:rsid w:val="31E22E51"/>
    <w:rsid w:val="323FA023"/>
    <w:rsid w:val="32502AE9"/>
    <w:rsid w:val="3271FEF4"/>
    <w:rsid w:val="33A4EF77"/>
    <w:rsid w:val="33D02CB5"/>
    <w:rsid w:val="33EBFB4A"/>
    <w:rsid w:val="33FFC300"/>
    <w:rsid w:val="3429283D"/>
    <w:rsid w:val="34BD18A2"/>
    <w:rsid w:val="34F1C9BF"/>
    <w:rsid w:val="34F5593E"/>
    <w:rsid w:val="353C284A"/>
    <w:rsid w:val="35878EF7"/>
    <w:rsid w:val="35B28D0C"/>
    <w:rsid w:val="360ED55A"/>
    <w:rsid w:val="3656969D"/>
    <w:rsid w:val="366D4DD7"/>
    <w:rsid w:val="36B2FBDB"/>
    <w:rsid w:val="36BEF324"/>
    <w:rsid w:val="3713954E"/>
    <w:rsid w:val="376C472C"/>
    <w:rsid w:val="38296A81"/>
    <w:rsid w:val="386D7B12"/>
    <w:rsid w:val="3873C90C"/>
    <w:rsid w:val="38AF65AF"/>
    <w:rsid w:val="38BF6C6D"/>
    <w:rsid w:val="3957489F"/>
    <w:rsid w:val="39D5430A"/>
    <w:rsid w:val="3A040EE9"/>
    <w:rsid w:val="3A202BA3"/>
    <w:rsid w:val="3A70DD84"/>
    <w:rsid w:val="3A80F25F"/>
    <w:rsid w:val="3A9AAAA8"/>
    <w:rsid w:val="3A9D5490"/>
    <w:rsid w:val="3AE2467D"/>
    <w:rsid w:val="3B16DBAE"/>
    <w:rsid w:val="3B36B686"/>
    <w:rsid w:val="3B3FADBB"/>
    <w:rsid w:val="3B9D1FA7"/>
    <w:rsid w:val="3BA217C0"/>
    <w:rsid w:val="3BA924F3"/>
    <w:rsid w:val="3BAB443D"/>
    <w:rsid w:val="3C52AC31"/>
    <w:rsid w:val="3CCF258B"/>
    <w:rsid w:val="3D13576D"/>
    <w:rsid w:val="3D4077B2"/>
    <w:rsid w:val="3D82D6D2"/>
    <w:rsid w:val="3DD4F552"/>
    <w:rsid w:val="3E4982D8"/>
    <w:rsid w:val="3ECB7965"/>
    <w:rsid w:val="3EF21981"/>
    <w:rsid w:val="3EF83AE5"/>
    <w:rsid w:val="3EFAA641"/>
    <w:rsid w:val="3F0FC3F3"/>
    <w:rsid w:val="3F4B0C47"/>
    <w:rsid w:val="3FC7F5EB"/>
    <w:rsid w:val="3FE55339"/>
    <w:rsid w:val="402755E4"/>
    <w:rsid w:val="404C280D"/>
    <w:rsid w:val="4089D9A7"/>
    <w:rsid w:val="40C62FBF"/>
    <w:rsid w:val="40ED277E"/>
    <w:rsid w:val="4373097F"/>
    <w:rsid w:val="440A76CC"/>
    <w:rsid w:val="442BE0A5"/>
    <w:rsid w:val="4443C460"/>
    <w:rsid w:val="444DE215"/>
    <w:rsid w:val="4453A417"/>
    <w:rsid w:val="44BE375C"/>
    <w:rsid w:val="45294FB4"/>
    <w:rsid w:val="45439560"/>
    <w:rsid w:val="456306D5"/>
    <w:rsid w:val="45C8B91F"/>
    <w:rsid w:val="462E8C4F"/>
    <w:rsid w:val="468A33CA"/>
    <w:rsid w:val="46AC922D"/>
    <w:rsid w:val="46D3C98E"/>
    <w:rsid w:val="46E58E45"/>
    <w:rsid w:val="475ADF56"/>
    <w:rsid w:val="47C10E91"/>
    <w:rsid w:val="47C952E9"/>
    <w:rsid w:val="4848628E"/>
    <w:rsid w:val="48E66EDF"/>
    <w:rsid w:val="493F9DB3"/>
    <w:rsid w:val="49477BF9"/>
    <w:rsid w:val="494EE118"/>
    <w:rsid w:val="495FB732"/>
    <w:rsid w:val="4A170683"/>
    <w:rsid w:val="4A366F71"/>
    <w:rsid w:val="4AB0FAB2"/>
    <w:rsid w:val="4AB7910F"/>
    <w:rsid w:val="4AE34C5A"/>
    <w:rsid w:val="4AF88340"/>
    <w:rsid w:val="4C13A977"/>
    <w:rsid w:val="4C20BB57"/>
    <w:rsid w:val="4C25966A"/>
    <w:rsid w:val="4C3C754B"/>
    <w:rsid w:val="4C573641"/>
    <w:rsid w:val="4C9453A1"/>
    <w:rsid w:val="4C9C282E"/>
    <w:rsid w:val="4CDBB631"/>
    <w:rsid w:val="4D0C7490"/>
    <w:rsid w:val="4DE1E847"/>
    <w:rsid w:val="4EADA1EC"/>
    <w:rsid w:val="4EAF087C"/>
    <w:rsid w:val="4EB448C0"/>
    <w:rsid w:val="4F846BD5"/>
    <w:rsid w:val="4FAEDF37"/>
    <w:rsid w:val="4FE49B73"/>
    <w:rsid w:val="4FF99CA4"/>
    <w:rsid w:val="50036489"/>
    <w:rsid w:val="5024D79D"/>
    <w:rsid w:val="502BAB20"/>
    <w:rsid w:val="505718E5"/>
    <w:rsid w:val="508D5E84"/>
    <w:rsid w:val="50FAE609"/>
    <w:rsid w:val="510F1973"/>
    <w:rsid w:val="5126D293"/>
    <w:rsid w:val="5167C4C4"/>
    <w:rsid w:val="51806BD4"/>
    <w:rsid w:val="51E49B18"/>
    <w:rsid w:val="51E6A93E"/>
    <w:rsid w:val="5296B66A"/>
    <w:rsid w:val="52E1FEF0"/>
    <w:rsid w:val="531C3C35"/>
    <w:rsid w:val="53610332"/>
    <w:rsid w:val="540A4749"/>
    <w:rsid w:val="5446BA35"/>
    <w:rsid w:val="544C30CC"/>
    <w:rsid w:val="549876CA"/>
    <w:rsid w:val="549C803A"/>
    <w:rsid w:val="54C22D24"/>
    <w:rsid w:val="54E2D6B6"/>
    <w:rsid w:val="5512E17D"/>
    <w:rsid w:val="556D076C"/>
    <w:rsid w:val="55C2FBC9"/>
    <w:rsid w:val="55F8ABE9"/>
    <w:rsid w:val="561B0777"/>
    <w:rsid w:val="5653DCF7"/>
    <w:rsid w:val="56691DC1"/>
    <w:rsid w:val="56BA1A61"/>
    <w:rsid w:val="575A4E70"/>
    <w:rsid w:val="576D3CC6"/>
    <w:rsid w:val="57749950"/>
    <w:rsid w:val="57D87A28"/>
    <w:rsid w:val="57E945ED"/>
    <w:rsid w:val="5813ED48"/>
    <w:rsid w:val="5856FB0B"/>
    <w:rsid w:val="58603436"/>
    <w:rsid w:val="58976C07"/>
    <w:rsid w:val="5972D6A9"/>
    <w:rsid w:val="59D28D66"/>
    <w:rsid w:val="5A6E04D1"/>
    <w:rsid w:val="5AA7A38D"/>
    <w:rsid w:val="5AE4CB60"/>
    <w:rsid w:val="5B0EA70A"/>
    <w:rsid w:val="5B1998E3"/>
    <w:rsid w:val="5BC66467"/>
    <w:rsid w:val="5BD0E834"/>
    <w:rsid w:val="5BE96DB3"/>
    <w:rsid w:val="5BEA2EAD"/>
    <w:rsid w:val="5BEB1338"/>
    <w:rsid w:val="5C664E9F"/>
    <w:rsid w:val="5C809BC1"/>
    <w:rsid w:val="5CDBB03D"/>
    <w:rsid w:val="5D3698E9"/>
    <w:rsid w:val="5D6234C8"/>
    <w:rsid w:val="5D6CB895"/>
    <w:rsid w:val="5D6E8304"/>
    <w:rsid w:val="5D85053E"/>
    <w:rsid w:val="5DC0E4D4"/>
    <w:rsid w:val="5DD81EDE"/>
    <w:rsid w:val="5E0C9211"/>
    <w:rsid w:val="5EC2B23D"/>
    <w:rsid w:val="5FDC062A"/>
    <w:rsid w:val="60A43AB6"/>
    <w:rsid w:val="616B516A"/>
    <w:rsid w:val="61F27FFC"/>
    <w:rsid w:val="625EA859"/>
    <w:rsid w:val="628893DD"/>
    <w:rsid w:val="63001040"/>
    <w:rsid w:val="63047E32"/>
    <w:rsid w:val="6321A675"/>
    <w:rsid w:val="63751E63"/>
    <w:rsid w:val="638E505D"/>
    <w:rsid w:val="63A2D902"/>
    <w:rsid w:val="6493E840"/>
    <w:rsid w:val="649BE0A1"/>
    <w:rsid w:val="64A752CC"/>
    <w:rsid w:val="64A8A497"/>
    <w:rsid w:val="6510EEC4"/>
    <w:rsid w:val="653C5B50"/>
    <w:rsid w:val="65C0349F"/>
    <w:rsid w:val="66764686"/>
    <w:rsid w:val="675FF95B"/>
    <w:rsid w:val="67931BAC"/>
    <w:rsid w:val="67F51798"/>
    <w:rsid w:val="6814F2F8"/>
    <w:rsid w:val="68A7B4E7"/>
    <w:rsid w:val="68C7E382"/>
    <w:rsid w:val="694E5DFB"/>
    <w:rsid w:val="6985F5C0"/>
    <w:rsid w:val="6990E7F9"/>
    <w:rsid w:val="69BED3DC"/>
    <w:rsid w:val="6A15B9E9"/>
    <w:rsid w:val="6A22C262"/>
    <w:rsid w:val="6A6826B7"/>
    <w:rsid w:val="6A9855EF"/>
    <w:rsid w:val="6A9B052F"/>
    <w:rsid w:val="6B29D30E"/>
    <w:rsid w:val="6B2CB85A"/>
    <w:rsid w:val="6B625FA1"/>
    <w:rsid w:val="6BBEE131"/>
    <w:rsid w:val="6BCBCB10"/>
    <w:rsid w:val="6C0B1570"/>
    <w:rsid w:val="6C3102F2"/>
    <w:rsid w:val="6C5A3DFE"/>
    <w:rsid w:val="6C5F1C27"/>
    <w:rsid w:val="6C71F92A"/>
    <w:rsid w:val="6DB3DCDB"/>
    <w:rsid w:val="6DC8A387"/>
    <w:rsid w:val="6E1A1A45"/>
    <w:rsid w:val="6E7698C1"/>
    <w:rsid w:val="6EE07B0F"/>
    <w:rsid w:val="6FCA012B"/>
    <w:rsid w:val="7004A812"/>
    <w:rsid w:val="700EE7E5"/>
    <w:rsid w:val="7030374B"/>
    <w:rsid w:val="709C0E1A"/>
    <w:rsid w:val="70ABDD64"/>
    <w:rsid w:val="70C03F69"/>
    <w:rsid w:val="70CE7200"/>
    <w:rsid w:val="70F56252"/>
    <w:rsid w:val="7104AB58"/>
    <w:rsid w:val="717ED01C"/>
    <w:rsid w:val="718687E3"/>
    <w:rsid w:val="71A07873"/>
    <w:rsid w:val="72186131"/>
    <w:rsid w:val="7246B059"/>
    <w:rsid w:val="7276C087"/>
    <w:rsid w:val="73AC3ECC"/>
    <w:rsid w:val="73D646AB"/>
    <w:rsid w:val="741290E8"/>
    <w:rsid w:val="7419ABD5"/>
    <w:rsid w:val="75B13989"/>
    <w:rsid w:val="7605FE6D"/>
    <w:rsid w:val="764FCD0A"/>
    <w:rsid w:val="772F80ED"/>
    <w:rsid w:val="774A31AA"/>
    <w:rsid w:val="77783A35"/>
    <w:rsid w:val="77C6F4B7"/>
    <w:rsid w:val="78E6020B"/>
    <w:rsid w:val="78E8DA4B"/>
    <w:rsid w:val="7915E6B1"/>
    <w:rsid w:val="79742C3F"/>
    <w:rsid w:val="79A43557"/>
    <w:rsid w:val="79F9A9FB"/>
    <w:rsid w:val="7A6AF207"/>
    <w:rsid w:val="7B3BF9FD"/>
    <w:rsid w:val="7BB6A57F"/>
    <w:rsid w:val="7C00618E"/>
    <w:rsid w:val="7C02F210"/>
    <w:rsid w:val="7C02F646"/>
    <w:rsid w:val="7C1A1305"/>
    <w:rsid w:val="7C245B12"/>
    <w:rsid w:val="7C3E3F52"/>
    <w:rsid w:val="7C4B1EFB"/>
    <w:rsid w:val="7CF648FF"/>
    <w:rsid w:val="7D130039"/>
    <w:rsid w:val="7D9EC271"/>
    <w:rsid w:val="7DB9471B"/>
    <w:rsid w:val="7E4B01FA"/>
    <w:rsid w:val="7EB596C0"/>
    <w:rsid w:val="7EF7A5D3"/>
    <w:rsid w:val="7F338147"/>
    <w:rsid w:val="7F380250"/>
    <w:rsid w:val="7FB4CE39"/>
    <w:rsid w:val="7FE7FD4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13ED48"/>
  <w15:chartTrackingRefBased/>
  <w15:docId w15:val="{BC524739-03B4-4E25-9961-28E01E4208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63/156913311X578181" TargetMode="External"/><Relationship Id="rId3" Type="http://schemas.openxmlformats.org/officeDocument/2006/relationships/settings" Target="settings.xml"/><Relationship Id="rId7" Type="http://schemas.openxmlformats.org/officeDocument/2006/relationships/hyperlink" Target="https://doi.org/10.1016/j.econedurev.2017.10.005" TargetMode="External"/><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80/03054980902934662" TargetMode="External"/><Relationship Id="rId11" Type="http://schemas.openxmlformats.org/officeDocument/2006/relationships/theme" Target="theme/theme1.xml"/><Relationship Id="rId5" Type="http://schemas.openxmlformats.org/officeDocument/2006/relationships/hyperlink" Target="https://www.bera.ac.uk/researchers-resources/publications/ethicalguidelines-for-educational-research-2018"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207/s15327930pje7201_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5d973b7-b229-4fb8-a52c-cf0d482ff8b8">
  <we:reference id="8c1c3d44-57e9-40d7-86e4-4adf61fea1dd" version="2.1.0.1" store="excatalog" storeType="excatalog"/>
  <we:alternateReferences>
    <we:reference id="WA104380122" version="2.1.0.1" store="en-GB" storeType="omex"/>
  </we:alternateReferences>
  <we:properties>
    <we:property name="rcm.version" value="2"/>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TotalTime>
  <Pages>16</Pages>
  <Words>5061</Words>
  <Characters>28848</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Maskery (1451073)</dc:creator>
  <cp:keywords/>
  <dc:description/>
  <cp:lastModifiedBy>Danielle Maskery (1451073)</cp:lastModifiedBy>
  <cp:revision>2</cp:revision>
  <dcterms:created xsi:type="dcterms:W3CDTF">2023-11-13T19:11:00Z</dcterms:created>
  <dcterms:modified xsi:type="dcterms:W3CDTF">2023-11-13T19:11:00Z</dcterms:modified>
</cp:coreProperties>
</file>