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42A7" w14:textId="53149DE4" w:rsidR="00177CBD" w:rsidRDefault="78652AEF" w:rsidP="5CF2EFB3">
      <w:pPr>
        <w:spacing w:line="360" w:lineRule="auto"/>
        <w:jc w:val="center"/>
        <w:rPr>
          <w:rFonts w:ascii="Arial" w:eastAsia="Arial" w:hAnsi="Arial" w:cs="Arial"/>
          <w:color w:val="000000" w:themeColor="text1"/>
          <w:sz w:val="32"/>
          <w:szCs w:val="32"/>
        </w:rPr>
      </w:pPr>
      <w:r w:rsidRPr="5CF2EFB3">
        <w:rPr>
          <w:rFonts w:ascii="Arial" w:eastAsia="Arial" w:hAnsi="Arial" w:cs="Arial"/>
          <w:b/>
          <w:bCs/>
          <w:color w:val="000000" w:themeColor="text1"/>
          <w:sz w:val="32"/>
          <w:szCs w:val="32"/>
        </w:rPr>
        <w:t>ASSIGNMENT 1: STUDENT JOURNAL</w:t>
      </w:r>
    </w:p>
    <w:p w14:paraId="1D4A9CA6" w14:textId="07C5CA14" w:rsidR="00177CBD" w:rsidRDefault="00177CBD" w:rsidP="5CF2EFB3">
      <w:pPr>
        <w:spacing w:line="360" w:lineRule="auto"/>
        <w:jc w:val="center"/>
        <w:rPr>
          <w:rFonts w:ascii="Arial" w:eastAsia="Arial" w:hAnsi="Arial" w:cs="Arial"/>
          <w:b/>
          <w:bCs/>
          <w:color w:val="000000" w:themeColor="text1"/>
          <w:sz w:val="32"/>
          <w:szCs w:val="32"/>
        </w:rPr>
      </w:pPr>
    </w:p>
    <w:p w14:paraId="223D44B9" w14:textId="31EF69CE" w:rsidR="00177CBD" w:rsidRDefault="00177CBD" w:rsidP="5CF2EFB3">
      <w:pPr>
        <w:spacing w:line="360" w:lineRule="auto"/>
        <w:jc w:val="center"/>
        <w:rPr>
          <w:rFonts w:ascii="Arial" w:eastAsia="Arial" w:hAnsi="Arial" w:cs="Arial"/>
          <w:b/>
          <w:bCs/>
          <w:color w:val="000000" w:themeColor="text1"/>
          <w:sz w:val="32"/>
          <w:szCs w:val="32"/>
        </w:rPr>
      </w:pPr>
    </w:p>
    <w:p w14:paraId="53122DCF" w14:textId="7FCEC12B" w:rsidR="00177CBD" w:rsidRDefault="00177CBD" w:rsidP="5CF2EFB3">
      <w:pPr>
        <w:spacing w:line="360" w:lineRule="auto"/>
        <w:jc w:val="center"/>
        <w:rPr>
          <w:rFonts w:ascii="Arial" w:eastAsia="Arial" w:hAnsi="Arial" w:cs="Arial"/>
          <w:b/>
          <w:bCs/>
          <w:color w:val="000000" w:themeColor="text1"/>
          <w:sz w:val="32"/>
          <w:szCs w:val="32"/>
        </w:rPr>
      </w:pPr>
    </w:p>
    <w:p w14:paraId="5CACC594" w14:textId="43F4D2F7" w:rsidR="00177CBD" w:rsidRDefault="00177CBD" w:rsidP="5CF2EFB3">
      <w:pPr>
        <w:spacing w:line="360" w:lineRule="auto"/>
        <w:jc w:val="center"/>
        <w:rPr>
          <w:rFonts w:ascii="Arial" w:eastAsia="Arial" w:hAnsi="Arial" w:cs="Arial"/>
          <w:b/>
          <w:bCs/>
          <w:color w:val="000000" w:themeColor="text1"/>
          <w:sz w:val="32"/>
          <w:szCs w:val="32"/>
        </w:rPr>
      </w:pPr>
    </w:p>
    <w:p w14:paraId="13281C07" w14:textId="528467A3" w:rsidR="00177CBD" w:rsidRDefault="00177CBD" w:rsidP="5CF2EFB3">
      <w:pPr>
        <w:spacing w:line="360" w:lineRule="auto"/>
        <w:jc w:val="center"/>
        <w:rPr>
          <w:rFonts w:ascii="Arial" w:eastAsia="Arial" w:hAnsi="Arial" w:cs="Arial"/>
          <w:b/>
          <w:bCs/>
          <w:color w:val="000000" w:themeColor="text1"/>
          <w:sz w:val="32"/>
          <w:szCs w:val="32"/>
        </w:rPr>
      </w:pPr>
    </w:p>
    <w:p w14:paraId="61AB6732" w14:textId="0F0F2C2B" w:rsidR="00177CBD" w:rsidRDefault="00177CBD" w:rsidP="5CF2EFB3">
      <w:pPr>
        <w:spacing w:line="360" w:lineRule="auto"/>
        <w:jc w:val="center"/>
        <w:rPr>
          <w:rFonts w:ascii="Arial" w:eastAsia="Arial" w:hAnsi="Arial" w:cs="Arial"/>
          <w:b/>
          <w:bCs/>
          <w:color w:val="000000" w:themeColor="text1"/>
          <w:sz w:val="32"/>
          <w:szCs w:val="32"/>
        </w:rPr>
      </w:pPr>
    </w:p>
    <w:p w14:paraId="5734366D" w14:textId="4112C9E2" w:rsidR="00177CBD" w:rsidRDefault="00177CBD" w:rsidP="5CF2EFB3">
      <w:pPr>
        <w:spacing w:line="360" w:lineRule="auto"/>
        <w:jc w:val="center"/>
        <w:rPr>
          <w:rFonts w:ascii="Arial" w:eastAsia="Arial" w:hAnsi="Arial" w:cs="Arial"/>
          <w:b/>
          <w:bCs/>
          <w:color w:val="000000" w:themeColor="text1"/>
          <w:sz w:val="32"/>
          <w:szCs w:val="32"/>
        </w:rPr>
      </w:pPr>
    </w:p>
    <w:p w14:paraId="616DF0F9" w14:textId="74D20F6C" w:rsidR="00177CBD" w:rsidRDefault="00177CBD" w:rsidP="5CF2EFB3">
      <w:pPr>
        <w:spacing w:line="360" w:lineRule="auto"/>
        <w:jc w:val="center"/>
        <w:rPr>
          <w:rFonts w:ascii="Arial" w:eastAsia="Arial" w:hAnsi="Arial" w:cs="Arial"/>
          <w:b/>
          <w:bCs/>
          <w:color w:val="000000" w:themeColor="text1"/>
          <w:sz w:val="32"/>
          <w:szCs w:val="32"/>
        </w:rPr>
      </w:pPr>
    </w:p>
    <w:p w14:paraId="6423F026" w14:textId="189B1198" w:rsidR="00177CBD" w:rsidRDefault="00177CBD" w:rsidP="5CF2EFB3">
      <w:pPr>
        <w:spacing w:line="360" w:lineRule="auto"/>
        <w:jc w:val="center"/>
        <w:rPr>
          <w:rFonts w:ascii="Arial" w:eastAsia="Arial" w:hAnsi="Arial" w:cs="Arial"/>
          <w:b/>
          <w:bCs/>
          <w:color w:val="000000" w:themeColor="text1"/>
          <w:sz w:val="32"/>
          <w:szCs w:val="32"/>
        </w:rPr>
      </w:pPr>
    </w:p>
    <w:p w14:paraId="682B7EBE" w14:textId="1F1CCCF4" w:rsidR="00177CBD" w:rsidRDefault="00177CBD" w:rsidP="5CF2EFB3">
      <w:pPr>
        <w:spacing w:line="360" w:lineRule="auto"/>
        <w:jc w:val="center"/>
        <w:rPr>
          <w:rFonts w:ascii="Arial" w:eastAsia="Arial" w:hAnsi="Arial" w:cs="Arial"/>
          <w:b/>
          <w:bCs/>
          <w:color w:val="000000" w:themeColor="text1"/>
          <w:sz w:val="32"/>
          <w:szCs w:val="32"/>
        </w:rPr>
      </w:pPr>
    </w:p>
    <w:p w14:paraId="2B9E243C" w14:textId="1A607171" w:rsidR="00177CBD" w:rsidRDefault="00177CBD" w:rsidP="5CF2EFB3">
      <w:pPr>
        <w:spacing w:line="360" w:lineRule="auto"/>
        <w:jc w:val="center"/>
        <w:rPr>
          <w:rFonts w:ascii="Arial" w:eastAsia="Arial" w:hAnsi="Arial" w:cs="Arial"/>
          <w:b/>
          <w:bCs/>
          <w:color w:val="000000" w:themeColor="text1"/>
          <w:sz w:val="32"/>
          <w:szCs w:val="32"/>
        </w:rPr>
      </w:pPr>
    </w:p>
    <w:p w14:paraId="048F2E5C" w14:textId="08BDE9A9" w:rsidR="00177CBD" w:rsidRDefault="00177CBD" w:rsidP="5CF2EFB3">
      <w:pPr>
        <w:spacing w:line="360" w:lineRule="auto"/>
        <w:jc w:val="center"/>
        <w:rPr>
          <w:rFonts w:ascii="Arial" w:eastAsia="Arial" w:hAnsi="Arial" w:cs="Arial"/>
          <w:b/>
          <w:bCs/>
          <w:color w:val="000000" w:themeColor="text1"/>
          <w:sz w:val="32"/>
          <w:szCs w:val="32"/>
        </w:rPr>
      </w:pPr>
    </w:p>
    <w:p w14:paraId="63C54B51" w14:textId="1CF72A0B" w:rsidR="00177CBD" w:rsidRDefault="00177CBD" w:rsidP="5CF2EFB3">
      <w:pPr>
        <w:spacing w:line="360" w:lineRule="auto"/>
        <w:jc w:val="center"/>
        <w:rPr>
          <w:rFonts w:ascii="Arial" w:eastAsia="Arial" w:hAnsi="Arial" w:cs="Arial"/>
          <w:b/>
          <w:bCs/>
          <w:color w:val="000000" w:themeColor="text1"/>
          <w:sz w:val="32"/>
          <w:szCs w:val="32"/>
        </w:rPr>
      </w:pPr>
    </w:p>
    <w:p w14:paraId="3219E173" w14:textId="7FD15298" w:rsidR="00177CBD" w:rsidRDefault="00177CBD" w:rsidP="5CF2EFB3">
      <w:pPr>
        <w:spacing w:line="360" w:lineRule="auto"/>
        <w:jc w:val="center"/>
        <w:rPr>
          <w:rFonts w:ascii="Arial" w:eastAsia="Arial" w:hAnsi="Arial" w:cs="Arial"/>
          <w:b/>
          <w:bCs/>
          <w:color w:val="000000" w:themeColor="text1"/>
          <w:sz w:val="32"/>
          <w:szCs w:val="32"/>
        </w:rPr>
      </w:pPr>
    </w:p>
    <w:p w14:paraId="774EF351" w14:textId="7F2CB8A2" w:rsidR="00177CBD" w:rsidRDefault="00177CBD" w:rsidP="5CF2EFB3">
      <w:pPr>
        <w:spacing w:line="360" w:lineRule="auto"/>
        <w:jc w:val="center"/>
        <w:rPr>
          <w:rFonts w:ascii="Arial" w:eastAsia="Arial" w:hAnsi="Arial" w:cs="Arial"/>
          <w:b/>
          <w:bCs/>
          <w:color w:val="000000" w:themeColor="text1"/>
          <w:sz w:val="32"/>
          <w:szCs w:val="32"/>
        </w:rPr>
      </w:pPr>
    </w:p>
    <w:p w14:paraId="7F28532C" w14:textId="6AC3A242" w:rsidR="00177CBD" w:rsidRDefault="00177CBD" w:rsidP="5CF2EFB3">
      <w:pPr>
        <w:spacing w:line="360" w:lineRule="auto"/>
        <w:jc w:val="center"/>
        <w:rPr>
          <w:rFonts w:ascii="Arial" w:eastAsia="Arial" w:hAnsi="Arial" w:cs="Arial"/>
          <w:b/>
          <w:bCs/>
          <w:color w:val="000000" w:themeColor="text1"/>
          <w:sz w:val="32"/>
          <w:szCs w:val="32"/>
        </w:rPr>
      </w:pPr>
    </w:p>
    <w:p w14:paraId="6B06CB5D" w14:textId="47BE7251" w:rsidR="00177CBD" w:rsidRDefault="00177CBD" w:rsidP="5CF2EFB3">
      <w:pPr>
        <w:spacing w:line="360" w:lineRule="auto"/>
        <w:jc w:val="center"/>
        <w:rPr>
          <w:rFonts w:ascii="Arial" w:eastAsia="Arial" w:hAnsi="Arial" w:cs="Arial"/>
          <w:b/>
          <w:bCs/>
          <w:color w:val="000000" w:themeColor="text1"/>
          <w:sz w:val="32"/>
          <w:szCs w:val="32"/>
        </w:rPr>
      </w:pPr>
    </w:p>
    <w:p w14:paraId="29266782" w14:textId="3D94CD22" w:rsidR="00177CBD" w:rsidRDefault="00177CBD" w:rsidP="5CF2EFB3">
      <w:pPr>
        <w:spacing w:line="360" w:lineRule="auto"/>
        <w:jc w:val="center"/>
        <w:rPr>
          <w:rFonts w:ascii="Arial" w:eastAsia="Arial" w:hAnsi="Arial" w:cs="Arial"/>
          <w:b/>
          <w:bCs/>
          <w:color w:val="000000" w:themeColor="text1"/>
          <w:sz w:val="32"/>
          <w:szCs w:val="32"/>
        </w:rPr>
      </w:pPr>
    </w:p>
    <w:p w14:paraId="7EE1C6FE" w14:textId="73FEDEB3" w:rsidR="00177CBD" w:rsidRDefault="00177CBD" w:rsidP="5CF2EFB3">
      <w:pPr>
        <w:spacing w:line="276" w:lineRule="auto"/>
        <w:rPr>
          <w:rFonts w:ascii="Arial" w:eastAsia="Arial" w:hAnsi="Arial" w:cs="Arial"/>
          <w:color w:val="000000" w:themeColor="text1"/>
          <w:sz w:val="32"/>
          <w:szCs w:val="32"/>
        </w:rPr>
      </w:pPr>
    </w:p>
    <w:p w14:paraId="57D6F1F4" w14:textId="61C38E19" w:rsidR="00177CBD" w:rsidRDefault="78652AEF" w:rsidP="5CF2EFB3">
      <w:pPr>
        <w:keepNext/>
        <w:keepLines/>
        <w:spacing w:before="240" w:after="240" w:line="360" w:lineRule="auto"/>
        <w:jc w:val="center"/>
        <w:rPr>
          <w:rFonts w:ascii="Arial" w:eastAsia="Arial" w:hAnsi="Arial" w:cs="Arial"/>
          <w:color w:val="000000" w:themeColor="text1"/>
          <w:sz w:val="24"/>
          <w:szCs w:val="24"/>
        </w:rPr>
      </w:pPr>
      <w:r w:rsidRPr="5CF2EFB3">
        <w:rPr>
          <w:rFonts w:ascii="Arial" w:eastAsia="Arial" w:hAnsi="Arial" w:cs="Arial"/>
          <w:b/>
          <w:bCs/>
          <w:color w:val="000000" w:themeColor="text1"/>
          <w:sz w:val="24"/>
          <w:szCs w:val="24"/>
        </w:rPr>
        <w:t xml:space="preserve">  </w:t>
      </w:r>
      <w:r w:rsidRPr="5CF2EFB3">
        <w:rPr>
          <w:rFonts w:ascii="Arial" w:eastAsia="Arial" w:hAnsi="Arial" w:cs="Arial"/>
          <w:b/>
          <w:bCs/>
          <w:color w:val="000000" w:themeColor="text1"/>
          <w:sz w:val="24"/>
          <w:szCs w:val="24"/>
          <w:lang w:val="en-US"/>
        </w:rPr>
        <w:t>Table of Contents</w:t>
      </w:r>
    </w:p>
    <w:p w14:paraId="32E120B8" w14:textId="734E2B00" w:rsidR="00177CBD" w:rsidRDefault="78652AEF" w:rsidP="5CF2EFB3">
      <w:pPr>
        <w:tabs>
          <w:tab w:val="right" w:leader="dot" w:pos="9019"/>
        </w:tabs>
        <w:spacing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u w:val="single"/>
        </w:rPr>
        <w:t xml:space="preserve"> Introduction...................................................................................</w:t>
      </w:r>
      <w:r w:rsidR="12673CC1" w:rsidRPr="5CF2EFB3">
        <w:rPr>
          <w:rFonts w:ascii="Arial" w:eastAsia="Arial" w:hAnsi="Arial" w:cs="Arial"/>
          <w:color w:val="000000" w:themeColor="text1"/>
          <w:sz w:val="24"/>
          <w:szCs w:val="24"/>
          <w:u w:val="single"/>
        </w:rPr>
        <w:t>....................</w:t>
      </w:r>
      <w:r w:rsidRPr="5CF2EFB3">
        <w:rPr>
          <w:rFonts w:ascii="Arial" w:eastAsia="Arial" w:hAnsi="Arial" w:cs="Arial"/>
          <w:color w:val="000000" w:themeColor="text1"/>
          <w:sz w:val="24"/>
          <w:szCs w:val="24"/>
          <w:u w:val="single"/>
        </w:rPr>
        <w:t>..</w:t>
      </w:r>
      <w:r w:rsidR="0FB10724" w:rsidRPr="5CF2EFB3">
        <w:rPr>
          <w:rFonts w:ascii="Arial" w:eastAsia="Arial" w:hAnsi="Arial" w:cs="Arial"/>
          <w:color w:val="000000" w:themeColor="text1"/>
          <w:sz w:val="24"/>
          <w:szCs w:val="24"/>
          <w:u w:val="single"/>
        </w:rPr>
        <w:t>..</w:t>
      </w:r>
      <w:r w:rsidR="7D8CB0F7" w:rsidRPr="5CF2EFB3">
        <w:rPr>
          <w:rFonts w:ascii="Arial" w:eastAsia="Arial" w:hAnsi="Arial" w:cs="Arial"/>
          <w:color w:val="000000" w:themeColor="text1"/>
          <w:sz w:val="24"/>
          <w:szCs w:val="24"/>
          <w:u w:val="single"/>
        </w:rPr>
        <w:t>3</w:t>
      </w:r>
    </w:p>
    <w:p w14:paraId="58123064" w14:textId="62CC0729" w:rsidR="00177CBD" w:rsidRDefault="7D8CB0F7" w:rsidP="5CF2EFB3">
      <w:pPr>
        <w:tabs>
          <w:tab w:val="right" w:leader="dot" w:pos="9019"/>
        </w:tabs>
        <w:spacing w:after="240" w:line="360" w:lineRule="auto"/>
        <w:jc w:val="both"/>
        <w:rPr>
          <w:rFonts w:ascii="Arial" w:eastAsia="Arial" w:hAnsi="Arial" w:cs="Arial"/>
          <w:color w:val="000000" w:themeColor="text1"/>
          <w:sz w:val="24"/>
          <w:szCs w:val="24"/>
          <w:u w:val="single"/>
        </w:rPr>
      </w:pPr>
      <w:r w:rsidRPr="5CF2EFB3">
        <w:rPr>
          <w:rFonts w:ascii="Arial" w:eastAsia="Arial" w:hAnsi="Arial" w:cs="Arial"/>
          <w:color w:val="000000" w:themeColor="text1"/>
          <w:sz w:val="24"/>
          <w:szCs w:val="24"/>
          <w:u w:val="single"/>
        </w:rPr>
        <w:t>Evaluation of cooking skills in the restaurant industry....................</w:t>
      </w:r>
      <w:r w:rsidR="108D265D" w:rsidRPr="5CF2EFB3">
        <w:rPr>
          <w:rFonts w:ascii="Arial" w:eastAsia="Arial" w:hAnsi="Arial" w:cs="Arial"/>
          <w:color w:val="000000" w:themeColor="text1"/>
          <w:sz w:val="24"/>
          <w:szCs w:val="24"/>
          <w:u w:val="single"/>
        </w:rPr>
        <w:t>.....................</w:t>
      </w:r>
      <w:r w:rsidRPr="5CF2EFB3">
        <w:rPr>
          <w:rFonts w:ascii="Arial" w:eastAsia="Arial" w:hAnsi="Arial" w:cs="Arial"/>
          <w:color w:val="000000" w:themeColor="text1"/>
          <w:sz w:val="24"/>
          <w:szCs w:val="24"/>
          <w:u w:val="single"/>
        </w:rPr>
        <w:t>.</w:t>
      </w:r>
      <w:r w:rsidR="1A98AA3B" w:rsidRPr="5CF2EFB3">
        <w:rPr>
          <w:rFonts w:ascii="Arial" w:eastAsia="Arial" w:hAnsi="Arial" w:cs="Arial"/>
          <w:color w:val="000000" w:themeColor="text1"/>
          <w:sz w:val="24"/>
          <w:szCs w:val="24"/>
          <w:u w:val="single"/>
        </w:rPr>
        <w:t>.</w:t>
      </w:r>
      <w:r w:rsidRPr="5CF2EFB3">
        <w:rPr>
          <w:rFonts w:ascii="Arial" w:eastAsia="Arial" w:hAnsi="Arial" w:cs="Arial"/>
          <w:color w:val="000000" w:themeColor="text1"/>
          <w:sz w:val="24"/>
          <w:szCs w:val="24"/>
          <w:u w:val="single"/>
        </w:rPr>
        <w:t>3</w:t>
      </w:r>
    </w:p>
    <w:p w14:paraId="053B2BA5" w14:textId="6B7B3451" w:rsidR="00177CBD" w:rsidRDefault="7D8CB0F7" w:rsidP="5CF2EFB3">
      <w:pPr>
        <w:tabs>
          <w:tab w:val="right" w:leader="dot" w:pos="9019"/>
        </w:tabs>
        <w:spacing w:after="240" w:line="360" w:lineRule="auto"/>
        <w:jc w:val="both"/>
        <w:rPr>
          <w:rFonts w:ascii="Arial" w:eastAsia="Arial" w:hAnsi="Arial" w:cs="Arial"/>
          <w:color w:val="000000" w:themeColor="text1"/>
          <w:sz w:val="24"/>
          <w:szCs w:val="24"/>
          <w:u w:val="single"/>
        </w:rPr>
      </w:pPr>
      <w:r w:rsidRPr="5CF2EFB3">
        <w:rPr>
          <w:rFonts w:ascii="Arial" w:eastAsia="Arial" w:hAnsi="Arial" w:cs="Arial"/>
          <w:color w:val="000000" w:themeColor="text1"/>
          <w:sz w:val="24"/>
          <w:szCs w:val="24"/>
          <w:u w:val="single"/>
        </w:rPr>
        <w:t xml:space="preserve">Skills </w:t>
      </w:r>
      <w:r w:rsidR="23C1A4D5" w:rsidRPr="5CF2EFB3">
        <w:rPr>
          <w:rFonts w:ascii="Arial" w:eastAsia="Arial" w:hAnsi="Arial" w:cs="Arial"/>
          <w:color w:val="000000" w:themeColor="text1"/>
          <w:sz w:val="24"/>
          <w:szCs w:val="24"/>
          <w:u w:val="single"/>
        </w:rPr>
        <w:t>comparison</w:t>
      </w:r>
      <w:r w:rsidRPr="5CF2EFB3">
        <w:rPr>
          <w:rFonts w:ascii="Arial" w:eastAsia="Arial" w:hAnsi="Arial" w:cs="Arial"/>
          <w:color w:val="000000" w:themeColor="text1"/>
          <w:sz w:val="24"/>
          <w:szCs w:val="24"/>
          <w:u w:val="single"/>
        </w:rPr>
        <w:t xml:space="preserve"> among chosen restaurants.................................</w:t>
      </w:r>
      <w:r w:rsidR="4E1CFBA7" w:rsidRPr="5CF2EFB3">
        <w:rPr>
          <w:rFonts w:ascii="Arial" w:eastAsia="Arial" w:hAnsi="Arial" w:cs="Arial"/>
          <w:color w:val="000000" w:themeColor="text1"/>
          <w:sz w:val="24"/>
          <w:szCs w:val="24"/>
          <w:u w:val="single"/>
        </w:rPr>
        <w:t>......................</w:t>
      </w:r>
      <w:r w:rsidRPr="5CF2EFB3">
        <w:rPr>
          <w:rFonts w:ascii="Arial" w:eastAsia="Arial" w:hAnsi="Arial" w:cs="Arial"/>
          <w:color w:val="000000" w:themeColor="text1"/>
          <w:sz w:val="24"/>
          <w:szCs w:val="24"/>
          <w:u w:val="single"/>
        </w:rPr>
        <w:t>3</w:t>
      </w:r>
    </w:p>
    <w:p w14:paraId="25EE93B3" w14:textId="7EDDB295" w:rsidR="00177CBD" w:rsidRDefault="7D8CB0F7" w:rsidP="5CF2EFB3">
      <w:pPr>
        <w:tabs>
          <w:tab w:val="right" w:leader="dot" w:pos="9019"/>
        </w:tabs>
        <w:spacing w:after="240" w:line="360" w:lineRule="auto"/>
        <w:jc w:val="both"/>
        <w:rPr>
          <w:rFonts w:ascii="Arial" w:eastAsia="Arial" w:hAnsi="Arial" w:cs="Arial"/>
          <w:color w:val="000000" w:themeColor="text1"/>
          <w:sz w:val="24"/>
          <w:szCs w:val="24"/>
          <w:u w:val="single"/>
        </w:rPr>
      </w:pPr>
      <w:r w:rsidRPr="5CF2EFB3">
        <w:rPr>
          <w:rFonts w:ascii="Arial" w:eastAsia="Arial" w:hAnsi="Arial" w:cs="Arial"/>
          <w:color w:val="000000" w:themeColor="text1"/>
          <w:sz w:val="24"/>
          <w:szCs w:val="24"/>
          <w:u w:val="single"/>
        </w:rPr>
        <w:t>Impact of skill variations on Employees’ skill sets and restaurant operations</w:t>
      </w:r>
      <w:r w:rsidR="3314CA28" w:rsidRPr="5CF2EFB3">
        <w:rPr>
          <w:rFonts w:ascii="Arial" w:eastAsia="Arial" w:hAnsi="Arial" w:cs="Arial"/>
          <w:color w:val="000000" w:themeColor="text1"/>
          <w:sz w:val="24"/>
          <w:szCs w:val="24"/>
          <w:u w:val="single"/>
        </w:rPr>
        <w:t>.......4</w:t>
      </w:r>
    </w:p>
    <w:p w14:paraId="68B85D39" w14:textId="47AB9624" w:rsidR="00177CBD" w:rsidRDefault="7E02A9FF" w:rsidP="5CF2EFB3">
      <w:pPr>
        <w:tabs>
          <w:tab w:val="right" w:leader="dot" w:pos="9019"/>
        </w:tabs>
        <w:spacing w:after="240" w:line="360" w:lineRule="auto"/>
        <w:jc w:val="both"/>
        <w:rPr>
          <w:rFonts w:ascii="Arial" w:eastAsia="Arial" w:hAnsi="Arial" w:cs="Arial"/>
          <w:color w:val="000000" w:themeColor="text1"/>
          <w:sz w:val="24"/>
          <w:szCs w:val="24"/>
          <w:u w:val="single"/>
        </w:rPr>
      </w:pPr>
      <w:r w:rsidRPr="5CF2EFB3">
        <w:rPr>
          <w:rFonts w:ascii="Arial" w:eastAsia="Arial" w:hAnsi="Arial" w:cs="Arial"/>
          <w:color w:val="000000" w:themeColor="text1"/>
          <w:sz w:val="24"/>
          <w:szCs w:val="24"/>
          <w:u w:val="single"/>
        </w:rPr>
        <w:t>Conclusion.............................................................................................................</w:t>
      </w:r>
      <w:r w:rsidR="6F0379BC" w:rsidRPr="5CF2EFB3">
        <w:rPr>
          <w:rFonts w:ascii="Arial" w:eastAsia="Arial" w:hAnsi="Arial" w:cs="Arial"/>
          <w:color w:val="000000" w:themeColor="text1"/>
          <w:sz w:val="24"/>
          <w:szCs w:val="24"/>
          <w:u w:val="single"/>
        </w:rPr>
        <w:t>5</w:t>
      </w:r>
    </w:p>
    <w:p w14:paraId="32FE7E3D" w14:textId="5DCFB282" w:rsidR="00177CBD" w:rsidRDefault="510C21F2" w:rsidP="5CF2EFB3">
      <w:pPr>
        <w:tabs>
          <w:tab w:val="right" w:leader="dot" w:pos="9019"/>
        </w:tabs>
        <w:spacing w:after="240" w:line="360" w:lineRule="auto"/>
        <w:jc w:val="both"/>
        <w:rPr>
          <w:rFonts w:ascii="Arial" w:eastAsia="Arial" w:hAnsi="Arial" w:cs="Arial"/>
          <w:color w:val="000000" w:themeColor="text1"/>
          <w:sz w:val="24"/>
          <w:szCs w:val="24"/>
          <w:u w:val="single"/>
        </w:rPr>
      </w:pPr>
      <w:r w:rsidRPr="5CF2EFB3">
        <w:rPr>
          <w:rFonts w:ascii="Arial" w:eastAsia="Arial" w:hAnsi="Arial" w:cs="Arial"/>
          <w:color w:val="000000" w:themeColor="text1"/>
          <w:sz w:val="24"/>
          <w:szCs w:val="24"/>
          <w:u w:val="single"/>
        </w:rPr>
        <w:t>Reference list …....................................................................................................</w:t>
      </w:r>
      <w:r w:rsidR="5D1B8B32" w:rsidRPr="5CF2EFB3">
        <w:rPr>
          <w:rFonts w:ascii="Arial" w:eastAsia="Arial" w:hAnsi="Arial" w:cs="Arial"/>
          <w:color w:val="000000" w:themeColor="text1"/>
          <w:sz w:val="24"/>
          <w:szCs w:val="24"/>
          <w:u w:val="single"/>
        </w:rPr>
        <w:t>.</w:t>
      </w:r>
      <w:r w:rsidRPr="5CF2EFB3">
        <w:rPr>
          <w:rFonts w:ascii="Arial" w:eastAsia="Arial" w:hAnsi="Arial" w:cs="Arial"/>
          <w:color w:val="000000" w:themeColor="text1"/>
          <w:sz w:val="24"/>
          <w:szCs w:val="24"/>
          <w:u w:val="single"/>
        </w:rPr>
        <w:t>6</w:t>
      </w:r>
    </w:p>
    <w:p w14:paraId="60877D9F" w14:textId="6A2306FF"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u w:val="single"/>
        </w:rPr>
      </w:pPr>
    </w:p>
    <w:p w14:paraId="0AC4A6E2" w14:textId="34A84C84"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u w:val="single"/>
        </w:rPr>
      </w:pPr>
    </w:p>
    <w:p w14:paraId="0B544935" w14:textId="13CCC0FE"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60A14730" w14:textId="303D69DF"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412849DA" w14:textId="4488D87A"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637B413B" w14:textId="107A0E8A"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73C885F4" w14:textId="538FDC57"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3E731943" w14:textId="410D5F99"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44FDEA70" w14:textId="5E2A56CF"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12D9F53B" w14:textId="495BE86A"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1A22B09E" w14:textId="03317B5B" w:rsidR="00177CBD" w:rsidRDefault="00177CBD" w:rsidP="5CF2EFB3">
      <w:pPr>
        <w:tabs>
          <w:tab w:val="right" w:leader="dot" w:pos="9019"/>
        </w:tabs>
        <w:spacing w:after="240" w:line="360" w:lineRule="auto"/>
        <w:jc w:val="both"/>
        <w:rPr>
          <w:rFonts w:ascii="Arial" w:eastAsia="Arial" w:hAnsi="Arial" w:cs="Arial"/>
          <w:color w:val="000000" w:themeColor="text1"/>
          <w:sz w:val="24"/>
          <w:szCs w:val="24"/>
        </w:rPr>
      </w:pPr>
    </w:p>
    <w:p w14:paraId="12839DDB" w14:textId="4F8878CE" w:rsidR="00177CBD" w:rsidRDefault="78652AEF" w:rsidP="5CF2EFB3">
      <w:pPr>
        <w:tabs>
          <w:tab w:val="right" w:leader="dot" w:pos="9019"/>
        </w:tabs>
        <w:spacing w:after="240" w:line="360" w:lineRule="auto"/>
        <w:jc w:val="both"/>
        <w:rPr>
          <w:rFonts w:ascii="Arial" w:eastAsia="Arial" w:hAnsi="Arial" w:cs="Arial"/>
          <w:color w:val="000000" w:themeColor="text1"/>
          <w:sz w:val="24"/>
          <w:szCs w:val="24"/>
          <w:u w:val="single"/>
        </w:rPr>
      </w:pPr>
      <w:r w:rsidRPr="5CF2EFB3">
        <w:rPr>
          <w:rFonts w:ascii="Arial" w:eastAsia="Arial" w:hAnsi="Arial" w:cs="Arial"/>
          <w:color w:val="000000" w:themeColor="text1"/>
          <w:sz w:val="24"/>
          <w:szCs w:val="24"/>
        </w:rPr>
        <w:t xml:space="preserve"> </w:t>
      </w:r>
      <w:r w:rsidRPr="5CF2EFB3">
        <w:rPr>
          <w:rFonts w:ascii="Arial" w:eastAsia="Arial" w:hAnsi="Arial" w:cs="Arial"/>
          <w:b/>
          <w:bCs/>
          <w:color w:val="000000" w:themeColor="text1"/>
          <w:sz w:val="24"/>
          <w:szCs w:val="24"/>
        </w:rPr>
        <w:t xml:space="preserve"> </w:t>
      </w:r>
    </w:p>
    <w:p w14:paraId="49C3B6AB" w14:textId="7A76C8D6" w:rsidR="00177CBD" w:rsidRDefault="00177CBD" w:rsidP="5CF2EFB3">
      <w:pPr>
        <w:spacing w:after="240" w:line="360" w:lineRule="auto"/>
        <w:jc w:val="both"/>
        <w:rPr>
          <w:rFonts w:ascii="Arial" w:eastAsia="Arial" w:hAnsi="Arial" w:cs="Arial"/>
          <w:b/>
          <w:bCs/>
          <w:color w:val="000000" w:themeColor="text1"/>
          <w:sz w:val="24"/>
          <w:szCs w:val="24"/>
        </w:rPr>
      </w:pPr>
    </w:p>
    <w:p w14:paraId="438A0A3A" w14:textId="33C7E02F" w:rsidR="00177CBD" w:rsidRDefault="00177CBD" w:rsidP="5CF2EFB3">
      <w:pPr>
        <w:spacing w:line="276" w:lineRule="auto"/>
        <w:rPr>
          <w:rFonts w:ascii="Arial" w:eastAsia="Arial" w:hAnsi="Arial" w:cs="Arial"/>
          <w:color w:val="000000" w:themeColor="text1"/>
          <w:sz w:val="24"/>
          <w:szCs w:val="24"/>
        </w:rPr>
      </w:pPr>
    </w:p>
    <w:p w14:paraId="50BCC171" w14:textId="7215A771" w:rsidR="00177CBD" w:rsidRDefault="78652AEF" w:rsidP="5CF2EFB3">
      <w:pPr>
        <w:pStyle w:val="Heading1"/>
        <w:spacing w:after="240" w:line="360" w:lineRule="auto"/>
        <w:jc w:val="both"/>
        <w:rPr>
          <w:rFonts w:ascii="Arial" w:eastAsia="Arial" w:hAnsi="Arial" w:cs="Arial"/>
          <w:b/>
          <w:bCs/>
          <w:color w:val="000000" w:themeColor="text1"/>
          <w:sz w:val="24"/>
          <w:szCs w:val="24"/>
        </w:rPr>
      </w:pPr>
      <w:r w:rsidRPr="5CF2EFB3">
        <w:rPr>
          <w:rFonts w:ascii="Arial" w:eastAsia="Arial" w:hAnsi="Arial" w:cs="Arial"/>
          <w:b/>
          <w:bCs/>
          <w:color w:val="000000" w:themeColor="text1"/>
          <w:sz w:val="24"/>
          <w:szCs w:val="24"/>
        </w:rPr>
        <w:t>Introduction</w:t>
      </w:r>
    </w:p>
    <w:p w14:paraId="4E1C3C9C" w14:textId="76AAED5B"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The aim of this report is to evaluate various cooking skills in the restaurant industry. Accordingly, a restaurant and street food kiosk have been chosen, </w:t>
      </w:r>
      <w:proofErr w:type="spellStart"/>
      <w:r w:rsidRPr="5CF2EFB3">
        <w:rPr>
          <w:rFonts w:ascii="Arial" w:eastAsia="Arial" w:hAnsi="Arial" w:cs="Arial"/>
          <w:color w:val="000000" w:themeColor="text1"/>
          <w:sz w:val="24"/>
          <w:szCs w:val="24"/>
        </w:rPr>
        <w:t>Meldrids</w:t>
      </w:r>
      <w:proofErr w:type="spellEnd"/>
      <w:r w:rsidRPr="5CF2EFB3">
        <w:rPr>
          <w:rFonts w:ascii="Arial" w:eastAsia="Arial" w:hAnsi="Arial" w:cs="Arial"/>
          <w:color w:val="000000" w:themeColor="text1"/>
          <w:sz w:val="24"/>
          <w:szCs w:val="24"/>
        </w:rPr>
        <w:t xml:space="preserve"> and The Orange Buffalo respectively. The variation in the cooking skills required across these restaurants and the impact of such variation on the employees have been analysed. </w:t>
      </w:r>
    </w:p>
    <w:p w14:paraId="75FF4430" w14:textId="1920D4FD" w:rsidR="00177CBD" w:rsidRDefault="78652AEF" w:rsidP="5CF2EFB3">
      <w:pPr>
        <w:pStyle w:val="Heading1"/>
        <w:spacing w:after="240" w:line="360" w:lineRule="auto"/>
        <w:jc w:val="both"/>
        <w:rPr>
          <w:rFonts w:ascii="Arial" w:eastAsia="Arial" w:hAnsi="Arial" w:cs="Arial"/>
          <w:b/>
          <w:bCs/>
          <w:color w:val="000000" w:themeColor="text1"/>
          <w:sz w:val="24"/>
          <w:szCs w:val="24"/>
        </w:rPr>
      </w:pPr>
      <w:r w:rsidRPr="5CF2EFB3">
        <w:rPr>
          <w:rFonts w:ascii="Arial" w:eastAsia="Arial" w:hAnsi="Arial" w:cs="Arial"/>
          <w:b/>
          <w:bCs/>
          <w:color w:val="000000" w:themeColor="text1"/>
          <w:sz w:val="24"/>
          <w:szCs w:val="24"/>
        </w:rPr>
        <w:t>Evaluation of cooking skills in the restaurant industry</w:t>
      </w:r>
    </w:p>
    <w:p w14:paraId="396E0C62" w14:textId="6B0490B7"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Key skills pertaining to the restaurant industry include knife skills, sautéing, roasting, blanching and emulsification. Proper knife skills are necessary for even cooking and enable consistent flavour development (Aron et al. 2019). I also believe that sautéing skills allow proteins to be cooked in a highly efficient manner, producing delicious results. Additionally, in my opinion, roasting skills are necessary for cooking larger quantities of protein-based food and enable an incredible flavour to be generated, with a perfect amount of moisture. </w:t>
      </w:r>
    </w:p>
    <w:p w14:paraId="3BAA238B" w14:textId="4D64A008"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Blanching is another key cooking skill that is essential for cooks to have across modern restaurants. Blanching is mainly used to quickly cook vegetables and various other food items, including spaghetti (Oliviero </w:t>
      </w:r>
      <w:r w:rsidRPr="5CF2EFB3">
        <w:rPr>
          <w:rFonts w:ascii="Arial" w:eastAsia="Arial" w:hAnsi="Arial" w:cs="Arial"/>
          <w:i/>
          <w:iCs/>
          <w:color w:val="000000" w:themeColor="text1"/>
          <w:sz w:val="24"/>
          <w:szCs w:val="24"/>
        </w:rPr>
        <w:t>et al.</w:t>
      </w:r>
      <w:r w:rsidRPr="5CF2EFB3">
        <w:rPr>
          <w:rFonts w:ascii="Arial" w:eastAsia="Arial" w:hAnsi="Arial" w:cs="Arial"/>
          <w:color w:val="000000" w:themeColor="text1"/>
          <w:sz w:val="24"/>
          <w:szCs w:val="24"/>
        </w:rPr>
        <w:t xml:space="preserve"> 2018). I have researched different methods of blanching, with such being largely dependent on the food ingredient. Following this, I have also identified emulsification as an important cooking skill. Emulsification involves combining two more liquids that do not mix well together (Pereira </w:t>
      </w:r>
      <w:r w:rsidRPr="5CF2EFB3">
        <w:rPr>
          <w:rFonts w:ascii="Arial" w:eastAsia="Arial" w:hAnsi="Arial" w:cs="Arial"/>
          <w:i/>
          <w:iCs/>
          <w:color w:val="000000" w:themeColor="text1"/>
          <w:sz w:val="24"/>
          <w:szCs w:val="24"/>
        </w:rPr>
        <w:t xml:space="preserve">et al. </w:t>
      </w:r>
      <w:r w:rsidRPr="5CF2EFB3">
        <w:rPr>
          <w:rFonts w:ascii="Arial" w:eastAsia="Arial" w:hAnsi="Arial" w:cs="Arial"/>
          <w:color w:val="000000" w:themeColor="text1"/>
          <w:sz w:val="24"/>
          <w:szCs w:val="24"/>
        </w:rPr>
        <w:t xml:space="preserve">2019). In this context, I can state that emulsification is the process of blending ingredients together to form a certain creation, mainly formed through the combination of different atoms. </w:t>
      </w:r>
    </w:p>
    <w:p w14:paraId="4F7957CB" w14:textId="0E4B9CD2" w:rsidR="00177CBD" w:rsidRDefault="78652AEF" w:rsidP="5CF2EFB3">
      <w:pPr>
        <w:pStyle w:val="Heading1"/>
        <w:spacing w:after="240" w:line="360" w:lineRule="auto"/>
        <w:jc w:val="both"/>
        <w:rPr>
          <w:rFonts w:ascii="Arial" w:eastAsia="Arial" w:hAnsi="Arial" w:cs="Arial"/>
          <w:b/>
          <w:bCs/>
          <w:color w:val="000000" w:themeColor="text1"/>
          <w:sz w:val="24"/>
          <w:szCs w:val="24"/>
        </w:rPr>
      </w:pPr>
      <w:r w:rsidRPr="5CF2EFB3">
        <w:rPr>
          <w:rFonts w:ascii="Arial" w:eastAsia="Arial" w:hAnsi="Arial" w:cs="Arial"/>
          <w:b/>
          <w:bCs/>
          <w:color w:val="000000" w:themeColor="text1"/>
          <w:sz w:val="24"/>
          <w:szCs w:val="24"/>
        </w:rPr>
        <w:t>Skills comparison among chosen restaurants</w:t>
      </w:r>
    </w:p>
    <w:p w14:paraId="5A13D78F" w14:textId="549D7ED5"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The Organic Buffalo is known for selling fast food items, mainly including buffalo wings and fried chicken </w:t>
      </w:r>
      <w:proofErr w:type="spellStart"/>
      <w:r w:rsidRPr="5CF2EFB3">
        <w:rPr>
          <w:rFonts w:ascii="Arial" w:eastAsia="Arial" w:hAnsi="Arial" w:cs="Arial"/>
          <w:color w:val="000000" w:themeColor="text1"/>
          <w:sz w:val="24"/>
          <w:szCs w:val="24"/>
        </w:rPr>
        <w:t>benedict</w:t>
      </w:r>
      <w:proofErr w:type="spellEnd"/>
      <w:r w:rsidRPr="5CF2EFB3">
        <w:rPr>
          <w:rFonts w:ascii="Arial" w:eastAsia="Arial" w:hAnsi="Arial" w:cs="Arial"/>
          <w:color w:val="000000" w:themeColor="text1"/>
          <w:sz w:val="24"/>
          <w:szCs w:val="24"/>
        </w:rPr>
        <w:t xml:space="preserve">. Therefore, I hold the opinion that the cooking skills required in this kiosk mainly relate to fast food cooking. In this regard, the primary skill requirements of a fast food cook include quick and efficient cooking abilities, involving sautéing and roasting. Additionally, it is also important for kiosk cooks to have excellent communication skills as the cooks are required to directly interact with the customers (Mantra et al. 2020). On the contrary, </w:t>
      </w:r>
      <w:proofErr w:type="spellStart"/>
      <w:r w:rsidRPr="5CF2EFB3">
        <w:rPr>
          <w:rFonts w:ascii="Arial" w:eastAsia="Arial" w:hAnsi="Arial" w:cs="Arial"/>
          <w:color w:val="000000" w:themeColor="text1"/>
          <w:sz w:val="24"/>
          <w:szCs w:val="24"/>
        </w:rPr>
        <w:t>Meldrids</w:t>
      </w:r>
      <w:proofErr w:type="spellEnd"/>
      <w:r w:rsidRPr="5CF2EFB3">
        <w:rPr>
          <w:rFonts w:ascii="Arial" w:eastAsia="Arial" w:hAnsi="Arial" w:cs="Arial"/>
          <w:color w:val="000000" w:themeColor="text1"/>
          <w:sz w:val="24"/>
          <w:szCs w:val="24"/>
        </w:rPr>
        <w:t xml:space="preserve"> is an organic restaurant that requires a different set of cooking skills for the chefs. In this context, I understand that knife skills and blanching would be more appropriate skills to have. Knife skills would allow vegetable ingredients to be quickly cut and processed. Additionally, blanching skills would be essential for quickly cooking vegetables in boiling water (Wang et al. 2018). Furthermore, contrary to kiosks, restaurant chiefs seldom require to directly interact with customers and hence, communication skills requirements are less prioritised. </w:t>
      </w:r>
    </w:p>
    <w:p w14:paraId="3C113674" w14:textId="6C327089"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The skill differences among kiosk and restaurant chefs can also be underlined through the core responsibilities across respective positions. In terms of the discussion above, kiosk chefs are required to directly interact with customers. Therefore, I think that maintaining proper communication with customers is a core responsibility of kiosk chefs. Active listening is an effective skill that allows a proper level of communication to be held with customers (</w:t>
      </w:r>
      <w:proofErr w:type="spellStart"/>
      <w:r w:rsidRPr="5CF2EFB3">
        <w:rPr>
          <w:rFonts w:ascii="Arial" w:eastAsia="Arial" w:hAnsi="Arial" w:cs="Arial"/>
          <w:color w:val="000000" w:themeColor="text1"/>
          <w:sz w:val="24"/>
          <w:szCs w:val="24"/>
        </w:rPr>
        <w:t>Chichirez</w:t>
      </w:r>
      <w:proofErr w:type="spellEnd"/>
      <w:r w:rsidRPr="5CF2EFB3">
        <w:rPr>
          <w:rFonts w:ascii="Arial" w:eastAsia="Arial" w:hAnsi="Arial" w:cs="Arial"/>
          <w:color w:val="000000" w:themeColor="text1"/>
          <w:sz w:val="24"/>
          <w:szCs w:val="24"/>
        </w:rPr>
        <w:t xml:space="preserve"> and </w:t>
      </w:r>
      <w:proofErr w:type="spellStart"/>
      <w:r w:rsidRPr="5CF2EFB3">
        <w:rPr>
          <w:rFonts w:ascii="Arial" w:eastAsia="Arial" w:hAnsi="Arial" w:cs="Arial"/>
          <w:color w:val="000000" w:themeColor="text1"/>
          <w:sz w:val="24"/>
          <w:szCs w:val="24"/>
        </w:rPr>
        <w:t>Purcărea</w:t>
      </w:r>
      <w:proofErr w:type="spellEnd"/>
      <w:r w:rsidRPr="5CF2EFB3">
        <w:rPr>
          <w:rFonts w:ascii="Arial" w:eastAsia="Arial" w:hAnsi="Arial" w:cs="Arial"/>
          <w:color w:val="000000" w:themeColor="text1"/>
          <w:sz w:val="24"/>
          <w:szCs w:val="24"/>
        </w:rPr>
        <w:t xml:space="preserve">, 2018). Therefore, kiosk chefs are required to have excellent active listening skills to interact with a wide range of customers. In contrast, restaurant chefs are required to handle larger amounts of orders as compared to kiosk chefs. Therefore, I understand that beyond maintaining clear communication with the head chef, the key focus should also be placed on handling stressful situations. Therefore, proper stress management skills would be essential for restaurant chefs to effectively handle work pressure during working hours. </w:t>
      </w:r>
    </w:p>
    <w:p w14:paraId="062AC568" w14:textId="498C8982" w:rsidR="00177CBD" w:rsidRDefault="78652AEF" w:rsidP="5CF2EFB3">
      <w:pPr>
        <w:pStyle w:val="Heading1"/>
        <w:spacing w:after="240" w:line="360" w:lineRule="auto"/>
        <w:jc w:val="both"/>
        <w:rPr>
          <w:rFonts w:ascii="Arial" w:eastAsia="Arial" w:hAnsi="Arial" w:cs="Arial"/>
          <w:b/>
          <w:bCs/>
          <w:color w:val="000000" w:themeColor="text1"/>
          <w:sz w:val="24"/>
          <w:szCs w:val="24"/>
        </w:rPr>
      </w:pPr>
      <w:r w:rsidRPr="5CF2EFB3">
        <w:rPr>
          <w:rFonts w:ascii="Arial" w:eastAsia="Arial" w:hAnsi="Arial" w:cs="Arial"/>
          <w:b/>
          <w:bCs/>
          <w:color w:val="000000" w:themeColor="text1"/>
          <w:sz w:val="24"/>
          <w:szCs w:val="24"/>
        </w:rPr>
        <w:t>Impact of skill variations on Employees’ skill sets and restaurant operations</w:t>
      </w:r>
    </w:p>
    <w:p w14:paraId="618F0CF8" w14:textId="1DA9DE82"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The variation in skills requirements for cooking across different restaurants is essentially based on the type of food being prepared for the customer. According to my belief, employee skill sets would also vary widely based on the type of restaurant a chef is working in (Roque et al. 2018). However, there would be certain implications that employees might initially face while working in restaurants with different skill requirements (Graham et al. 2020). For instance, a restaurant chef working in a kiosk might face issues initially while interacting with customers, due to poor communication skills. On the contrary, I understand that a kiosk chef working in a restaurant would face various benefits, mainly in terms of communicating with managers and peers. </w:t>
      </w:r>
    </w:p>
    <w:p w14:paraId="3C2318C4" w14:textId="59B6F4CB" w:rsidR="00177CBD" w:rsidRDefault="78652AEF" w:rsidP="5CF2EFB3">
      <w:pPr>
        <w:pStyle w:val="Heading1"/>
        <w:spacing w:after="240" w:line="360" w:lineRule="auto"/>
        <w:jc w:val="both"/>
        <w:rPr>
          <w:rFonts w:ascii="Arial" w:eastAsia="Arial" w:hAnsi="Arial" w:cs="Arial"/>
          <w:b/>
          <w:bCs/>
          <w:color w:val="000000" w:themeColor="text1"/>
          <w:sz w:val="24"/>
          <w:szCs w:val="24"/>
        </w:rPr>
      </w:pPr>
      <w:r w:rsidRPr="5CF2EFB3">
        <w:rPr>
          <w:rFonts w:ascii="Arial" w:eastAsia="Arial" w:hAnsi="Arial" w:cs="Arial"/>
          <w:b/>
          <w:bCs/>
          <w:color w:val="000000" w:themeColor="text1"/>
          <w:sz w:val="24"/>
          <w:szCs w:val="24"/>
        </w:rPr>
        <w:t>Conclusion</w:t>
      </w:r>
    </w:p>
    <w:p w14:paraId="18926668" w14:textId="260A85D0" w:rsidR="00177CBD" w:rsidRDefault="78652AEF" w:rsidP="5CF2EFB3">
      <w:pPr>
        <w:spacing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This study focuses on the overall skill differences between cooks working at different service levels in the restaurant industry. In this context, key discussion has been provided regarding the various range of skills that are available within the restaurant industry. Following this, the comparison of chef skills between </w:t>
      </w:r>
      <w:proofErr w:type="spellStart"/>
      <w:r w:rsidRPr="5CF2EFB3">
        <w:rPr>
          <w:rFonts w:ascii="Arial" w:eastAsia="Arial" w:hAnsi="Arial" w:cs="Arial"/>
          <w:color w:val="000000" w:themeColor="text1"/>
          <w:sz w:val="24"/>
          <w:szCs w:val="24"/>
        </w:rPr>
        <w:t>Meldrids</w:t>
      </w:r>
      <w:proofErr w:type="spellEnd"/>
      <w:r w:rsidRPr="5CF2EFB3">
        <w:rPr>
          <w:rFonts w:ascii="Arial" w:eastAsia="Arial" w:hAnsi="Arial" w:cs="Arial"/>
          <w:color w:val="000000" w:themeColor="text1"/>
          <w:sz w:val="24"/>
          <w:szCs w:val="24"/>
        </w:rPr>
        <w:t xml:space="preserve"> and Organic Buffalo has revealed significant skill differences, mainly on account of the different cooking techniques required. Furthermore, the impact of skill differences on restaurant operations has also been underlined. </w:t>
      </w:r>
    </w:p>
    <w:p w14:paraId="06B290A6" w14:textId="3E7357EA" w:rsidR="00177CBD" w:rsidRDefault="00177CBD" w:rsidP="5CF2EFB3">
      <w:pPr>
        <w:spacing w:line="360" w:lineRule="auto"/>
        <w:jc w:val="both"/>
        <w:rPr>
          <w:rFonts w:ascii="Arial" w:eastAsia="Arial" w:hAnsi="Arial" w:cs="Arial"/>
          <w:color w:val="000000" w:themeColor="text1"/>
          <w:sz w:val="24"/>
          <w:szCs w:val="24"/>
        </w:rPr>
      </w:pPr>
    </w:p>
    <w:p w14:paraId="64491986" w14:textId="586FDB67" w:rsidR="00177CBD" w:rsidRDefault="78652AEF" w:rsidP="5CF2EFB3">
      <w:pPr>
        <w:pStyle w:val="Heading1"/>
        <w:spacing w:after="240" w:line="360" w:lineRule="auto"/>
        <w:jc w:val="both"/>
        <w:rPr>
          <w:rFonts w:ascii="Arial" w:eastAsia="Arial" w:hAnsi="Arial" w:cs="Arial"/>
          <w:b/>
          <w:bCs/>
          <w:color w:val="000000" w:themeColor="text1"/>
          <w:sz w:val="24"/>
          <w:szCs w:val="24"/>
        </w:rPr>
      </w:pPr>
      <w:r w:rsidRPr="5CF2EFB3">
        <w:rPr>
          <w:rFonts w:ascii="Arial" w:eastAsia="Arial" w:hAnsi="Arial" w:cs="Arial"/>
          <w:b/>
          <w:bCs/>
          <w:color w:val="000000" w:themeColor="text1"/>
          <w:sz w:val="24"/>
          <w:szCs w:val="24"/>
        </w:rPr>
        <w:t>Reference list</w:t>
      </w:r>
    </w:p>
    <w:p w14:paraId="09D6B257" w14:textId="28DCC137"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Aron, L., </w:t>
      </w:r>
      <w:proofErr w:type="spellStart"/>
      <w:r w:rsidRPr="5CF2EFB3">
        <w:rPr>
          <w:rFonts w:ascii="Arial" w:eastAsia="Arial" w:hAnsi="Arial" w:cs="Arial"/>
          <w:color w:val="000000" w:themeColor="text1"/>
          <w:sz w:val="24"/>
          <w:szCs w:val="24"/>
        </w:rPr>
        <w:t>Botella</w:t>
      </w:r>
      <w:proofErr w:type="spellEnd"/>
      <w:r w:rsidRPr="5CF2EFB3">
        <w:rPr>
          <w:rFonts w:ascii="Arial" w:eastAsia="Arial" w:hAnsi="Arial" w:cs="Arial"/>
          <w:color w:val="000000" w:themeColor="text1"/>
          <w:sz w:val="24"/>
          <w:szCs w:val="24"/>
        </w:rPr>
        <w:t xml:space="preserve">, M. and </w:t>
      </w:r>
      <w:proofErr w:type="spellStart"/>
      <w:r w:rsidRPr="5CF2EFB3">
        <w:rPr>
          <w:rFonts w:ascii="Arial" w:eastAsia="Arial" w:hAnsi="Arial" w:cs="Arial"/>
          <w:color w:val="000000" w:themeColor="text1"/>
          <w:sz w:val="24"/>
          <w:szCs w:val="24"/>
        </w:rPr>
        <w:t>Lubart</w:t>
      </w:r>
      <w:proofErr w:type="spellEnd"/>
      <w:r w:rsidRPr="5CF2EFB3">
        <w:rPr>
          <w:rFonts w:ascii="Arial" w:eastAsia="Arial" w:hAnsi="Arial" w:cs="Arial"/>
          <w:color w:val="000000" w:themeColor="text1"/>
          <w:sz w:val="24"/>
          <w:szCs w:val="24"/>
        </w:rPr>
        <w:t xml:space="preserve">, T., (2019). Culinary arts: Talent and their development. </w:t>
      </w:r>
      <w:r w:rsidRPr="5CF2EFB3">
        <w:rPr>
          <w:rFonts w:ascii="Arial" w:eastAsia="Arial" w:hAnsi="Arial" w:cs="Arial"/>
          <w:i/>
          <w:iCs/>
          <w:color w:val="000000" w:themeColor="text1"/>
          <w:sz w:val="24"/>
          <w:szCs w:val="24"/>
        </w:rPr>
        <w:t>The psychology of high performance: Developing human potential into domain-specific talent</w:t>
      </w:r>
      <w:r w:rsidRPr="5CF2EFB3">
        <w:rPr>
          <w:rFonts w:ascii="Arial" w:eastAsia="Arial" w:hAnsi="Arial" w:cs="Arial"/>
          <w:color w:val="000000" w:themeColor="text1"/>
          <w:sz w:val="24"/>
          <w:szCs w:val="24"/>
        </w:rPr>
        <w:t>, pp.345-359.</w:t>
      </w:r>
    </w:p>
    <w:p w14:paraId="6C92D518" w14:textId="0A485899" w:rsidR="00177CBD" w:rsidRDefault="78652AEF" w:rsidP="5CF2EFB3">
      <w:pPr>
        <w:spacing w:before="240" w:after="240" w:line="360" w:lineRule="auto"/>
        <w:jc w:val="both"/>
        <w:rPr>
          <w:rFonts w:ascii="Arial" w:eastAsia="Arial" w:hAnsi="Arial" w:cs="Arial"/>
          <w:color w:val="000000" w:themeColor="text1"/>
          <w:sz w:val="24"/>
          <w:szCs w:val="24"/>
        </w:rPr>
      </w:pPr>
      <w:proofErr w:type="spellStart"/>
      <w:r w:rsidRPr="5CF2EFB3">
        <w:rPr>
          <w:rFonts w:ascii="Arial" w:eastAsia="Arial" w:hAnsi="Arial" w:cs="Arial"/>
          <w:color w:val="000000" w:themeColor="text1"/>
          <w:sz w:val="24"/>
          <w:szCs w:val="24"/>
        </w:rPr>
        <w:t>Chichirez</w:t>
      </w:r>
      <w:proofErr w:type="spellEnd"/>
      <w:r w:rsidRPr="5CF2EFB3">
        <w:rPr>
          <w:rFonts w:ascii="Arial" w:eastAsia="Arial" w:hAnsi="Arial" w:cs="Arial"/>
          <w:color w:val="000000" w:themeColor="text1"/>
          <w:sz w:val="24"/>
          <w:szCs w:val="24"/>
        </w:rPr>
        <w:t xml:space="preserve">, C.M. and </w:t>
      </w:r>
      <w:proofErr w:type="spellStart"/>
      <w:r w:rsidRPr="5CF2EFB3">
        <w:rPr>
          <w:rFonts w:ascii="Arial" w:eastAsia="Arial" w:hAnsi="Arial" w:cs="Arial"/>
          <w:color w:val="000000" w:themeColor="text1"/>
          <w:sz w:val="24"/>
          <w:szCs w:val="24"/>
        </w:rPr>
        <w:t>Purcărea</w:t>
      </w:r>
      <w:proofErr w:type="spellEnd"/>
      <w:r w:rsidRPr="5CF2EFB3">
        <w:rPr>
          <w:rFonts w:ascii="Arial" w:eastAsia="Arial" w:hAnsi="Arial" w:cs="Arial"/>
          <w:color w:val="000000" w:themeColor="text1"/>
          <w:sz w:val="24"/>
          <w:szCs w:val="24"/>
        </w:rPr>
        <w:t xml:space="preserve">, V.L., (2018). Interpersonal communication in healthcare. </w:t>
      </w:r>
      <w:r w:rsidRPr="5CF2EFB3">
        <w:rPr>
          <w:rFonts w:ascii="Arial" w:eastAsia="Arial" w:hAnsi="Arial" w:cs="Arial"/>
          <w:i/>
          <w:iCs/>
          <w:color w:val="000000" w:themeColor="text1"/>
          <w:sz w:val="24"/>
          <w:szCs w:val="24"/>
        </w:rPr>
        <w:t>Journal of medicine and life</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11</w:t>
      </w:r>
      <w:r w:rsidRPr="5CF2EFB3">
        <w:rPr>
          <w:rFonts w:ascii="Arial" w:eastAsia="Arial" w:hAnsi="Arial" w:cs="Arial"/>
          <w:color w:val="000000" w:themeColor="text1"/>
          <w:sz w:val="24"/>
          <w:szCs w:val="24"/>
        </w:rPr>
        <w:t>(2), p.119.</w:t>
      </w:r>
    </w:p>
    <w:p w14:paraId="01940661" w14:textId="741C1272"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Graham, D., Ali, A. and </w:t>
      </w:r>
      <w:proofErr w:type="spellStart"/>
      <w:r w:rsidRPr="5CF2EFB3">
        <w:rPr>
          <w:rFonts w:ascii="Arial" w:eastAsia="Arial" w:hAnsi="Arial" w:cs="Arial"/>
          <w:color w:val="000000" w:themeColor="text1"/>
          <w:sz w:val="24"/>
          <w:szCs w:val="24"/>
        </w:rPr>
        <w:t>Tajeddini</w:t>
      </w:r>
      <w:proofErr w:type="spellEnd"/>
      <w:r w:rsidRPr="5CF2EFB3">
        <w:rPr>
          <w:rFonts w:ascii="Arial" w:eastAsia="Arial" w:hAnsi="Arial" w:cs="Arial"/>
          <w:color w:val="000000" w:themeColor="text1"/>
          <w:sz w:val="24"/>
          <w:szCs w:val="24"/>
        </w:rPr>
        <w:t xml:space="preserve">, K., (2020). Open kitchens: Customers' influence on chefs' working practices. </w:t>
      </w:r>
      <w:r w:rsidRPr="5CF2EFB3">
        <w:rPr>
          <w:rFonts w:ascii="Arial" w:eastAsia="Arial" w:hAnsi="Arial" w:cs="Arial"/>
          <w:i/>
          <w:iCs/>
          <w:color w:val="000000" w:themeColor="text1"/>
          <w:sz w:val="24"/>
          <w:szCs w:val="24"/>
        </w:rPr>
        <w:t>Journal of Hospitality and Tourism Management</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45</w:t>
      </w:r>
      <w:r w:rsidRPr="5CF2EFB3">
        <w:rPr>
          <w:rFonts w:ascii="Arial" w:eastAsia="Arial" w:hAnsi="Arial" w:cs="Arial"/>
          <w:color w:val="000000" w:themeColor="text1"/>
          <w:sz w:val="24"/>
          <w:szCs w:val="24"/>
        </w:rPr>
        <w:t>, pp.27-36.</w:t>
      </w:r>
    </w:p>
    <w:p w14:paraId="618F68D1" w14:textId="3DEDD522"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Mantra, I.B.N., </w:t>
      </w:r>
      <w:proofErr w:type="spellStart"/>
      <w:r w:rsidRPr="5CF2EFB3">
        <w:rPr>
          <w:rFonts w:ascii="Arial" w:eastAsia="Arial" w:hAnsi="Arial" w:cs="Arial"/>
          <w:color w:val="000000" w:themeColor="text1"/>
          <w:sz w:val="24"/>
          <w:szCs w:val="24"/>
        </w:rPr>
        <w:t>Widiastuti</w:t>
      </w:r>
      <w:proofErr w:type="spellEnd"/>
      <w:r w:rsidRPr="5CF2EFB3">
        <w:rPr>
          <w:rFonts w:ascii="Arial" w:eastAsia="Arial" w:hAnsi="Arial" w:cs="Arial"/>
          <w:color w:val="000000" w:themeColor="text1"/>
          <w:sz w:val="24"/>
          <w:szCs w:val="24"/>
        </w:rPr>
        <w:t xml:space="preserve">, I.A.M.S., </w:t>
      </w:r>
      <w:proofErr w:type="spellStart"/>
      <w:r w:rsidRPr="5CF2EFB3">
        <w:rPr>
          <w:rFonts w:ascii="Arial" w:eastAsia="Arial" w:hAnsi="Arial" w:cs="Arial"/>
          <w:color w:val="000000" w:themeColor="text1"/>
          <w:sz w:val="24"/>
          <w:szCs w:val="24"/>
        </w:rPr>
        <w:t>Handayani</w:t>
      </w:r>
      <w:proofErr w:type="spellEnd"/>
      <w:r w:rsidRPr="5CF2EFB3">
        <w:rPr>
          <w:rFonts w:ascii="Arial" w:eastAsia="Arial" w:hAnsi="Arial" w:cs="Arial"/>
          <w:color w:val="000000" w:themeColor="text1"/>
          <w:sz w:val="24"/>
          <w:szCs w:val="24"/>
        </w:rPr>
        <w:t xml:space="preserve">, N.D. and </w:t>
      </w:r>
      <w:proofErr w:type="spellStart"/>
      <w:r w:rsidRPr="5CF2EFB3">
        <w:rPr>
          <w:rFonts w:ascii="Arial" w:eastAsia="Arial" w:hAnsi="Arial" w:cs="Arial"/>
          <w:color w:val="000000" w:themeColor="text1"/>
          <w:sz w:val="24"/>
          <w:szCs w:val="24"/>
        </w:rPr>
        <w:t>Pramawati</w:t>
      </w:r>
      <w:proofErr w:type="spellEnd"/>
      <w:r w:rsidRPr="5CF2EFB3">
        <w:rPr>
          <w:rFonts w:ascii="Arial" w:eastAsia="Arial" w:hAnsi="Arial" w:cs="Arial"/>
          <w:color w:val="000000" w:themeColor="text1"/>
          <w:sz w:val="24"/>
          <w:szCs w:val="24"/>
        </w:rPr>
        <w:t xml:space="preserve">, A.A.I.Y., (2020). English Language urgency for tourism and hospitality employees to boost global economy. </w:t>
      </w:r>
      <w:r w:rsidRPr="5CF2EFB3">
        <w:rPr>
          <w:rFonts w:ascii="Arial" w:eastAsia="Arial" w:hAnsi="Arial" w:cs="Arial"/>
          <w:i/>
          <w:iCs/>
          <w:color w:val="000000" w:themeColor="text1"/>
          <w:sz w:val="24"/>
          <w:szCs w:val="24"/>
        </w:rPr>
        <w:t>PalArch's Journal of Archaeology of Egypt/Egyptology</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17</w:t>
      </w:r>
      <w:r w:rsidRPr="5CF2EFB3">
        <w:rPr>
          <w:rFonts w:ascii="Arial" w:eastAsia="Arial" w:hAnsi="Arial" w:cs="Arial"/>
          <w:color w:val="000000" w:themeColor="text1"/>
          <w:sz w:val="24"/>
          <w:szCs w:val="24"/>
        </w:rPr>
        <w:t>(7), pp.5458-5469.</w:t>
      </w:r>
    </w:p>
    <w:p w14:paraId="2CA33D86" w14:textId="663893CC"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Oliviero, T., </w:t>
      </w:r>
      <w:proofErr w:type="spellStart"/>
      <w:r w:rsidRPr="5CF2EFB3">
        <w:rPr>
          <w:rFonts w:ascii="Arial" w:eastAsia="Arial" w:hAnsi="Arial" w:cs="Arial"/>
          <w:color w:val="000000" w:themeColor="text1"/>
          <w:sz w:val="24"/>
          <w:szCs w:val="24"/>
        </w:rPr>
        <w:t>Verkerk</w:t>
      </w:r>
      <w:proofErr w:type="spellEnd"/>
      <w:r w:rsidRPr="5CF2EFB3">
        <w:rPr>
          <w:rFonts w:ascii="Arial" w:eastAsia="Arial" w:hAnsi="Arial" w:cs="Arial"/>
          <w:color w:val="000000" w:themeColor="text1"/>
          <w:sz w:val="24"/>
          <w:szCs w:val="24"/>
        </w:rPr>
        <w:t xml:space="preserve">, R. and Dekker, M., (2018). </w:t>
      </w:r>
      <w:proofErr w:type="spellStart"/>
      <w:r w:rsidRPr="5CF2EFB3">
        <w:rPr>
          <w:rFonts w:ascii="Arial" w:eastAsia="Arial" w:hAnsi="Arial" w:cs="Arial"/>
          <w:color w:val="000000" w:themeColor="text1"/>
          <w:sz w:val="24"/>
          <w:szCs w:val="24"/>
        </w:rPr>
        <w:t>Isothiocyanates</w:t>
      </w:r>
      <w:proofErr w:type="spellEnd"/>
      <w:r w:rsidRPr="5CF2EFB3">
        <w:rPr>
          <w:rFonts w:ascii="Arial" w:eastAsia="Arial" w:hAnsi="Arial" w:cs="Arial"/>
          <w:color w:val="000000" w:themeColor="text1"/>
          <w:sz w:val="24"/>
          <w:szCs w:val="24"/>
        </w:rPr>
        <w:t xml:space="preserve"> from Brassica vegetables—effects of processing, cooking, mastication, and digestion. </w:t>
      </w:r>
      <w:r w:rsidRPr="5CF2EFB3">
        <w:rPr>
          <w:rFonts w:ascii="Arial" w:eastAsia="Arial" w:hAnsi="Arial" w:cs="Arial"/>
          <w:i/>
          <w:iCs/>
          <w:color w:val="000000" w:themeColor="text1"/>
          <w:sz w:val="24"/>
          <w:szCs w:val="24"/>
        </w:rPr>
        <w:t>Molecular nutrition &amp; food research</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62</w:t>
      </w:r>
      <w:r w:rsidRPr="5CF2EFB3">
        <w:rPr>
          <w:rFonts w:ascii="Arial" w:eastAsia="Arial" w:hAnsi="Arial" w:cs="Arial"/>
          <w:color w:val="000000" w:themeColor="text1"/>
          <w:sz w:val="24"/>
          <w:szCs w:val="24"/>
        </w:rPr>
        <w:t>(18), p.1701069.</w:t>
      </w:r>
    </w:p>
    <w:p w14:paraId="6810EB23" w14:textId="311501FE"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Pereira, J., Hu, H., </w:t>
      </w:r>
      <w:proofErr w:type="spellStart"/>
      <w:r w:rsidRPr="5CF2EFB3">
        <w:rPr>
          <w:rFonts w:ascii="Arial" w:eastAsia="Arial" w:hAnsi="Arial" w:cs="Arial"/>
          <w:color w:val="000000" w:themeColor="text1"/>
          <w:sz w:val="24"/>
          <w:szCs w:val="24"/>
        </w:rPr>
        <w:t>Xing</w:t>
      </w:r>
      <w:proofErr w:type="spellEnd"/>
      <w:r w:rsidRPr="5CF2EFB3">
        <w:rPr>
          <w:rFonts w:ascii="Arial" w:eastAsia="Arial" w:hAnsi="Arial" w:cs="Arial"/>
          <w:color w:val="000000" w:themeColor="text1"/>
          <w:sz w:val="24"/>
          <w:szCs w:val="24"/>
        </w:rPr>
        <w:t xml:space="preserve">, L., Zhang, W. and Zhou, G., (2019). Influence of rice flour, glutinous rice flour, and tapioca starch on the functional properties and quality of an emulsion-type cooked sausage. </w:t>
      </w:r>
      <w:r w:rsidRPr="5CF2EFB3">
        <w:rPr>
          <w:rFonts w:ascii="Arial" w:eastAsia="Arial" w:hAnsi="Arial" w:cs="Arial"/>
          <w:i/>
          <w:iCs/>
          <w:color w:val="000000" w:themeColor="text1"/>
          <w:sz w:val="24"/>
          <w:szCs w:val="24"/>
        </w:rPr>
        <w:t>Foods</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9</w:t>
      </w:r>
      <w:r w:rsidRPr="5CF2EFB3">
        <w:rPr>
          <w:rFonts w:ascii="Arial" w:eastAsia="Arial" w:hAnsi="Arial" w:cs="Arial"/>
          <w:color w:val="000000" w:themeColor="text1"/>
          <w:sz w:val="24"/>
          <w:szCs w:val="24"/>
        </w:rPr>
        <w:t>(1), p.9.</w:t>
      </w:r>
    </w:p>
    <w:p w14:paraId="1BE382DA" w14:textId="3DCF67FC"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Roque, J., </w:t>
      </w:r>
      <w:proofErr w:type="spellStart"/>
      <w:r w:rsidRPr="5CF2EFB3">
        <w:rPr>
          <w:rFonts w:ascii="Arial" w:eastAsia="Arial" w:hAnsi="Arial" w:cs="Arial"/>
          <w:color w:val="000000" w:themeColor="text1"/>
          <w:sz w:val="24"/>
          <w:szCs w:val="24"/>
        </w:rPr>
        <w:t>Guastavino</w:t>
      </w:r>
      <w:proofErr w:type="spellEnd"/>
      <w:r w:rsidRPr="5CF2EFB3">
        <w:rPr>
          <w:rFonts w:ascii="Arial" w:eastAsia="Arial" w:hAnsi="Arial" w:cs="Arial"/>
          <w:color w:val="000000" w:themeColor="text1"/>
          <w:sz w:val="24"/>
          <w:szCs w:val="24"/>
        </w:rPr>
        <w:t xml:space="preserve">, C., </w:t>
      </w:r>
      <w:proofErr w:type="spellStart"/>
      <w:r w:rsidRPr="5CF2EFB3">
        <w:rPr>
          <w:rFonts w:ascii="Arial" w:eastAsia="Arial" w:hAnsi="Arial" w:cs="Arial"/>
          <w:color w:val="000000" w:themeColor="text1"/>
          <w:sz w:val="24"/>
          <w:szCs w:val="24"/>
        </w:rPr>
        <w:t>Lafraire</w:t>
      </w:r>
      <w:proofErr w:type="spellEnd"/>
      <w:r w:rsidRPr="5CF2EFB3">
        <w:rPr>
          <w:rFonts w:ascii="Arial" w:eastAsia="Arial" w:hAnsi="Arial" w:cs="Arial"/>
          <w:color w:val="000000" w:themeColor="text1"/>
          <w:sz w:val="24"/>
          <w:szCs w:val="24"/>
        </w:rPr>
        <w:t xml:space="preserve">, J. and Fernandez, P., (2018). Plating influences diner perception of culinary creativity. </w:t>
      </w:r>
      <w:r w:rsidRPr="5CF2EFB3">
        <w:rPr>
          <w:rFonts w:ascii="Arial" w:eastAsia="Arial" w:hAnsi="Arial" w:cs="Arial"/>
          <w:i/>
          <w:iCs/>
          <w:color w:val="000000" w:themeColor="text1"/>
          <w:sz w:val="24"/>
          <w:szCs w:val="24"/>
        </w:rPr>
        <w:t>International Journal of Gastronomy and Food Science</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11</w:t>
      </w:r>
      <w:r w:rsidRPr="5CF2EFB3">
        <w:rPr>
          <w:rFonts w:ascii="Arial" w:eastAsia="Arial" w:hAnsi="Arial" w:cs="Arial"/>
          <w:color w:val="000000" w:themeColor="text1"/>
          <w:sz w:val="24"/>
          <w:szCs w:val="24"/>
        </w:rPr>
        <w:t>, pp.55-62.</w:t>
      </w:r>
    </w:p>
    <w:p w14:paraId="773D1106" w14:textId="67193D58" w:rsidR="00177CBD" w:rsidRDefault="78652AEF" w:rsidP="5CF2EFB3">
      <w:pPr>
        <w:spacing w:before="240" w:after="240" w:line="360" w:lineRule="auto"/>
        <w:jc w:val="both"/>
        <w:rPr>
          <w:rFonts w:ascii="Arial" w:eastAsia="Arial" w:hAnsi="Arial" w:cs="Arial"/>
          <w:color w:val="000000" w:themeColor="text1"/>
          <w:sz w:val="24"/>
          <w:szCs w:val="24"/>
        </w:rPr>
      </w:pPr>
      <w:r w:rsidRPr="5CF2EFB3">
        <w:rPr>
          <w:rFonts w:ascii="Arial" w:eastAsia="Arial" w:hAnsi="Arial" w:cs="Arial"/>
          <w:color w:val="000000" w:themeColor="text1"/>
          <w:sz w:val="24"/>
          <w:szCs w:val="24"/>
        </w:rPr>
        <w:t xml:space="preserve">Wang, H.O., Fu, Q.Q., Chen, S.J., Hu, Z.C. and </w:t>
      </w:r>
      <w:proofErr w:type="spellStart"/>
      <w:r w:rsidRPr="5CF2EFB3">
        <w:rPr>
          <w:rFonts w:ascii="Arial" w:eastAsia="Arial" w:hAnsi="Arial" w:cs="Arial"/>
          <w:color w:val="000000" w:themeColor="text1"/>
          <w:sz w:val="24"/>
          <w:szCs w:val="24"/>
        </w:rPr>
        <w:t>Xie</w:t>
      </w:r>
      <w:proofErr w:type="spellEnd"/>
      <w:r w:rsidRPr="5CF2EFB3">
        <w:rPr>
          <w:rFonts w:ascii="Arial" w:eastAsia="Arial" w:hAnsi="Arial" w:cs="Arial"/>
          <w:color w:val="000000" w:themeColor="text1"/>
          <w:sz w:val="24"/>
          <w:szCs w:val="24"/>
        </w:rPr>
        <w:t xml:space="preserve">, H.X., (2018). Effect of hot-water blanching pretreatment on drying characteristics and product qualities for the novel integrated freeze-drying of apple slices. </w:t>
      </w:r>
      <w:r w:rsidRPr="5CF2EFB3">
        <w:rPr>
          <w:rFonts w:ascii="Arial" w:eastAsia="Arial" w:hAnsi="Arial" w:cs="Arial"/>
          <w:i/>
          <w:iCs/>
          <w:color w:val="000000" w:themeColor="text1"/>
          <w:sz w:val="24"/>
          <w:szCs w:val="24"/>
        </w:rPr>
        <w:t>Journal of Food Quality</w:t>
      </w:r>
      <w:r w:rsidRPr="5CF2EFB3">
        <w:rPr>
          <w:rFonts w:ascii="Arial" w:eastAsia="Arial" w:hAnsi="Arial" w:cs="Arial"/>
          <w:color w:val="000000" w:themeColor="text1"/>
          <w:sz w:val="24"/>
          <w:szCs w:val="24"/>
        </w:rPr>
        <w:t xml:space="preserve">, </w:t>
      </w:r>
      <w:r w:rsidRPr="5CF2EFB3">
        <w:rPr>
          <w:rFonts w:ascii="Arial" w:eastAsia="Arial" w:hAnsi="Arial" w:cs="Arial"/>
          <w:i/>
          <w:iCs/>
          <w:color w:val="000000" w:themeColor="text1"/>
          <w:sz w:val="24"/>
          <w:szCs w:val="24"/>
        </w:rPr>
        <w:t>2018</w:t>
      </w:r>
      <w:r w:rsidRPr="5CF2EFB3">
        <w:rPr>
          <w:rFonts w:ascii="Arial" w:eastAsia="Arial" w:hAnsi="Arial" w:cs="Arial"/>
          <w:color w:val="000000" w:themeColor="text1"/>
          <w:sz w:val="24"/>
          <w:szCs w:val="24"/>
        </w:rPr>
        <w:t>, pp.1-12.</w:t>
      </w:r>
    </w:p>
    <w:p w14:paraId="2A4B5897" w14:textId="65079541" w:rsidR="00177CBD" w:rsidRDefault="00177CBD" w:rsidP="5CF2EFB3">
      <w:pPr>
        <w:spacing w:before="240" w:after="240" w:line="360" w:lineRule="auto"/>
        <w:jc w:val="both"/>
        <w:rPr>
          <w:rFonts w:ascii="Arial" w:eastAsia="Arial" w:hAnsi="Arial" w:cs="Arial"/>
          <w:color w:val="000000" w:themeColor="text1"/>
          <w:sz w:val="24"/>
          <w:szCs w:val="24"/>
        </w:rPr>
      </w:pPr>
    </w:p>
    <w:p w14:paraId="7493A15C" w14:textId="68717417" w:rsidR="00177CBD" w:rsidRDefault="00177CBD" w:rsidP="5CF2EFB3">
      <w:pPr>
        <w:spacing w:line="360" w:lineRule="auto"/>
        <w:jc w:val="both"/>
        <w:rPr>
          <w:rFonts w:ascii="Arial" w:eastAsia="Arial" w:hAnsi="Arial" w:cs="Arial"/>
          <w:color w:val="000000" w:themeColor="text1"/>
          <w:sz w:val="24"/>
          <w:szCs w:val="24"/>
        </w:rPr>
      </w:pPr>
    </w:p>
    <w:p w14:paraId="5E5787A5" w14:textId="61F54BF4" w:rsidR="00177CBD" w:rsidRDefault="00177CBD" w:rsidP="5CF2EFB3"/>
    <w:sectPr w:rsidR="00177CB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84530"/>
    <w:multiLevelType w:val="hybridMultilevel"/>
    <w:tmpl w:val="FFFFFFFF"/>
    <w:lvl w:ilvl="0" w:tplc="B3764AA0">
      <w:start w:val="1"/>
      <w:numFmt w:val="decimal"/>
      <w:lvlText w:val="%1."/>
      <w:lvlJc w:val="left"/>
      <w:pPr>
        <w:ind w:left="720" w:hanging="360"/>
      </w:pPr>
    </w:lvl>
    <w:lvl w:ilvl="1" w:tplc="66BE1772">
      <w:start w:val="1"/>
      <w:numFmt w:val="lowerLetter"/>
      <w:lvlText w:val="%2."/>
      <w:lvlJc w:val="left"/>
      <w:pPr>
        <w:ind w:left="1440" w:hanging="360"/>
      </w:pPr>
    </w:lvl>
    <w:lvl w:ilvl="2" w:tplc="CDEC4F8A">
      <w:start w:val="1"/>
      <w:numFmt w:val="lowerRoman"/>
      <w:lvlText w:val="%3."/>
      <w:lvlJc w:val="right"/>
      <w:pPr>
        <w:ind w:left="2160" w:hanging="180"/>
      </w:pPr>
    </w:lvl>
    <w:lvl w:ilvl="3" w:tplc="CC509B8E">
      <w:start w:val="1"/>
      <w:numFmt w:val="decimal"/>
      <w:lvlText w:val="%4."/>
      <w:lvlJc w:val="left"/>
      <w:pPr>
        <w:ind w:left="2880" w:hanging="360"/>
      </w:pPr>
    </w:lvl>
    <w:lvl w:ilvl="4" w:tplc="04DCC3EE">
      <w:start w:val="1"/>
      <w:numFmt w:val="lowerLetter"/>
      <w:lvlText w:val="%5."/>
      <w:lvlJc w:val="left"/>
      <w:pPr>
        <w:ind w:left="3600" w:hanging="360"/>
      </w:pPr>
    </w:lvl>
    <w:lvl w:ilvl="5" w:tplc="FFF4F308">
      <w:start w:val="1"/>
      <w:numFmt w:val="lowerRoman"/>
      <w:lvlText w:val="%6."/>
      <w:lvlJc w:val="right"/>
      <w:pPr>
        <w:ind w:left="4320" w:hanging="180"/>
      </w:pPr>
    </w:lvl>
    <w:lvl w:ilvl="6" w:tplc="131A2678">
      <w:start w:val="1"/>
      <w:numFmt w:val="decimal"/>
      <w:lvlText w:val="%7."/>
      <w:lvlJc w:val="left"/>
      <w:pPr>
        <w:ind w:left="5040" w:hanging="360"/>
      </w:pPr>
    </w:lvl>
    <w:lvl w:ilvl="7" w:tplc="3B9090D6">
      <w:start w:val="1"/>
      <w:numFmt w:val="lowerLetter"/>
      <w:lvlText w:val="%8."/>
      <w:lvlJc w:val="left"/>
      <w:pPr>
        <w:ind w:left="5760" w:hanging="360"/>
      </w:pPr>
    </w:lvl>
    <w:lvl w:ilvl="8" w:tplc="E22EBF20">
      <w:start w:val="1"/>
      <w:numFmt w:val="lowerRoman"/>
      <w:lvlText w:val="%9."/>
      <w:lvlJc w:val="right"/>
      <w:pPr>
        <w:ind w:left="6480" w:hanging="180"/>
      </w:pPr>
    </w:lvl>
  </w:abstractNum>
  <w:num w:numId="1" w16cid:durableId="1500072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BDD72B"/>
    <w:rsid w:val="00177CBD"/>
    <w:rsid w:val="0051653F"/>
    <w:rsid w:val="00B431CF"/>
    <w:rsid w:val="00B715A8"/>
    <w:rsid w:val="00D728CE"/>
    <w:rsid w:val="0E4282D0"/>
    <w:rsid w:val="0FB10724"/>
    <w:rsid w:val="0FB80FE0"/>
    <w:rsid w:val="108D265D"/>
    <w:rsid w:val="12673CC1"/>
    <w:rsid w:val="1A1C080E"/>
    <w:rsid w:val="1A98AA3B"/>
    <w:rsid w:val="23BDD72B"/>
    <w:rsid w:val="23C1A4D5"/>
    <w:rsid w:val="3314CA28"/>
    <w:rsid w:val="364F7915"/>
    <w:rsid w:val="46659CDF"/>
    <w:rsid w:val="4E1CFBA7"/>
    <w:rsid w:val="50146CAB"/>
    <w:rsid w:val="510C21F2"/>
    <w:rsid w:val="51B03D0C"/>
    <w:rsid w:val="54E7DDCE"/>
    <w:rsid w:val="5683AE2F"/>
    <w:rsid w:val="581F7E90"/>
    <w:rsid w:val="59BB4EF1"/>
    <w:rsid w:val="5CF2EFB3"/>
    <w:rsid w:val="5D1B8B32"/>
    <w:rsid w:val="6C47DDB2"/>
    <w:rsid w:val="6DCA85B6"/>
    <w:rsid w:val="6F0379BC"/>
    <w:rsid w:val="71022678"/>
    <w:rsid w:val="78652AEF"/>
    <w:rsid w:val="7D8CB0F7"/>
    <w:rsid w:val="7E02A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DD72B"/>
  <w15:chartTrackingRefBased/>
  <w15:docId w15:val="{5E357684-5B19-448D-B925-C444DFD0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1144</Words>
  <Characters>6524</Characters>
  <Application>Microsoft Office Word</Application>
  <DocSecurity>0</DocSecurity>
  <Lines>54</Lines>
  <Paragraphs>15</Paragraphs>
  <ScaleCrop>false</ScaleCrop>
  <Company/>
  <LinksUpToDate>false</LinksUpToDate>
  <CharactersWithSpaces>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Dragomir (2227451)</dc:creator>
  <cp:keywords/>
  <dc:description/>
  <cp:lastModifiedBy>Florin Dragomir (2227451)</cp:lastModifiedBy>
  <cp:revision>2</cp:revision>
  <dcterms:created xsi:type="dcterms:W3CDTF">2023-05-18T19:41:00Z</dcterms:created>
  <dcterms:modified xsi:type="dcterms:W3CDTF">2023-05-18T19:41:00Z</dcterms:modified>
</cp:coreProperties>
</file>