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4AB31" w14:textId="1E258F2A" w:rsidR="007C31E7" w:rsidRPr="00EF629C" w:rsidRDefault="00CB7785" w:rsidP="004F739E">
      <w:pPr>
        <w:spacing w:before="0" w:after="160"/>
        <w:ind w:left="720" w:right="720"/>
        <w:jc w:val="center"/>
        <w:rPr>
          <w:rFonts w:ascii="Arial" w:hAnsi="Arial" w:cs="Arial"/>
          <w:b/>
          <w:bCs/>
          <w:sz w:val="28"/>
          <w:szCs w:val="24"/>
        </w:rPr>
      </w:pPr>
      <w:r w:rsidRPr="00EF629C">
        <w:rPr>
          <w:rFonts w:ascii="Arial" w:hAnsi="Arial" w:cs="Arial"/>
          <w:b/>
          <w:bCs/>
          <w:sz w:val="28"/>
          <w:szCs w:val="24"/>
        </w:rPr>
        <w:t>Critical Evaluation of Electronic Patient Records (EPR) Implementation in NHS Healthcare Services in England</w:t>
      </w:r>
    </w:p>
    <w:p w14:paraId="0A2DE7E2" w14:textId="246842CE" w:rsidR="0085300B" w:rsidRPr="00423E0B" w:rsidRDefault="007C31E7" w:rsidP="00423E0B">
      <w:pPr>
        <w:spacing w:before="0" w:after="160" w:line="259" w:lineRule="auto"/>
        <w:jc w:val="left"/>
        <w:rPr>
          <w:b/>
          <w:bCs/>
          <w:sz w:val="28"/>
          <w:szCs w:val="24"/>
        </w:rPr>
      </w:pPr>
      <w:r>
        <w:rPr>
          <w:b/>
          <w:bCs/>
          <w:sz w:val="28"/>
          <w:szCs w:val="24"/>
        </w:rPr>
        <w:br w:type="page"/>
      </w:r>
    </w:p>
    <w:sdt>
      <w:sdtPr>
        <w:rPr>
          <w:rFonts w:asciiTheme="minorBidi" w:eastAsiaTheme="minorHAnsi" w:hAnsiTheme="minorBidi" w:cstheme="minorBidi"/>
          <w:b/>
          <w:bCs/>
          <w:color w:val="000000" w:themeColor="text1"/>
          <w:kern w:val="2"/>
          <w:sz w:val="28"/>
          <w:szCs w:val="28"/>
          <w:lang w:val="en-GB"/>
        </w:rPr>
        <w:id w:val="-1580515221"/>
        <w:docPartObj>
          <w:docPartGallery w:val="Table of Contents"/>
          <w:docPartUnique/>
        </w:docPartObj>
      </w:sdtPr>
      <w:sdtEndPr>
        <w:rPr>
          <w:rFonts w:ascii="Times New Roman" w:hAnsi="Times New Roman"/>
          <w:noProof/>
          <w:color w:val="auto"/>
          <w:sz w:val="24"/>
          <w:szCs w:val="22"/>
        </w:rPr>
      </w:sdtEndPr>
      <w:sdtContent>
        <w:p w14:paraId="2930451E" w14:textId="162EAAF5" w:rsidR="00FE58FA" w:rsidRPr="00301FD7" w:rsidRDefault="00FE58FA" w:rsidP="00FE58FA">
          <w:pPr>
            <w:pStyle w:val="TOCHeading"/>
            <w:spacing w:line="360" w:lineRule="auto"/>
            <w:jc w:val="center"/>
            <w:rPr>
              <w:rFonts w:asciiTheme="minorBidi" w:hAnsiTheme="minorBidi" w:cstheme="minorBidi"/>
              <w:b/>
              <w:bCs/>
              <w:color w:val="000000" w:themeColor="text1"/>
              <w:sz w:val="28"/>
              <w:szCs w:val="28"/>
            </w:rPr>
          </w:pPr>
          <w:r w:rsidRPr="00301FD7">
            <w:rPr>
              <w:rFonts w:asciiTheme="minorBidi" w:hAnsiTheme="minorBidi" w:cstheme="minorBidi"/>
              <w:b/>
              <w:bCs/>
              <w:color w:val="000000" w:themeColor="text1"/>
              <w:sz w:val="28"/>
              <w:szCs w:val="28"/>
            </w:rPr>
            <w:t>Table of Contents</w:t>
          </w:r>
        </w:p>
        <w:p w14:paraId="21659E7B" w14:textId="0F84D553" w:rsidR="008556D4" w:rsidRPr="00C60D9C" w:rsidRDefault="00FE58FA" w:rsidP="00C357C7">
          <w:pPr>
            <w:pStyle w:val="TOC1"/>
            <w:tabs>
              <w:tab w:val="right" w:leader="dot" w:pos="9090"/>
            </w:tabs>
            <w:spacing w:line="360" w:lineRule="auto"/>
            <w:rPr>
              <w:rFonts w:asciiTheme="minorBidi" w:hAnsiTheme="minorBidi" w:cstheme="minorBidi"/>
              <w:noProof/>
              <w:lang w:val="en-GB" w:eastAsia="en-GB"/>
            </w:rPr>
          </w:pPr>
          <w:r w:rsidRPr="00C60D9C">
            <w:rPr>
              <w:rFonts w:asciiTheme="minorBidi" w:hAnsiTheme="minorBidi" w:cstheme="minorBidi"/>
            </w:rPr>
            <w:fldChar w:fldCharType="begin"/>
          </w:r>
          <w:r w:rsidRPr="00C60D9C">
            <w:rPr>
              <w:rFonts w:asciiTheme="minorBidi" w:hAnsiTheme="minorBidi" w:cstheme="minorBidi"/>
            </w:rPr>
            <w:instrText xml:space="preserve"> TOC \o "1-3" \h \z \u </w:instrText>
          </w:r>
          <w:r w:rsidRPr="00C60D9C">
            <w:rPr>
              <w:rFonts w:asciiTheme="minorBidi" w:hAnsiTheme="minorBidi" w:cstheme="minorBidi"/>
            </w:rPr>
            <w:fldChar w:fldCharType="separate"/>
          </w:r>
          <w:hyperlink w:anchor="_Toc242829759" w:history="1">
            <w:r w:rsidR="008556D4" w:rsidRPr="00C60D9C">
              <w:rPr>
                <w:rStyle w:val="Hyperlink"/>
                <w:rFonts w:asciiTheme="minorBidi" w:hAnsiTheme="minorBidi" w:cstheme="minorBidi"/>
                <w:noProof/>
              </w:rPr>
              <w:t>Introduction</w:t>
            </w:r>
            <w:r w:rsidR="008556D4" w:rsidRPr="00C60D9C">
              <w:rPr>
                <w:rFonts w:asciiTheme="minorBidi" w:hAnsiTheme="minorBidi" w:cstheme="minorBidi"/>
                <w:noProof/>
                <w:webHidden/>
              </w:rPr>
              <w:tab/>
            </w:r>
            <w:r w:rsidR="008556D4" w:rsidRPr="00C60D9C">
              <w:rPr>
                <w:rFonts w:asciiTheme="minorBidi" w:hAnsiTheme="minorBidi" w:cstheme="minorBidi"/>
                <w:noProof/>
                <w:webHidden/>
              </w:rPr>
              <w:fldChar w:fldCharType="begin"/>
            </w:r>
            <w:r w:rsidR="008556D4" w:rsidRPr="00C60D9C">
              <w:rPr>
                <w:rFonts w:asciiTheme="minorBidi" w:hAnsiTheme="minorBidi" w:cstheme="minorBidi"/>
                <w:noProof/>
                <w:webHidden/>
              </w:rPr>
              <w:instrText xml:space="preserve"> PAGEREF _Toc242829759 \h </w:instrText>
            </w:r>
            <w:r w:rsidR="008556D4" w:rsidRPr="00C60D9C">
              <w:rPr>
                <w:rFonts w:asciiTheme="minorBidi" w:hAnsiTheme="minorBidi" w:cstheme="minorBidi"/>
                <w:noProof/>
                <w:webHidden/>
              </w:rPr>
            </w:r>
            <w:r w:rsidR="008556D4" w:rsidRPr="00C60D9C">
              <w:rPr>
                <w:rFonts w:asciiTheme="minorBidi" w:hAnsiTheme="minorBidi" w:cstheme="minorBidi"/>
                <w:noProof/>
                <w:webHidden/>
              </w:rPr>
              <w:fldChar w:fldCharType="separate"/>
            </w:r>
            <w:r w:rsidR="008556D4" w:rsidRPr="00C60D9C">
              <w:rPr>
                <w:rFonts w:asciiTheme="minorBidi" w:hAnsiTheme="minorBidi" w:cstheme="minorBidi"/>
                <w:noProof/>
                <w:webHidden/>
              </w:rPr>
              <w:t>2</w:t>
            </w:r>
            <w:r w:rsidR="008556D4" w:rsidRPr="00C60D9C">
              <w:rPr>
                <w:rFonts w:asciiTheme="minorBidi" w:hAnsiTheme="minorBidi" w:cstheme="minorBidi"/>
                <w:noProof/>
                <w:webHidden/>
              </w:rPr>
              <w:fldChar w:fldCharType="end"/>
            </w:r>
          </w:hyperlink>
        </w:p>
        <w:p w14:paraId="527DA29C" w14:textId="5D229245" w:rsidR="008556D4" w:rsidRPr="00C60D9C" w:rsidRDefault="008556D4" w:rsidP="00C357C7">
          <w:pPr>
            <w:pStyle w:val="TOC1"/>
            <w:tabs>
              <w:tab w:val="right" w:leader="dot" w:pos="9090"/>
            </w:tabs>
            <w:spacing w:line="360" w:lineRule="auto"/>
            <w:rPr>
              <w:rFonts w:asciiTheme="minorBidi" w:hAnsiTheme="minorBidi" w:cstheme="minorBidi"/>
              <w:noProof/>
              <w:lang w:val="en-GB" w:eastAsia="en-GB"/>
            </w:rPr>
          </w:pPr>
          <w:hyperlink w:anchor="_Toc242829760" w:history="1">
            <w:r w:rsidRPr="00C60D9C">
              <w:rPr>
                <w:rStyle w:val="Hyperlink"/>
                <w:rFonts w:asciiTheme="minorBidi" w:hAnsiTheme="minorBidi" w:cstheme="minorBidi"/>
                <w:noProof/>
              </w:rPr>
              <w:t>Overview of Electronic Patient Records (EPR) and Implementation</w:t>
            </w:r>
            <w:r w:rsidRPr="00C60D9C">
              <w:rPr>
                <w:rFonts w:asciiTheme="minorBidi" w:hAnsiTheme="minorBidi" w:cstheme="minorBidi"/>
                <w:noProof/>
                <w:webHidden/>
              </w:rPr>
              <w:tab/>
            </w:r>
            <w:r w:rsidRPr="00C60D9C">
              <w:rPr>
                <w:rFonts w:asciiTheme="minorBidi" w:hAnsiTheme="minorBidi" w:cstheme="minorBidi"/>
                <w:noProof/>
                <w:webHidden/>
              </w:rPr>
              <w:fldChar w:fldCharType="begin"/>
            </w:r>
            <w:r w:rsidRPr="00C60D9C">
              <w:rPr>
                <w:rFonts w:asciiTheme="minorBidi" w:hAnsiTheme="minorBidi" w:cstheme="minorBidi"/>
                <w:noProof/>
                <w:webHidden/>
              </w:rPr>
              <w:instrText xml:space="preserve"> PAGEREF _Toc242829760 \h </w:instrText>
            </w:r>
            <w:r w:rsidRPr="00C60D9C">
              <w:rPr>
                <w:rFonts w:asciiTheme="minorBidi" w:hAnsiTheme="minorBidi" w:cstheme="minorBidi"/>
                <w:noProof/>
                <w:webHidden/>
              </w:rPr>
            </w:r>
            <w:r w:rsidRPr="00C60D9C">
              <w:rPr>
                <w:rFonts w:asciiTheme="minorBidi" w:hAnsiTheme="minorBidi" w:cstheme="minorBidi"/>
                <w:noProof/>
                <w:webHidden/>
              </w:rPr>
              <w:fldChar w:fldCharType="separate"/>
            </w:r>
            <w:r w:rsidRPr="00C60D9C">
              <w:rPr>
                <w:rFonts w:asciiTheme="minorBidi" w:hAnsiTheme="minorBidi" w:cstheme="minorBidi"/>
                <w:noProof/>
                <w:webHidden/>
              </w:rPr>
              <w:t>2</w:t>
            </w:r>
            <w:r w:rsidRPr="00C60D9C">
              <w:rPr>
                <w:rFonts w:asciiTheme="minorBidi" w:hAnsiTheme="minorBidi" w:cstheme="minorBidi"/>
                <w:noProof/>
                <w:webHidden/>
              </w:rPr>
              <w:fldChar w:fldCharType="end"/>
            </w:r>
          </w:hyperlink>
        </w:p>
        <w:p w14:paraId="38D410EA" w14:textId="7B92FAF2" w:rsidR="008556D4" w:rsidRPr="00C60D9C" w:rsidRDefault="008556D4" w:rsidP="00C357C7">
          <w:pPr>
            <w:pStyle w:val="TOC1"/>
            <w:tabs>
              <w:tab w:val="right" w:leader="dot" w:pos="9090"/>
            </w:tabs>
            <w:spacing w:line="360" w:lineRule="auto"/>
            <w:rPr>
              <w:rFonts w:asciiTheme="minorBidi" w:hAnsiTheme="minorBidi" w:cstheme="minorBidi"/>
              <w:noProof/>
              <w:lang w:val="en-GB" w:eastAsia="en-GB"/>
            </w:rPr>
          </w:pPr>
          <w:hyperlink w:anchor="_Toc242829761" w:history="1">
            <w:r w:rsidRPr="00C60D9C">
              <w:rPr>
                <w:rStyle w:val="Hyperlink"/>
                <w:rFonts w:asciiTheme="minorBidi" w:hAnsiTheme="minorBidi" w:cstheme="minorBidi"/>
                <w:noProof/>
              </w:rPr>
              <w:t>Impact of EPR on Healthcare Workforce</w:t>
            </w:r>
            <w:r w:rsidRPr="00C60D9C">
              <w:rPr>
                <w:rFonts w:asciiTheme="minorBidi" w:hAnsiTheme="minorBidi" w:cstheme="minorBidi"/>
                <w:noProof/>
                <w:webHidden/>
              </w:rPr>
              <w:tab/>
            </w:r>
            <w:r w:rsidRPr="00C60D9C">
              <w:rPr>
                <w:rFonts w:asciiTheme="minorBidi" w:hAnsiTheme="minorBidi" w:cstheme="minorBidi"/>
                <w:noProof/>
                <w:webHidden/>
              </w:rPr>
              <w:fldChar w:fldCharType="begin"/>
            </w:r>
            <w:r w:rsidRPr="00C60D9C">
              <w:rPr>
                <w:rFonts w:asciiTheme="minorBidi" w:hAnsiTheme="minorBidi" w:cstheme="minorBidi"/>
                <w:noProof/>
                <w:webHidden/>
              </w:rPr>
              <w:instrText xml:space="preserve"> PAGEREF _Toc242829761 \h </w:instrText>
            </w:r>
            <w:r w:rsidRPr="00C60D9C">
              <w:rPr>
                <w:rFonts w:asciiTheme="minorBidi" w:hAnsiTheme="minorBidi" w:cstheme="minorBidi"/>
                <w:noProof/>
                <w:webHidden/>
              </w:rPr>
            </w:r>
            <w:r w:rsidRPr="00C60D9C">
              <w:rPr>
                <w:rFonts w:asciiTheme="minorBidi" w:hAnsiTheme="minorBidi" w:cstheme="minorBidi"/>
                <w:noProof/>
                <w:webHidden/>
              </w:rPr>
              <w:fldChar w:fldCharType="separate"/>
            </w:r>
            <w:r w:rsidRPr="00C60D9C">
              <w:rPr>
                <w:rFonts w:asciiTheme="minorBidi" w:hAnsiTheme="minorBidi" w:cstheme="minorBidi"/>
                <w:noProof/>
                <w:webHidden/>
              </w:rPr>
              <w:t>3</w:t>
            </w:r>
            <w:r w:rsidRPr="00C60D9C">
              <w:rPr>
                <w:rFonts w:asciiTheme="minorBidi" w:hAnsiTheme="minorBidi" w:cstheme="minorBidi"/>
                <w:noProof/>
                <w:webHidden/>
              </w:rPr>
              <w:fldChar w:fldCharType="end"/>
            </w:r>
          </w:hyperlink>
        </w:p>
        <w:p w14:paraId="3A99BD78" w14:textId="58C2A8C5" w:rsidR="008556D4" w:rsidRPr="00C60D9C" w:rsidRDefault="008556D4" w:rsidP="00C357C7">
          <w:pPr>
            <w:pStyle w:val="TOC1"/>
            <w:tabs>
              <w:tab w:val="right" w:leader="dot" w:pos="9090"/>
            </w:tabs>
            <w:spacing w:line="360" w:lineRule="auto"/>
            <w:rPr>
              <w:rFonts w:asciiTheme="minorBidi" w:hAnsiTheme="minorBidi" w:cstheme="minorBidi"/>
              <w:noProof/>
              <w:lang w:val="en-GB" w:eastAsia="en-GB"/>
            </w:rPr>
          </w:pPr>
          <w:hyperlink w:anchor="_Toc242829762" w:history="1">
            <w:r w:rsidRPr="00C60D9C">
              <w:rPr>
                <w:rStyle w:val="Hyperlink"/>
                <w:rFonts w:asciiTheme="minorBidi" w:hAnsiTheme="minorBidi" w:cstheme="minorBidi"/>
                <w:noProof/>
              </w:rPr>
              <w:t>Impact of EPR on Health Service Delivery</w:t>
            </w:r>
            <w:r w:rsidRPr="00C60D9C">
              <w:rPr>
                <w:rFonts w:asciiTheme="minorBidi" w:hAnsiTheme="minorBidi" w:cstheme="minorBidi"/>
                <w:noProof/>
                <w:webHidden/>
              </w:rPr>
              <w:tab/>
            </w:r>
            <w:r w:rsidRPr="00C60D9C">
              <w:rPr>
                <w:rFonts w:asciiTheme="minorBidi" w:hAnsiTheme="minorBidi" w:cstheme="minorBidi"/>
                <w:noProof/>
                <w:webHidden/>
              </w:rPr>
              <w:fldChar w:fldCharType="begin"/>
            </w:r>
            <w:r w:rsidRPr="00C60D9C">
              <w:rPr>
                <w:rFonts w:asciiTheme="minorBidi" w:hAnsiTheme="minorBidi" w:cstheme="minorBidi"/>
                <w:noProof/>
                <w:webHidden/>
              </w:rPr>
              <w:instrText xml:space="preserve"> PAGEREF _Toc242829762 \h </w:instrText>
            </w:r>
            <w:r w:rsidRPr="00C60D9C">
              <w:rPr>
                <w:rFonts w:asciiTheme="minorBidi" w:hAnsiTheme="minorBidi" w:cstheme="minorBidi"/>
                <w:noProof/>
                <w:webHidden/>
              </w:rPr>
            </w:r>
            <w:r w:rsidRPr="00C60D9C">
              <w:rPr>
                <w:rFonts w:asciiTheme="minorBidi" w:hAnsiTheme="minorBidi" w:cstheme="minorBidi"/>
                <w:noProof/>
                <w:webHidden/>
              </w:rPr>
              <w:fldChar w:fldCharType="separate"/>
            </w:r>
            <w:r w:rsidRPr="00C60D9C">
              <w:rPr>
                <w:rFonts w:asciiTheme="minorBidi" w:hAnsiTheme="minorBidi" w:cstheme="minorBidi"/>
                <w:noProof/>
                <w:webHidden/>
              </w:rPr>
              <w:t>4</w:t>
            </w:r>
            <w:r w:rsidRPr="00C60D9C">
              <w:rPr>
                <w:rFonts w:asciiTheme="minorBidi" w:hAnsiTheme="minorBidi" w:cstheme="minorBidi"/>
                <w:noProof/>
                <w:webHidden/>
              </w:rPr>
              <w:fldChar w:fldCharType="end"/>
            </w:r>
          </w:hyperlink>
        </w:p>
        <w:p w14:paraId="370683FA" w14:textId="01B83B1F" w:rsidR="008556D4" w:rsidRPr="00C60D9C" w:rsidRDefault="008556D4" w:rsidP="00C357C7">
          <w:pPr>
            <w:pStyle w:val="TOC1"/>
            <w:tabs>
              <w:tab w:val="right" w:leader="dot" w:pos="9090"/>
            </w:tabs>
            <w:spacing w:line="360" w:lineRule="auto"/>
            <w:rPr>
              <w:rFonts w:asciiTheme="minorBidi" w:hAnsiTheme="minorBidi" w:cstheme="minorBidi"/>
              <w:noProof/>
              <w:lang w:val="en-GB" w:eastAsia="en-GB"/>
            </w:rPr>
          </w:pPr>
          <w:hyperlink w:anchor="_Toc242829763" w:history="1">
            <w:r w:rsidRPr="00C60D9C">
              <w:rPr>
                <w:rStyle w:val="Hyperlink"/>
                <w:rFonts w:asciiTheme="minorBidi" w:hAnsiTheme="minorBidi" w:cstheme="minorBidi"/>
                <w:noProof/>
              </w:rPr>
              <w:t>Impact of EPR on Patients/Service Users</w:t>
            </w:r>
            <w:r w:rsidRPr="00C60D9C">
              <w:rPr>
                <w:rFonts w:asciiTheme="minorBidi" w:hAnsiTheme="minorBidi" w:cstheme="minorBidi"/>
                <w:noProof/>
                <w:webHidden/>
              </w:rPr>
              <w:tab/>
            </w:r>
            <w:r w:rsidRPr="00C60D9C">
              <w:rPr>
                <w:rFonts w:asciiTheme="minorBidi" w:hAnsiTheme="minorBidi" w:cstheme="minorBidi"/>
                <w:noProof/>
                <w:webHidden/>
              </w:rPr>
              <w:fldChar w:fldCharType="begin"/>
            </w:r>
            <w:r w:rsidRPr="00C60D9C">
              <w:rPr>
                <w:rFonts w:asciiTheme="minorBidi" w:hAnsiTheme="minorBidi" w:cstheme="minorBidi"/>
                <w:noProof/>
                <w:webHidden/>
              </w:rPr>
              <w:instrText xml:space="preserve"> PAGEREF _Toc242829763 \h </w:instrText>
            </w:r>
            <w:r w:rsidRPr="00C60D9C">
              <w:rPr>
                <w:rFonts w:asciiTheme="minorBidi" w:hAnsiTheme="minorBidi" w:cstheme="minorBidi"/>
                <w:noProof/>
                <w:webHidden/>
              </w:rPr>
            </w:r>
            <w:r w:rsidRPr="00C60D9C">
              <w:rPr>
                <w:rFonts w:asciiTheme="minorBidi" w:hAnsiTheme="minorBidi" w:cstheme="minorBidi"/>
                <w:noProof/>
                <w:webHidden/>
              </w:rPr>
              <w:fldChar w:fldCharType="separate"/>
            </w:r>
            <w:r w:rsidRPr="00C60D9C">
              <w:rPr>
                <w:rFonts w:asciiTheme="minorBidi" w:hAnsiTheme="minorBidi" w:cstheme="minorBidi"/>
                <w:noProof/>
                <w:webHidden/>
              </w:rPr>
              <w:t>5</w:t>
            </w:r>
            <w:r w:rsidRPr="00C60D9C">
              <w:rPr>
                <w:rFonts w:asciiTheme="minorBidi" w:hAnsiTheme="minorBidi" w:cstheme="minorBidi"/>
                <w:noProof/>
                <w:webHidden/>
              </w:rPr>
              <w:fldChar w:fldCharType="end"/>
            </w:r>
          </w:hyperlink>
        </w:p>
        <w:p w14:paraId="1001F06E" w14:textId="66CC830C" w:rsidR="008556D4" w:rsidRPr="00C60D9C" w:rsidRDefault="008556D4" w:rsidP="00C357C7">
          <w:pPr>
            <w:pStyle w:val="TOC1"/>
            <w:tabs>
              <w:tab w:val="right" w:leader="dot" w:pos="9090"/>
            </w:tabs>
            <w:spacing w:line="360" w:lineRule="auto"/>
            <w:rPr>
              <w:rFonts w:asciiTheme="minorBidi" w:hAnsiTheme="minorBidi" w:cstheme="minorBidi"/>
              <w:noProof/>
              <w:lang w:val="en-GB" w:eastAsia="en-GB"/>
            </w:rPr>
          </w:pPr>
          <w:hyperlink w:anchor="_Toc242829764" w:history="1">
            <w:r w:rsidRPr="00C60D9C">
              <w:rPr>
                <w:rStyle w:val="Hyperlink"/>
                <w:rFonts w:asciiTheme="minorBidi" w:hAnsiTheme="minorBidi" w:cstheme="minorBidi"/>
                <w:noProof/>
              </w:rPr>
              <w:t>Impact of EPR on Community and Wider Healthcare System</w:t>
            </w:r>
            <w:r w:rsidRPr="00C60D9C">
              <w:rPr>
                <w:rFonts w:asciiTheme="minorBidi" w:hAnsiTheme="minorBidi" w:cstheme="minorBidi"/>
                <w:noProof/>
                <w:webHidden/>
              </w:rPr>
              <w:tab/>
            </w:r>
            <w:r w:rsidRPr="00C60D9C">
              <w:rPr>
                <w:rFonts w:asciiTheme="minorBidi" w:hAnsiTheme="minorBidi" w:cstheme="minorBidi"/>
                <w:noProof/>
                <w:webHidden/>
              </w:rPr>
              <w:fldChar w:fldCharType="begin"/>
            </w:r>
            <w:r w:rsidRPr="00C60D9C">
              <w:rPr>
                <w:rFonts w:asciiTheme="minorBidi" w:hAnsiTheme="minorBidi" w:cstheme="minorBidi"/>
                <w:noProof/>
                <w:webHidden/>
              </w:rPr>
              <w:instrText xml:space="preserve"> PAGEREF _Toc242829764 \h </w:instrText>
            </w:r>
            <w:r w:rsidRPr="00C60D9C">
              <w:rPr>
                <w:rFonts w:asciiTheme="minorBidi" w:hAnsiTheme="minorBidi" w:cstheme="minorBidi"/>
                <w:noProof/>
                <w:webHidden/>
              </w:rPr>
            </w:r>
            <w:r w:rsidRPr="00C60D9C">
              <w:rPr>
                <w:rFonts w:asciiTheme="minorBidi" w:hAnsiTheme="minorBidi" w:cstheme="minorBidi"/>
                <w:noProof/>
                <w:webHidden/>
              </w:rPr>
              <w:fldChar w:fldCharType="separate"/>
            </w:r>
            <w:r w:rsidRPr="00C60D9C">
              <w:rPr>
                <w:rFonts w:asciiTheme="minorBidi" w:hAnsiTheme="minorBidi" w:cstheme="minorBidi"/>
                <w:noProof/>
                <w:webHidden/>
              </w:rPr>
              <w:t>6</w:t>
            </w:r>
            <w:r w:rsidRPr="00C60D9C">
              <w:rPr>
                <w:rFonts w:asciiTheme="minorBidi" w:hAnsiTheme="minorBidi" w:cstheme="minorBidi"/>
                <w:noProof/>
                <w:webHidden/>
              </w:rPr>
              <w:fldChar w:fldCharType="end"/>
            </w:r>
          </w:hyperlink>
        </w:p>
        <w:p w14:paraId="357160F0" w14:textId="0E8805DB" w:rsidR="008556D4" w:rsidRPr="00C60D9C" w:rsidRDefault="008556D4" w:rsidP="00C357C7">
          <w:pPr>
            <w:pStyle w:val="TOC1"/>
            <w:tabs>
              <w:tab w:val="right" w:leader="dot" w:pos="9090"/>
            </w:tabs>
            <w:spacing w:line="360" w:lineRule="auto"/>
            <w:rPr>
              <w:rFonts w:asciiTheme="minorBidi" w:hAnsiTheme="minorBidi" w:cstheme="minorBidi"/>
              <w:noProof/>
              <w:lang w:val="en-GB" w:eastAsia="en-GB"/>
            </w:rPr>
          </w:pPr>
          <w:hyperlink w:anchor="_Toc242829765" w:history="1">
            <w:r w:rsidRPr="00C60D9C">
              <w:rPr>
                <w:rStyle w:val="Hyperlink"/>
                <w:rFonts w:asciiTheme="minorBidi" w:hAnsiTheme="minorBidi" w:cstheme="minorBidi"/>
                <w:noProof/>
              </w:rPr>
              <w:t>Critical Discussion: Overall Benefits, Limitations &amp; Recommendations</w:t>
            </w:r>
            <w:r w:rsidRPr="00C60D9C">
              <w:rPr>
                <w:rFonts w:asciiTheme="minorBidi" w:hAnsiTheme="minorBidi" w:cstheme="minorBidi"/>
                <w:noProof/>
                <w:webHidden/>
              </w:rPr>
              <w:tab/>
            </w:r>
            <w:r w:rsidRPr="00C60D9C">
              <w:rPr>
                <w:rFonts w:asciiTheme="minorBidi" w:hAnsiTheme="minorBidi" w:cstheme="minorBidi"/>
                <w:noProof/>
                <w:webHidden/>
              </w:rPr>
              <w:fldChar w:fldCharType="begin"/>
            </w:r>
            <w:r w:rsidRPr="00C60D9C">
              <w:rPr>
                <w:rFonts w:asciiTheme="minorBidi" w:hAnsiTheme="minorBidi" w:cstheme="minorBidi"/>
                <w:noProof/>
                <w:webHidden/>
              </w:rPr>
              <w:instrText xml:space="preserve"> PAGEREF _Toc242829765 \h </w:instrText>
            </w:r>
            <w:r w:rsidRPr="00C60D9C">
              <w:rPr>
                <w:rFonts w:asciiTheme="minorBidi" w:hAnsiTheme="minorBidi" w:cstheme="minorBidi"/>
                <w:noProof/>
                <w:webHidden/>
              </w:rPr>
            </w:r>
            <w:r w:rsidRPr="00C60D9C">
              <w:rPr>
                <w:rFonts w:asciiTheme="minorBidi" w:hAnsiTheme="minorBidi" w:cstheme="minorBidi"/>
                <w:noProof/>
                <w:webHidden/>
              </w:rPr>
              <w:fldChar w:fldCharType="separate"/>
            </w:r>
            <w:r w:rsidRPr="00C60D9C">
              <w:rPr>
                <w:rFonts w:asciiTheme="minorBidi" w:hAnsiTheme="minorBidi" w:cstheme="minorBidi"/>
                <w:noProof/>
                <w:webHidden/>
              </w:rPr>
              <w:t>7</w:t>
            </w:r>
            <w:r w:rsidRPr="00C60D9C">
              <w:rPr>
                <w:rFonts w:asciiTheme="minorBidi" w:hAnsiTheme="minorBidi" w:cstheme="minorBidi"/>
                <w:noProof/>
                <w:webHidden/>
              </w:rPr>
              <w:fldChar w:fldCharType="end"/>
            </w:r>
          </w:hyperlink>
        </w:p>
        <w:p w14:paraId="59A09AC6" w14:textId="4B70AD57" w:rsidR="008556D4" w:rsidRPr="00C60D9C" w:rsidRDefault="008556D4" w:rsidP="00C357C7">
          <w:pPr>
            <w:pStyle w:val="TOC1"/>
            <w:tabs>
              <w:tab w:val="right" w:leader="dot" w:pos="9090"/>
            </w:tabs>
            <w:spacing w:line="360" w:lineRule="auto"/>
            <w:rPr>
              <w:rFonts w:asciiTheme="minorBidi" w:hAnsiTheme="minorBidi" w:cstheme="minorBidi"/>
              <w:noProof/>
              <w:lang w:val="en-GB" w:eastAsia="en-GB"/>
            </w:rPr>
          </w:pPr>
          <w:hyperlink w:anchor="_Toc242829766" w:history="1">
            <w:r w:rsidRPr="00C60D9C">
              <w:rPr>
                <w:rStyle w:val="Hyperlink"/>
                <w:rFonts w:asciiTheme="minorBidi" w:hAnsiTheme="minorBidi" w:cstheme="minorBidi"/>
                <w:noProof/>
              </w:rPr>
              <w:t>Conclusion</w:t>
            </w:r>
            <w:r w:rsidRPr="00C60D9C">
              <w:rPr>
                <w:rFonts w:asciiTheme="minorBidi" w:hAnsiTheme="minorBidi" w:cstheme="minorBidi"/>
                <w:noProof/>
                <w:webHidden/>
              </w:rPr>
              <w:tab/>
            </w:r>
            <w:r w:rsidRPr="00C60D9C">
              <w:rPr>
                <w:rFonts w:asciiTheme="minorBidi" w:hAnsiTheme="minorBidi" w:cstheme="minorBidi"/>
                <w:noProof/>
                <w:webHidden/>
              </w:rPr>
              <w:fldChar w:fldCharType="begin"/>
            </w:r>
            <w:r w:rsidRPr="00C60D9C">
              <w:rPr>
                <w:rFonts w:asciiTheme="minorBidi" w:hAnsiTheme="minorBidi" w:cstheme="minorBidi"/>
                <w:noProof/>
                <w:webHidden/>
              </w:rPr>
              <w:instrText xml:space="preserve"> PAGEREF _Toc242829766 \h </w:instrText>
            </w:r>
            <w:r w:rsidRPr="00C60D9C">
              <w:rPr>
                <w:rFonts w:asciiTheme="minorBidi" w:hAnsiTheme="minorBidi" w:cstheme="minorBidi"/>
                <w:noProof/>
                <w:webHidden/>
              </w:rPr>
            </w:r>
            <w:r w:rsidRPr="00C60D9C">
              <w:rPr>
                <w:rFonts w:asciiTheme="minorBidi" w:hAnsiTheme="minorBidi" w:cstheme="minorBidi"/>
                <w:noProof/>
                <w:webHidden/>
              </w:rPr>
              <w:fldChar w:fldCharType="separate"/>
            </w:r>
            <w:r w:rsidRPr="00C60D9C">
              <w:rPr>
                <w:rFonts w:asciiTheme="minorBidi" w:hAnsiTheme="minorBidi" w:cstheme="minorBidi"/>
                <w:noProof/>
                <w:webHidden/>
              </w:rPr>
              <w:t>8</w:t>
            </w:r>
            <w:r w:rsidRPr="00C60D9C">
              <w:rPr>
                <w:rFonts w:asciiTheme="minorBidi" w:hAnsiTheme="minorBidi" w:cstheme="minorBidi"/>
                <w:noProof/>
                <w:webHidden/>
              </w:rPr>
              <w:fldChar w:fldCharType="end"/>
            </w:r>
          </w:hyperlink>
        </w:p>
        <w:p w14:paraId="015E71A1" w14:textId="47574AE2" w:rsidR="008556D4" w:rsidRPr="00C60D9C" w:rsidRDefault="008556D4" w:rsidP="00C357C7">
          <w:pPr>
            <w:pStyle w:val="TOC1"/>
            <w:tabs>
              <w:tab w:val="right" w:leader="dot" w:pos="9090"/>
            </w:tabs>
            <w:spacing w:line="360" w:lineRule="auto"/>
            <w:rPr>
              <w:rFonts w:asciiTheme="minorBidi" w:hAnsiTheme="minorBidi" w:cstheme="minorBidi"/>
              <w:noProof/>
              <w:lang w:val="en-GB" w:eastAsia="en-GB"/>
            </w:rPr>
          </w:pPr>
          <w:hyperlink w:anchor="_Toc242829767" w:history="1">
            <w:r w:rsidRPr="00C60D9C">
              <w:rPr>
                <w:rStyle w:val="Hyperlink"/>
                <w:rFonts w:asciiTheme="minorBidi" w:hAnsiTheme="minorBidi" w:cstheme="minorBidi"/>
                <w:noProof/>
              </w:rPr>
              <w:t>References</w:t>
            </w:r>
            <w:r w:rsidRPr="00C60D9C">
              <w:rPr>
                <w:rFonts w:asciiTheme="minorBidi" w:hAnsiTheme="minorBidi" w:cstheme="minorBidi"/>
                <w:noProof/>
                <w:webHidden/>
              </w:rPr>
              <w:tab/>
            </w:r>
            <w:r w:rsidRPr="00C60D9C">
              <w:rPr>
                <w:rFonts w:asciiTheme="minorBidi" w:hAnsiTheme="minorBidi" w:cstheme="minorBidi"/>
                <w:noProof/>
                <w:webHidden/>
              </w:rPr>
              <w:fldChar w:fldCharType="begin"/>
            </w:r>
            <w:r w:rsidRPr="00C60D9C">
              <w:rPr>
                <w:rFonts w:asciiTheme="minorBidi" w:hAnsiTheme="minorBidi" w:cstheme="minorBidi"/>
                <w:noProof/>
                <w:webHidden/>
              </w:rPr>
              <w:instrText xml:space="preserve"> PAGEREF _Toc242829767 \h </w:instrText>
            </w:r>
            <w:r w:rsidRPr="00C60D9C">
              <w:rPr>
                <w:rFonts w:asciiTheme="minorBidi" w:hAnsiTheme="minorBidi" w:cstheme="minorBidi"/>
                <w:noProof/>
                <w:webHidden/>
              </w:rPr>
            </w:r>
            <w:r w:rsidRPr="00C60D9C">
              <w:rPr>
                <w:rFonts w:asciiTheme="minorBidi" w:hAnsiTheme="minorBidi" w:cstheme="minorBidi"/>
                <w:noProof/>
                <w:webHidden/>
              </w:rPr>
              <w:fldChar w:fldCharType="separate"/>
            </w:r>
            <w:r w:rsidRPr="00C60D9C">
              <w:rPr>
                <w:rFonts w:asciiTheme="minorBidi" w:hAnsiTheme="minorBidi" w:cstheme="minorBidi"/>
                <w:noProof/>
                <w:webHidden/>
              </w:rPr>
              <w:t>8</w:t>
            </w:r>
            <w:r w:rsidRPr="00C60D9C">
              <w:rPr>
                <w:rFonts w:asciiTheme="minorBidi" w:hAnsiTheme="minorBidi" w:cstheme="minorBidi"/>
                <w:noProof/>
                <w:webHidden/>
              </w:rPr>
              <w:fldChar w:fldCharType="end"/>
            </w:r>
          </w:hyperlink>
        </w:p>
        <w:p w14:paraId="3BD8659E" w14:textId="1F39DCD8" w:rsidR="00FE58FA" w:rsidRDefault="00FE58FA">
          <w:r w:rsidRPr="00C60D9C">
            <w:rPr>
              <w:rFonts w:asciiTheme="minorBidi" w:hAnsiTheme="minorBidi"/>
              <w:b/>
              <w:bCs/>
              <w:noProof/>
              <w:sz w:val="22"/>
            </w:rPr>
            <w:fldChar w:fldCharType="end"/>
          </w:r>
        </w:p>
      </w:sdtContent>
    </w:sdt>
    <w:p w14:paraId="0F087112" w14:textId="77777777" w:rsidR="0085300B" w:rsidRDefault="0085300B">
      <w:pPr>
        <w:spacing w:before="0" w:after="160" w:line="259" w:lineRule="auto"/>
        <w:jc w:val="left"/>
      </w:pPr>
      <w:r>
        <w:br w:type="page"/>
      </w:r>
    </w:p>
    <w:p w14:paraId="7DCF54D0" w14:textId="26AA1EC3" w:rsidR="00EA16FC" w:rsidRPr="0006750F" w:rsidRDefault="0085300B" w:rsidP="00580202">
      <w:pPr>
        <w:pStyle w:val="Heading1"/>
        <w:rPr>
          <w:rFonts w:asciiTheme="minorBidi" w:hAnsiTheme="minorBidi" w:cstheme="minorBidi"/>
          <w:sz w:val="22"/>
          <w:szCs w:val="28"/>
        </w:rPr>
      </w:pPr>
      <w:bookmarkStart w:id="0" w:name="_Toc242829759"/>
      <w:r w:rsidRPr="0006750F">
        <w:rPr>
          <w:rFonts w:asciiTheme="minorBidi" w:hAnsiTheme="minorBidi" w:cstheme="minorBidi"/>
          <w:sz w:val="22"/>
          <w:szCs w:val="28"/>
        </w:rPr>
        <w:lastRenderedPageBreak/>
        <w:t>Introduction</w:t>
      </w:r>
      <w:bookmarkEnd w:id="0"/>
    </w:p>
    <w:p w14:paraId="683E5053" w14:textId="739AD1FE" w:rsidR="00E6134A" w:rsidRPr="00E57EE2" w:rsidRDefault="00CB24AC" w:rsidP="00495056">
      <w:pPr>
        <w:ind w:firstLine="720"/>
        <w:rPr>
          <w:rFonts w:asciiTheme="minorBidi" w:hAnsiTheme="minorBidi"/>
          <w:bCs/>
          <w:sz w:val="22"/>
          <w:szCs w:val="20"/>
        </w:rPr>
      </w:pPr>
      <w:r w:rsidRPr="0006750F">
        <w:rPr>
          <w:rFonts w:asciiTheme="minorBidi" w:hAnsiTheme="minorBidi"/>
          <w:sz w:val="22"/>
          <w:szCs w:val="20"/>
        </w:rPr>
        <w:t xml:space="preserve">Digital transformation has become fundamental to modern Health and Social Care, as advanced digital technologies can help enhance the quality, accessibility and efficiency of services by healthcare </w:t>
      </w:r>
      <w:r w:rsidRPr="004B6A64">
        <w:rPr>
          <w:rFonts w:asciiTheme="minorBidi" w:hAnsiTheme="minorBidi"/>
          <w:bCs/>
          <w:sz w:val="22"/>
          <w:szCs w:val="20"/>
        </w:rPr>
        <w:t>organisations</w:t>
      </w:r>
      <w:r w:rsidRPr="00255BC2">
        <w:rPr>
          <w:rFonts w:asciiTheme="minorBidi" w:hAnsiTheme="minorBidi"/>
          <w:bCs/>
          <w:sz w:val="22"/>
          <w:szCs w:val="20"/>
        </w:rPr>
        <w:t>.</w:t>
      </w:r>
      <w:r w:rsidRPr="0006750F">
        <w:rPr>
          <w:rFonts w:asciiTheme="minorBidi" w:hAnsiTheme="minorBidi"/>
          <w:b/>
          <w:sz w:val="22"/>
          <w:szCs w:val="20"/>
        </w:rPr>
        <w:t xml:space="preserve"> </w:t>
      </w:r>
      <w:r w:rsidR="00D61F5C" w:rsidRPr="00E57EE2">
        <w:rPr>
          <w:rFonts w:asciiTheme="minorBidi" w:hAnsiTheme="minorBidi"/>
          <w:bCs/>
          <w:sz w:val="22"/>
          <w:szCs w:val="20"/>
        </w:rPr>
        <w:t>England has incentivised improving healthcare connectivity and information sharing through policy (DOHSC, 2022). The 2025 health plan builds on this path by making a transition from analogue to digital, hospital to community care and treatment to prevention services as highlighted by the Department of Health and Social Care (2025). This report critically discusses the use of Electronic Patient Records (EPR) for NHS services in England, based on a running example of Manchester University NHS Foundation Trust's Hive system. It's about the employees, the services provided and the patients and the community. Whil</w:t>
      </w:r>
      <w:r w:rsidR="000B4821">
        <w:rPr>
          <w:rFonts w:asciiTheme="minorBidi" w:hAnsiTheme="minorBidi"/>
          <w:bCs/>
          <w:sz w:val="22"/>
          <w:szCs w:val="20"/>
        </w:rPr>
        <w:t xml:space="preserve">st </w:t>
      </w:r>
      <w:r w:rsidR="00D61F5C" w:rsidRPr="00E57EE2">
        <w:rPr>
          <w:rFonts w:asciiTheme="minorBidi" w:hAnsiTheme="minorBidi"/>
          <w:bCs/>
          <w:sz w:val="22"/>
          <w:szCs w:val="20"/>
        </w:rPr>
        <w:t>installation alone is not considered success, it requires the right use, optimal system design and support, and changes in patient outcomes</w:t>
      </w:r>
      <w:r w:rsidR="00E96C0F" w:rsidRPr="00E57EE2">
        <w:rPr>
          <w:rFonts w:asciiTheme="minorBidi" w:hAnsiTheme="minorBidi"/>
          <w:bCs/>
          <w:sz w:val="22"/>
          <w:szCs w:val="20"/>
        </w:rPr>
        <w:t xml:space="preserve"> </w:t>
      </w:r>
      <w:r w:rsidR="00D61F5C" w:rsidRPr="00E57EE2">
        <w:rPr>
          <w:rFonts w:asciiTheme="minorBidi" w:hAnsiTheme="minorBidi"/>
          <w:bCs/>
          <w:sz w:val="22"/>
          <w:szCs w:val="20"/>
        </w:rPr>
        <w:t>and this is not always the case (Alharbi, 2025)</w:t>
      </w:r>
      <w:r w:rsidR="00A166C0">
        <w:rPr>
          <w:rFonts w:asciiTheme="minorBidi" w:hAnsiTheme="minorBidi"/>
          <w:bCs/>
          <w:sz w:val="22"/>
          <w:szCs w:val="20"/>
        </w:rPr>
        <w:t>.</w:t>
      </w:r>
    </w:p>
    <w:p w14:paraId="14D0CBCA" w14:textId="53C70BFE" w:rsidR="00CB24AC" w:rsidRPr="0006750F" w:rsidRDefault="004C311F" w:rsidP="00F138A4">
      <w:pPr>
        <w:pStyle w:val="Heading1"/>
        <w:rPr>
          <w:rFonts w:asciiTheme="minorBidi" w:hAnsiTheme="minorBidi" w:cstheme="minorBidi"/>
          <w:sz w:val="22"/>
          <w:szCs w:val="28"/>
        </w:rPr>
      </w:pPr>
      <w:bookmarkStart w:id="1" w:name="_Toc242829760"/>
      <w:r w:rsidRPr="0006750F">
        <w:rPr>
          <w:rFonts w:asciiTheme="minorBidi" w:hAnsiTheme="minorBidi" w:cstheme="minorBidi"/>
          <w:sz w:val="22"/>
          <w:szCs w:val="28"/>
        </w:rPr>
        <w:t>Overview of Electronic Patient Records (EPR) and Implementation</w:t>
      </w:r>
      <w:bookmarkEnd w:id="1"/>
    </w:p>
    <w:p w14:paraId="12A138FC" w14:textId="31DA3C66" w:rsidR="00C5384B" w:rsidRPr="0006750F" w:rsidRDefault="00A63333" w:rsidP="00495056">
      <w:pPr>
        <w:ind w:firstLine="720"/>
        <w:rPr>
          <w:rFonts w:asciiTheme="minorBidi" w:hAnsiTheme="minorBidi"/>
          <w:sz w:val="22"/>
          <w:szCs w:val="20"/>
        </w:rPr>
      </w:pPr>
      <w:r w:rsidRPr="0006750F">
        <w:rPr>
          <w:rFonts w:asciiTheme="minorBidi" w:hAnsiTheme="minorBidi"/>
          <w:sz w:val="22"/>
          <w:szCs w:val="20"/>
        </w:rPr>
        <w:t xml:space="preserve">Electronic Patient Records (EPR) refer to digital systems employed in healthcare settings for documenting, storing and managing patient information in an electronic format instead of using paper records </w:t>
      </w:r>
      <w:r w:rsidRPr="00043526">
        <w:rPr>
          <w:rFonts w:asciiTheme="minorBidi" w:hAnsiTheme="minorBidi"/>
          <w:bCs/>
          <w:sz w:val="22"/>
          <w:szCs w:val="20"/>
        </w:rPr>
        <w:t>(Department of Health and Social Care, 2022).</w:t>
      </w:r>
      <w:r w:rsidRPr="0006750F">
        <w:rPr>
          <w:rFonts w:asciiTheme="minorBidi" w:hAnsiTheme="minorBidi"/>
          <w:sz w:val="22"/>
          <w:szCs w:val="20"/>
        </w:rPr>
        <w:t xml:space="preserve"> These systems enable authorised </w:t>
      </w:r>
      <w:r w:rsidRPr="005F72B4">
        <w:rPr>
          <w:rFonts w:asciiTheme="minorBidi" w:hAnsiTheme="minorBidi"/>
          <w:bCs/>
          <w:sz w:val="22"/>
          <w:szCs w:val="20"/>
        </w:rPr>
        <w:t xml:space="preserve">healthcare </w:t>
      </w:r>
      <w:r w:rsidRPr="0006750F">
        <w:rPr>
          <w:rFonts w:asciiTheme="minorBidi" w:hAnsiTheme="minorBidi"/>
          <w:sz w:val="22"/>
          <w:szCs w:val="20"/>
        </w:rPr>
        <w:t xml:space="preserve">users to access </w:t>
      </w:r>
      <w:r w:rsidRPr="0006750F">
        <w:rPr>
          <w:rFonts w:asciiTheme="minorBidi" w:hAnsiTheme="minorBidi"/>
          <w:b/>
          <w:sz w:val="22"/>
          <w:szCs w:val="20"/>
        </w:rPr>
        <w:t>i</w:t>
      </w:r>
      <w:r w:rsidRPr="0041596B">
        <w:rPr>
          <w:rFonts w:asciiTheme="minorBidi" w:hAnsiTheme="minorBidi"/>
          <w:bCs/>
          <w:sz w:val="22"/>
          <w:szCs w:val="20"/>
        </w:rPr>
        <w:t xml:space="preserve">nformation </w:t>
      </w:r>
      <w:r w:rsidRPr="0006750F">
        <w:rPr>
          <w:rFonts w:asciiTheme="minorBidi" w:hAnsiTheme="minorBidi"/>
          <w:sz w:val="22"/>
          <w:szCs w:val="20"/>
        </w:rPr>
        <w:t xml:space="preserve">more easily, facilitating communication, clinical activities and care </w:t>
      </w:r>
      <w:r w:rsidRPr="00BB1E95">
        <w:rPr>
          <w:rFonts w:asciiTheme="minorBidi" w:hAnsiTheme="minorBidi"/>
          <w:bCs/>
          <w:sz w:val="22"/>
          <w:szCs w:val="20"/>
        </w:rPr>
        <w:t>continuity.</w:t>
      </w:r>
      <w:r w:rsidRPr="0006750F">
        <w:rPr>
          <w:rFonts w:asciiTheme="minorBidi" w:hAnsiTheme="minorBidi"/>
          <w:b/>
          <w:sz w:val="22"/>
          <w:szCs w:val="20"/>
        </w:rPr>
        <w:t xml:space="preserve"> </w:t>
      </w:r>
      <w:r w:rsidR="00F33EC8" w:rsidRPr="00C475C9">
        <w:rPr>
          <w:rFonts w:asciiTheme="minorBidi" w:hAnsiTheme="minorBidi"/>
          <w:bCs/>
          <w:sz w:val="22"/>
          <w:szCs w:val="20"/>
        </w:rPr>
        <w:t xml:space="preserve">There are also various articles using Electronic Health Records (EHR) and Electronic Medical Records (EMR) </w:t>
      </w:r>
      <w:r w:rsidR="00692A12" w:rsidRPr="00C475C9">
        <w:rPr>
          <w:rFonts w:asciiTheme="minorBidi" w:hAnsiTheme="minorBidi"/>
          <w:bCs/>
          <w:sz w:val="22"/>
          <w:szCs w:val="20"/>
        </w:rPr>
        <w:t xml:space="preserve">so </w:t>
      </w:r>
      <w:r w:rsidR="00F33EC8" w:rsidRPr="00C475C9">
        <w:rPr>
          <w:rFonts w:asciiTheme="minorBidi" w:hAnsiTheme="minorBidi"/>
          <w:bCs/>
          <w:sz w:val="22"/>
          <w:szCs w:val="20"/>
        </w:rPr>
        <w:t>these terms are kept when dealing with cited studies since the systems and settings are different from that of EHR and EMR.</w:t>
      </w:r>
    </w:p>
    <w:p w14:paraId="39AD4005" w14:textId="0374FD31" w:rsidR="00E56232" w:rsidRPr="00C4009B" w:rsidRDefault="0072282F" w:rsidP="00E56232">
      <w:pPr>
        <w:ind w:firstLine="720"/>
        <w:rPr>
          <w:rFonts w:asciiTheme="minorBidi" w:hAnsiTheme="minorBidi"/>
          <w:bCs/>
          <w:sz w:val="22"/>
          <w:szCs w:val="20"/>
        </w:rPr>
      </w:pPr>
      <w:r w:rsidRPr="0006750F">
        <w:rPr>
          <w:rFonts w:asciiTheme="minorBidi" w:hAnsiTheme="minorBidi"/>
          <w:sz w:val="22"/>
          <w:szCs w:val="20"/>
        </w:rPr>
        <w:t xml:space="preserve">In the NHS, the adoption of EPR has been prompted by the desire to modernise the way healthcare is delivered, enhance access to information and eliminate inefficiencies that stem from disjointed paper-based systems </w:t>
      </w:r>
      <w:r w:rsidRPr="00A83942">
        <w:rPr>
          <w:rFonts w:asciiTheme="minorBidi" w:hAnsiTheme="minorBidi"/>
          <w:bCs/>
          <w:sz w:val="22"/>
          <w:szCs w:val="20"/>
        </w:rPr>
        <w:t>(Department of Health and Social Care, 2022).</w:t>
      </w:r>
      <w:r w:rsidRPr="0006750F">
        <w:rPr>
          <w:rFonts w:asciiTheme="minorBidi" w:hAnsiTheme="minorBidi"/>
          <w:b/>
          <w:sz w:val="22"/>
          <w:szCs w:val="20"/>
        </w:rPr>
        <w:t xml:space="preserve"> </w:t>
      </w:r>
      <w:r w:rsidR="003308AD" w:rsidRPr="00C4009B">
        <w:rPr>
          <w:rFonts w:asciiTheme="minorBidi" w:hAnsiTheme="minorBidi"/>
          <w:bCs/>
          <w:sz w:val="22"/>
          <w:szCs w:val="20"/>
        </w:rPr>
        <w:t xml:space="preserve">The right to information is however not guarantee of safer care. Finnegan and Mountford (2025) did a review of 90 studies and found implementation processes of collaboration, competence, compliance and costs were important. Most of the studies included were qualitative in nature and results from various countries were reported. Their review does not therefore demonstrate the impact of an NHS rollout on clinical outcomes for people, but rather issues around implementation. </w:t>
      </w:r>
    </w:p>
    <w:p w14:paraId="7F6058B7" w14:textId="6CE72679" w:rsidR="00EC25FC" w:rsidRPr="0006750F" w:rsidRDefault="00AF2597" w:rsidP="00F31DE6">
      <w:pPr>
        <w:ind w:firstLine="720"/>
        <w:rPr>
          <w:rFonts w:asciiTheme="minorBidi" w:hAnsiTheme="minorBidi"/>
          <w:sz w:val="22"/>
          <w:szCs w:val="20"/>
        </w:rPr>
      </w:pPr>
      <w:r w:rsidRPr="0006750F">
        <w:rPr>
          <w:rFonts w:asciiTheme="minorBidi" w:hAnsiTheme="minorBidi"/>
          <w:sz w:val="22"/>
          <w:szCs w:val="20"/>
        </w:rPr>
        <w:t xml:space="preserve">A recent example of NHS implementation is the launch of an integrated Electronic Patient </w:t>
      </w:r>
      <w:r w:rsidRPr="009D6BA0">
        <w:rPr>
          <w:rFonts w:asciiTheme="minorBidi" w:hAnsiTheme="minorBidi"/>
          <w:sz w:val="22"/>
          <w:szCs w:val="20"/>
        </w:rPr>
        <w:t>Record system at Manchester University NHS Foundation Trust (MFT).</w:t>
      </w:r>
      <w:r w:rsidRPr="0006750F">
        <w:rPr>
          <w:rFonts w:asciiTheme="minorBidi" w:hAnsiTheme="minorBidi"/>
          <w:b/>
          <w:sz w:val="22"/>
          <w:szCs w:val="20"/>
        </w:rPr>
        <w:t xml:space="preserve"> </w:t>
      </w:r>
      <w:r w:rsidR="00F31DE6" w:rsidRPr="00425E6C">
        <w:rPr>
          <w:rFonts w:asciiTheme="minorBidi" w:hAnsiTheme="minorBidi"/>
          <w:bCs/>
          <w:sz w:val="22"/>
          <w:szCs w:val="20"/>
        </w:rPr>
        <w:t xml:space="preserve">Hive formally </w:t>
      </w:r>
      <w:r w:rsidR="00F31DE6" w:rsidRPr="00425E6C">
        <w:rPr>
          <w:rFonts w:asciiTheme="minorBidi" w:hAnsiTheme="minorBidi"/>
          <w:bCs/>
          <w:sz w:val="22"/>
          <w:szCs w:val="20"/>
        </w:rPr>
        <w:lastRenderedPageBreak/>
        <w:t>opened its doors on 8 September 2022 in 10 hospitals and connected more than 1,000 information systems (Burns, 2024). To enhance the availability of information amongst all members of a healthcare team and to streamline clinical processes, the Trust took forward a single platform for them to share digital information. The following example is a good illustration of organisational change on a large scale in the English language. There was, however, a difference between what is actually achieved through the system with delivery, as shown in Burns's implementation account, which does not independently improve mortality, workload or patient satisfaction. In judging the success of implementation these distinctions are important.</w:t>
      </w:r>
    </w:p>
    <w:p w14:paraId="7429F32B" w14:textId="5CF0EF35" w:rsidR="00785FFF" w:rsidRPr="0006750F" w:rsidRDefault="00785FFF" w:rsidP="00D33B0E">
      <w:pPr>
        <w:pStyle w:val="Heading1"/>
        <w:rPr>
          <w:rFonts w:asciiTheme="minorBidi" w:hAnsiTheme="minorBidi" w:cstheme="minorBidi"/>
          <w:sz w:val="22"/>
          <w:szCs w:val="28"/>
        </w:rPr>
      </w:pPr>
      <w:bookmarkStart w:id="2" w:name="_Toc242829761"/>
      <w:r w:rsidRPr="0006750F">
        <w:rPr>
          <w:rFonts w:asciiTheme="minorBidi" w:hAnsiTheme="minorBidi" w:cstheme="minorBidi"/>
          <w:sz w:val="22"/>
          <w:szCs w:val="28"/>
        </w:rPr>
        <w:t>Impact of EPR on Healthcare Workforce</w:t>
      </w:r>
      <w:bookmarkEnd w:id="2"/>
    </w:p>
    <w:p w14:paraId="7439D4FE" w14:textId="2587F95F" w:rsidR="00DF67CC" w:rsidRPr="0006750F" w:rsidRDefault="00DF67CC" w:rsidP="00DF67CC">
      <w:pPr>
        <w:ind w:firstLine="720"/>
        <w:rPr>
          <w:rFonts w:asciiTheme="minorBidi" w:hAnsiTheme="minorBidi"/>
          <w:sz w:val="22"/>
          <w:szCs w:val="20"/>
        </w:rPr>
      </w:pPr>
      <w:r w:rsidRPr="0006750F">
        <w:rPr>
          <w:rFonts w:asciiTheme="minorBidi" w:hAnsiTheme="minorBidi"/>
          <w:sz w:val="22"/>
          <w:szCs w:val="20"/>
        </w:rPr>
        <w:t xml:space="preserve">The adoption of Electronic Patient Records (EPR) has </w:t>
      </w:r>
      <w:r w:rsidRPr="00D92196">
        <w:rPr>
          <w:rFonts w:asciiTheme="minorBidi" w:hAnsiTheme="minorBidi"/>
          <w:bCs/>
          <w:sz w:val="22"/>
          <w:szCs w:val="20"/>
        </w:rPr>
        <w:t>changed</w:t>
      </w:r>
      <w:r w:rsidRPr="0006750F">
        <w:rPr>
          <w:rFonts w:asciiTheme="minorBidi" w:hAnsiTheme="minorBidi"/>
          <w:b/>
          <w:sz w:val="22"/>
          <w:szCs w:val="20"/>
        </w:rPr>
        <w:t xml:space="preserve"> </w:t>
      </w:r>
      <w:r w:rsidRPr="0006750F">
        <w:rPr>
          <w:rFonts w:asciiTheme="minorBidi" w:hAnsiTheme="minorBidi"/>
          <w:sz w:val="22"/>
          <w:szCs w:val="20"/>
        </w:rPr>
        <w:t xml:space="preserve">the roles and work practices of </w:t>
      </w:r>
      <w:r w:rsidRPr="00D92196">
        <w:rPr>
          <w:rFonts w:asciiTheme="minorBidi" w:hAnsiTheme="minorBidi"/>
          <w:bCs/>
          <w:sz w:val="22"/>
          <w:szCs w:val="20"/>
        </w:rPr>
        <w:t>healthcare</w:t>
      </w:r>
      <w:r w:rsidRPr="0006750F">
        <w:rPr>
          <w:rFonts w:asciiTheme="minorBidi" w:hAnsiTheme="minorBidi"/>
          <w:b/>
          <w:sz w:val="22"/>
          <w:szCs w:val="20"/>
        </w:rPr>
        <w:t xml:space="preserve"> </w:t>
      </w:r>
      <w:r w:rsidRPr="0006750F">
        <w:rPr>
          <w:rFonts w:asciiTheme="minorBidi" w:hAnsiTheme="minorBidi"/>
          <w:sz w:val="22"/>
          <w:szCs w:val="20"/>
        </w:rPr>
        <w:t xml:space="preserve">professionals by altering how patient-related information is accessed, shared and utilised in clinical </w:t>
      </w:r>
      <w:r w:rsidRPr="00E108BD">
        <w:rPr>
          <w:rFonts w:asciiTheme="minorBidi" w:hAnsiTheme="minorBidi"/>
          <w:bCs/>
          <w:sz w:val="22"/>
          <w:szCs w:val="20"/>
        </w:rPr>
        <w:t>settings.</w:t>
      </w:r>
      <w:r w:rsidRPr="0006750F">
        <w:rPr>
          <w:rFonts w:asciiTheme="minorBidi" w:hAnsiTheme="minorBidi"/>
          <w:b/>
          <w:sz w:val="22"/>
          <w:szCs w:val="20"/>
        </w:rPr>
        <w:t xml:space="preserve"> </w:t>
      </w:r>
      <w:r w:rsidR="001259AB" w:rsidRPr="00D730AF">
        <w:rPr>
          <w:rFonts w:asciiTheme="minorBidi" w:hAnsiTheme="minorBidi"/>
          <w:bCs/>
          <w:sz w:val="22"/>
          <w:szCs w:val="20"/>
        </w:rPr>
        <w:t>One benefit is that patient histories, notes and treatment details can be retrieved without having to retrieve paper documents. Lloyd et al. (2024) report positive clinician experiences of accessing information, medication documentation and diagnostic results. But their qualitative study is about the situation of staff in Australian hospitals, and cannot prove the same benefits in England. It delivers findings that are relevant to local identification of design issues that need to be explored locally, not necessarily at every NHS workgroup.</w:t>
      </w:r>
    </w:p>
    <w:p w14:paraId="56A86DF3" w14:textId="631747D8" w:rsidR="001B360F" w:rsidRPr="0006750F" w:rsidRDefault="001B360F" w:rsidP="001B360F">
      <w:pPr>
        <w:ind w:firstLine="720"/>
        <w:rPr>
          <w:rFonts w:asciiTheme="minorBidi" w:hAnsiTheme="minorBidi"/>
          <w:sz w:val="22"/>
          <w:szCs w:val="20"/>
        </w:rPr>
      </w:pPr>
      <w:r w:rsidRPr="001B360F">
        <w:rPr>
          <w:rFonts w:asciiTheme="minorBidi" w:hAnsiTheme="minorBidi"/>
          <w:sz w:val="22"/>
          <w:szCs w:val="20"/>
        </w:rPr>
        <w:t xml:space="preserve">Furthermore, EPR systems can help in organising patient information and support clinical decisions. According to Lloyd et al., however, some difficult interfaces, labour-intensive tasks and challenges to exchanging information with other sectors of the care system are also mentioned. It proves that digital records don't necessarily make collaboration or staff time go faster. Li et al. (2023) conducted interviews with 15 chief clinical information officers (CCIOs) in England, revealing that if the interoperability is poor, the information may be disseminated in an incomplete and redundant manner. They offer relevant examples of NHS data underpinning their ideas of leadership, but cannot provide specific levels of impact on each staff group in a small-scale interview study. </w:t>
      </w:r>
    </w:p>
    <w:p w14:paraId="31615E05" w14:textId="625836A2" w:rsidR="00BE5677" w:rsidRDefault="00DF67CC" w:rsidP="00BE5677">
      <w:pPr>
        <w:ind w:firstLine="720"/>
        <w:rPr>
          <w:rFonts w:asciiTheme="minorBidi" w:hAnsiTheme="minorBidi"/>
          <w:b/>
          <w:sz w:val="22"/>
          <w:szCs w:val="20"/>
        </w:rPr>
      </w:pPr>
      <w:r w:rsidRPr="0006750F">
        <w:rPr>
          <w:rFonts w:asciiTheme="minorBidi" w:hAnsiTheme="minorBidi"/>
          <w:sz w:val="22"/>
          <w:szCs w:val="20"/>
        </w:rPr>
        <w:t xml:space="preserve">But the shift to EPR also poses difficulties for the healthcare </w:t>
      </w:r>
      <w:r w:rsidRPr="006B652A">
        <w:rPr>
          <w:rFonts w:asciiTheme="minorBidi" w:hAnsiTheme="minorBidi"/>
          <w:bCs/>
          <w:sz w:val="22"/>
          <w:szCs w:val="20"/>
        </w:rPr>
        <w:t>profession.</w:t>
      </w:r>
      <w:r w:rsidRPr="0006750F">
        <w:rPr>
          <w:rFonts w:asciiTheme="minorBidi" w:hAnsiTheme="minorBidi"/>
          <w:b/>
          <w:sz w:val="22"/>
          <w:szCs w:val="20"/>
        </w:rPr>
        <w:t xml:space="preserve"> </w:t>
      </w:r>
      <w:r w:rsidR="00BE5677" w:rsidRPr="00882999">
        <w:rPr>
          <w:rFonts w:asciiTheme="minorBidi" w:hAnsiTheme="minorBidi"/>
          <w:bCs/>
          <w:sz w:val="22"/>
          <w:szCs w:val="20"/>
        </w:rPr>
        <w:t xml:space="preserve">There is a requirement for training and ongoing support so staff can adjust to digital systems. Such embargoes should not be laid on workers just because they lack certain skills. Whitfield et al. (2025) conducted a study with seven social care organisations to investigate how technology was used, with system functionality, job roles and supportive learning environments having an influence on </w:t>
      </w:r>
      <w:r w:rsidR="009C7719" w:rsidRPr="00882999">
        <w:rPr>
          <w:rFonts w:asciiTheme="minorBidi" w:hAnsiTheme="minorBidi"/>
          <w:bCs/>
          <w:sz w:val="22"/>
          <w:szCs w:val="20"/>
        </w:rPr>
        <w:t xml:space="preserve">this. </w:t>
      </w:r>
      <w:r w:rsidR="00BE5677" w:rsidRPr="00882999">
        <w:rPr>
          <w:rFonts w:asciiTheme="minorBidi" w:hAnsiTheme="minorBidi"/>
          <w:bCs/>
          <w:sz w:val="22"/>
          <w:szCs w:val="20"/>
        </w:rPr>
        <w:t xml:space="preserve">researched seven social care organisations to examine how technology was </w:t>
      </w:r>
      <w:r w:rsidR="00BE5677" w:rsidRPr="00882999">
        <w:rPr>
          <w:rFonts w:asciiTheme="minorBidi" w:hAnsiTheme="minorBidi"/>
          <w:bCs/>
          <w:sz w:val="22"/>
          <w:szCs w:val="20"/>
        </w:rPr>
        <w:lastRenderedPageBreak/>
        <w:t>used, identified that system functionality, job roles and supportive learning environments are influence system technology use</w:t>
      </w:r>
      <w:r w:rsidR="00CB48D8">
        <w:rPr>
          <w:rFonts w:asciiTheme="minorBidi" w:hAnsiTheme="minorBidi"/>
          <w:bCs/>
          <w:sz w:val="22"/>
          <w:szCs w:val="20"/>
        </w:rPr>
        <w:t xml:space="preserve"> </w:t>
      </w:r>
      <w:r w:rsidR="00CB48D8" w:rsidRPr="00116126">
        <w:rPr>
          <w:rFonts w:asciiTheme="minorBidi" w:hAnsiTheme="minorBidi"/>
          <w:bCs/>
          <w:sz w:val="22"/>
          <w:szCs w:val="20"/>
        </w:rPr>
        <w:t>(</w:t>
      </w:r>
      <w:r w:rsidR="00116126" w:rsidRPr="00116126">
        <w:rPr>
          <w:rFonts w:asciiTheme="minorBidi" w:hAnsiTheme="minorBidi"/>
          <w:bCs/>
          <w:sz w:val="22"/>
          <w:szCs w:val="20"/>
        </w:rPr>
        <w:t>Whitfield et al.</w:t>
      </w:r>
      <w:r w:rsidR="00CB48D8" w:rsidRPr="00116126">
        <w:rPr>
          <w:rFonts w:asciiTheme="minorBidi" w:hAnsiTheme="minorBidi"/>
          <w:bCs/>
          <w:sz w:val="22"/>
          <w:szCs w:val="20"/>
        </w:rPr>
        <w:t xml:space="preserve">, </w:t>
      </w:r>
      <w:r w:rsidR="00CB48D8" w:rsidRPr="00116126">
        <w:rPr>
          <w:rFonts w:asciiTheme="minorBidi" w:hAnsiTheme="minorBidi"/>
          <w:bCs/>
          <w:sz w:val="22"/>
          <w:szCs w:val="20"/>
        </w:rPr>
        <w:t>2025)</w:t>
      </w:r>
      <w:r w:rsidR="00CB48D8" w:rsidRPr="00116126">
        <w:rPr>
          <w:rFonts w:asciiTheme="minorBidi" w:hAnsiTheme="minorBidi"/>
          <w:bCs/>
          <w:sz w:val="22"/>
          <w:szCs w:val="20"/>
        </w:rPr>
        <w:t>.</w:t>
      </w:r>
      <w:r w:rsidR="00CB48D8" w:rsidRPr="00116126">
        <w:rPr>
          <w:rFonts w:asciiTheme="minorBidi" w:hAnsiTheme="minorBidi"/>
          <w:b/>
          <w:sz w:val="22"/>
          <w:szCs w:val="20"/>
        </w:rPr>
        <w:t xml:space="preserve"> </w:t>
      </w:r>
      <w:r w:rsidR="00BE5677" w:rsidRPr="00882999">
        <w:rPr>
          <w:rFonts w:asciiTheme="minorBidi" w:hAnsiTheme="minorBidi"/>
          <w:bCs/>
          <w:sz w:val="22"/>
          <w:szCs w:val="20"/>
        </w:rPr>
        <w:t>For Hive, it has to be focussed at the actual use of the equipment in actual clinical scenarios and not just the amount of staff attending training sessions. A practical assessment might be to have staff find records and make notes about how things are being cared for and clarify any challenges, enabling the manager to see if the issue is learning, design or workload.</w:t>
      </w:r>
    </w:p>
    <w:p w14:paraId="0A69CB49" w14:textId="3A21EC09" w:rsidR="00AF0314" w:rsidRPr="00DD3B8B" w:rsidRDefault="00DF67CC" w:rsidP="00DD3B8B">
      <w:pPr>
        <w:ind w:firstLine="720"/>
        <w:rPr>
          <w:rFonts w:asciiTheme="minorBidi" w:hAnsiTheme="minorBidi"/>
          <w:b/>
          <w:sz w:val="22"/>
          <w:szCs w:val="20"/>
        </w:rPr>
      </w:pPr>
      <w:r w:rsidRPr="0006750F">
        <w:rPr>
          <w:rFonts w:asciiTheme="minorBidi" w:hAnsiTheme="minorBidi"/>
          <w:sz w:val="22"/>
          <w:szCs w:val="20"/>
        </w:rPr>
        <w:t xml:space="preserve">In the early phases of the implementation process, EPR systems can also lead to greater workload as a result of learning needs, data migration tasks and new working </w:t>
      </w:r>
      <w:r w:rsidRPr="00B030A6">
        <w:rPr>
          <w:rFonts w:asciiTheme="minorBidi" w:hAnsiTheme="minorBidi"/>
          <w:bCs/>
          <w:sz w:val="22"/>
          <w:szCs w:val="20"/>
        </w:rPr>
        <w:t>routines.</w:t>
      </w:r>
      <w:r w:rsidRPr="0006750F">
        <w:rPr>
          <w:rFonts w:asciiTheme="minorBidi" w:hAnsiTheme="minorBidi"/>
          <w:b/>
          <w:sz w:val="22"/>
          <w:szCs w:val="20"/>
        </w:rPr>
        <w:t xml:space="preserve"> </w:t>
      </w:r>
      <w:r w:rsidR="00BE6DF9" w:rsidRPr="004A3F56">
        <w:rPr>
          <w:rFonts w:asciiTheme="minorBidi" w:hAnsiTheme="minorBidi"/>
          <w:bCs/>
          <w:sz w:val="22"/>
          <w:szCs w:val="20"/>
        </w:rPr>
        <w:t xml:space="preserve">A more efficient practice is going to take some time to be realised (Finnegan &amp; Mountford, 2025). Roles also evolve </w:t>
      </w:r>
      <w:r w:rsidR="00BE6DF9" w:rsidRPr="004A3F56">
        <w:rPr>
          <w:rFonts w:asciiTheme="minorBidi" w:hAnsiTheme="minorBidi"/>
          <w:bCs/>
          <w:sz w:val="22"/>
          <w:szCs w:val="20"/>
        </w:rPr>
        <w:t>in</w:t>
      </w:r>
      <w:r w:rsidR="00BE6DF9" w:rsidRPr="004A3F56">
        <w:rPr>
          <w:rFonts w:asciiTheme="minorBidi" w:hAnsiTheme="minorBidi"/>
          <w:bCs/>
          <w:sz w:val="22"/>
          <w:szCs w:val="20"/>
        </w:rPr>
        <w:t xml:space="preserve"> clinical information officers link clinical priorities and digital decisions, trained superusers provide colleagues with support for implementation. Manchester's implementation account: Staff preparation and support for the change (Burns, 2024). Therefore, competence must involve the proper recording, information sharing, and identifying system failures. </w:t>
      </w:r>
    </w:p>
    <w:p w14:paraId="2C66AA2C" w14:textId="7CE30F2D" w:rsidR="00B83CC9" w:rsidRPr="0006750F" w:rsidRDefault="004873B7" w:rsidP="007F3D54">
      <w:pPr>
        <w:pStyle w:val="Heading1"/>
        <w:rPr>
          <w:rFonts w:asciiTheme="minorBidi" w:hAnsiTheme="minorBidi" w:cstheme="minorBidi"/>
          <w:sz w:val="22"/>
          <w:szCs w:val="28"/>
        </w:rPr>
      </w:pPr>
      <w:bookmarkStart w:id="3" w:name="_Toc242829762"/>
      <w:r w:rsidRPr="0006750F">
        <w:rPr>
          <w:rFonts w:asciiTheme="minorBidi" w:hAnsiTheme="minorBidi" w:cstheme="minorBidi"/>
          <w:sz w:val="22"/>
          <w:szCs w:val="28"/>
        </w:rPr>
        <w:t>Impact of EPR on Health Service Delivery</w:t>
      </w:r>
      <w:bookmarkEnd w:id="3"/>
    </w:p>
    <w:p w14:paraId="1A163CC0" w14:textId="4E54E3D8" w:rsidR="00AF13FE" w:rsidRDefault="00366325" w:rsidP="00495056">
      <w:pPr>
        <w:ind w:firstLine="720"/>
        <w:rPr>
          <w:rFonts w:asciiTheme="minorBidi" w:hAnsiTheme="minorBidi"/>
          <w:b/>
          <w:sz w:val="22"/>
          <w:szCs w:val="20"/>
        </w:rPr>
      </w:pPr>
      <w:r w:rsidRPr="0006750F">
        <w:rPr>
          <w:rFonts w:asciiTheme="minorBidi" w:hAnsiTheme="minorBidi"/>
          <w:sz w:val="22"/>
          <w:szCs w:val="20"/>
        </w:rPr>
        <w:t xml:space="preserve">An Electronic Patient Record (EPR) </w:t>
      </w:r>
      <w:r w:rsidRPr="00890FB9">
        <w:rPr>
          <w:rFonts w:asciiTheme="minorBidi" w:hAnsiTheme="minorBidi"/>
          <w:bCs/>
          <w:sz w:val="22"/>
          <w:szCs w:val="20"/>
        </w:rPr>
        <w:t>can affect</w:t>
      </w:r>
      <w:r w:rsidRPr="0006750F">
        <w:rPr>
          <w:rFonts w:asciiTheme="minorBidi" w:hAnsiTheme="minorBidi"/>
          <w:b/>
          <w:sz w:val="22"/>
          <w:szCs w:val="20"/>
        </w:rPr>
        <w:t xml:space="preserve"> </w:t>
      </w:r>
      <w:r w:rsidRPr="0006750F">
        <w:rPr>
          <w:rFonts w:asciiTheme="minorBidi" w:hAnsiTheme="minorBidi"/>
          <w:sz w:val="22"/>
          <w:szCs w:val="20"/>
        </w:rPr>
        <w:t xml:space="preserve">the delivery of healthcare services </w:t>
      </w:r>
      <w:r w:rsidRPr="00E5752E">
        <w:rPr>
          <w:rFonts w:asciiTheme="minorBidi" w:hAnsiTheme="minorBidi"/>
          <w:bCs/>
          <w:sz w:val="22"/>
          <w:szCs w:val="20"/>
        </w:rPr>
        <w:t xml:space="preserve">through </w:t>
      </w:r>
      <w:r w:rsidRPr="0006750F">
        <w:rPr>
          <w:rFonts w:asciiTheme="minorBidi" w:hAnsiTheme="minorBidi"/>
          <w:sz w:val="22"/>
          <w:szCs w:val="20"/>
        </w:rPr>
        <w:t xml:space="preserve">the management, availability and exchange of clinical information. One of the major advantages of EPR systems is that they enable healthcare providers to share information </w:t>
      </w:r>
      <w:r w:rsidRPr="00B3102F">
        <w:rPr>
          <w:rFonts w:asciiTheme="minorBidi" w:hAnsiTheme="minorBidi"/>
          <w:bCs/>
          <w:sz w:val="22"/>
          <w:szCs w:val="20"/>
        </w:rPr>
        <w:t xml:space="preserve">between </w:t>
      </w:r>
      <w:r w:rsidRPr="0006750F">
        <w:rPr>
          <w:rFonts w:asciiTheme="minorBidi" w:hAnsiTheme="minorBidi"/>
          <w:sz w:val="22"/>
          <w:szCs w:val="20"/>
        </w:rPr>
        <w:t xml:space="preserve">professionals and </w:t>
      </w:r>
      <w:r w:rsidRPr="0006568F">
        <w:rPr>
          <w:rFonts w:asciiTheme="minorBidi" w:hAnsiTheme="minorBidi"/>
          <w:bCs/>
          <w:sz w:val="22"/>
          <w:szCs w:val="20"/>
        </w:rPr>
        <w:t>departments.</w:t>
      </w:r>
      <w:r w:rsidRPr="0006750F">
        <w:rPr>
          <w:rFonts w:asciiTheme="minorBidi" w:hAnsiTheme="minorBidi"/>
          <w:b/>
          <w:sz w:val="22"/>
          <w:szCs w:val="20"/>
        </w:rPr>
        <w:t xml:space="preserve"> </w:t>
      </w:r>
      <w:r w:rsidR="00786648" w:rsidRPr="001411C5">
        <w:rPr>
          <w:rFonts w:asciiTheme="minorBidi" w:hAnsiTheme="minorBidi"/>
          <w:bCs/>
          <w:sz w:val="22"/>
          <w:szCs w:val="20"/>
        </w:rPr>
        <w:t>It means something different in real life, such as access to test results, recording treatments and reviewing documentation at transitions of care. As well as providing adoption barriers, Tsai et al. (2020) also outline potential improvement. However, there is no evidence that all NHS services make these gains in their international review. Service evaluation thus should be evaluated by delay</w:t>
      </w:r>
      <w:r w:rsidR="00657374">
        <w:rPr>
          <w:rFonts w:asciiTheme="minorBidi" w:hAnsiTheme="minorBidi"/>
          <w:bCs/>
          <w:sz w:val="22"/>
          <w:szCs w:val="20"/>
        </w:rPr>
        <w:t xml:space="preserve"> in</w:t>
      </w:r>
      <w:r w:rsidR="00786648" w:rsidRPr="001411C5">
        <w:rPr>
          <w:rFonts w:asciiTheme="minorBidi" w:hAnsiTheme="minorBidi"/>
          <w:bCs/>
          <w:sz w:val="22"/>
          <w:szCs w:val="20"/>
        </w:rPr>
        <w:t xml:space="preserve"> duplicate work, and documentation quality before and after the launch of the service, and not by just successful launch and better care. </w:t>
      </w:r>
      <w:r w:rsidR="00AF13FE" w:rsidRPr="00F52B3F">
        <w:rPr>
          <w:rFonts w:asciiTheme="minorBidi" w:hAnsiTheme="minorBidi"/>
          <w:bCs/>
          <w:sz w:val="22"/>
          <w:szCs w:val="20"/>
        </w:rPr>
        <w:t>This</w:t>
      </w:r>
      <w:r w:rsidR="00AF13FE" w:rsidRPr="00995970">
        <w:rPr>
          <w:rFonts w:asciiTheme="minorBidi" w:hAnsiTheme="minorBidi"/>
          <w:bCs/>
          <w:sz w:val="22"/>
          <w:szCs w:val="20"/>
        </w:rPr>
        <w:t xml:space="preserve"> can help to minimise duplication of documentation, investigations and delays if information is effectively shared between systems. In his review of 26 studies, Alharbi (2025) reports on a likelihood of enhancing workflow and efficiency, whil</w:t>
      </w:r>
      <w:r w:rsidR="007776E4">
        <w:rPr>
          <w:rFonts w:asciiTheme="minorBidi" w:hAnsiTheme="minorBidi"/>
          <w:bCs/>
          <w:sz w:val="22"/>
          <w:szCs w:val="20"/>
        </w:rPr>
        <w:t>st</w:t>
      </w:r>
      <w:r w:rsidR="00AF13FE" w:rsidRPr="00995970">
        <w:rPr>
          <w:rFonts w:asciiTheme="minorBidi" w:hAnsiTheme="minorBidi"/>
          <w:bCs/>
          <w:sz w:val="22"/>
          <w:szCs w:val="20"/>
        </w:rPr>
        <w:t xml:space="preserve"> concluding that the effect on patients is unclear. Direct application is limited to Manchester, as there are various countries and settings included in the review</w:t>
      </w:r>
      <w:r w:rsidR="005D66A0">
        <w:rPr>
          <w:rFonts w:asciiTheme="minorBidi" w:hAnsiTheme="minorBidi"/>
          <w:bCs/>
          <w:sz w:val="22"/>
          <w:szCs w:val="20"/>
        </w:rPr>
        <w:t>.</w:t>
      </w:r>
    </w:p>
    <w:p w14:paraId="0CD8C9A2" w14:textId="6F3EA503" w:rsidR="006011D6" w:rsidRPr="00C1142C" w:rsidRDefault="00F2397E" w:rsidP="00495056">
      <w:pPr>
        <w:ind w:firstLine="720"/>
        <w:rPr>
          <w:rFonts w:asciiTheme="minorBidi" w:hAnsiTheme="minorBidi"/>
          <w:b/>
          <w:sz w:val="22"/>
          <w:szCs w:val="20"/>
        </w:rPr>
      </w:pPr>
      <w:r w:rsidRPr="0006750F">
        <w:rPr>
          <w:rFonts w:asciiTheme="minorBidi" w:hAnsiTheme="minorBidi"/>
          <w:sz w:val="22"/>
          <w:szCs w:val="20"/>
        </w:rPr>
        <w:t xml:space="preserve">EPR implementation also comes with challenges that can </w:t>
      </w:r>
      <w:r w:rsidRPr="000A6FF9">
        <w:rPr>
          <w:rFonts w:asciiTheme="minorBidi" w:hAnsiTheme="minorBidi"/>
          <w:bCs/>
          <w:sz w:val="22"/>
          <w:szCs w:val="20"/>
        </w:rPr>
        <w:t>affect</w:t>
      </w:r>
      <w:r w:rsidRPr="0006750F">
        <w:rPr>
          <w:rFonts w:asciiTheme="minorBidi" w:hAnsiTheme="minorBidi"/>
          <w:b/>
          <w:sz w:val="22"/>
          <w:szCs w:val="20"/>
        </w:rPr>
        <w:t xml:space="preserve"> </w:t>
      </w:r>
      <w:r w:rsidRPr="0006750F">
        <w:rPr>
          <w:rFonts w:asciiTheme="minorBidi" w:hAnsiTheme="minorBidi"/>
          <w:sz w:val="22"/>
          <w:szCs w:val="20"/>
        </w:rPr>
        <w:t xml:space="preserve">healthcare </w:t>
      </w:r>
      <w:r w:rsidRPr="00DE4E98">
        <w:rPr>
          <w:rFonts w:asciiTheme="minorBidi" w:hAnsiTheme="minorBidi"/>
          <w:bCs/>
          <w:sz w:val="22"/>
          <w:szCs w:val="20"/>
        </w:rPr>
        <w:t>services.</w:t>
      </w:r>
      <w:r w:rsidRPr="0006750F">
        <w:rPr>
          <w:rFonts w:asciiTheme="minorBidi" w:hAnsiTheme="minorBidi"/>
          <w:b/>
          <w:sz w:val="22"/>
          <w:szCs w:val="20"/>
        </w:rPr>
        <w:t xml:space="preserve"> </w:t>
      </w:r>
      <w:r w:rsidR="001611DD" w:rsidRPr="004B03AB">
        <w:rPr>
          <w:rFonts w:asciiTheme="minorBidi" w:hAnsiTheme="minorBidi"/>
          <w:bCs/>
          <w:sz w:val="22"/>
          <w:szCs w:val="20"/>
        </w:rPr>
        <w:t xml:space="preserve">When organisations rely on separate systems that are unable to share data </w:t>
      </w:r>
      <w:r w:rsidR="003C3DC1" w:rsidRPr="004B03AB">
        <w:rPr>
          <w:rFonts w:asciiTheme="minorBidi" w:hAnsiTheme="minorBidi"/>
          <w:bCs/>
          <w:sz w:val="22"/>
          <w:szCs w:val="20"/>
        </w:rPr>
        <w:t>closely</w:t>
      </w:r>
      <w:r w:rsidR="001611DD" w:rsidRPr="004B03AB">
        <w:rPr>
          <w:rFonts w:asciiTheme="minorBidi" w:hAnsiTheme="minorBidi"/>
          <w:bCs/>
          <w:sz w:val="22"/>
          <w:szCs w:val="20"/>
        </w:rPr>
        <w:t xml:space="preserve"> and reliably</w:t>
      </w:r>
      <w:r w:rsidR="003C3DC1" w:rsidRPr="004B03AB">
        <w:rPr>
          <w:rFonts w:asciiTheme="minorBidi" w:hAnsiTheme="minorBidi"/>
          <w:bCs/>
          <w:sz w:val="22"/>
          <w:szCs w:val="20"/>
        </w:rPr>
        <w:t xml:space="preserve"> in </w:t>
      </w:r>
      <w:r w:rsidR="001611DD" w:rsidRPr="004B03AB">
        <w:rPr>
          <w:rFonts w:asciiTheme="minorBidi" w:hAnsiTheme="minorBidi"/>
          <w:bCs/>
          <w:sz w:val="22"/>
          <w:szCs w:val="20"/>
        </w:rPr>
        <w:t xml:space="preserve">integration becomes challenging (Li et al., 2023). </w:t>
      </w:r>
      <w:r w:rsidR="004A601A" w:rsidRPr="004A601A">
        <w:rPr>
          <w:rFonts w:asciiTheme="minorBidi" w:hAnsiTheme="minorBidi"/>
          <w:bCs/>
          <w:sz w:val="22"/>
          <w:szCs w:val="20"/>
        </w:rPr>
        <w:t xml:space="preserve">The Synnovis attack in June [2024] prevented the handling of pathology services and resulted in tests and appointments being </w:t>
      </w:r>
      <w:r w:rsidR="004A601A" w:rsidRPr="004A601A">
        <w:rPr>
          <w:rFonts w:asciiTheme="minorBidi" w:hAnsiTheme="minorBidi"/>
          <w:bCs/>
          <w:sz w:val="22"/>
          <w:szCs w:val="20"/>
        </w:rPr>
        <w:lastRenderedPageBreak/>
        <w:t>rescheduled or rerouted (NHS England, 2024).</w:t>
      </w:r>
      <w:r w:rsidR="004A601A">
        <w:rPr>
          <w:rFonts w:asciiTheme="minorBidi" w:hAnsiTheme="minorBidi"/>
          <w:bCs/>
          <w:sz w:val="22"/>
          <w:szCs w:val="20"/>
        </w:rPr>
        <w:t xml:space="preserve"> </w:t>
      </w:r>
      <w:r w:rsidR="001611DD" w:rsidRPr="004B03AB">
        <w:rPr>
          <w:rFonts w:asciiTheme="minorBidi" w:hAnsiTheme="minorBidi"/>
          <w:bCs/>
          <w:sz w:val="22"/>
          <w:szCs w:val="20"/>
        </w:rPr>
        <w:t>It was not a failure of Hive, but an attack by the laboratory provider of the service in question, and a good example of a reliance on connected digital services. For Hive, the actionable take home point would be to practice downtime and recovery planning to ensure that critical clinical activities can be continued safely during the downtime</w:t>
      </w:r>
      <w:r w:rsidR="001065F8" w:rsidRPr="004B03AB">
        <w:rPr>
          <w:rFonts w:asciiTheme="minorBidi" w:hAnsiTheme="minorBidi"/>
          <w:bCs/>
          <w:sz w:val="22"/>
          <w:szCs w:val="20"/>
        </w:rPr>
        <w:t xml:space="preserve"> </w:t>
      </w:r>
      <w:r w:rsidR="001065F8" w:rsidRPr="004B03AB">
        <w:rPr>
          <w:rFonts w:asciiTheme="minorBidi" w:hAnsiTheme="minorBidi"/>
          <w:bCs/>
          <w:sz w:val="22"/>
          <w:szCs w:val="20"/>
        </w:rPr>
        <w:t>(Finnegan and Mountford, 2025).</w:t>
      </w:r>
    </w:p>
    <w:p w14:paraId="01C46C34" w14:textId="35C264DC" w:rsidR="002E5437" w:rsidRPr="0006750F" w:rsidRDefault="002E5437" w:rsidP="00A647DA">
      <w:pPr>
        <w:pStyle w:val="Heading1"/>
        <w:rPr>
          <w:rFonts w:asciiTheme="minorBidi" w:hAnsiTheme="minorBidi" w:cstheme="minorBidi"/>
          <w:sz w:val="22"/>
          <w:szCs w:val="28"/>
        </w:rPr>
      </w:pPr>
      <w:bookmarkStart w:id="4" w:name="_Toc242829763"/>
      <w:r w:rsidRPr="00443129">
        <w:rPr>
          <w:rFonts w:asciiTheme="minorBidi" w:hAnsiTheme="minorBidi" w:cstheme="minorBidi"/>
          <w:sz w:val="22"/>
          <w:szCs w:val="28"/>
        </w:rPr>
        <w:t>Impact of EPR on Patients/Service Users</w:t>
      </w:r>
      <w:bookmarkEnd w:id="4"/>
      <w:r w:rsidRPr="0006750F">
        <w:rPr>
          <w:rFonts w:asciiTheme="minorBidi" w:hAnsiTheme="minorBidi" w:cstheme="minorBidi"/>
          <w:sz w:val="22"/>
          <w:szCs w:val="28"/>
        </w:rPr>
        <w:t xml:space="preserve"> </w:t>
      </w:r>
    </w:p>
    <w:p w14:paraId="5A13B62B" w14:textId="62FA22EA" w:rsidR="0000795A" w:rsidRPr="009C3234" w:rsidRDefault="0000795A" w:rsidP="0000795A">
      <w:pPr>
        <w:ind w:firstLine="720"/>
        <w:rPr>
          <w:rFonts w:asciiTheme="minorBidi" w:hAnsiTheme="minorBidi"/>
          <w:bCs/>
          <w:sz w:val="22"/>
          <w:szCs w:val="20"/>
        </w:rPr>
      </w:pPr>
      <w:r w:rsidRPr="009C3234">
        <w:rPr>
          <w:rFonts w:asciiTheme="minorBidi" w:hAnsiTheme="minorBidi"/>
          <w:bCs/>
          <w:sz w:val="22"/>
          <w:szCs w:val="20"/>
        </w:rPr>
        <w:t xml:space="preserve">Electronic Patient Records (EPR) can help to access patient information more easily, but this must be considered directly in the context of patient experience. MFT's MyMFT portal includes details of appointments, letters, results and is utilised for video consultations (Manchester University NHS Foundation Trust, </w:t>
      </w:r>
      <w:r w:rsidR="00010CF1">
        <w:rPr>
          <w:rFonts w:asciiTheme="minorBidi" w:hAnsiTheme="minorBidi"/>
          <w:bCs/>
          <w:sz w:val="22"/>
          <w:szCs w:val="20"/>
        </w:rPr>
        <w:t>2023</w:t>
      </w:r>
      <w:r w:rsidRPr="009C3234">
        <w:rPr>
          <w:rFonts w:asciiTheme="minorBidi" w:hAnsiTheme="minorBidi"/>
          <w:bCs/>
          <w:sz w:val="22"/>
          <w:szCs w:val="20"/>
        </w:rPr>
        <w:t>). The functions provide useful care management tools. But, stating what functions are available is not enough to demonstrate that they are useful to patients. McMillan et al (2021) investigated 54 patients and carers in a UK community-based study and reported that their expectations were for increased transparency and fears of the internet taking the place of in-person visits. This will give patient evidence, but not for Hive.</w:t>
      </w:r>
    </w:p>
    <w:p w14:paraId="41407DC4" w14:textId="3CC6E28B" w:rsidR="0000795A" w:rsidRPr="009C3234" w:rsidRDefault="0000795A" w:rsidP="0000795A">
      <w:pPr>
        <w:ind w:firstLine="720"/>
        <w:rPr>
          <w:rFonts w:asciiTheme="minorBidi" w:hAnsiTheme="minorBidi"/>
          <w:bCs/>
          <w:sz w:val="22"/>
          <w:szCs w:val="20"/>
        </w:rPr>
      </w:pPr>
      <w:r w:rsidRPr="009C3234">
        <w:rPr>
          <w:rFonts w:asciiTheme="minorBidi" w:hAnsiTheme="minorBidi"/>
          <w:bCs/>
          <w:sz w:val="22"/>
          <w:szCs w:val="20"/>
        </w:rPr>
        <w:t>Enabling the use of good EPR systems can lead to better connected and personali</w:t>
      </w:r>
      <w:r w:rsidR="00EE5E2D">
        <w:rPr>
          <w:rFonts w:asciiTheme="minorBidi" w:hAnsiTheme="minorBidi"/>
          <w:bCs/>
          <w:sz w:val="22"/>
          <w:szCs w:val="20"/>
        </w:rPr>
        <w:t>s</w:t>
      </w:r>
      <w:r w:rsidRPr="009C3234">
        <w:rPr>
          <w:rFonts w:asciiTheme="minorBidi" w:hAnsiTheme="minorBidi"/>
          <w:bCs/>
          <w:sz w:val="22"/>
          <w:szCs w:val="20"/>
        </w:rPr>
        <w:t>ed health services. But patients require help using online access and to interpret information. Louch et al. (2022) explored for primary care staff concerns regarding secure access, safeguarding and equitable access (19 staff). Their conclusions are based on staff opinion rather than on patient reported findings. These findings reflect what we have seen in other studies, such as the McMillan et al. (2021) study, which shows that access and experience must be addressed in order to engage patients. MyMFT should also evaluate patients' feedback on being understood after evaluating and results, and help patients to choose how to communicate, rather than just relying on registration numbers. This comparison does not assume that more is always more reassuring: the way that the information is presented and the possibility of utilizing professional discussion continue to hold significance.</w:t>
      </w:r>
    </w:p>
    <w:p w14:paraId="7A2189E5" w14:textId="2AC69847" w:rsidR="001E353A" w:rsidRPr="00911535" w:rsidRDefault="0000795A" w:rsidP="00911535">
      <w:pPr>
        <w:ind w:firstLine="720"/>
        <w:rPr>
          <w:rFonts w:asciiTheme="minorBidi" w:hAnsiTheme="minorBidi"/>
          <w:bCs/>
          <w:sz w:val="22"/>
          <w:szCs w:val="20"/>
        </w:rPr>
      </w:pPr>
      <w:r w:rsidRPr="009C3234">
        <w:rPr>
          <w:rFonts w:asciiTheme="minorBidi" w:hAnsiTheme="minorBidi"/>
          <w:bCs/>
          <w:sz w:val="22"/>
          <w:szCs w:val="20"/>
        </w:rPr>
        <w:t xml:space="preserve">However, there are some areas of concern for patients and service users regarding risks of the use of EPR. During EPR rollouts, patient safety issues are reported by Ungoed-Thomas (2024) and include unfamiliar technology, and bad system compatibility. These concerns are not to be confused with cyber security; there is different evidence of cyber security such as in the case of Synnovis (NHS England 2024). NHS England (2023) suggest that digital support should be integrated with non-digital support. Patients should therefore have telephone or face-to-face </w:t>
      </w:r>
      <w:r w:rsidRPr="009C3234">
        <w:rPr>
          <w:rFonts w:asciiTheme="minorBidi" w:hAnsiTheme="minorBidi"/>
          <w:bCs/>
          <w:sz w:val="22"/>
          <w:szCs w:val="20"/>
        </w:rPr>
        <w:lastRenderedPageBreak/>
        <w:t>support to help them with the portal so that the challenges faced using the portal do not hinder the access to care.</w:t>
      </w:r>
    </w:p>
    <w:p w14:paraId="0AFED6E4" w14:textId="6C6B110E" w:rsidR="009E21C2" w:rsidRPr="0006750F" w:rsidRDefault="009E21C2" w:rsidP="007E6668">
      <w:pPr>
        <w:pStyle w:val="Heading1"/>
        <w:rPr>
          <w:rFonts w:asciiTheme="minorBidi" w:hAnsiTheme="minorBidi" w:cstheme="minorBidi"/>
          <w:sz w:val="22"/>
          <w:szCs w:val="28"/>
        </w:rPr>
      </w:pPr>
      <w:bookmarkStart w:id="5" w:name="_Toc242829764"/>
      <w:r w:rsidRPr="0006750F">
        <w:rPr>
          <w:rFonts w:asciiTheme="minorBidi" w:hAnsiTheme="minorBidi" w:cstheme="minorBidi"/>
          <w:sz w:val="22"/>
          <w:szCs w:val="28"/>
        </w:rPr>
        <w:t>Impact of EPR on Community and Wider Healthcare System</w:t>
      </w:r>
      <w:bookmarkEnd w:id="5"/>
      <w:r w:rsidRPr="0006750F">
        <w:rPr>
          <w:rFonts w:asciiTheme="minorBidi" w:hAnsiTheme="minorBidi" w:cstheme="minorBidi"/>
          <w:sz w:val="22"/>
          <w:szCs w:val="28"/>
        </w:rPr>
        <w:t xml:space="preserve"> </w:t>
      </w:r>
    </w:p>
    <w:p w14:paraId="634BC437" w14:textId="77777777" w:rsidR="00381AA1" w:rsidRPr="00381AA1" w:rsidRDefault="00381AA1" w:rsidP="00381AA1">
      <w:pPr>
        <w:ind w:firstLine="720"/>
        <w:rPr>
          <w:rFonts w:asciiTheme="minorBidi" w:hAnsiTheme="minorBidi"/>
          <w:sz w:val="22"/>
          <w:szCs w:val="20"/>
        </w:rPr>
      </w:pPr>
      <w:r w:rsidRPr="00381AA1">
        <w:rPr>
          <w:rFonts w:asciiTheme="minorBidi" w:hAnsiTheme="minorBidi"/>
          <w:sz w:val="22"/>
          <w:szCs w:val="20"/>
        </w:rPr>
        <w:t xml:space="preserve">The potential impact of Electronic Patient Records (EPR) on the wider health service is the potential for information sharing between care providers and the integration of care. EPR systems can enable better collaboration between primary and secondary care in the hospital by providing authorised healthcare professionals with access to relevant patient information. Incorporating hospitals, however, doesn't necessarily mean a link with general practice or social care. </w:t>
      </w:r>
      <w:proofErr w:type="spellStart"/>
      <w:r w:rsidRPr="00381AA1">
        <w:rPr>
          <w:rFonts w:asciiTheme="minorBidi" w:hAnsiTheme="minorBidi"/>
          <w:sz w:val="22"/>
          <w:szCs w:val="20"/>
        </w:rPr>
        <w:t>Hoghton</w:t>
      </w:r>
      <w:proofErr w:type="spellEnd"/>
      <w:r w:rsidRPr="00381AA1">
        <w:rPr>
          <w:rFonts w:asciiTheme="minorBidi" w:hAnsiTheme="minorBidi"/>
          <w:sz w:val="22"/>
          <w:szCs w:val="20"/>
        </w:rPr>
        <w:t xml:space="preserve"> et al. (2023) describe interoperability as having its challenges in technical, organisational and regulatory aspects. The key for Manchester is whether relevant information is carried from one service to another, including from hospital to the community.</w:t>
      </w:r>
    </w:p>
    <w:p w14:paraId="2C657309" w14:textId="2461EAFC" w:rsidR="00E92334" w:rsidRPr="00123DE3" w:rsidRDefault="00381AA1" w:rsidP="00123DE3">
      <w:pPr>
        <w:ind w:firstLine="720"/>
        <w:rPr>
          <w:rFonts w:asciiTheme="minorBidi" w:hAnsiTheme="minorBidi"/>
          <w:b/>
          <w:sz w:val="22"/>
          <w:szCs w:val="20"/>
        </w:rPr>
      </w:pPr>
      <w:r w:rsidRPr="00381AA1">
        <w:rPr>
          <w:rFonts w:asciiTheme="minorBidi" w:hAnsiTheme="minorBidi"/>
          <w:sz w:val="22"/>
          <w:szCs w:val="20"/>
        </w:rPr>
        <w:t xml:space="preserve">EPRs can also be used for organisations to analyse health information, detect trends and shape service provision to enhance population health (Tsai et al., 2020). </w:t>
      </w:r>
      <w:r w:rsidR="00B35CE4" w:rsidRPr="00B35CE4">
        <w:rPr>
          <w:rFonts w:asciiTheme="minorBidi" w:hAnsiTheme="minorBidi"/>
          <w:sz w:val="22"/>
          <w:szCs w:val="20"/>
        </w:rPr>
        <w:t xml:space="preserve">This potential is not a result of just gathering more information, but rather the availability of adequate and reliable data. </w:t>
      </w:r>
      <w:r w:rsidRPr="00381AA1">
        <w:rPr>
          <w:rFonts w:asciiTheme="minorBidi" w:hAnsiTheme="minorBidi"/>
          <w:sz w:val="22"/>
          <w:szCs w:val="20"/>
        </w:rPr>
        <w:t xml:space="preserve"> Also</w:t>
      </w:r>
      <w:r w:rsidR="001B18B8">
        <w:rPr>
          <w:rFonts w:asciiTheme="minorBidi" w:hAnsiTheme="minorBidi"/>
          <w:sz w:val="22"/>
          <w:szCs w:val="20"/>
        </w:rPr>
        <w:t xml:space="preserve"> a</w:t>
      </w:r>
      <w:r w:rsidRPr="00381AA1">
        <w:rPr>
          <w:rFonts w:asciiTheme="minorBidi" w:hAnsiTheme="minorBidi"/>
          <w:sz w:val="22"/>
          <w:szCs w:val="20"/>
        </w:rPr>
        <w:t xml:space="preserve"> location will play a role</w:t>
      </w:r>
      <w:r w:rsidR="00C048A7">
        <w:rPr>
          <w:rFonts w:asciiTheme="minorBidi" w:hAnsiTheme="minorBidi"/>
          <w:sz w:val="22"/>
          <w:szCs w:val="20"/>
        </w:rPr>
        <w:t xml:space="preserve"> in</w:t>
      </w:r>
      <w:r w:rsidRPr="00381AA1">
        <w:rPr>
          <w:rFonts w:asciiTheme="minorBidi" w:hAnsiTheme="minorBidi"/>
          <w:sz w:val="22"/>
          <w:szCs w:val="20"/>
        </w:rPr>
        <w:t xml:space="preserve"> MyMFT's video consultations provide another way to access some care remotely, and proxy access can be used with consent (Manchester University NHS Foundation Trust, </w:t>
      </w:r>
      <w:r w:rsidR="00A061D5">
        <w:rPr>
          <w:rFonts w:asciiTheme="minorBidi" w:hAnsiTheme="minorBidi"/>
          <w:sz w:val="22"/>
          <w:szCs w:val="20"/>
        </w:rPr>
        <w:t>2023</w:t>
      </w:r>
      <w:r w:rsidRPr="00381AA1">
        <w:rPr>
          <w:rFonts w:asciiTheme="minorBidi" w:hAnsiTheme="minorBidi"/>
          <w:sz w:val="22"/>
          <w:szCs w:val="20"/>
        </w:rPr>
        <w:t xml:space="preserve">). Family involvement is beneficial but risks emerge with access to records (Louch et al., 2022). This has been in keeping with the message of Greenhalgh (2018) to engage citizens and patients in improvement. </w:t>
      </w:r>
    </w:p>
    <w:p w14:paraId="4FFD853F" w14:textId="31146CB2" w:rsidR="00ED2C6A" w:rsidRPr="0006750F" w:rsidRDefault="00ED2C6A" w:rsidP="000E7C85">
      <w:pPr>
        <w:pStyle w:val="Heading1"/>
        <w:rPr>
          <w:rFonts w:asciiTheme="minorBidi" w:hAnsiTheme="minorBidi" w:cstheme="minorBidi"/>
          <w:sz w:val="22"/>
          <w:szCs w:val="28"/>
        </w:rPr>
      </w:pPr>
      <w:bookmarkStart w:id="6" w:name="_Toc242829765"/>
      <w:r w:rsidRPr="0006750F">
        <w:rPr>
          <w:rFonts w:asciiTheme="minorBidi" w:hAnsiTheme="minorBidi" w:cstheme="minorBidi"/>
          <w:sz w:val="22"/>
          <w:szCs w:val="28"/>
        </w:rPr>
        <w:t>Critical Discussion: Overall Benefits, Limitations &amp; Recommendations</w:t>
      </w:r>
      <w:bookmarkEnd w:id="6"/>
    </w:p>
    <w:p w14:paraId="684E839E" w14:textId="1263DF05" w:rsidR="001671CE" w:rsidRPr="009C470A" w:rsidRDefault="00CE682F" w:rsidP="009C470A">
      <w:pPr>
        <w:ind w:firstLine="720"/>
        <w:rPr>
          <w:rFonts w:asciiTheme="minorBidi" w:hAnsiTheme="minorBidi"/>
          <w:bCs/>
          <w:sz w:val="22"/>
          <w:szCs w:val="20"/>
        </w:rPr>
      </w:pPr>
      <w:r w:rsidRPr="00676173">
        <w:rPr>
          <w:rFonts w:asciiTheme="minorBidi" w:hAnsiTheme="minorBidi"/>
          <w:bCs/>
          <w:sz w:val="22"/>
          <w:szCs w:val="20"/>
        </w:rPr>
        <w:t>EPR can provide opportunities for coordinated care, but implementation must be assessed by the use of and outcomes. The Health Foundation (2025) estimated that 90% of EPR uptake would be covered, but was concerned that systems were not being applied beyond digitally recording care. This is a historical figure, rather than an estimate of effectiveness or coverage in 2026. Whil</w:t>
      </w:r>
      <w:r w:rsidR="00F80B07">
        <w:rPr>
          <w:rFonts w:asciiTheme="minorBidi" w:hAnsiTheme="minorBidi"/>
          <w:bCs/>
          <w:sz w:val="22"/>
          <w:szCs w:val="20"/>
        </w:rPr>
        <w:t>st</w:t>
      </w:r>
      <w:r w:rsidRPr="00676173">
        <w:rPr>
          <w:rFonts w:asciiTheme="minorBidi" w:hAnsiTheme="minorBidi"/>
          <w:bCs/>
          <w:sz w:val="22"/>
          <w:szCs w:val="20"/>
        </w:rPr>
        <w:t xml:space="preserve"> hive is a large implementation, the mere fact of locally delivering doesn't guarantee sustainable patient gains. A similar explanation has been offered by Greenhalgh (2018) that technology does not necessarily bring about organisational change. Provide protected time and sustained peer support for trust leaders in learning their roles. Workflows should be tested by clinical and digital teams with staff and there should be consistent exchange of information during procurement and/or update of systems (Li et al., 2023). Patient-experience teams should engage patients and carers in portal enhancements and continue to have facilitated, non-digital pathways (e.g. NHS England, 2023). But despite the </w:t>
      </w:r>
      <w:r w:rsidRPr="00676173">
        <w:rPr>
          <w:rFonts w:asciiTheme="minorBidi" w:hAnsiTheme="minorBidi"/>
          <w:bCs/>
          <w:sz w:val="22"/>
          <w:szCs w:val="20"/>
        </w:rPr>
        <w:lastRenderedPageBreak/>
        <w:t xml:space="preserve">disruption that happened at Synnovis (NHS England, 2024), information governance and digital teams should ensure everyone can access the information securely and has rehearsed recovery plans. </w:t>
      </w:r>
    </w:p>
    <w:p w14:paraId="2863936D" w14:textId="31CB0D68" w:rsidR="00C6172D" w:rsidRPr="0006750F" w:rsidRDefault="00C6172D" w:rsidP="0079098A">
      <w:pPr>
        <w:pStyle w:val="Heading1"/>
        <w:rPr>
          <w:rFonts w:asciiTheme="minorBidi" w:hAnsiTheme="minorBidi" w:cstheme="minorBidi"/>
          <w:sz w:val="22"/>
          <w:szCs w:val="28"/>
        </w:rPr>
      </w:pPr>
      <w:bookmarkStart w:id="7" w:name="_Toc242829766"/>
      <w:r w:rsidRPr="0006750F">
        <w:rPr>
          <w:rFonts w:asciiTheme="minorBidi" w:hAnsiTheme="minorBidi" w:cstheme="minorBidi"/>
          <w:sz w:val="22"/>
          <w:szCs w:val="28"/>
        </w:rPr>
        <w:t>Conclusion</w:t>
      </w:r>
      <w:bookmarkEnd w:id="7"/>
    </w:p>
    <w:p w14:paraId="62FD3F23" w14:textId="30ECE882" w:rsidR="00C7715D" w:rsidRPr="00336D70" w:rsidRDefault="000F394C" w:rsidP="00CE1DC3">
      <w:pPr>
        <w:ind w:firstLine="720"/>
        <w:rPr>
          <w:bCs/>
        </w:rPr>
      </w:pPr>
      <w:r w:rsidRPr="00336D70">
        <w:rPr>
          <w:rFonts w:asciiTheme="minorBidi" w:hAnsiTheme="minorBidi"/>
          <w:bCs/>
          <w:sz w:val="22"/>
          <w:szCs w:val="20"/>
        </w:rPr>
        <w:t xml:space="preserve">In conclusion, </w:t>
      </w:r>
      <w:r w:rsidR="00FD64AF" w:rsidRPr="00336D70">
        <w:rPr>
          <w:rFonts w:asciiTheme="minorBidi" w:hAnsiTheme="minorBidi"/>
          <w:bCs/>
          <w:sz w:val="22"/>
          <w:szCs w:val="20"/>
        </w:rPr>
        <w:t>d</w:t>
      </w:r>
      <w:r w:rsidR="00963DA1" w:rsidRPr="00336D70">
        <w:rPr>
          <w:rFonts w:asciiTheme="minorBidi" w:hAnsiTheme="minorBidi"/>
          <w:bCs/>
          <w:sz w:val="22"/>
          <w:szCs w:val="20"/>
        </w:rPr>
        <w:t>igital transformation in NHS services in England is an important aspect of Electronic Patient Records. To see the magnitude of the change in the Manchester Hive example. Improved access to information, on-line access to patient, and coordination and support. The evidence presented also reveals issues of usability, disorgani</w:t>
      </w:r>
      <w:r w:rsidR="001B153E">
        <w:rPr>
          <w:rFonts w:asciiTheme="minorBidi" w:hAnsiTheme="minorBidi"/>
          <w:bCs/>
          <w:sz w:val="22"/>
          <w:szCs w:val="20"/>
        </w:rPr>
        <w:t>s</w:t>
      </w:r>
      <w:r w:rsidR="00963DA1" w:rsidRPr="00336D70">
        <w:rPr>
          <w:rFonts w:asciiTheme="minorBidi" w:hAnsiTheme="minorBidi"/>
          <w:bCs/>
          <w:sz w:val="22"/>
          <w:szCs w:val="20"/>
        </w:rPr>
        <w:t xml:space="preserve">ed information and differential access and varying impact on outcomes. When a system is fully implemented successfully, it must do more than that. Further staff support, effective information exchange, safe working arrangements and inclusive patient service are required. These factors give a better footing on which to assess the impact of EPR on health care than merely blanket claims of better care for any patient using EPR. </w:t>
      </w:r>
    </w:p>
    <w:p w14:paraId="56F3AAD4" w14:textId="77777777" w:rsidR="00C7715D" w:rsidRDefault="00C7715D" w:rsidP="00E85B52">
      <w:pPr>
        <w:ind w:firstLine="720"/>
        <w:rPr>
          <w:b/>
        </w:rPr>
      </w:pPr>
    </w:p>
    <w:p w14:paraId="66E17A93" w14:textId="77777777" w:rsidR="00C7715D" w:rsidRDefault="00C7715D" w:rsidP="00E85B52">
      <w:pPr>
        <w:ind w:firstLine="720"/>
        <w:rPr>
          <w:b/>
        </w:rPr>
      </w:pPr>
    </w:p>
    <w:p w14:paraId="63622967" w14:textId="1BEF55CE" w:rsidR="00C7715D" w:rsidRPr="0006750F" w:rsidRDefault="0006750F" w:rsidP="0006750F">
      <w:pPr>
        <w:spacing w:before="0" w:after="160" w:line="259" w:lineRule="auto"/>
        <w:jc w:val="left"/>
        <w:rPr>
          <w:b/>
        </w:rPr>
      </w:pPr>
      <w:r>
        <w:rPr>
          <w:b/>
        </w:rPr>
        <w:br w:type="page"/>
      </w:r>
    </w:p>
    <w:p w14:paraId="0B99D67E" w14:textId="313BAA2E" w:rsidR="0085300B" w:rsidRPr="00F41727" w:rsidRDefault="0085300B" w:rsidP="00580202">
      <w:pPr>
        <w:pStyle w:val="Heading1"/>
        <w:rPr>
          <w:rFonts w:asciiTheme="minorBidi" w:hAnsiTheme="minorBidi" w:cstheme="minorBidi"/>
          <w:sz w:val="22"/>
          <w:szCs w:val="28"/>
        </w:rPr>
      </w:pPr>
      <w:bookmarkStart w:id="8" w:name="_Toc242829767"/>
      <w:r w:rsidRPr="00F41727">
        <w:rPr>
          <w:rFonts w:asciiTheme="minorBidi" w:hAnsiTheme="minorBidi" w:cstheme="minorBidi"/>
          <w:sz w:val="22"/>
          <w:szCs w:val="28"/>
        </w:rPr>
        <w:lastRenderedPageBreak/>
        <w:t>References</w:t>
      </w:r>
      <w:bookmarkEnd w:id="8"/>
    </w:p>
    <w:p w14:paraId="72702749" w14:textId="77777777" w:rsidR="003C0956" w:rsidRPr="00F41727" w:rsidRDefault="009D6F63" w:rsidP="003C0956">
      <w:pPr>
        <w:ind w:left="720" w:hanging="720"/>
        <w:rPr>
          <w:rFonts w:asciiTheme="minorBidi" w:hAnsiTheme="minorBidi"/>
          <w:sz w:val="22"/>
        </w:rPr>
      </w:pPr>
      <w:r w:rsidRPr="00F41727">
        <w:rPr>
          <w:rFonts w:asciiTheme="minorBidi" w:hAnsiTheme="minorBidi"/>
          <w:sz w:val="22"/>
        </w:rPr>
        <w:t xml:space="preserve">Alharbi, M.F. (2025) 'Does electronic health record implementation enhance hospital efficiency and patient outcomes? A comprehensive systematic review', </w:t>
      </w:r>
      <w:r w:rsidRPr="00F41727">
        <w:rPr>
          <w:rFonts w:asciiTheme="minorBidi" w:hAnsiTheme="minorBidi"/>
          <w:i/>
          <w:sz w:val="22"/>
        </w:rPr>
        <w:t>SAGE Open</w:t>
      </w:r>
      <w:r w:rsidRPr="00F41727">
        <w:rPr>
          <w:rFonts w:asciiTheme="minorBidi" w:hAnsiTheme="minorBidi"/>
          <w:sz w:val="22"/>
        </w:rPr>
        <w:t>, 15(3), article 21582440251359791</w:t>
      </w:r>
      <w:r w:rsidRPr="00F41727">
        <w:rPr>
          <w:rFonts w:asciiTheme="minorBidi" w:hAnsiTheme="minorBidi"/>
          <w:b/>
          <w:sz w:val="22"/>
        </w:rPr>
        <w:t xml:space="preserve">. </w:t>
      </w:r>
      <w:hyperlink r:id="rId5" w:history="1">
        <w:r w:rsidR="007C09E9" w:rsidRPr="00F41727">
          <w:rPr>
            <w:rStyle w:val="Hyperlink"/>
            <w:rFonts w:asciiTheme="minorBidi" w:hAnsiTheme="minorBidi"/>
            <w:sz w:val="22"/>
          </w:rPr>
          <w:t>https://doi.org/10.1177/21582440251359791</w:t>
        </w:r>
      </w:hyperlink>
    </w:p>
    <w:p w14:paraId="29A49BF6" w14:textId="4818DC7F" w:rsidR="00751A9D" w:rsidRPr="00F41727" w:rsidRDefault="009D6F63" w:rsidP="00133275">
      <w:pPr>
        <w:ind w:left="720" w:hanging="720"/>
        <w:rPr>
          <w:rFonts w:asciiTheme="minorBidi" w:hAnsiTheme="minorBidi"/>
          <w:bCs/>
          <w:sz w:val="22"/>
        </w:rPr>
      </w:pPr>
      <w:r w:rsidRPr="00F41727">
        <w:rPr>
          <w:rFonts w:asciiTheme="minorBidi" w:hAnsiTheme="minorBidi"/>
          <w:bCs/>
          <w:sz w:val="22"/>
        </w:rPr>
        <w:t xml:space="preserve">Burns, M. (2024) 'Challenges and successes in implementing an integrated electronic patient record (HIVE) at the Manchester University National Health Service Foundation Trust, England: 1000+ legacy systems, 10 hospitals, one electronic patient record', </w:t>
      </w:r>
      <w:r w:rsidRPr="00F41727">
        <w:rPr>
          <w:rFonts w:asciiTheme="minorBidi" w:hAnsiTheme="minorBidi"/>
          <w:bCs/>
          <w:i/>
          <w:sz w:val="22"/>
        </w:rPr>
        <w:t>Health Information Management Journal</w:t>
      </w:r>
      <w:r w:rsidRPr="00F41727">
        <w:rPr>
          <w:rFonts w:asciiTheme="minorBidi" w:hAnsiTheme="minorBidi"/>
          <w:bCs/>
          <w:sz w:val="22"/>
        </w:rPr>
        <w:t xml:space="preserve">, 53(1), pp. 20–28. </w:t>
      </w:r>
      <w:hyperlink r:id="rId6" w:history="1">
        <w:r w:rsidR="00751A9D" w:rsidRPr="00F41727">
          <w:rPr>
            <w:rStyle w:val="Hyperlink"/>
            <w:rFonts w:asciiTheme="minorBidi" w:hAnsiTheme="minorBidi"/>
            <w:bCs/>
            <w:sz w:val="22"/>
          </w:rPr>
          <w:t>https://doi.org/10.1177/18333583231200417</w:t>
        </w:r>
      </w:hyperlink>
    </w:p>
    <w:p w14:paraId="5D170391" w14:textId="672DACE0" w:rsidR="00D82CA0" w:rsidRPr="00F41727" w:rsidRDefault="009D6F63" w:rsidP="00F106E5">
      <w:pPr>
        <w:ind w:left="720" w:hanging="720"/>
        <w:rPr>
          <w:rFonts w:asciiTheme="minorBidi" w:hAnsiTheme="minorBidi"/>
          <w:bCs/>
          <w:sz w:val="22"/>
        </w:rPr>
      </w:pPr>
      <w:r w:rsidRPr="00F41727">
        <w:rPr>
          <w:rFonts w:asciiTheme="minorBidi" w:hAnsiTheme="minorBidi"/>
          <w:bCs/>
          <w:sz w:val="22"/>
        </w:rPr>
        <w:t xml:space="preserve">Department of Health and Social Care (2022) </w:t>
      </w:r>
      <w:r w:rsidRPr="00F41727">
        <w:rPr>
          <w:rFonts w:asciiTheme="minorBidi" w:hAnsiTheme="minorBidi"/>
          <w:bCs/>
          <w:i/>
          <w:sz w:val="22"/>
        </w:rPr>
        <w:t>A plan for digital health and social care</w:t>
      </w:r>
      <w:r w:rsidRPr="00F41727">
        <w:rPr>
          <w:rFonts w:asciiTheme="minorBidi" w:hAnsiTheme="minorBidi"/>
          <w:bCs/>
          <w:sz w:val="22"/>
        </w:rPr>
        <w:t xml:space="preserve">. Available at: </w:t>
      </w:r>
      <w:hyperlink r:id="rId7" w:history="1">
        <w:r w:rsidR="00F106E5" w:rsidRPr="00F41727">
          <w:rPr>
            <w:rStyle w:val="Hyperlink"/>
            <w:rFonts w:asciiTheme="minorBidi" w:hAnsiTheme="minorBidi"/>
            <w:bCs/>
            <w:sz w:val="22"/>
          </w:rPr>
          <w:t>https://www.gov.uk/government/publications/a-plan-for-digital-health-and-social-care</w:t>
        </w:r>
      </w:hyperlink>
    </w:p>
    <w:p w14:paraId="0AF2D86F" w14:textId="3922BFCE" w:rsidR="00F84A90" w:rsidRPr="00F41727" w:rsidRDefault="009D6F63" w:rsidP="00F84A90">
      <w:pPr>
        <w:ind w:left="720" w:hanging="720"/>
        <w:rPr>
          <w:rFonts w:asciiTheme="minorBidi" w:hAnsiTheme="minorBidi"/>
          <w:bCs/>
          <w:sz w:val="22"/>
        </w:rPr>
      </w:pPr>
      <w:r w:rsidRPr="00F41727">
        <w:rPr>
          <w:rFonts w:asciiTheme="minorBidi" w:hAnsiTheme="minorBidi"/>
          <w:bCs/>
          <w:sz w:val="22"/>
        </w:rPr>
        <w:t xml:space="preserve">Department of Health and Social Care (2025) </w:t>
      </w:r>
      <w:r w:rsidRPr="00F41727">
        <w:rPr>
          <w:rFonts w:asciiTheme="minorBidi" w:hAnsiTheme="minorBidi"/>
          <w:bCs/>
          <w:i/>
          <w:sz w:val="22"/>
        </w:rPr>
        <w:t>Fit for the future: 10 Year Health Plan for England</w:t>
      </w:r>
      <w:r w:rsidRPr="00F41727">
        <w:rPr>
          <w:rFonts w:asciiTheme="minorBidi" w:hAnsiTheme="minorBidi"/>
          <w:bCs/>
          <w:sz w:val="22"/>
        </w:rPr>
        <w:t xml:space="preserve">. Available at: </w:t>
      </w:r>
      <w:hyperlink r:id="rId8" w:history="1">
        <w:r w:rsidR="00F84A90" w:rsidRPr="00F41727">
          <w:rPr>
            <w:rStyle w:val="Hyperlink"/>
            <w:rFonts w:asciiTheme="minorBidi" w:hAnsiTheme="minorBidi"/>
            <w:bCs/>
            <w:sz w:val="22"/>
          </w:rPr>
          <w:t>https://www.gov.uk/government/publications/10-year-health-plan-for-england-fit-for-the-future</w:t>
        </w:r>
      </w:hyperlink>
    </w:p>
    <w:p w14:paraId="07D81750" w14:textId="7A91427D" w:rsidR="004848C4" w:rsidRPr="00F41727" w:rsidRDefault="009D6F63" w:rsidP="00C90C60">
      <w:pPr>
        <w:ind w:left="720" w:hanging="720"/>
        <w:rPr>
          <w:rFonts w:asciiTheme="minorBidi" w:hAnsiTheme="minorBidi"/>
          <w:bCs/>
          <w:sz w:val="22"/>
        </w:rPr>
      </w:pPr>
      <w:r w:rsidRPr="00F41727">
        <w:rPr>
          <w:rFonts w:asciiTheme="minorBidi" w:hAnsiTheme="minorBidi"/>
          <w:bCs/>
          <w:sz w:val="22"/>
        </w:rPr>
        <w:t xml:space="preserve">Finnegan, H. and Mountford, N. (2025) '25 Years of Electronic Health Record Implementation Processes: Scoping Review', </w:t>
      </w:r>
      <w:r w:rsidRPr="00F41727">
        <w:rPr>
          <w:rFonts w:asciiTheme="minorBidi" w:hAnsiTheme="minorBidi"/>
          <w:bCs/>
          <w:i/>
          <w:sz w:val="22"/>
        </w:rPr>
        <w:t>Journal of Medical Internet Research</w:t>
      </w:r>
      <w:r w:rsidRPr="00F41727">
        <w:rPr>
          <w:rFonts w:asciiTheme="minorBidi" w:hAnsiTheme="minorBidi"/>
          <w:bCs/>
          <w:sz w:val="22"/>
        </w:rPr>
        <w:t xml:space="preserve">, 27, article e60077. </w:t>
      </w:r>
      <w:hyperlink r:id="rId9" w:history="1">
        <w:r w:rsidR="004848C4" w:rsidRPr="00F41727">
          <w:rPr>
            <w:rStyle w:val="Hyperlink"/>
            <w:rFonts w:asciiTheme="minorBidi" w:hAnsiTheme="minorBidi"/>
            <w:bCs/>
            <w:sz w:val="22"/>
          </w:rPr>
          <w:t>https://doi.org/10.2196/60077</w:t>
        </w:r>
      </w:hyperlink>
    </w:p>
    <w:p w14:paraId="669AED65" w14:textId="77777777" w:rsidR="009D6F63" w:rsidRPr="00F41727" w:rsidRDefault="009D6F63" w:rsidP="009D6F63">
      <w:pPr>
        <w:ind w:left="720" w:hanging="720"/>
        <w:rPr>
          <w:rFonts w:asciiTheme="minorBidi" w:hAnsiTheme="minorBidi"/>
          <w:bCs/>
          <w:sz w:val="22"/>
        </w:rPr>
      </w:pPr>
      <w:r w:rsidRPr="00F41727">
        <w:rPr>
          <w:rFonts w:asciiTheme="minorBidi" w:hAnsiTheme="minorBidi"/>
          <w:bCs/>
          <w:sz w:val="22"/>
        </w:rPr>
        <w:t xml:space="preserve">Greenhalgh, T. (2018) </w:t>
      </w:r>
      <w:r w:rsidRPr="00F41727">
        <w:rPr>
          <w:rFonts w:asciiTheme="minorBidi" w:hAnsiTheme="minorBidi"/>
          <w:bCs/>
          <w:i/>
          <w:sz w:val="22"/>
        </w:rPr>
        <w:t>How to implement evidence-based healthcare</w:t>
      </w:r>
      <w:r w:rsidRPr="00F41727">
        <w:rPr>
          <w:rFonts w:asciiTheme="minorBidi" w:hAnsiTheme="minorBidi"/>
          <w:bCs/>
          <w:sz w:val="22"/>
        </w:rPr>
        <w:t>. Hoboken, NJ: Wiley Blackwell.</w:t>
      </w:r>
    </w:p>
    <w:p w14:paraId="2FD9C6F6" w14:textId="77777777" w:rsidR="000E4B27" w:rsidRPr="00F41727" w:rsidRDefault="009D6F63" w:rsidP="000E4B27">
      <w:pPr>
        <w:ind w:left="720" w:hanging="720"/>
        <w:rPr>
          <w:rFonts w:asciiTheme="minorBidi" w:hAnsiTheme="minorBidi"/>
          <w:sz w:val="22"/>
        </w:rPr>
      </w:pPr>
      <w:r w:rsidRPr="00F41727">
        <w:rPr>
          <w:rFonts w:asciiTheme="minorBidi" w:hAnsiTheme="minorBidi"/>
          <w:sz w:val="22"/>
        </w:rPr>
        <w:t xml:space="preserve">Hoghton, M., Harris, S., Oughtibridge, N. and Sharma, </w:t>
      </w:r>
      <w:r w:rsidRPr="00F41727">
        <w:rPr>
          <w:rFonts w:asciiTheme="minorBidi" w:hAnsiTheme="minorBidi"/>
          <w:bCs/>
          <w:sz w:val="22"/>
        </w:rPr>
        <w:t>V. (2023) 'Pathways</w:t>
      </w:r>
      <w:r w:rsidRPr="00F41727">
        <w:rPr>
          <w:rFonts w:asciiTheme="minorBidi" w:hAnsiTheme="minorBidi"/>
          <w:b/>
          <w:sz w:val="22"/>
        </w:rPr>
        <w:t xml:space="preserve"> </w:t>
      </w:r>
      <w:r w:rsidRPr="00F41727">
        <w:rPr>
          <w:rFonts w:asciiTheme="minorBidi" w:hAnsiTheme="minorBidi"/>
          <w:sz w:val="22"/>
        </w:rPr>
        <w:t xml:space="preserve">to interoperable electronic patient records in health and social care, Part 2: introduction for commissioners, chief clinical information officers and senior medical and social care leaders involved in health IT commissioning and </w:t>
      </w:r>
      <w:r w:rsidRPr="00F41727">
        <w:rPr>
          <w:rFonts w:asciiTheme="minorBidi" w:hAnsiTheme="minorBidi"/>
          <w:bCs/>
          <w:sz w:val="22"/>
        </w:rPr>
        <w:t>strategy',</w:t>
      </w:r>
      <w:r w:rsidRPr="00F41727">
        <w:rPr>
          <w:rFonts w:asciiTheme="minorBidi" w:hAnsiTheme="minorBidi"/>
          <w:b/>
          <w:sz w:val="22"/>
        </w:rPr>
        <w:t xml:space="preserve"> </w:t>
      </w:r>
      <w:r w:rsidRPr="00F41727">
        <w:rPr>
          <w:rFonts w:asciiTheme="minorBidi" w:hAnsiTheme="minorBidi"/>
          <w:i/>
          <w:sz w:val="22"/>
        </w:rPr>
        <w:t>Future Healthcare Journal</w:t>
      </w:r>
      <w:r w:rsidRPr="00F41727">
        <w:rPr>
          <w:rFonts w:asciiTheme="minorBidi" w:hAnsiTheme="minorBidi"/>
          <w:sz w:val="22"/>
        </w:rPr>
        <w:t>, 10(3), pp. 238–243.</w:t>
      </w:r>
      <w:r w:rsidRPr="00F41727">
        <w:rPr>
          <w:rFonts w:asciiTheme="minorBidi" w:hAnsiTheme="minorBidi"/>
          <w:b/>
          <w:sz w:val="22"/>
        </w:rPr>
        <w:t xml:space="preserve"> </w:t>
      </w:r>
      <w:hyperlink r:id="rId10" w:history="1">
        <w:r w:rsidR="000E4B27" w:rsidRPr="00F41727">
          <w:rPr>
            <w:rStyle w:val="Hyperlink"/>
            <w:rFonts w:asciiTheme="minorBidi" w:hAnsiTheme="minorBidi"/>
            <w:sz w:val="22"/>
          </w:rPr>
          <w:t>https://doi.org/10.7861/fhj.2023-0072</w:t>
        </w:r>
      </w:hyperlink>
    </w:p>
    <w:p w14:paraId="07AAB5CB" w14:textId="43730D80" w:rsidR="00CF6A5D" w:rsidRPr="00F41727" w:rsidRDefault="009D6F63" w:rsidP="000E4B27">
      <w:pPr>
        <w:ind w:left="720" w:hanging="720"/>
        <w:rPr>
          <w:rFonts w:asciiTheme="minorBidi" w:hAnsiTheme="minorBidi"/>
          <w:sz w:val="22"/>
        </w:rPr>
      </w:pPr>
      <w:r w:rsidRPr="00F41727">
        <w:rPr>
          <w:rFonts w:asciiTheme="minorBidi" w:hAnsiTheme="minorBidi"/>
          <w:sz w:val="22"/>
        </w:rPr>
        <w:t xml:space="preserve">Li, E., Lounsbury, O., Clarke, J., Ashrafian, H., Darzi, A. and Neves, A.L. (2023) 'Perceptions of chief clinical information officers on the state of electronic health records systems interoperability in NHS England: a qualitative interview study', </w:t>
      </w:r>
      <w:r w:rsidRPr="00F41727">
        <w:rPr>
          <w:rFonts w:asciiTheme="minorBidi" w:hAnsiTheme="minorBidi"/>
          <w:i/>
          <w:sz w:val="22"/>
        </w:rPr>
        <w:t>BMC Medical Informatics and Decision Making</w:t>
      </w:r>
      <w:r w:rsidRPr="00F41727">
        <w:rPr>
          <w:rFonts w:asciiTheme="minorBidi" w:hAnsiTheme="minorBidi"/>
          <w:sz w:val="22"/>
        </w:rPr>
        <w:t xml:space="preserve">, 23, article 158. </w:t>
      </w:r>
      <w:hyperlink r:id="rId11" w:history="1">
        <w:r w:rsidR="00CF6A5D" w:rsidRPr="00F41727">
          <w:rPr>
            <w:rStyle w:val="Hyperlink"/>
            <w:rFonts w:asciiTheme="minorBidi" w:hAnsiTheme="minorBidi"/>
            <w:sz w:val="22"/>
          </w:rPr>
          <w:t>https://doi.org/10.1186/s12911-023-02255-8</w:t>
        </w:r>
      </w:hyperlink>
    </w:p>
    <w:p w14:paraId="7B5CEC84" w14:textId="3456F967" w:rsidR="00A054F5" w:rsidRPr="00F41727" w:rsidRDefault="009D6F63" w:rsidP="00CF6A5D">
      <w:pPr>
        <w:ind w:left="720" w:hanging="720"/>
        <w:rPr>
          <w:rFonts w:asciiTheme="minorBidi" w:hAnsiTheme="minorBidi"/>
          <w:sz w:val="22"/>
        </w:rPr>
      </w:pPr>
      <w:r w:rsidRPr="00F41727">
        <w:rPr>
          <w:rFonts w:asciiTheme="minorBidi" w:hAnsiTheme="minorBidi"/>
          <w:sz w:val="22"/>
        </w:rPr>
        <w:t xml:space="preserve">Lloyd, S., Long, K., Probst, Y., Di Donato, J., Oshni Alvandi, A., Roach, J. and Bain, C. (2024) 'Medical and nursing clinician perspectives on the usability of the hospital electronic </w:t>
      </w:r>
      <w:r w:rsidRPr="00F41727">
        <w:rPr>
          <w:rFonts w:asciiTheme="minorBidi" w:hAnsiTheme="minorBidi"/>
          <w:sz w:val="22"/>
        </w:rPr>
        <w:lastRenderedPageBreak/>
        <w:t xml:space="preserve">medical record: A qualitative analysis', </w:t>
      </w:r>
      <w:r w:rsidRPr="00F41727">
        <w:rPr>
          <w:rFonts w:asciiTheme="minorBidi" w:hAnsiTheme="minorBidi"/>
          <w:i/>
          <w:sz w:val="22"/>
        </w:rPr>
        <w:t>Health Information Management Journal</w:t>
      </w:r>
      <w:r w:rsidRPr="00F41727">
        <w:rPr>
          <w:rFonts w:asciiTheme="minorBidi" w:hAnsiTheme="minorBidi"/>
          <w:sz w:val="22"/>
        </w:rPr>
        <w:t xml:space="preserve">, 53(3), pp. 189–197. </w:t>
      </w:r>
      <w:hyperlink r:id="rId12" w:history="1">
        <w:r w:rsidR="00D222CC" w:rsidRPr="00F41727">
          <w:rPr>
            <w:rStyle w:val="Hyperlink"/>
            <w:rFonts w:asciiTheme="minorBidi" w:hAnsiTheme="minorBidi"/>
            <w:sz w:val="22"/>
          </w:rPr>
          <w:t>https://doi.org/10.1177/18333583231154624</w:t>
        </w:r>
      </w:hyperlink>
    </w:p>
    <w:p w14:paraId="2003F7A9" w14:textId="029DDC08" w:rsidR="00424706" w:rsidRPr="00F41727" w:rsidRDefault="009D6F63" w:rsidP="003041FB">
      <w:pPr>
        <w:ind w:left="720" w:hanging="720"/>
        <w:rPr>
          <w:rFonts w:asciiTheme="minorBidi" w:hAnsiTheme="minorBidi"/>
          <w:sz w:val="22"/>
        </w:rPr>
      </w:pPr>
      <w:r w:rsidRPr="00F41727">
        <w:rPr>
          <w:rFonts w:asciiTheme="minorBidi" w:hAnsiTheme="minorBidi"/>
          <w:sz w:val="22"/>
        </w:rPr>
        <w:t xml:space="preserve">Louch, G., Albutt, A., Smyth, K. and O’Hara, J.K. (2022) 'What do primary care staff think about patients accessing electronic health records? A focus group study', </w:t>
      </w:r>
      <w:r w:rsidRPr="00F41727">
        <w:rPr>
          <w:rFonts w:asciiTheme="minorBidi" w:hAnsiTheme="minorBidi"/>
          <w:i/>
          <w:sz w:val="22"/>
        </w:rPr>
        <w:t>BMC Health Services Research</w:t>
      </w:r>
      <w:r w:rsidRPr="00F41727">
        <w:rPr>
          <w:rFonts w:asciiTheme="minorBidi" w:hAnsiTheme="minorBidi"/>
          <w:sz w:val="22"/>
        </w:rPr>
        <w:t xml:space="preserve">, 22, article 581. </w:t>
      </w:r>
      <w:hyperlink r:id="rId13" w:history="1">
        <w:r w:rsidR="00AD4E10" w:rsidRPr="00F41727">
          <w:rPr>
            <w:rStyle w:val="Hyperlink"/>
            <w:rFonts w:asciiTheme="minorBidi" w:hAnsiTheme="minorBidi"/>
            <w:sz w:val="22"/>
          </w:rPr>
          <w:t>https://doi.org/10.1186/s12913-022-07954-y</w:t>
        </w:r>
      </w:hyperlink>
    </w:p>
    <w:p w14:paraId="32E12507" w14:textId="5010B08B" w:rsidR="00A2594F" w:rsidRPr="00F41727" w:rsidRDefault="00A2594F" w:rsidP="00580D09">
      <w:pPr>
        <w:ind w:left="720" w:hanging="720"/>
        <w:rPr>
          <w:rFonts w:asciiTheme="minorBidi" w:hAnsiTheme="minorBidi"/>
          <w:sz w:val="22"/>
        </w:rPr>
      </w:pPr>
      <w:r w:rsidRPr="00F41727">
        <w:rPr>
          <w:rFonts w:asciiTheme="minorBidi" w:hAnsiTheme="minorBidi"/>
          <w:sz w:val="22"/>
        </w:rPr>
        <w:t xml:space="preserve">Manchester University NHS Foundation Trust (2023) </w:t>
      </w:r>
      <w:r w:rsidRPr="00F41727">
        <w:rPr>
          <w:rFonts w:asciiTheme="minorBidi" w:hAnsiTheme="minorBidi"/>
          <w:i/>
          <w:iCs/>
          <w:sz w:val="22"/>
        </w:rPr>
        <w:t>Hive: Our electronic patient record – one year on</w:t>
      </w:r>
      <w:r w:rsidRPr="00F41727">
        <w:rPr>
          <w:rFonts w:asciiTheme="minorBidi" w:hAnsiTheme="minorBidi"/>
          <w:sz w:val="22"/>
        </w:rPr>
        <w:t xml:space="preserve">, 8 September. Available at: </w:t>
      </w:r>
      <w:hyperlink r:id="rId14" w:history="1">
        <w:r w:rsidR="00580D09" w:rsidRPr="00F41727">
          <w:rPr>
            <w:rStyle w:val="Hyperlink"/>
            <w:rFonts w:asciiTheme="minorBidi" w:hAnsiTheme="minorBidi"/>
            <w:sz w:val="22"/>
          </w:rPr>
          <w:t>https://mft.nhs.uk/2023/09/08/hive-our-electronic-patient-record-one-year-on/</w:t>
        </w:r>
      </w:hyperlink>
    </w:p>
    <w:p w14:paraId="5A1A1129" w14:textId="77777777" w:rsidR="000C6E9D" w:rsidRPr="00F41727" w:rsidRDefault="005572D1" w:rsidP="000C6E9D">
      <w:pPr>
        <w:ind w:left="720" w:hanging="720"/>
        <w:rPr>
          <w:rFonts w:asciiTheme="minorBidi" w:hAnsiTheme="minorBidi"/>
          <w:sz w:val="22"/>
        </w:rPr>
      </w:pPr>
      <w:r w:rsidRPr="00F41727">
        <w:rPr>
          <w:rFonts w:asciiTheme="minorBidi" w:hAnsiTheme="minorBidi"/>
          <w:sz w:val="22"/>
        </w:rPr>
        <w:t xml:space="preserve">McMillan, B., Davidge, G., Brown, L., Lyons, M., Atherton, H., Goulding, R., Mold, F., Morris, R.L. and Sanders, C., </w:t>
      </w:r>
      <w:r w:rsidR="00315F05" w:rsidRPr="00F41727">
        <w:rPr>
          <w:rFonts w:asciiTheme="minorBidi" w:hAnsiTheme="minorBidi"/>
          <w:sz w:val="22"/>
        </w:rPr>
        <w:t>(</w:t>
      </w:r>
      <w:r w:rsidRPr="00F41727">
        <w:rPr>
          <w:rFonts w:asciiTheme="minorBidi" w:hAnsiTheme="minorBidi"/>
          <w:sz w:val="22"/>
        </w:rPr>
        <w:t>2021</w:t>
      </w:r>
      <w:r w:rsidR="00315F05" w:rsidRPr="00F41727">
        <w:rPr>
          <w:rFonts w:asciiTheme="minorBidi" w:hAnsiTheme="minorBidi"/>
          <w:sz w:val="22"/>
        </w:rPr>
        <w:t>)</w:t>
      </w:r>
      <w:r w:rsidRPr="00F41727">
        <w:rPr>
          <w:rFonts w:asciiTheme="minorBidi" w:hAnsiTheme="minorBidi"/>
          <w:sz w:val="22"/>
        </w:rPr>
        <w:t xml:space="preserve"> A qualitative exploration of patients’ experiences, needs and expectations regarding online access to their primary care record. </w:t>
      </w:r>
      <w:r w:rsidRPr="00F41727">
        <w:rPr>
          <w:rFonts w:asciiTheme="minorBidi" w:hAnsiTheme="minorBidi"/>
          <w:i/>
          <w:iCs/>
          <w:sz w:val="22"/>
        </w:rPr>
        <w:t>BMJ open</w:t>
      </w:r>
      <w:r w:rsidRPr="00F41727">
        <w:rPr>
          <w:rFonts w:asciiTheme="minorBidi" w:hAnsiTheme="minorBidi"/>
          <w:sz w:val="22"/>
        </w:rPr>
        <w:t xml:space="preserve">, </w:t>
      </w:r>
      <w:r w:rsidRPr="00F41727">
        <w:rPr>
          <w:rFonts w:asciiTheme="minorBidi" w:hAnsiTheme="minorBidi"/>
          <w:i/>
          <w:iCs/>
          <w:sz w:val="22"/>
        </w:rPr>
        <w:t>11</w:t>
      </w:r>
      <w:r w:rsidRPr="00F41727">
        <w:rPr>
          <w:rFonts w:asciiTheme="minorBidi" w:hAnsiTheme="minorBidi"/>
          <w:sz w:val="22"/>
        </w:rPr>
        <w:t>(3), p.e044221.</w:t>
      </w:r>
      <w:r w:rsidR="00F26D58" w:rsidRPr="00F41727">
        <w:rPr>
          <w:rFonts w:asciiTheme="minorBidi" w:hAnsiTheme="minorBidi"/>
          <w:sz w:val="22"/>
          <w:szCs w:val="20"/>
        </w:rPr>
        <w:t xml:space="preserve"> </w:t>
      </w:r>
      <w:hyperlink r:id="rId15" w:history="1">
        <w:r w:rsidR="00F26D58" w:rsidRPr="00F41727">
          <w:rPr>
            <w:rStyle w:val="Hyperlink"/>
            <w:rFonts w:asciiTheme="minorBidi" w:hAnsiTheme="minorBidi"/>
            <w:sz w:val="22"/>
          </w:rPr>
          <w:t>https://doi.org/10.1136/bmjopen-2020-044221</w:t>
        </w:r>
      </w:hyperlink>
    </w:p>
    <w:p w14:paraId="25F1C303" w14:textId="77777777" w:rsidR="003C6183" w:rsidRPr="00F41727" w:rsidRDefault="009D6F63" w:rsidP="003C6183">
      <w:pPr>
        <w:ind w:left="720" w:hanging="720"/>
        <w:rPr>
          <w:rFonts w:asciiTheme="minorBidi" w:hAnsiTheme="minorBidi"/>
          <w:bCs/>
          <w:sz w:val="22"/>
        </w:rPr>
      </w:pPr>
      <w:r w:rsidRPr="00F41727">
        <w:rPr>
          <w:rFonts w:asciiTheme="minorBidi" w:hAnsiTheme="minorBidi"/>
          <w:bCs/>
          <w:sz w:val="22"/>
        </w:rPr>
        <w:t xml:space="preserve">NHS England (2023) </w:t>
      </w:r>
      <w:r w:rsidRPr="00F41727">
        <w:rPr>
          <w:rFonts w:asciiTheme="minorBidi" w:hAnsiTheme="minorBidi"/>
          <w:bCs/>
          <w:i/>
          <w:sz w:val="22"/>
        </w:rPr>
        <w:t>Inclusive digital healthcare: a framework for NHS action on digital inclusion</w:t>
      </w:r>
      <w:r w:rsidRPr="00F41727">
        <w:rPr>
          <w:rFonts w:asciiTheme="minorBidi" w:hAnsiTheme="minorBidi"/>
          <w:bCs/>
          <w:sz w:val="22"/>
        </w:rPr>
        <w:t xml:space="preserve">. Available at: </w:t>
      </w:r>
      <w:hyperlink r:id="rId16" w:history="1">
        <w:r w:rsidR="00717EE5" w:rsidRPr="00F41727">
          <w:rPr>
            <w:rStyle w:val="Hyperlink"/>
            <w:rFonts w:asciiTheme="minorBidi" w:hAnsiTheme="minorBidi"/>
            <w:bCs/>
            <w:sz w:val="22"/>
          </w:rPr>
          <w:t>https://www.england.nhs.uk/long-read/inclusive-digital-healthcare-a-framework-for-nhs-action-on-digital-inclusion/</w:t>
        </w:r>
      </w:hyperlink>
    </w:p>
    <w:p w14:paraId="3DB9D7A6" w14:textId="3C703280" w:rsidR="003D1817" w:rsidRPr="00F41727" w:rsidRDefault="009D6F63" w:rsidP="008D6BE1">
      <w:pPr>
        <w:ind w:left="720" w:hanging="720"/>
        <w:rPr>
          <w:rFonts w:asciiTheme="minorBidi" w:hAnsiTheme="minorBidi"/>
          <w:bCs/>
          <w:sz w:val="22"/>
        </w:rPr>
      </w:pPr>
      <w:r w:rsidRPr="00F41727">
        <w:rPr>
          <w:rFonts w:asciiTheme="minorBidi" w:hAnsiTheme="minorBidi"/>
          <w:bCs/>
          <w:sz w:val="22"/>
        </w:rPr>
        <w:t xml:space="preserve">NHS England (2024) </w:t>
      </w:r>
      <w:r w:rsidRPr="00F41727">
        <w:rPr>
          <w:rFonts w:asciiTheme="minorBidi" w:hAnsiTheme="minorBidi"/>
          <w:bCs/>
          <w:i/>
          <w:sz w:val="22"/>
        </w:rPr>
        <w:t xml:space="preserve">Synnovis </w:t>
      </w:r>
      <w:r w:rsidR="008D6BE1" w:rsidRPr="00F41727">
        <w:rPr>
          <w:rFonts w:asciiTheme="minorBidi" w:hAnsiTheme="minorBidi"/>
          <w:bCs/>
          <w:i/>
          <w:sz w:val="22"/>
        </w:rPr>
        <w:t>cyber-attack</w:t>
      </w:r>
      <w:r w:rsidRPr="00F41727">
        <w:rPr>
          <w:rFonts w:asciiTheme="minorBidi" w:hAnsiTheme="minorBidi"/>
          <w:bCs/>
          <w:i/>
          <w:sz w:val="22"/>
        </w:rPr>
        <w:t xml:space="preserve"> – statement from NHS England</w:t>
      </w:r>
      <w:r w:rsidRPr="00F41727">
        <w:rPr>
          <w:rFonts w:asciiTheme="minorBidi" w:hAnsiTheme="minorBidi"/>
          <w:bCs/>
          <w:sz w:val="22"/>
        </w:rPr>
        <w:t xml:space="preserve">, 21 June. Available at: </w:t>
      </w:r>
      <w:hyperlink r:id="rId17" w:history="1">
        <w:r w:rsidR="003D1817" w:rsidRPr="00F41727">
          <w:rPr>
            <w:rStyle w:val="Hyperlink"/>
            <w:rFonts w:asciiTheme="minorBidi" w:hAnsiTheme="minorBidi"/>
            <w:bCs/>
            <w:sz w:val="22"/>
          </w:rPr>
          <w:t>https://www.england.nhs.uk/2024/06/synnovis-cyber-attack-statement-from-nhs-england/</w:t>
        </w:r>
      </w:hyperlink>
    </w:p>
    <w:p w14:paraId="6646AC1E" w14:textId="73DDB54B" w:rsidR="00990273" w:rsidRPr="00F41727" w:rsidRDefault="009D6F63" w:rsidP="00BF672B">
      <w:pPr>
        <w:ind w:left="720" w:hanging="720"/>
        <w:rPr>
          <w:rFonts w:asciiTheme="minorBidi" w:hAnsiTheme="minorBidi"/>
          <w:sz w:val="22"/>
        </w:rPr>
      </w:pPr>
      <w:r w:rsidRPr="00F41727">
        <w:rPr>
          <w:rFonts w:asciiTheme="minorBidi" w:hAnsiTheme="minorBidi"/>
          <w:sz w:val="22"/>
        </w:rPr>
        <w:t xml:space="preserve">The Health Foundation (2025) </w:t>
      </w:r>
      <w:r w:rsidRPr="00F41727">
        <w:rPr>
          <w:rFonts w:asciiTheme="minorBidi" w:hAnsiTheme="minorBidi"/>
          <w:i/>
          <w:sz w:val="22"/>
        </w:rPr>
        <w:t>Electronic patient records: why the NHS urgently needs a strategy to reap the benefits</w:t>
      </w:r>
      <w:r w:rsidRPr="00F41727">
        <w:rPr>
          <w:rFonts w:asciiTheme="minorBidi" w:hAnsiTheme="minorBidi"/>
          <w:sz w:val="22"/>
        </w:rPr>
        <w:t xml:space="preserve">. Available at: </w:t>
      </w:r>
      <w:hyperlink r:id="rId18" w:history="1">
        <w:r w:rsidR="00990273" w:rsidRPr="00F41727">
          <w:rPr>
            <w:rStyle w:val="Hyperlink"/>
            <w:rFonts w:asciiTheme="minorBidi" w:hAnsiTheme="minorBidi"/>
            <w:sz w:val="22"/>
          </w:rPr>
          <w:t>https://www.health.org.uk/reports-and-analysis/analysis/electronic-patient-records-nhs-strategy</w:t>
        </w:r>
      </w:hyperlink>
    </w:p>
    <w:p w14:paraId="715C0E01" w14:textId="77777777" w:rsidR="00BE1394" w:rsidRPr="00F41727" w:rsidRDefault="009D6F63" w:rsidP="00BE1394">
      <w:pPr>
        <w:ind w:left="720" w:hanging="720"/>
        <w:rPr>
          <w:rFonts w:asciiTheme="minorBidi" w:hAnsiTheme="minorBidi"/>
          <w:sz w:val="22"/>
        </w:rPr>
      </w:pPr>
      <w:r w:rsidRPr="00F41727">
        <w:rPr>
          <w:rFonts w:asciiTheme="minorBidi" w:hAnsiTheme="minorBidi"/>
          <w:sz w:val="22"/>
        </w:rPr>
        <w:t xml:space="preserve">Tsai, C.H., Eghdam, A., Davoody, N., Wright, G., Flowerday, S. and Koch, S. (2020) 'Effects of electronic health record implementation and barriers to adoption and use: a scoping review and qualitative analysis of the content', </w:t>
      </w:r>
      <w:r w:rsidRPr="00F41727">
        <w:rPr>
          <w:rFonts w:asciiTheme="minorBidi" w:hAnsiTheme="minorBidi"/>
          <w:i/>
          <w:sz w:val="22"/>
        </w:rPr>
        <w:t>Life</w:t>
      </w:r>
      <w:r w:rsidRPr="00F41727">
        <w:rPr>
          <w:rFonts w:asciiTheme="minorBidi" w:hAnsiTheme="minorBidi"/>
          <w:sz w:val="22"/>
        </w:rPr>
        <w:t xml:space="preserve">, 10(12), article 327. </w:t>
      </w:r>
      <w:hyperlink r:id="rId19" w:history="1">
        <w:r w:rsidR="00BE1394" w:rsidRPr="00F41727">
          <w:rPr>
            <w:rStyle w:val="Hyperlink"/>
            <w:rFonts w:asciiTheme="minorBidi" w:hAnsiTheme="minorBidi"/>
            <w:sz w:val="22"/>
          </w:rPr>
          <w:t>https://doi.org/10.3390/life10120327</w:t>
        </w:r>
      </w:hyperlink>
    </w:p>
    <w:p w14:paraId="17E45550" w14:textId="7FBF84F1" w:rsidR="005231B5" w:rsidRPr="00F41727" w:rsidRDefault="009D6F63" w:rsidP="00BE1394">
      <w:pPr>
        <w:ind w:left="720" w:hanging="720"/>
        <w:rPr>
          <w:rFonts w:asciiTheme="minorBidi" w:hAnsiTheme="minorBidi"/>
          <w:sz w:val="22"/>
        </w:rPr>
      </w:pPr>
      <w:r w:rsidRPr="00F41727">
        <w:rPr>
          <w:rFonts w:asciiTheme="minorBidi" w:hAnsiTheme="minorBidi"/>
          <w:bCs/>
          <w:sz w:val="22"/>
        </w:rPr>
        <w:t>Ungoed-Thomas, J.</w:t>
      </w:r>
      <w:r w:rsidRPr="00F41727">
        <w:rPr>
          <w:rFonts w:asciiTheme="minorBidi" w:hAnsiTheme="minorBidi"/>
          <w:sz w:val="22"/>
        </w:rPr>
        <w:t xml:space="preserve"> (2024) </w:t>
      </w:r>
      <w:r w:rsidRPr="00F41727">
        <w:rPr>
          <w:rFonts w:asciiTheme="minorBidi" w:hAnsiTheme="minorBidi"/>
          <w:bCs/>
          <w:sz w:val="22"/>
        </w:rPr>
        <w:t xml:space="preserve">'NHS electronic health records pose ‘serious safety risks’', </w:t>
      </w:r>
      <w:r w:rsidRPr="00F41727">
        <w:rPr>
          <w:rFonts w:asciiTheme="minorBidi" w:hAnsiTheme="minorBidi"/>
          <w:bCs/>
          <w:i/>
          <w:sz w:val="22"/>
        </w:rPr>
        <w:t>The Observer</w:t>
      </w:r>
      <w:r w:rsidRPr="00F41727">
        <w:rPr>
          <w:rFonts w:asciiTheme="minorBidi" w:hAnsiTheme="minorBidi"/>
          <w:bCs/>
          <w:sz w:val="22"/>
        </w:rPr>
        <w:t>, 22 September.</w:t>
      </w:r>
      <w:r w:rsidRPr="00F41727">
        <w:rPr>
          <w:rFonts w:asciiTheme="minorBidi" w:hAnsiTheme="minorBidi"/>
          <w:sz w:val="22"/>
        </w:rPr>
        <w:t xml:space="preserve"> Available at: </w:t>
      </w:r>
      <w:hyperlink r:id="rId20" w:history="1">
        <w:r w:rsidR="00766AAD" w:rsidRPr="00F41727">
          <w:rPr>
            <w:rStyle w:val="Hyperlink"/>
            <w:rFonts w:asciiTheme="minorBidi" w:hAnsiTheme="minorBidi"/>
            <w:sz w:val="22"/>
          </w:rPr>
          <w:t>https://www.theguardian.com/society/2024/sep/22/nhs-electronic-health-records-pose-serious-safety-risks</w:t>
        </w:r>
      </w:hyperlink>
    </w:p>
    <w:p w14:paraId="2E37315C" w14:textId="15626B4D" w:rsidR="009D6F63" w:rsidRPr="00F41727" w:rsidRDefault="009D6F63" w:rsidP="009D6F63">
      <w:pPr>
        <w:ind w:left="720" w:hanging="720"/>
        <w:rPr>
          <w:rFonts w:asciiTheme="minorBidi" w:hAnsiTheme="minorBidi"/>
          <w:sz w:val="22"/>
        </w:rPr>
      </w:pPr>
      <w:r w:rsidRPr="00F41727">
        <w:rPr>
          <w:rFonts w:asciiTheme="minorBidi" w:hAnsiTheme="minorBidi"/>
          <w:sz w:val="22"/>
        </w:rPr>
        <w:lastRenderedPageBreak/>
        <w:t xml:space="preserve">Whitfield, G., Kispeter, E., Hamblin, K. and Burns, </w:t>
      </w:r>
      <w:r w:rsidRPr="00F41727">
        <w:rPr>
          <w:rFonts w:asciiTheme="minorBidi" w:hAnsiTheme="minorBidi"/>
          <w:bCs/>
          <w:sz w:val="22"/>
        </w:rPr>
        <w:t>D. (2025) 'How</w:t>
      </w:r>
      <w:r w:rsidRPr="00F41727">
        <w:rPr>
          <w:rFonts w:asciiTheme="minorBidi" w:hAnsiTheme="minorBidi"/>
          <w:sz w:val="22"/>
        </w:rPr>
        <w:t xml:space="preserve"> the care workforce navigates the digital ‘skills gap’: problems and opportunities from policy to </w:t>
      </w:r>
      <w:r w:rsidRPr="00F41727">
        <w:rPr>
          <w:rFonts w:asciiTheme="minorBidi" w:hAnsiTheme="minorBidi"/>
          <w:bCs/>
          <w:sz w:val="22"/>
        </w:rPr>
        <w:t>practice'</w:t>
      </w:r>
      <w:r w:rsidRPr="00F41727">
        <w:rPr>
          <w:rFonts w:asciiTheme="minorBidi" w:hAnsiTheme="minorBidi"/>
          <w:b/>
          <w:sz w:val="22"/>
        </w:rPr>
        <w:t xml:space="preserve">, </w:t>
      </w:r>
      <w:r w:rsidRPr="00F41727">
        <w:rPr>
          <w:rFonts w:asciiTheme="minorBidi" w:hAnsiTheme="minorBidi"/>
          <w:i/>
          <w:sz w:val="22"/>
        </w:rPr>
        <w:t>Frontiers in Sociology</w:t>
      </w:r>
      <w:r w:rsidRPr="00F41727">
        <w:rPr>
          <w:rFonts w:asciiTheme="minorBidi" w:hAnsiTheme="minorBidi"/>
          <w:sz w:val="22"/>
        </w:rPr>
        <w:t>, 10, article 1552672.</w:t>
      </w:r>
      <w:r w:rsidRPr="00F41727">
        <w:rPr>
          <w:rFonts w:asciiTheme="minorBidi" w:hAnsiTheme="minorBidi"/>
          <w:b/>
          <w:sz w:val="22"/>
        </w:rPr>
        <w:t xml:space="preserve"> </w:t>
      </w:r>
      <w:hyperlink r:id="rId21" w:history="1">
        <w:r w:rsidR="0043025F" w:rsidRPr="00F41727">
          <w:rPr>
            <w:rStyle w:val="Hyperlink"/>
            <w:rFonts w:asciiTheme="minorBidi" w:hAnsiTheme="minorBidi"/>
            <w:sz w:val="22"/>
          </w:rPr>
          <w:t>https://doi.org/10.3389/fsoc.2025.1552672</w:t>
        </w:r>
      </w:hyperlink>
    </w:p>
    <w:p w14:paraId="230495BF" w14:textId="77777777" w:rsidR="0043025F" w:rsidRPr="003C5239" w:rsidRDefault="0043025F" w:rsidP="009D6F63">
      <w:pPr>
        <w:ind w:left="720" w:hanging="720"/>
        <w:rPr>
          <w:rFonts w:asciiTheme="majorBidi" w:hAnsiTheme="majorBidi" w:cstheme="majorBidi"/>
          <w:szCs w:val="24"/>
        </w:rPr>
      </w:pPr>
    </w:p>
    <w:sectPr w:rsidR="0043025F" w:rsidRPr="003C5239" w:rsidSect="00004FA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5300B"/>
    <w:rsid w:val="00004FA6"/>
    <w:rsid w:val="0000795A"/>
    <w:rsid w:val="00010CF1"/>
    <w:rsid w:val="0001246B"/>
    <w:rsid w:val="0001787D"/>
    <w:rsid w:val="000278C6"/>
    <w:rsid w:val="00036199"/>
    <w:rsid w:val="00042340"/>
    <w:rsid w:val="00043526"/>
    <w:rsid w:val="00044AB0"/>
    <w:rsid w:val="00051F7D"/>
    <w:rsid w:val="0006568F"/>
    <w:rsid w:val="0006750F"/>
    <w:rsid w:val="00072166"/>
    <w:rsid w:val="0008379C"/>
    <w:rsid w:val="000A2D02"/>
    <w:rsid w:val="000A3EA3"/>
    <w:rsid w:val="000A6FF9"/>
    <w:rsid w:val="000B1B6E"/>
    <w:rsid w:val="000B2447"/>
    <w:rsid w:val="000B4821"/>
    <w:rsid w:val="000C0E00"/>
    <w:rsid w:val="000C6E9D"/>
    <w:rsid w:val="000D48AC"/>
    <w:rsid w:val="000D4E83"/>
    <w:rsid w:val="000E4320"/>
    <w:rsid w:val="000E4B27"/>
    <w:rsid w:val="000E7C85"/>
    <w:rsid w:val="000F394C"/>
    <w:rsid w:val="001065F8"/>
    <w:rsid w:val="0011093F"/>
    <w:rsid w:val="00116126"/>
    <w:rsid w:val="00122965"/>
    <w:rsid w:val="00123DE3"/>
    <w:rsid w:val="001259AB"/>
    <w:rsid w:val="00126D32"/>
    <w:rsid w:val="00133275"/>
    <w:rsid w:val="00133380"/>
    <w:rsid w:val="001411C5"/>
    <w:rsid w:val="0016057A"/>
    <w:rsid w:val="001611DD"/>
    <w:rsid w:val="00164461"/>
    <w:rsid w:val="001671CE"/>
    <w:rsid w:val="00167823"/>
    <w:rsid w:val="00183E12"/>
    <w:rsid w:val="00196EC2"/>
    <w:rsid w:val="001B153E"/>
    <w:rsid w:val="001B18B8"/>
    <w:rsid w:val="001B360F"/>
    <w:rsid w:val="001B543F"/>
    <w:rsid w:val="001C5113"/>
    <w:rsid w:val="001D3DC3"/>
    <w:rsid w:val="001E353A"/>
    <w:rsid w:val="001E6B4B"/>
    <w:rsid w:val="00211780"/>
    <w:rsid w:val="00243BFB"/>
    <w:rsid w:val="00245719"/>
    <w:rsid w:val="00255BC2"/>
    <w:rsid w:val="00264E89"/>
    <w:rsid w:val="00270D84"/>
    <w:rsid w:val="0027339D"/>
    <w:rsid w:val="002B697F"/>
    <w:rsid w:val="002D2CB5"/>
    <w:rsid w:val="002D362A"/>
    <w:rsid w:val="002E440C"/>
    <w:rsid w:val="002E5437"/>
    <w:rsid w:val="002F44EA"/>
    <w:rsid w:val="002F6571"/>
    <w:rsid w:val="00301FD7"/>
    <w:rsid w:val="003041FB"/>
    <w:rsid w:val="00306DC8"/>
    <w:rsid w:val="00315F05"/>
    <w:rsid w:val="00320BEB"/>
    <w:rsid w:val="00325084"/>
    <w:rsid w:val="003308AD"/>
    <w:rsid w:val="00336D70"/>
    <w:rsid w:val="00345377"/>
    <w:rsid w:val="00355C85"/>
    <w:rsid w:val="00366325"/>
    <w:rsid w:val="003707C4"/>
    <w:rsid w:val="00370E68"/>
    <w:rsid w:val="00381AA1"/>
    <w:rsid w:val="003831CE"/>
    <w:rsid w:val="003A263D"/>
    <w:rsid w:val="003A263E"/>
    <w:rsid w:val="003A2A75"/>
    <w:rsid w:val="003B0D07"/>
    <w:rsid w:val="003B0FC8"/>
    <w:rsid w:val="003B163F"/>
    <w:rsid w:val="003B2119"/>
    <w:rsid w:val="003B3FF8"/>
    <w:rsid w:val="003C0956"/>
    <w:rsid w:val="003C3DC1"/>
    <w:rsid w:val="003C5239"/>
    <w:rsid w:val="003C6183"/>
    <w:rsid w:val="003D1817"/>
    <w:rsid w:val="003D4F35"/>
    <w:rsid w:val="003E14D1"/>
    <w:rsid w:val="003E7BB6"/>
    <w:rsid w:val="003F2EE3"/>
    <w:rsid w:val="003F301C"/>
    <w:rsid w:val="0040051F"/>
    <w:rsid w:val="00407C5C"/>
    <w:rsid w:val="00414CC7"/>
    <w:rsid w:val="0041596B"/>
    <w:rsid w:val="004227C2"/>
    <w:rsid w:val="00423E0B"/>
    <w:rsid w:val="00424706"/>
    <w:rsid w:val="00425E6C"/>
    <w:rsid w:val="004275CB"/>
    <w:rsid w:val="0043025F"/>
    <w:rsid w:val="0043567D"/>
    <w:rsid w:val="00436328"/>
    <w:rsid w:val="00443129"/>
    <w:rsid w:val="00443E30"/>
    <w:rsid w:val="0045128C"/>
    <w:rsid w:val="00454186"/>
    <w:rsid w:val="0046714A"/>
    <w:rsid w:val="004725B2"/>
    <w:rsid w:val="004848C4"/>
    <w:rsid w:val="004849A4"/>
    <w:rsid w:val="004873B7"/>
    <w:rsid w:val="00495056"/>
    <w:rsid w:val="004A3A66"/>
    <w:rsid w:val="004A3F56"/>
    <w:rsid w:val="004A5E24"/>
    <w:rsid w:val="004A601A"/>
    <w:rsid w:val="004A7D41"/>
    <w:rsid w:val="004B03AB"/>
    <w:rsid w:val="004B6A64"/>
    <w:rsid w:val="004C311F"/>
    <w:rsid w:val="004D0AA9"/>
    <w:rsid w:val="004E604E"/>
    <w:rsid w:val="004E775E"/>
    <w:rsid w:val="004F739E"/>
    <w:rsid w:val="00505C42"/>
    <w:rsid w:val="00507032"/>
    <w:rsid w:val="005231B5"/>
    <w:rsid w:val="00524218"/>
    <w:rsid w:val="00532247"/>
    <w:rsid w:val="0054607E"/>
    <w:rsid w:val="005572D1"/>
    <w:rsid w:val="005642B8"/>
    <w:rsid w:val="00565C41"/>
    <w:rsid w:val="00580202"/>
    <w:rsid w:val="00580877"/>
    <w:rsid w:val="00580D09"/>
    <w:rsid w:val="00597536"/>
    <w:rsid w:val="005A56B1"/>
    <w:rsid w:val="005B41B3"/>
    <w:rsid w:val="005B5552"/>
    <w:rsid w:val="005B5D30"/>
    <w:rsid w:val="005D5356"/>
    <w:rsid w:val="005D66A0"/>
    <w:rsid w:val="005E07EA"/>
    <w:rsid w:val="005E2083"/>
    <w:rsid w:val="005F2797"/>
    <w:rsid w:val="005F43A4"/>
    <w:rsid w:val="005F72B4"/>
    <w:rsid w:val="006011D6"/>
    <w:rsid w:val="00657374"/>
    <w:rsid w:val="00676173"/>
    <w:rsid w:val="0068288D"/>
    <w:rsid w:val="00684659"/>
    <w:rsid w:val="00692A12"/>
    <w:rsid w:val="00695C91"/>
    <w:rsid w:val="006B652A"/>
    <w:rsid w:val="006D5DA5"/>
    <w:rsid w:val="006E25C9"/>
    <w:rsid w:val="006E7286"/>
    <w:rsid w:val="006F62B2"/>
    <w:rsid w:val="007155FE"/>
    <w:rsid w:val="00716A29"/>
    <w:rsid w:val="00717EE5"/>
    <w:rsid w:val="0072282F"/>
    <w:rsid w:val="007514C5"/>
    <w:rsid w:val="00751A9D"/>
    <w:rsid w:val="00766AAD"/>
    <w:rsid w:val="0076746C"/>
    <w:rsid w:val="00776873"/>
    <w:rsid w:val="007776E4"/>
    <w:rsid w:val="007804AE"/>
    <w:rsid w:val="00785F77"/>
    <w:rsid w:val="00785FFF"/>
    <w:rsid w:val="00786648"/>
    <w:rsid w:val="00787954"/>
    <w:rsid w:val="0079098A"/>
    <w:rsid w:val="00795771"/>
    <w:rsid w:val="00796193"/>
    <w:rsid w:val="007A04C7"/>
    <w:rsid w:val="007A2E54"/>
    <w:rsid w:val="007B0F95"/>
    <w:rsid w:val="007C09E9"/>
    <w:rsid w:val="007C1935"/>
    <w:rsid w:val="007C31E7"/>
    <w:rsid w:val="007D4588"/>
    <w:rsid w:val="007E2FAA"/>
    <w:rsid w:val="007E6668"/>
    <w:rsid w:val="007F3D54"/>
    <w:rsid w:val="0080412C"/>
    <w:rsid w:val="00804686"/>
    <w:rsid w:val="00840F3C"/>
    <w:rsid w:val="008457B0"/>
    <w:rsid w:val="0085300B"/>
    <w:rsid w:val="008556D4"/>
    <w:rsid w:val="00863629"/>
    <w:rsid w:val="00874E5E"/>
    <w:rsid w:val="00882999"/>
    <w:rsid w:val="00886966"/>
    <w:rsid w:val="00890FB9"/>
    <w:rsid w:val="008C5324"/>
    <w:rsid w:val="008D005F"/>
    <w:rsid w:val="008D6BE1"/>
    <w:rsid w:val="008E4564"/>
    <w:rsid w:val="008E5116"/>
    <w:rsid w:val="008F1AE8"/>
    <w:rsid w:val="008F41EF"/>
    <w:rsid w:val="00911535"/>
    <w:rsid w:val="00911BE5"/>
    <w:rsid w:val="00917338"/>
    <w:rsid w:val="009234B7"/>
    <w:rsid w:val="0095166F"/>
    <w:rsid w:val="00953BE7"/>
    <w:rsid w:val="00957E34"/>
    <w:rsid w:val="00963DA1"/>
    <w:rsid w:val="0097046F"/>
    <w:rsid w:val="00971584"/>
    <w:rsid w:val="00976286"/>
    <w:rsid w:val="00990273"/>
    <w:rsid w:val="00995970"/>
    <w:rsid w:val="00995EB1"/>
    <w:rsid w:val="009C3234"/>
    <w:rsid w:val="009C470A"/>
    <w:rsid w:val="009C7719"/>
    <w:rsid w:val="009D1E10"/>
    <w:rsid w:val="009D342C"/>
    <w:rsid w:val="009D5137"/>
    <w:rsid w:val="009D6BA0"/>
    <w:rsid w:val="009D6F63"/>
    <w:rsid w:val="009E21C2"/>
    <w:rsid w:val="009F07DF"/>
    <w:rsid w:val="009F5BAC"/>
    <w:rsid w:val="00A054F5"/>
    <w:rsid w:val="00A061D5"/>
    <w:rsid w:val="00A0654A"/>
    <w:rsid w:val="00A166C0"/>
    <w:rsid w:val="00A22E93"/>
    <w:rsid w:val="00A230B4"/>
    <w:rsid w:val="00A2594F"/>
    <w:rsid w:val="00A607D5"/>
    <w:rsid w:val="00A63333"/>
    <w:rsid w:val="00A647DA"/>
    <w:rsid w:val="00A71C58"/>
    <w:rsid w:val="00A83942"/>
    <w:rsid w:val="00A8545B"/>
    <w:rsid w:val="00A91E1C"/>
    <w:rsid w:val="00AC2188"/>
    <w:rsid w:val="00AD18A8"/>
    <w:rsid w:val="00AD4E10"/>
    <w:rsid w:val="00AE6F57"/>
    <w:rsid w:val="00AF0314"/>
    <w:rsid w:val="00AF13FE"/>
    <w:rsid w:val="00AF2597"/>
    <w:rsid w:val="00AF4ED6"/>
    <w:rsid w:val="00AF5680"/>
    <w:rsid w:val="00B030A6"/>
    <w:rsid w:val="00B04D8B"/>
    <w:rsid w:val="00B066EA"/>
    <w:rsid w:val="00B3102F"/>
    <w:rsid w:val="00B35CE4"/>
    <w:rsid w:val="00B43467"/>
    <w:rsid w:val="00B44102"/>
    <w:rsid w:val="00B47BD2"/>
    <w:rsid w:val="00B61E7A"/>
    <w:rsid w:val="00B639F1"/>
    <w:rsid w:val="00B65F62"/>
    <w:rsid w:val="00B83CC9"/>
    <w:rsid w:val="00B86099"/>
    <w:rsid w:val="00BA7CA8"/>
    <w:rsid w:val="00BB016D"/>
    <w:rsid w:val="00BB1E95"/>
    <w:rsid w:val="00BB70DB"/>
    <w:rsid w:val="00BC37CD"/>
    <w:rsid w:val="00BD4499"/>
    <w:rsid w:val="00BE1394"/>
    <w:rsid w:val="00BE23F7"/>
    <w:rsid w:val="00BE5677"/>
    <w:rsid w:val="00BE6DF9"/>
    <w:rsid w:val="00BE732E"/>
    <w:rsid w:val="00BF166A"/>
    <w:rsid w:val="00BF583C"/>
    <w:rsid w:val="00BF672B"/>
    <w:rsid w:val="00C048A7"/>
    <w:rsid w:val="00C05AB8"/>
    <w:rsid w:val="00C1142C"/>
    <w:rsid w:val="00C27761"/>
    <w:rsid w:val="00C34837"/>
    <w:rsid w:val="00C357C7"/>
    <w:rsid w:val="00C4009B"/>
    <w:rsid w:val="00C41F9E"/>
    <w:rsid w:val="00C475C9"/>
    <w:rsid w:val="00C5384B"/>
    <w:rsid w:val="00C60D9C"/>
    <w:rsid w:val="00C6172D"/>
    <w:rsid w:val="00C70CB9"/>
    <w:rsid w:val="00C7715D"/>
    <w:rsid w:val="00C90C60"/>
    <w:rsid w:val="00C92557"/>
    <w:rsid w:val="00C92B4E"/>
    <w:rsid w:val="00C9442D"/>
    <w:rsid w:val="00CA1601"/>
    <w:rsid w:val="00CB1470"/>
    <w:rsid w:val="00CB24AC"/>
    <w:rsid w:val="00CB48D8"/>
    <w:rsid w:val="00CB7785"/>
    <w:rsid w:val="00CC0B31"/>
    <w:rsid w:val="00CC2D7A"/>
    <w:rsid w:val="00CD69DF"/>
    <w:rsid w:val="00CE1DC3"/>
    <w:rsid w:val="00CE682F"/>
    <w:rsid w:val="00CF6A5D"/>
    <w:rsid w:val="00D166C0"/>
    <w:rsid w:val="00D222CC"/>
    <w:rsid w:val="00D2516B"/>
    <w:rsid w:val="00D3262B"/>
    <w:rsid w:val="00D33B0E"/>
    <w:rsid w:val="00D33B53"/>
    <w:rsid w:val="00D35E50"/>
    <w:rsid w:val="00D4792F"/>
    <w:rsid w:val="00D502A4"/>
    <w:rsid w:val="00D55109"/>
    <w:rsid w:val="00D61F5C"/>
    <w:rsid w:val="00D639CD"/>
    <w:rsid w:val="00D730AF"/>
    <w:rsid w:val="00D7793A"/>
    <w:rsid w:val="00D82CA0"/>
    <w:rsid w:val="00D843BE"/>
    <w:rsid w:val="00D92196"/>
    <w:rsid w:val="00D95E57"/>
    <w:rsid w:val="00DA5808"/>
    <w:rsid w:val="00DA58EA"/>
    <w:rsid w:val="00DB5EB5"/>
    <w:rsid w:val="00DC0B30"/>
    <w:rsid w:val="00DC4262"/>
    <w:rsid w:val="00DD25B2"/>
    <w:rsid w:val="00DD3AF2"/>
    <w:rsid w:val="00DD3B8B"/>
    <w:rsid w:val="00DE0CCD"/>
    <w:rsid w:val="00DE4E98"/>
    <w:rsid w:val="00DE5606"/>
    <w:rsid w:val="00DE5DB9"/>
    <w:rsid w:val="00DF67CC"/>
    <w:rsid w:val="00DF788C"/>
    <w:rsid w:val="00E057EB"/>
    <w:rsid w:val="00E06B3F"/>
    <w:rsid w:val="00E108BD"/>
    <w:rsid w:val="00E14475"/>
    <w:rsid w:val="00E325BF"/>
    <w:rsid w:val="00E37AE3"/>
    <w:rsid w:val="00E43FC2"/>
    <w:rsid w:val="00E541C8"/>
    <w:rsid w:val="00E56232"/>
    <w:rsid w:val="00E5752E"/>
    <w:rsid w:val="00E57EE2"/>
    <w:rsid w:val="00E6134A"/>
    <w:rsid w:val="00E85B52"/>
    <w:rsid w:val="00E92334"/>
    <w:rsid w:val="00E96403"/>
    <w:rsid w:val="00E96C0F"/>
    <w:rsid w:val="00EA010E"/>
    <w:rsid w:val="00EA1028"/>
    <w:rsid w:val="00EA16FC"/>
    <w:rsid w:val="00EA30C5"/>
    <w:rsid w:val="00EB7CEB"/>
    <w:rsid w:val="00EC25FC"/>
    <w:rsid w:val="00ED2C6A"/>
    <w:rsid w:val="00EE5E2D"/>
    <w:rsid w:val="00EF629C"/>
    <w:rsid w:val="00F01449"/>
    <w:rsid w:val="00F106E5"/>
    <w:rsid w:val="00F138A4"/>
    <w:rsid w:val="00F2397E"/>
    <w:rsid w:val="00F23E8B"/>
    <w:rsid w:val="00F26D58"/>
    <w:rsid w:val="00F31DE6"/>
    <w:rsid w:val="00F33EC8"/>
    <w:rsid w:val="00F40E50"/>
    <w:rsid w:val="00F41727"/>
    <w:rsid w:val="00F473B3"/>
    <w:rsid w:val="00F52B3F"/>
    <w:rsid w:val="00F53245"/>
    <w:rsid w:val="00F54926"/>
    <w:rsid w:val="00F5769F"/>
    <w:rsid w:val="00F71D1B"/>
    <w:rsid w:val="00F73CD0"/>
    <w:rsid w:val="00F80B07"/>
    <w:rsid w:val="00F84A90"/>
    <w:rsid w:val="00F91BCA"/>
    <w:rsid w:val="00F96F27"/>
    <w:rsid w:val="00FB2613"/>
    <w:rsid w:val="00FC0CCD"/>
    <w:rsid w:val="00FD64AF"/>
    <w:rsid w:val="00FD6837"/>
    <w:rsid w:val="00FD733B"/>
    <w:rsid w:val="00FE58FA"/>
    <w:rsid w:val="00FE7F0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3D571"/>
  <w15:chartTrackingRefBased/>
  <w15:docId w15:val="{49038D12-0802-4B85-8F56-939A001C8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8A8"/>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36328"/>
    <w:pPr>
      <w:keepNext/>
      <w:keepLines/>
      <w:spacing w:before="240" w:after="0" w:line="240" w:lineRule="auto"/>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436328"/>
    <w:pPr>
      <w:spacing w:line="480" w:lineRule="auto"/>
      <w:outlineLvl w:val="1"/>
    </w:pPr>
    <w:rPr>
      <w:rFonts w:cs="Segoe UI"/>
      <w:bCs/>
      <w:i/>
      <w:iCs/>
      <w:szCs w:val="28"/>
      <w:lang w:eastAsia="en-GB"/>
    </w:rPr>
  </w:style>
  <w:style w:type="paragraph" w:styleId="Heading3">
    <w:name w:val="heading 3"/>
    <w:basedOn w:val="Normal"/>
    <w:next w:val="Normal"/>
    <w:link w:val="Heading3Char"/>
    <w:autoRedefine/>
    <w:uiPriority w:val="9"/>
    <w:semiHidden/>
    <w:unhideWhenUsed/>
    <w:qFormat/>
    <w:rsid w:val="00A8545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85300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5300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5300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5300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5300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5300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328"/>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436328"/>
    <w:rPr>
      <w:rFonts w:ascii="Times New Roman" w:hAnsi="Times New Roman" w:cs="Segoe UI"/>
      <w:bCs/>
      <w:i/>
      <w:iCs/>
      <w:sz w:val="24"/>
      <w:szCs w:val="28"/>
      <w:lang w:eastAsia="en-GB"/>
    </w:rPr>
  </w:style>
  <w:style w:type="paragraph" w:styleId="TOC1">
    <w:name w:val="toc 1"/>
    <w:basedOn w:val="Normal"/>
    <w:next w:val="Normal"/>
    <w:autoRedefine/>
    <w:uiPriority w:val="39"/>
    <w:unhideWhenUsed/>
    <w:qFormat/>
    <w:rsid w:val="006E25C9"/>
    <w:pPr>
      <w:spacing w:before="0" w:after="100" w:line="259" w:lineRule="auto"/>
      <w:jc w:val="left"/>
    </w:pPr>
    <w:rPr>
      <w:rFonts w:asciiTheme="minorHAnsi" w:eastAsiaTheme="minorEastAsia" w:hAnsiTheme="minorHAnsi" w:cs="Times New Roman"/>
      <w:sz w:val="22"/>
      <w:lang w:val="en-US"/>
    </w:rPr>
  </w:style>
  <w:style w:type="character" w:customStyle="1" w:styleId="Heading3Char">
    <w:name w:val="Heading 3 Char"/>
    <w:basedOn w:val="DefaultParagraphFont"/>
    <w:link w:val="Heading3"/>
    <w:uiPriority w:val="9"/>
    <w:semiHidden/>
    <w:rsid w:val="00A8545B"/>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85300B"/>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85300B"/>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5300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5300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5300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5300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5300B"/>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0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00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0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0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300B"/>
    <w:rPr>
      <w:rFonts w:ascii="Times New Roman" w:hAnsi="Times New Roman"/>
      <w:i/>
      <w:iCs/>
      <w:color w:val="404040" w:themeColor="text1" w:themeTint="BF"/>
      <w:sz w:val="24"/>
    </w:rPr>
  </w:style>
  <w:style w:type="paragraph" w:styleId="ListParagraph">
    <w:name w:val="List Paragraph"/>
    <w:basedOn w:val="Normal"/>
    <w:uiPriority w:val="34"/>
    <w:qFormat/>
    <w:rsid w:val="0085300B"/>
    <w:pPr>
      <w:ind w:left="720"/>
      <w:contextualSpacing/>
    </w:pPr>
  </w:style>
  <w:style w:type="character" w:styleId="IntenseEmphasis">
    <w:name w:val="Intense Emphasis"/>
    <w:basedOn w:val="DefaultParagraphFont"/>
    <w:uiPriority w:val="21"/>
    <w:qFormat/>
    <w:rsid w:val="0085300B"/>
    <w:rPr>
      <w:i/>
      <w:iCs/>
      <w:color w:val="2F5496" w:themeColor="accent1" w:themeShade="BF"/>
    </w:rPr>
  </w:style>
  <w:style w:type="paragraph" w:styleId="IntenseQuote">
    <w:name w:val="Intense Quote"/>
    <w:basedOn w:val="Normal"/>
    <w:next w:val="Normal"/>
    <w:link w:val="IntenseQuoteChar"/>
    <w:uiPriority w:val="30"/>
    <w:qFormat/>
    <w:rsid w:val="008530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300B"/>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85300B"/>
    <w:rPr>
      <w:b/>
      <w:bCs/>
      <w:smallCaps/>
      <w:color w:val="2F5496" w:themeColor="accent1" w:themeShade="BF"/>
      <w:spacing w:val="5"/>
    </w:rPr>
  </w:style>
  <w:style w:type="paragraph" w:styleId="NormalWeb">
    <w:name w:val="Normal (Web)"/>
    <w:basedOn w:val="Normal"/>
    <w:uiPriority w:val="99"/>
    <w:semiHidden/>
    <w:unhideWhenUsed/>
    <w:rsid w:val="000B1B6E"/>
    <w:rPr>
      <w:rFonts w:cs="Times New Roman"/>
      <w:szCs w:val="24"/>
    </w:rPr>
  </w:style>
  <w:style w:type="paragraph" w:styleId="TOCHeading">
    <w:name w:val="TOC Heading"/>
    <w:basedOn w:val="Heading1"/>
    <w:next w:val="Normal"/>
    <w:uiPriority w:val="39"/>
    <w:unhideWhenUsed/>
    <w:qFormat/>
    <w:rsid w:val="00FE58FA"/>
    <w:pPr>
      <w:spacing w:line="259" w:lineRule="auto"/>
      <w:outlineLvl w:val="9"/>
    </w:pPr>
    <w:rPr>
      <w:rFonts w:asciiTheme="majorHAnsi" w:hAnsiTheme="majorHAnsi"/>
      <w:b w:val="0"/>
      <w:i w:val="0"/>
      <w:color w:val="2F5496" w:themeColor="accent1" w:themeShade="BF"/>
      <w:kern w:val="0"/>
      <w:sz w:val="32"/>
      <w:lang w:val="en-US"/>
    </w:rPr>
  </w:style>
  <w:style w:type="character" w:styleId="Hyperlink">
    <w:name w:val="Hyperlink"/>
    <w:basedOn w:val="DefaultParagraphFont"/>
    <w:uiPriority w:val="99"/>
    <w:unhideWhenUsed/>
    <w:rsid w:val="00FE58FA"/>
    <w:rPr>
      <w:color w:val="0563C1" w:themeColor="hyperlink"/>
      <w:u w:val="single"/>
    </w:rPr>
  </w:style>
  <w:style w:type="character" w:styleId="UnresolvedMention">
    <w:name w:val="Unresolved Mention"/>
    <w:basedOn w:val="DefaultParagraphFont"/>
    <w:uiPriority w:val="99"/>
    <w:semiHidden/>
    <w:unhideWhenUsed/>
    <w:rsid w:val="0043025F"/>
    <w:rPr>
      <w:color w:val="605E5C"/>
      <w:shd w:val="clear" w:color="auto" w:fill="E1DFDD"/>
    </w:rPr>
  </w:style>
  <w:style w:type="character" w:styleId="FollowedHyperlink">
    <w:name w:val="FollowedHyperlink"/>
    <w:basedOn w:val="DefaultParagraphFont"/>
    <w:uiPriority w:val="99"/>
    <w:semiHidden/>
    <w:unhideWhenUsed/>
    <w:rsid w:val="004302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10-year-health-plan-for-england-fit-for-the-future" TargetMode="External"/><Relationship Id="rId13" Type="http://schemas.openxmlformats.org/officeDocument/2006/relationships/hyperlink" Target="https://doi.org/10.1186/s12913-022-07954-y" TargetMode="External"/><Relationship Id="rId18" Type="http://schemas.openxmlformats.org/officeDocument/2006/relationships/hyperlink" Target="https://www.health.org.uk/reports-and-analysis/analysis/electronic-patient-records-nhs-strategy" TargetMode="External"/><Relationship Id="rId3" Type="http://schemas.openxmlformats.org/officeDocument/2006/relationships/settings" Target="settings.xml"/><Relationship Id="rId21" Type="http://schemas.openxmlformats.org/officeDocument/2006/relationships/hyperlink" Target="https://doi.org/10.3389/fsoc.2025.1552672" TargetMode="External"/><Relationship Id="rId7" Type="http://schemas.openxmlformats.org/officeDocument/2006/relationships/hyperlink" Target="https://www.gov.uk/government/publications/a-plan-for-digital-health-and-social-care" TargetMode="External"/><Relationship Id="rId12" Type="http://schemas.openxmlformats.org/officeDocument/2006/relationships/hyperlink" Target="https://doi.org/10.1177/18333583231154624" TargetMode="External"/><Relationship Id="rId17" Type="http://schemas.openxmlformats.org/officeDocument/2006/relationships/hyperlink" Target="https://www.england.nhs.uk/2024/06/synnovis-cyber-attack-statement-from-nhs-england/" TargetMode="External"/><Relationship Id="rId2" Type="http://schemas.openxmlformats.org/officeDocument/2006/relationships/styles" Target="styles.xml"/><Relationship Id="rId16" Type="http://schemas.openxmlformats.org/officeDocument/2006/relationships/hyperlink" Target="https://www.england.nhs.uk/long-read/inclusive-digital-healthcare-a-framework-for-nhs-action-on-digital-inclusion/" TargetMode="External"/><Relationship Id="rId20" Type="http://schemas.openxmlformats.org/officeDocument/2006/relationships/hyperlink" Target="https://www.theguardian.com/society/2024/sep/22/nhs-electronic-health-records-pose-serious-safety-risks" TargetMode="External"/><Relationship Id="rId1" Type="http://schemas.openxmlformats.org/officeDocument/2006/relationships/customXml" Target="../customXml/item1.xml"/><Relationship Id="rId6" Type="http://schemas.openxmlformats.org/officeDocument/2006/relationships/hyperlink" Target="https://doi.org/10.1177/18333583231200417" TargetMode="External"/><Relationship Id="rId11" Type="http://schemas.openxmlformats.org/officeDocument/2006/relationships/hyperlink" Target="https://doi.org/10.1186/s12911-023-02255-8" TargetMode="External"/><Relationship Id="rId5" Type="http://schemas.openxmlformats.org/officeDocument/2006/relationships/hyperlink" Target="https://doi.org/10.1177/21582440251359791" TargetMode="External"/><Relationship Id="rId15" Type="http://schemas.openxmlformats.org/officeDocument/2006/relationships/hyperlink" Target="https://doi.org/10.1136/bmjopen-2020-044221" TargetMode="External"/><Relationship Id="rId23" Type="http://schemas.openxmlformats.org/officeDocument/2006/relationships/theme" Target="theme/theme1.xml"/><Relationship Id="rId10" Type="http://schemas.openxmlformats.org/officeDocument/2006/relationships/hyperlink" Target="https://doi.org/10.7861/fhj.2023-0072" TargetMode="External"/><Relationship Id="rId19" Type="http://schemas.openxmlformats.org/officeDocument/2006/relationships/hyperlink" Target="https://doi.org/10.3390/life10120327" TargetMode="External"/><Relationship Id="rId4" Type="http://schemas.openxmlformats.org/officeDocument/2006/relationships/webSettings" Target="webSettings.xml"/><Relationship Id="rId9" Type="http://schemas.openxmlformats.org/officeDocument/2006/relationships/hyperlink" Target="https://doi.org/10.2196/60077" TargetMode="External"/><Relationship Id="rId14" Type="http://schemas.openxmlformats.org/officeDocument/2006/relationships/hyperlink" Target="https://mft.nhs.uk/2023/09/08/hive-our-electronic-patient-record-one-year-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9530A-BC1D-4B38-A2AE-40A6CA589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11</Pages>
  <Words>3252</Words>
  <Characters>18542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mustafanurv@outlook.com</dc:creator>
  <cp:keywords/>
  <dc:description/>
  <cp:lastModifiedBy>mustafanurv@outlook.com</cp:lastModifiedBy>
  <cp:revision>457</cp:revision>
  <dcterms:created xsi:type="dcterms:W3CDTF">2026-10-13T18:12:00Z</dcterms:created>
  <dcterms:modified xsi:type="dcterms:W3CDTF">2026-10-15T18:56:00Z</dcterms:modified>
</cp:coreProperties>
</file>