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drawing>
          <wp:inline distB="0" distT="0" distL="0" distR="0">
            <wp:extent cx="2816147" cy="1562254"/>
            <wp:effectExtent b="0" l="0" r="0" t="0"/>
            <wp:docPr descr="University of the week - University of Wales Trinity Saint David" id="1" name="image1.png"/>
            <a:graphic>
              <a:graphicData uri="http://schemas.openxmlformats.org/drawingml/2006/picture">
                <pic:pic>
                  <pic:nvPicPr>
                    <pic:cNvPr descr="University of the week - University of Wales Trinity Saint David" id="0" name="image1.png"/>
                    <pic:cNvPicPr preferRelativeResize="0"/>
                  </pic:nvPicPr>
                  <pic:blipFill>
                    <a:blip r:embed="rId6"/>
                    <a:srcRect b="0" l="0" r="0" t="0"/>
                    <a:stretch>
                      <a:fillRect/>
                    </a:stretch>
                  </pic:blipFill>
                  <pic:spPr>
                    <a:xfrm>
                      <a:off x="0" y="0"/>
                      <a:ext cx="2816147" cy="1562254"/>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jc w:val="center"/>
        <w:rPr/>
      </w:pPr>
      <w:r w:rsidDel="00000000" w:rsidR="00000000" w:rsidRPr="00000000">
        <w:rPr>
          <w:rtl w:val="0"/>
        </w:rPr>
      </w:r>
    </w:p>
    <w:p w:rsidR="00000000" w:rsidDel="00000000" w:rsidP="00000000" w:rsidRDefault="00000000" w:rsidRPr="00000000" w14:paraId="00000004">
      <w:pPr>
        <w:jc w:val="center"/>
        <w:rPr>
          <w:b w:val="1"/>
        </w:rPr>
      </w:pPr>
      <w:r w:rsidDel="00000000" w:rsidR="00000000" w:rsidRPr="00000000">
        <w:rPr>
          <w:b w:val="1"/>
          <w:rtl w:val="0"/>
        </w:rPr>
        <w:t xml:space="preserve">Programme: BA Business Management</w:t>
      </w:r>
    </w:p>
    <w:p w:rsidR="00000000" w:rsidDel="00000000" w:rsidP="00000000" w:rsidRDefault="00000000" w:rsidRPr="00000000" w14:paraId="00000005">
      <w:pPr>
        <w:jc w:val="center"/>
        <w:rPr>
          <w:b w:val="1"/>
        </w:rPr>
      </w:pPr>
      <w:r w:rsidDel="00000000" w:rsidR="00000000" w:rsidRPr="00000000">
        <w:rPr>
          <w:b w:val="1"/>
          <w:rtl w:val="0"/>
        </w:rPr>
        <w:t xml:space="preserve">Module: Community Engagement</w:t>
      </w:r>
    </w:p>
    <w:p w:rsidR="00000000" w:rsidDel="00000000" w:rsidP="00000000" w:rsidRDefault="00000000" w:rsidRPr="00000000" w14:paraId="00000006">
      <w:pPr>
        <w:jc w:val="center"/>
        <w:rPr>
          <w:b w:val="1"/>
        </w:rPr>
      </w:pPr>
      <w:r w:rsidDel="00000000" w:rsidR="00000000" w:rsidRPr="00000000">
        <w:rPr>
          <w:b w:val="1"/>
          <w:rtl w:val="0"/>
        </w:rPr>
        <w:t xml:space="preserve">Module code: LCBB4002</w:t>
      </w:r>
    </w:p>
    <w:p w:rsidR="00000000" w:rsidDel="00000000" w:rsidP="00000000" w:rsidRDefault="00000000" w:rsidRPr="00000000" w14:paraId="00000007">
      <w:pPr>
        <w:jc w:val="center"/>
        <w:rPr>
          <w:b w:val="1"/>
        </w:rPr>
      </w:pPr>
      <w:r w:rsidDel="00000000" w:rsidR="00000000" w:rsidRPr="00000000">
        <w:rPr>
          <w:b w:val="1"/>
          <w:rtl w:val="0"/>
        </w:rPr>
        <w:t xml:space="preserve">Module Coordinator: Dr Molly Jack</w:t>
      </w:r>
    </w:p>
    <w:p w:rsidR="00000000" w:rsidDel="00000000" w:rsidP="00000000" w:rsidRDefault="00000000" w:rsidRPr="00000000" w14:paraId="00000008">
      <w:pPr>
        <w:jc w:val="center"/>
        <w:rPr>
          <w:b w:val="1"/>
        </w:rPr>
      </w:pPr>
      <w:r w:rsidDel="00000000" w:rsidR="00000000" w:rsidRPr="00000000">
        <w:rPr>
          <w:b w:val="1"/>
          <w:rtl w:val="0"/>
        </w:rPr>
        <w:t xml:space="preserve">Student name: Gabriela Vasilica Coteneanu</w:t>
      </w:r>
    </w:p>
    <w:p w:rsidR="00000000" w:rsidDel="00000000" w:rsidP="00000000" w:rsidRDefault="00000000" w:rsidRPr="00000000" w14:paraId="00000009">
      <w:pPr>
        <w:jc w:val="center"/>
        <w:rPr>
          <w:b w:val="1"/>
        </w:rPr>
      </w:pPr>
      <w:r w:rsidDel="00000000" w:rsidR="00000000" w:rsidRPr="00000000">
        <w:rPr>
          <w:b w:val="1"/>
          <w:rtl w:val="0"/>
        </w:rPr>
        <w:t xml:space="preserve">Student ID: 2243467</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spacing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16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Introduction</w:t>
              <w:tab/>
              <w:t xml:space="preserve">1</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16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Project Overview</w:t>
              <w:tab/>
              <w:t xml:space="preserve">1</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16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Issue Identification</w:t>
              <w:tab/>
              <w:t xml:space="preserve">1</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16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Objectives, Stakeholders, Benefits</w:t>
              <w:tab/>
              <w:t xml:space="preserve">2</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16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II. Project Evaluation</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16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Community Research</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16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Implementation Effectiveness</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16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III. Areas of Activity</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16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Active Engagement Zones</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16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Rationale for Prioritisation</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16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IV. Engagement Approaches</w:t>
              <w:tab/>
              <w:t xml:space="preserve">7</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16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Methods Overview</w:t>
              <w:tab/>
              <w:t xml:space="preserve">7</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16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Effectiveness Assessment</w:t>
              <w:tab/>
              <w:t xml:space="preserve">7</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16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 Options for Engagement</w:t>
              <w:tab/>
              <w:t xml:space="preserve">9</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16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Community Planning Options</w:t>
              <w:tab/>
              <w:t xml:space="preserve">9</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16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Suitability Evaluation</w:t>
              <w:tab/>
              <w:t xml:space="preserve">9</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16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VI. Lessons Learned</w:t>
              <w:tab/>
              <w:t xml:space="preserve">11</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16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Key Insights</w:t>
              <w:tab/>
              <w:t xml:space="preserve">11</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16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Emphasised Aspects</w:t>
              <w:tab/>
              <w:t xml:space="preserve">11</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16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VII. Post-Project Plan</w:t>
              <w:tab/>
              <w:t xml:space="preserve">13</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16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Continuation Strategy</w:t>
              <w:tab/>
              <w:t xml:space="preserve">13</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16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i7ojh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Sustainability and Sharing</w:t>
              <w:tab/>
              <w:t xml:space="preserve">13</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16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xcytp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VIII. Conclusion</w:t>
              <w:tab/>
              <w:t xml:space="preserve">15</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16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ci93x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16</w:t>
            </w:r>
          </w:hyperlink>
          <w:r w:rsidDel="00000000" w:rsidR="00000000" w:rsidRPr="00000000">
            <w:rPr>
              <w:rtl w:val="0"/>
            </w:rPr>
          </w:r>
        </w:p>
        <w:p w:rsidR="00000000" w:rsidDel="00000000" w:rsidP="00000000" w:rsidRDefault="00000000" w:rsidRPr="00000000" w14:paraId="00000025">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spacing w:before="0" w:line="259" w:lineRule="auto"/>
        <w:jc w:val="left"/>
        <w:rPr/>
        <w:sectPr>
          <w:footerReference r:id="rId7" w:type="default"/>
          <w:pgSz w:h="15840" w:w="12240" w:orient="portrait"/>
          <w:pgMar w:bottom="1440" w:top="1440" w:left="1440" w:right="1440" w:header="720" w:footer="720"/>
          <w:pgNumType w:start="1"/>
        </w:sectPr>
      </w:pPr>
      <w:r w:rsidDel="00000000" w:rsidR="00000000" w:rsidRPr="00000000">
        <w:br w:type="page"/>
      </w:r>
      <w:r w:rsidDel="00000000" w:rsidR="00000000" w:rsidRPr="00000000">
        <w:rPr>
          <w:rtl w:val="0"/>
        </w:rPr>
      </w:r>
    </w:p>
    <w:p w:rsidR="00000000" w:rsidDel="00000000" w:rsidP="00000000" w:rsidRDefault="00000000" w:rsidRPr="00000000" w14:paraId="00000029">
      <w:pPr>
        <w:pStyle w:val="Heading1"/>
        <w:rPr/>
      </w:pPr>
      <w:bookmarkStart w:colFirst="0" w:colLast="0" w:name="_gjdgxs" w:id="0"/>
      <w:bookmarkEnd w:id="0"/>
      <w:r w:rsidDel="00000000" w:rsidR="00000000" w:rsidRPr="00000000">
        <w:rPr>
          <w:rtl w:val="0"/>
        </w:rPr>
        <w:t xml:space="preserve">I. Introduction</w:t>
      </w:r>
    </w:p>
    <w:p w:rsidR="00000000" w:rsidDel="00000000" w:rsidP="00000000" w:rsidRDefault="00000000" w:rsidRPr="00000000" w14:paraId="0000002A">
      <w:pPr>
        <w:pStyle w:val="Heading2"/>
        <w:rPr/>
      </w:pPr>
      <w:bookmarkStart w:colFirst="0" w:colLast="0" w:name="_30j0zll" w:id="1"/>
      <w:bookmarkEnd w:id="1"/>
      <w:r w:rsidDel="00000000" w:rsidR="00000000" w:rsidRPr="00000000">
        <w:rPr>
          <w:rtl w:val="0"/>
        </w:rPr>
        <w:t xml:space="preserve">Project Overview</w:t>
      </w:r>
    </w:p>
    <w:p w:rsidR="00000000" w:rsidDel="00000000" w:rsidP="00000000" w:rsidRDefault="00000000" w:rsidRPr="00000000" w14:paraId="0000002B">
      <w:pPr>
        <w:rPr/>
      </w:pPr>
      <w:r w:rsidDel="00000000" w:rsidR="00000000" w:rsidRPr="00000000">
        <w:rPr>
          <w:rtl w:val="0"/>
        </w:rPr>
        <w:t xml:space="preserve">The chosen project for this report is the South Kilburn Community Garden Project. The project is led by residents and its core focus is on addressing food insecurity and social isolation (Space Hive, 2023). The initiatives taken by the project aim to provide a green area for achieving the following purposes:</w:t>
      </w:r>
    </w:p>
    <w:p w:rsidR="00000000" w:rsidDel="00000000" w:rsidP="00000000" w:rsidRDefault="00000000" w:rsidRPr="00000000" w14:paraId="0000002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16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food cultivation.</w:t>
      </w:r>
      <w:r w:rsidDel="00000000" w:rsidR="00000000" w:rsidRPr="00000000">
        <w:rPr>
          <w:rtl w:val="0"/>
        </w:rPr>
      </w:r>
    </w:p>
    <w:p w:rsidR="00000000" w:rsidDel="00000000" w:rsidP="00000000" w:rsidRDefault="00000000" w:rsidRPr="00000000" w14:paraId="0000002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skill development.</w:t>
      </w:r>
      <w:r w:rsidDel="00000000" w:rsidR="00000000" w:rsidRPr="00000000">
        <w:rPr>
          <w:rtl w:val="0"/>
        </w:rPr>
      </w:r>
    </w:p>
    <w:p w:rsidR="00000000" w:rsidDel="00000000" w:rsidP="00000000" w:rsidRDefault="00000000" w:rsidRPr="00000000" w14:paraId="0000002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community relationships.</w:t>
      </w:r>
      <w:r w:rsidDel="00000000" w:rsidR="00000000" w:rsidRPr="00000000">
        <w:rPr>
          <w:rtl w:val="0"/>
        </w:rPr>
      </w:r>
    </w:p>
    <w:p w:rsidR="00000000" w:rsidDel="00000000" w:rsidP="00000000" w:rsidRDefault="00000000" w:rsidRPr="00000000" w14:paraId="0000002F">
      <w:pPr>
        <w:keepNext w:val="1"/>
        <w:jc w:val="center"/>
        <w:rPr/>
      </w:pPr>
      <w:r w:rsidDel="00000000" w:rsidR="00000000" w:rsidRPr="00000000">
        <w:rPr/>
        <w:drawing>
          <wp:inline distB="0" distT="0" distL="0" distR="0">
            <wp:extent cx="2146935" cy="2146935"/>
            <wp:effectExtent b="0" l="0" r="0" t="0"/>
            <wp:docPr descr="Anyone Can Grow - Kilburn Community Garden | London" id="3" name="image3.png"/>
            <a:graphic>
              <a:graphicData uri="http://schemas.openxmlformats.org/drawingml/2006/picture">
                <pic:pic>
                  <pic:nvPicPr>
                    <pic:cNvPr descr="Anyone Can Grow - Kilburn Community Garden | London" id="0" name="image3.png"/>
                    <pic:cNvPicPr preferRelativeResize="0"/>
                  </pic:nvPicPr>
                  <pic:blipFill>
                    <a:blip r:embed="rId8"/>
                    <a:srcRect b="0" l="0" r="0" t="0"/>
                    <a:stretch>
                      <a:fillRect/>
                    </a:stretch>
                  </pic:blipFill>
                  <pic:spPr>
                    <a:xfrm>
                      <a:off x="0" y="0"/>
                      <a:ext cx="2146935" cy="2146935"/>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Figure 1: Kilburn Community Garden slogan logo (Space Hive, 2023)</w:t>
      </w:r>
    </w:p>
    <w:p w:rsidR="00000000" w:rsidDel="00000000" w:rsidP="00000000" w:rsidRDefault="00000000" w:rsidRPr="00000000" w14:paraId="00000031">
      <w:pPr>
        <w:rPr/>
      </w:pPr>
      <w:r w:rsidDel="00000000" w:rsidR="00000000" w:rsidRPr="00000000">
        <w:rPr>
          <w:rtl w:val="0"/>
        </w:rPr>
        <w:t xml:space="preserve">For example, project residents can acquire gardening techniques and share crops. The initiative is important for minimising chronic illnesses by increasing access to fresh, healthful food and promoting general community well-being.</w:t>
      </w:r>
    </w:p>
    <w:p w:rsidR="00000000" w:rsidDel="00000000" w:rsidP="00000000" w:rsidRDefault="00000000" w:rsidRPr="00000000" w14:paraId="00000032">
      <w:pPr>
        <w:pStyle w:val="Heading2"/>
        <w:rPr/>
      </w:pPr>
      <w:bookmarkStart w:colFirst="0" w:colLast="0" w:name="_1fob9te" w:id="2"/>
      <w:bookmarkEnd w:id="2"/>
      <w:r w:rsidDel="00000000" w:rsidR="00000000" w:rsidRPr="00000000">
        <w:rPr>
          <w:rtl w:val="0"/>
        </w:rPr>
        <w:t xml:space="preserve">Issue Identification</w:t>
      </w:r>
    </w:p>
    <w:p w:rsidR="00000000" w:rsidDel="00000000" w:rsidP="00000000" w:rsidRDefault="00000000" w:rsidRPr="00000000" w14:paraId="00000033">
      <w:pPr>
        <w:rPr/>
      </w:pPr>
      <w:r w:rsidDel="00000000" w:rsidR="00000000" w:rsidRPr="00000000">
        <w:rPr>
          <w:rtl w:val="0"/>
        </w:rPr>
        <w:t xml:space="preserve">The initiative targets pressing concerns in South Kilburn, a poor London neighbourhood. Food instability and a lack of green space can contribute to community difficulties. Residents, for example, endure health inequities, including obesity (Boulmetis and Dutwin, 2014). The initiative intends to address these concerns by establishing a communal garden, encouraging healthy practices, and cultivating social relationships. The identification of such difficulties emphasises the project’s significance and community effect.</w:t>
      </w:r>
    </w:p>
    <w:p w:rsidR="00000000" w:rsidDel="00000000" w:rsidP="00000000" w:rsidRDefault="00000000" w:rsidRPr="00000000" w14:paraId="00000034">
      <w:pPr>
        <w:pStyle w:val="Heading2"/>
        <w:rPr/>
      </w:pPr>
      <w:bookmarkStart w:colFirst="0" w:colLast="0" w:name="_3znysh7" w:id="3"/>
      <w:bookmarkEnd w:id="3"/>
      <w:r w:rsidDel="00000000" w:rsidR="00000000" w:rsidRPr="00000000">
        <w:rPr>
          <w:rtl w:val="0"/>
        </w:rPr>
        <w:t xml:space="preserve">Objectives, Stakeholders, Benefits</w:t>
      </w:r>
    </w:p>
    <w:p w:rsidR="00000000" w:rsidDel="00000000" w:rsidP="00000000" w:rsidRDefault="00000000" w:rsidRPr="00000000" w14:paraId="00000035">
      <w:pPr>
        <w:rPr/>
      </w:pPr>
      <w:r w:rsidDel="00000000" w:rsidR="00000000" w:rsidRPr="00000000">
        <w:rPr>
          <w:rtl w:val="0"/>
        </w:rPr>
        <w:t xml:space="preserve">The project’s goals include improving local well-being by increasing access to fresh food, eliminating social isolation, and encouraging community ownership. Residents, community organisations, schools, local businesses, and government officials are all stakeholders. higher health, less social isolation, more physical activity, higher environmental quality, and a more unified society are all advantages (Eskerod and Jepsen, 2016). This collaborative approach guarantees that the South Kilburn neighbourhood benefits from a variety of viewpoints.</w:t>
      </w:r>
    </w:p>
    <w:p w:rsidR="00000000" w:rsidDel="00000000" w:rsidP="00000000" w:rsidRDefault="00000000" w:rsidRPr="00000000" w14:paraId="00000036">
      <w:pPr>
        <w:spacing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37">
      <w:pPr>
        <w:pStyle w:val="Heading1"/>
        <w:rPr/>
      </w:pPr>
      <w:bookmarkStart w:colFirst="0" w:colLast="0" w:name="_2et92p0" w:id="4"/>
      <w:bookmarkEnd w:id="4"/>
      <w:r w:rsidDel="00000000" w:rsidR="00000000" w:rsidRPr="00000000">
        <w:rPr>
          <w:rtl w:val="0"/>
        </w:rPr>
        <w:t xml:space="preserve">II. Project Evaluation</w:t>
      </w:r>
    </w:p>
    <w:p w:rsidR="00000000" w:rsidDel="00000000" w:rsidP="00000000" w:rsidRDefault="00000000" w:rsidRPr="00000000" w14:paraId="00000038">
      <w:pPr>
        <w:pStyle w:val="Heading2"/>
        <w:rPr/>
      </w:pPr>
      <w:bookmarkStart w:colFirst="0" w:colLast="0" w:name="_tyjcwt" w:id="5"/>
      <w:bookmarkEnd w:id="5"/>
      <w:r w:rsidDel="00000000" w:rsidR="00000000" w:rsidRPr="00000000">
        <w:rPr>
          <w:rtl w:val="0"/>
        </w:rPr>
        <w:t xml:space="preserve">Community Research</w:t>
      </w:r>
    </w:p>
    <w:p w:rsidR="00000000" w:rsidDel="00000000" w:rsidP="00000000" w:rsidRDefault="00000000" w:rsidRPr="00000000" w14:paraId="00000039">
      <w:pPr>
        <w:rPr/>
      </w:pPr>
      <w:r w:rsidDel="00000000" w:rsidR="00000000" w:rsidRPr="00000000">
        <w:rPr>
          <w:rtl w:val="0"/>
        </w:rPr>
        <w:t xml:space="preserve">The South Kilburn Community Garden project’s community study included a detailed evaluation of local needs and preferences. The engagement team gathered information about communities’ food security issues and demands for community spaces through public forums, focus groups, and surveys. Specific vegetables in demand for home cultivation were found through surveys, and one-on-one interviews gave detailed understandings of individual viewpoints, revealing distinct tales and preferences (Wortley et al., 2013). Conversations with senior residents emphasised the value of the garden as a place for leisure and socialising.</w:t>
      </w:r>
    </w:p>
    <w:p w:rsidR="00000000" w:rsidDel="00000000" w:rsidP="00000000" w:rsidRDefault="00000000" w:rsidRPr="00000000" w14:paraId="0000003A">
      <w:pPr>
        <w:rPr/>
      </w:pPr>
      <w:r w:rsidDel="00000000" w:rsidR="00000000" w:rsidRPr="00000000">
        <w:rPr>
          <w:rtl w:val="0"/>
        </w:rPr>
        <w:t xml:space="preserve">From another dimension, social media participation allowed a greater reach by including community people who were unable to attend physical gatherings. The initiative was able to truly match community wishes because of this multimodal research strategy, which fostered a feeling of shared ownership and inclusion. The adherence to a variety of research methodologies demonstrates a commitment to understanding and meeting the unique needs and ambitions of South Kilburn inhabitants.</w:t>
      </w:r>
    </w:p>
    <w:p w:rsidR="00000000" w:rsidDel="00000000" w:rsidP="00000000" w:rsidRDefault="00000000" w:rsidRPr="00000000" w14:paraId="0000003B">
      <w:pPr>
        <w:pStyle w:val="Heading2"/>
        <w:rPr/>
      </w:pPr>
      <w:bookmarkStart w:colFirst="0" w:colLast="0" w:name="_3dy6vkm" w:id="6"/>
      <w:bookmarkEnd w:id="6"/>
      <w:r w:rsidDel="00000000" w:rsidR="00000000" w:rsidRPr="00000000">
        <w:rPr>
          <w:rtl w:val="0"/>
        </w:rPr>
        <w:t xml:space="preserve">Implementation Effectiveness</w:t>
      </w:r>
    </w:p>
    <w:p w:rsidR="00000000" w:rsidDel="00000000" w:rsidP="00000000" w:rsidRDefault="00000000" w:rsidRPr="00000000" w14:paraId="0000003C">
      <w:pPr>
        <w:rPr/>
      </w:pPr>
      <w:r w:rsidDel="00000000" w:rsidR="00000000" w:rsidRPr="00000000">
        <w:rPr>
          <w:rtl w:val="0"/>
        </w:rPr>
        <w:t xml:space="preserve">Through a variety of participation strategies, the South Kilburn Community Garden initiative established its efficacy in implementation. Public meetings, which served as venues for collaborative decision-making, guaranteed that the community’s input was heard and that various project parts were shaped accordingly. Residents were taught practical gardening techniques in seminars, allowing for active engagement. These hands-on training sessions were crucial in helping participants grow and maintain their plots, as well as promoting a feeling of ownership and skill development.</w:t>
      </w:r>
    </w:p>
    <w:p w:rsidR="00000000" w:rsidDel="00000000" w:rsidP="00000000" w:rsidRDefault="00000000" w:rsidRPr="00000000" w14:paraId="0000003D">
      <w:pPr>
        <w:rPr/>
      </w:pPr>
      <w:r w:rsidDel="00000000" w:rsidR="00000000" w:rsidRPr="00000000">
        <w:rPr>
          <w:rtl w:val="0"/>
        </w:rPr>
        <w:t xml:space="preserve">Strategic outreach initiatives were successful in securing funds and demonstrating successful engagement with local companies. Building strong links with community organisations was critical to successful implementation since it created a network that boosted project initiatives (Newcomer et al., 2015). Furthermore, the culturally sensitive garden design, which was created with direct community engagement, demonstrated the project’s dedication to diversity. Through persistent engagement measures, the project’s execution effectively addressed food insecurity, increased community cohesiveness, and empowered locals.</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spacing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41">
      <w:pPr>
        <w:pStyle w:val="Heading1"/>
        <w:rPr/>
      </w:pPr>
      <w:bookmarkStart w:colFirst="0" w:colLast="0" w:name="_1t3h5sf" w:id="7"/>
      <w:bookmarkEnd w:id="7"/>
      <w:r w:rsidDel="00000000" w:rsidR="00000000" w:rsidRPr="00000000">
        <w:rPr>
          <w:rtl w:val="0"/>
        </w:rPr>
        <w:t xml:space="preserve">III. Areas of Activity</w:t>
      </w:r>
    </w:p>
    <w:p w:rsidR="00000000" w:rsidDel="00000000" w:rsidP="00000000" w:rsidRDefault="00000000" w:rsidRPr="00000000" w14:paraId="00000042">
      <w:pPr>
        <w:pStyle w:val="Heading2"/>
        <w:rPr/>
      </w:pPr>
      <w:bookmarkStart w:colFirst="0" w:colLast="0" w:name="_4d34og8" w:id="8"/>
      <w:bookmarkEnd w:id="8"/>
      <w:r w:rsidDel="00000000" w:rsidR="00000000" w:rsidRPr="00000000">
        <w:rPr>
          <w:rtl w:val="0"/>
        </w:rPr>
        <w:t xml:space="preserve">Active Engagement Zones</w:t>
      </w:r>
    </w:p>
    <w:p w:rsidR="00000000" w:rsidDel="00000000" w:rsidP="00000000" w:rsidRDefault="00000000" w:rsidRPr="00000000" w14:paraId="00000043">
      <w:pPr>
        <w:rPr/>
      </w:pPr>
      <w:r w:rsidDel="00000000" w:rsidR="00000000" w:rsidRPr="00000000">
        <w:rPr>
          <w:rtl w:val="0"/>
        </w:rPr>
        <w:t xml:space="preserve">South Kilburn Community Garden was most active in specific engagement zones, with a purposeful focus on outreach to local inhabitants, particularly those from minority groups. Recognising the significance of diversity, the engagement team worked hard to ensure that all parts of the community were represented and participated (The Granville, 2023). This method allowed the project to meet distinct needs and views, resulting in a more complete and diversified community garden.</w:t>
      </w:r>
    </w:p>
    <w:p w:rsidR="00000000" w:rsidDel="00000000" w:rsidP="00000000" w:rsidRDefault="00000000" w:rsidRPr="00000000" w14:paraId="00000044">
      <w:pPr>
        <w:keepNext w:val="1"/>
        <w:jc w:val="center"/>
        <w:rPr/>
      </w:pPr>
      <w:r w:rsidDel="00000000" w:rsidR="00000000" w:rsidRPr="00000000">
        <w:rPr/>
        <w:drawing>
          <wp:inline distB="0" distT="0" distL="0" distR="0">
            <wp:extent cx="3799343" cy="2847883"/>
            <wp:effectExtent b="0" l="0" r="0" t="0"/>
            <wp:docPr descr="Granville Garden - Feeding Our Community" id="2" name="image2.png"/>
            <a:graphic>
              <a:graphicData uri="http://schemas.openxmlformats.org/drawingml/2006/picture">
                <pic:pic>
                  <pic:nvPicPr>
                    <pic:cNvPr descr="Granville Garden - Feeding Our Community" id="0" name="image2.png"/>
                    <pic:cNvPicPr preferRelativeResize="0"/>
                  </pic:nvPicPr>
                  <pic:blipFill>
                    <a:blip r:embed="rId9"/>
                    <a:srcRect b="0" l="0" r="0" t="0"/>
                    <a:stretch>
                      <a:fillRect/>
                    </a:stretch>
                  </pic:blipFill>
                  <pic:spPr>
                    <a:xfrm>
                      <a:off x="0" y="0"/>
                      <a:ext cx="3799343" cy="2847883"/>
                    </a:xfrm>
                    <a:prstGeom prst="rect"/>
                    <a:ln/>
                  </pic:spPr>
                </pic:pic>
              </a:graphicData>
            </a:graphic>
          </wp:inline>
        </w:drawing>
      </w:r>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Figure 2: Sustainable gardening initiative by the South Kilburn Community (The Granville, 2023)</w:t>
      </w:r>
    </w:p>
    <w:p w:rsidR="00000000" w:rsidDel="00000000" w:rsidP="00000000" w:rsidRDefault="00000000" w:rsidRPr="00000000" w14:paraId="00000046">
      <w:pPr>
        <w:rPr/>
      </w:pPr>
      <w:r w:rsidDel="00000000" w:rsidR="00000000" w:rsidRPr="00000000">
        <w:rPr>
          <w:rtl w:val="0"/>
        </w:rPr>
        <w:t xml:space="preserve">Concurrently, the project team was heavily involved in developing ties with community organisations. Establishing strong relationships with these institutions proved critical for effectively gaining support, sharing information, and mobilising resources. The project’s active participation in these zones emphasised the project’s dedication to promoting collaboration and creating a network that magnified the effect of community actions. Overall, the strategic emphasis on these active engagement zones contributed greatly to the South Kilburn Community Garden project’s success and durability.</w:t>
      </w:r>
    </w:p>
    <w:p w:rsidR="00000000" w:rsidDel="00000000" w:rsidP="00000000" w:rsidRDefault="00000000" w:rsidRPr="00000000" w14:paraId="00000047">
      <w:pPr>
        <w:pStyle w:val="Heading2"/>
        <w:rPr/>
      </w:pPr>
      <w:bookmarkStart w:colFirst="0" w:colLast="0" w:name="_2s8eyo1" w:id="9"/>
      <w:bookmarkEnd w:id="9"/>
      <w:r w:rsidDel="00000000" w:rsidR="00000000" w:rsidRPr="00000000">
        <w:rPr>
          <w:rtl w:val="0"/>
        </w:rPr>
        <w:t xml:space="preserve">Rationale for Prioritisation</w:t>
      </w:r>
    </w:p>
    <w:p w:rsidR="00000000" w:rsidDel="00000000" w:rsidP="00000000" w:rsidRDefault="00000000" w:rsidRPr="00000000" w14:paraId="00000048">
      <w:pPr>
        <w:rPr/>
      </w:pPr>
      <w:r w:rsidDel="00000000" w:rsidR="00000000" w:rsidRPr="00000000">
        <w:rPr>
          <w:rtl w:val="0"/>
        </w:rPr>
        <w:t xml:space="preserve">Based on important factors, the South Kilburn Community Garden initiative deliberately prioritised certain areas of operation. Because of the acknowledgement of their specific needs and the necessity of inclusion, outreach to local inhabitants, particularly those from minority groups, was prioritised. Understanding the nutritional preferences of different cultural groups, for example, informed crop choices for the community garden, ensuring it appealed to a wide range of tastes.</w:t>
      </w:r>
    </w:p>
    <w:p w:rsidR="00000000" w:rsidDel="00000000" w:rsidP="00000000" w:rsidRDefault="00000000" w:rsidRPr="00000000" w14:paraId="00000049">
      <w:pPr>
        <w:rPr/>
      </w:pPr>
      <w:r w:rsidDel="00000000" w:rsidR="00000000" w:rsidRPr="00000000">
        <w:rPr>
          <w:rtl w:val="0"/>
        </w:rPr>
        <w:t xml:space="preserve">Furthermore, the importance of developing partnerships with community organisations was justified by their critical role in mobilising resources and support. These organisations served as excellent communication conduits, assisting in the distribution of project information to a larger audience (Daneva et al., 2013). Prioritising these areas of action was motivated by the project’s desire to ensure that its activities were not only inclusive but also matched with the unique needs and dynamics of the South Kilburn community.</w:t>
      </w:r>
    </w:p>
    <w:p w:rsidR="00000000" w:rsidDel="00000000" w:rsidP="00000000" w:rsidRDefault="00000000" w:rsidRPr="00000000" w14:paraId="0000004A">
      <w:pPr>
        <w:spacing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4B">
      <w:pPr>
        <w:pStyle w:val="Heading1"/>
        <w:rPr/>
      </w:pPr>
      <w:bookmarkStart w:colFirst="0" w:colLast="0" w:name="_17dp8vu" w:id="10"/>
      <w:bookmarkEnd w:id="10"/>
      <w:r w:rsidDel="00000000" w:rsidR="00000000" w:rsidRPr="00000000">
        <w:rPr>
          <w:rtl w:val="0"/>
        </w:rPr>
        <w:t xml:space="preserve">IV. Engagement Approaches</w:t>
      </w:r>
    </w:p>
    <w:p w:rsidR="00000000" w:rsidDel="00000000" w:rsidP="00000000" w:rsidRDefault="00000000" w:rsidRPr="00000000" w14:paraId="0000004C">
      <w:pPr>
        <w:pStyle w:val="Heading2"/>
        <w:rPr/>
      </w:pPr>
      <w:bookmarkStart w:colFirst="0" w:colLast="0" w:name="_3rdcrjn" w:id="11"/>
      <w:bookmarkEnd w:id="11"/>
      <w:r w:rsidDel="00000000" w:rsidR="00000000" w:rsidRPr="00000000">
        <w:rPr>
          <w:rtl w:val="0"/>
        </w:rPr>
        <w:t xml:space="preserve">Methods Overview</w:t>
      </w:r>
    </w:p>
    <w:p w:rsidR="00000000" w:rsidDel="00000000" w:rsidP="00000000" w:rsidRDefault="00000000" w:rsidRPr="00000000" w14:paraId="0000004D">
      <w:pPr>
        <w:rPr/>
      </w:pPr>
      <w:r w:rsidDel="00000000" w:rsidR="00000000" w:rsidRPr="00000000">
        <w:rPr>
          <w:rtl w:val="0"/>
        </w:rPr>
        <w:t xml:space="preserve">To create a broad outreach plan, the South Kilburn Community Garden initiative used a range of engagement techniques. These are discussed below:</w:t>
      </w:r>
    </w:p>
    <w:p w:rsidR="00000000" w:rsidDel="00000000" w:rsidP="00000000" w:rsidRDefault="00000000" w:rsidRPr="00000000" w14:paraId="0000004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16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Residents were able to voice their opinions on garden features and community needs during public meetings. This, in turn, functioned as a platform for collaborative decision-making.</w:t>
      </w:r>
      <w:r w:rsidDel="00000000" w:rsidR="00000000" w:rsidRPr="00000000">
        <w:rPr>
          <w:rtl w:val="0"/>
        </w:rPr>
      </w:r>
    </w:p>
    <w:p w:rsidR="00000000" w:rsidDel="00000000" w:rsidP="00000000" w:rsidRDefault="00000000" w:rsidRPr="00000000" w14:paraId="0000004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Workshops were essential for providing practical skills such as planting and maintenance practices. This has enabled citizens to actively participate in the garden’s development (Sterling et al., 2017).</w:t>
      </w:r>
      <w:r w:rsidDel="00000000" w:rsidR="00000000" w:rsidRPr="00000000">
        <w:rPr>
          <w:rtl w:val="0"/>
        </w:rPr>
      </w:r>
    </w:p>
    <w:p w:rsidR="00000000" w:rsidDel="00000000" w:rsidP="00000000" w:rsidRDefault="00000000" w:rsidRPr="00000000" w14:paraId="0000005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initiative collected information through questionnaires and one-on-one interviews.</w:t>
      </w:r>
      <w:r w:rsidDel="00000000" w:rsidR="00000000" w:rsidRPr="00000000">
        <w:rPr>
          <w:rtl w:val="0"/>
        </w:rPr>
      </w:r>
    </w:p>
    <w:p w:rsidR="00000000" w:rsidDel="00000000" w:rsidP="00000000" w:rsidRDefault="00000000" w:rsidRPr="00000000" w14:paraId="0000005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Surveys also assisted in identifying certain vegetables in high demand for home production, and one-on-one interviews gave detailed insights into individual tastes and stories.</w:t>
      </w: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Apart from these methods, social media participation expanded its reach, allowing community members to participate independent of physical presence. This comprehensive approach emphasised the project’s dedication to involving the community in a variety of ways. Consequently, the project authority successfully ensured that varied views were heard and considered in the establishment of the South Kilburn Community Garden.</w:t>
      </w:r>
    </w:p>
    <w:p w:rsidR="00000000" w:rsidDel="00000000" w:rsidP="00000000" w:rsidRDefault="00000000" w:rsidRPr="00000000" w14:paraId="00000053">
      <w:pPr>
        <w:pStyle w:val="Heading2"/>
        <w:rPr/>
      </w:pPr>
      <w:bookmarkStart w:colFirst="0" w:colLast="0" w:name="_26in1rg" w:id="12"/>
      <w:bookmarkEnd w:id="12"/>
      <w:r w:rsidDel="00000000" w:rsidR="00000000" w:rsidRPr="00000000">
        <w:rPr>
          <w:rtl w:val="0"/>
        </w:rPr>
        <w:t xml:space="preserve">Effectiveness Assessment</w:t>
      </w:r>
    </w:p>
    <w:p w:rsidR="00000000" w:rsidDel="00000000" w:rsidP="00000000" w:rsidRDefault="00000000" w:rsidRPr="00000000" w14:paraId="00000054">
      <w:pPr>
        <w:rPr/>
      </w:pPr>
      <w:r w:rsidDel="00000000" w:rsidR="00000000" w:rsidRPr="00000000">
        <w:rPr>
          <w:rtl w:val="0"/>
        </w:rPr>
        <w:t xml:space="preserve">The South Kilburn Community Garden project used a variety of engagement strategies. The efficiency of these strategies was determined by the project’s aims and community reaction. As participatory forums, public meetings enabled collective decision-making while assuring alignment with community desires (Boiral and Heras-Saizarbitoria, 2017). Workshops were excellent in conveying practical skills and encouraging active participation. Besides, residents had hands-on experience planting and maintaining their plots, fostering a sense of ownership.</w:t>
      </w:r>
    </w:p>
    <w:p w:rsidR="00000000" w:rsidDel="00000000" w:rsidP="00000000" w:rsidRDefault="00000000" w:rsidRPr="00000000" w14:paraId="00000055">
      <w:pPr>
        <w:rPr/>
      </w:pPr>
      <w:r w:rsidDel="00000000" w:rsidR="00000000" w:rsidRPr="00000000">
        <w:rPr>
          <w:rtl w:val="0"/>
        </w:rPr>
        <w:t xml:space="preserve">The social media involvement of the initiative was evaluated based on its reach and community participation, guaranteeing inclusion. Increased community engagement, successful skill transfer, and project alignment with stated needs all demonstrated the overall efficacy of these techniques. The project’s commitment to continual evaluation demonstrates its commitment to improving engagement tactics for long-term community involvement in the South Kilburn Community Garden effort.</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spacing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59">
      <w:pPr>
        <w:pStyle w:val="Heading1"/>
        <w:rPr/>
      </w:pPr>
      <w:bookmarkStart w:colFirst="0" w:colLast="0" w:name="_lnxbz9" w:id="13"/>
      <w:bookmarkEnd w:id="13"/>
      <w:r w:rsidDel="00000000" w:rsidR="00000000" w:rsidRPr="00000000">
        <w:rPr>
          <w:rtl w:val="0"/>
        </w:rPr>
        <w:t xml:space="preserve">V. Options for Engagement</w:t>
      </w:r>
    </w:p>
    <w:p w:rsidR="00000000" w:rsidDel="00000000" w:rsidP="00000000" w:rsidRDefault="00000000" w:rsidRPr="00000000" w14:paraId="0000005A">
      <w:pPr>
        <w:pStyle w:val="Heading2"/>
        <w:rPr/>
      </w:pPr>
      <w:bookmarkStart w:colFirst="0" w:colLast="0" w:name="_35nkun2" w:id="14"/>
      <w:bookmarkEnd w:id="14"/>
      <w:r w:rsidDel="00000000" w:rsidR="00000000" w:rsidRPr="00000000">
        <w:rPr>
          <w:rtl w:val="0"/>
        </w:rPr>
        <w:t xml:space="preserve">Community Planning Options</w:t>
      </w:r>
    </w:p>
    <w:p w:rsidR="00000000" w:rsidDel="00000000" w:rsidP="00000000" w:rsidRDefault="00000000" w:rsidRPr="00000000" w14:paraId="0000005B">
      <w:pPr>
        <w:rPr/>
      </w:pPr>
      <w:r w:rsidDel="00000000" w:rsidR="00000000" w:rsidRPr="00000000">
        <w:rPr>
          <w:rtl w:val="0"/>
        </w:rPr>
        <w:t xml:space="preserve">The South Kilburn Community Garden initiative investigated many approaches to including community people in the design phase. Public meetings served as a forum for collaborative decision-making, allowing the community to have a say in the garden’s design and layout. Workshops allowed locals to actively offer ideas and preferences, facilitating collaborative planning. Workshop talks, for example, informed the design of common areas inside the garden.</w:t>
      </w:r>
    </w:p>
    <w:p w:rsidR="00000000" w:rsidDel="00000000" w:rsidP="00000000" w:rsidRDefault="00000000" w:rsidRPr="00000000" w14:paraId="0000005C">
      <w:pPr>
        <w:rPr/>
      </w:pPr>
      <w:r w:rsidDel="00000000" w:rsidR="00000000" w:rsidRPr="00000000">
        <w:rPr>
          <w:rtl w:val="0"/>
        </w:rPr>
        <w:t xml:space="preserve">Surveys were used to determine preferences for certain garden characteristics such as preferred crops and leisure spaces. Individual visions for the project were captured through one-on-one interviews, which allowed for more personalised input (Bouamrane et al., 2016). Social media involvement broadened the reach of planning conversations, allowing community people who were unable to attend physical meetings to participate. These many possibilities meant that the design process was inclusive, considering a wide range of community opinions and interests in developing the South Kilburn Community Garden.</w:t>
      </w:r>
    </w:p>
    <w:p w:rsidR="00000000" w:rsidDel="00000000" w:rsidP="00000000" w:rsidRDefault="00000000" w:rsidRPr="00000000" w14:paraId="0000005D">
      <w:pPr>
        <w:pStyle w:val="Heading2"/>
        <w:rPr/>
      </w:pPr>
      <w:bookmarkStart w:colFirst="0" w:colLast="0" w:name="_1ksv4uv" w:id="15"/>
      <w:bookmarkEnd w:id="15"/>
      <w:r w:rsidDel="00000000" w:rsidR="00000000" w:rsidRPr="00000000">
        <w:rPr>
          <w:rtl w:val="0"/>
        </w:rPr>
        <w:t xml:space="preserve">Suitability Evaluation</w:t>
      </w:r>
    </w:p>
    <w:p w:rsidR="00000000" w:rsidDel="00000000" w:rsidP="00000000" w:rsidRDefault="00000000" w:rsidRPr="00000000" w14:paraId="0000005E">
      <w:pPr>
        <w:rPr/>
      </w:pPr>
      <w:r w:rsidDel="00000000" w:rsidR="00000000" w:rsidRPr="00000000">
        <w:rPr>
          <w:rtl w:val="0"/>
        </w:rPr>
        <w:t xml:space="preserve">To achieve consistency with community dynamics, the South Kilburn Community Garden project extensively investigated the viability of various participation alternatives. Public meetings were judged appropriate for collaborative decision-making, encouraging community involvement on critical topics such as garden features (Yi et al., 2014). Workshops, which allow for participatory planning and skill development, were deemed helpful in encouraging active engagement, particularly among people looking for hands-on involvement.</w:t>
      </w:r>
    </w:p>
    <w:p w:rsidR="00000000" w:rsidDel="00000000" w:rsidP="00000000" w:rsidRDefault="00000000" w:rsidRPr="00000000" w14:paraId="0000005F">
      <w:pPr>
        <w:rPr/>
      </w:pPr>
      <w:r w:rsidDel="00000000" w:rsidR="00000000" w:rsidRPr="00000000">
        <w:rPr>
          <w:rtl w:val="0"/>
        </w:rPr>
        <w:t xml:space="preserve">Surveys and one-on-one interviews were chosen for their capacity to capture a wide range of viewpoints. Surveys gave quantifiable insights into community preferences, such as specific crops for cultivation, due to their organised framework. Individual concepts for the project were explored in depth through one-on-one interviews, which provided a more qualitative approach. The applicability of social media involvement was confirmed owing to its vast reach, which facilitates inclusive debates. The project’s focus on adopting ways that best resonated with the South Kilburn community, providing meaningful and inclusive participation in the building of the community garden, was highlighted by the rigorous study of these possibilities.</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spacing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63">
      <w:pPr>
        <w:pStyle w:val="Heading1"/>
        <w:rPr/>
      </w:pPr>
      <w:bookmarkStart w:colFirst="0" w:colLast="0" w:name="_44sinio" w:id="16"/>
      <w:bookmarkEnd w:id="16"/>
      <w:r w:rsidDel="00000000" w:rsidR="00000000" w:rsidRPr="00000000">
        <w:rPr>
          <w:rtl w:val="0"/>
        </w:rPr>
        <w:t xml:space="preserve">VI. Lessons Learned</w:t>
      </w:r>
    </w:p>
    <w:p w:rsidR="00000000" w:rsidDel="00000000" w:rsidP="00000000" w:rsidRDefault="00000000" w:rsidRPr="00000000" w14:paraId="00000064">
      <w:pPr>
        <w:pStyle w:val="Heading2"/>
        <w:rPr/>
      </w:pPr>
      <w:bookmarkStart w:colFirst="0" w:colLast="0" w:name="_2jxsxqh" w:id="17"/>
      <w:bookmarkEnd w:id="17"/>
      <w:r w:rsidDel="00000000" w:rsidR="00000000" w:rsidRPr="00000000">
        <w:rPr>
          <w:rtl w:val="0"/>
        </w:rPr>
        <w:t xml:space="preserve">Key Insights</w:t>
      </w:r>
    </w:p>
    <w:p w:rsidR="00000000" w:rsidDel="00000000" w:rsidP="00000000" w:rsidRDefault="00000000" w:rsidRPr="00000000" w14:paraId="00000065">
      <w:pPr>
        <w:rPr/>
      </w:pPr>
      <w:r w:rsidDel="00000000" w:rsidR="00000000" w:rsidRPr="00000000">
        <w:rPr>
          <w:rtl w:val="0"/>
        </w:rPr>
        <w:t xml:space="preserve">The South Kilburn Community Garden initiative generated important insights that influenced its strategy and outcomes. The project’s success spoke to the importance of early planning. them example, starting outreach activities early provided them adequate time to learn community requirements, resulting in a better specialised project. As different groups of the community responded better to different approaches, the necessity of diversified engagement strategies became clear. Public meetings, polls, and social media interaction were used to reach a larger audience.</w:t>
      </w:r>
    </w:p>
    <w:p w:rsidR="00000000" w:rsidDel="00000000" w:rsidP="00000000" w:rsidRDefault="00000000" w:rsidRPr="00000000" w14:paraId="00000066">
      <w:pPr>
        <w:rPr/>
      </w:pPr>
      <w:r w:rsidDel="00000000" w:rsidR="00000000" w:rsidRPr="00000000">
        <w:rPr>
          <w:rtl w:val="0"/>
        </w:rPr>
        <w:t xml:space="preserve">A major lesson was the need to develop partnerships with community organisations, as evidenced by successful fundraising campaigns and resource mobilisation. As unanticipated obstacles necessitated changes to the project timeframe and strategy, flexibility and adaptability were emphasised (Opoku, 2019). Celebrating accomplishments, such as obtaining money or reaching milestones, has evolved as a critical practice for increasing community morale and project momentum. These observations contributed to the South Kilburn Community Garden’s success by showing the project’s responsiveness to community dynamics and dedication to continual development.</w:t>
      </w:r>
    </w:p>
    <w:p w:rsidR="00000000" w:rsidDel="00000000" w:rsidP="00000000" w:rsidRDefault="00000000" w:rsidRPr="00000000" w14:paraId="00000067">
      <w:pPr>
        <w:pStyle w:val="Heading2"/>
        <w:rPr/>
      </w:pPr>
      <w:bookmarkStart w:colFirst="0" w:colLast="0" w:name="_z337ya" w:id="18"/>
      <w:bookmarkEnd w:id="18"/>
      <w:r w:rsidDel="00000000" w:rsidR="00000000" w:rsidRPr="00000000">
        <w:rPr>
          <w:rtl w:val="0"/>
        </w:rPr>
        <w:t xml:space="preserve">Emphasised Aspects</w:t>
      </w:r>
    </w:p>
    <w:p w:rsidR="00000000" w:rsidDel="00000000" w:rsidP="00000000" w:rsidRDefault="00000000" w:rsidRPr="00000000" w14:paraId="00000068">
      <w:pPr>
        <w:rPr/>
      </w:pPr>
      <w:r w:rsidDel="00000000" w:rsidR="00000000" w:rsidRPr="00000000">
        <w:rPr>
          <w:rtl w:val="0"/>
        </w:rPr>
        <w:t xml:space="preserve">Several characteristics critical to successful community interaction were emphasised in the project. Recognising the need for foresight, the project began outreach activities far in advance, providing a thorough grasp of community requirements. Because of this foresight, the initiative was adapted to meet specific problems, increasing its overall efficacy.</w:t>
      </w:r>
    </w:p>
    <w:p w:rsidR="00000000" w:rsidDel="00000000" w:rsidP="00000000" w:rsidRDefault="00000000" w:rsidRPr="00000000" w14:paraId="00000069">
      <w:pPr>
        <w:rPr/>
      </w:pPr>
      <w:r w:rsidDel="00000000" w:rsidR="00000000" w:rsidRPr="00000000">
        <w:rPr>
          <w:rtl w:val="0"/>
        </w:rPr>
        <w:t xml:space="preserve">Furthermore, the research emphasised the need to utilise a variety of interaction strategies. Public meetings, polls, and social media participation were used in recognition that different community segments respond positively to diverse tactics (Gonçalves et al., 2015). This method allowed for a more inclusive and representative project design. Celebrating accomplishments, such as obtaining money or reaching project milestones, was judged critical for preserving community morale and project momentum. These highlighted characteristics all contributed to the success of the South Kilburn Community Garden, highlighting the project’s dedication to community-driven initiatives and the importance of adaptable techniques in community participation.</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spacing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6C">
      <w:pPr>
        <w:pStyle w:val="Heading1"/>
        <w:rPr/>
      </w:pPr>
      <w:bookmarkStart w:colFirst="0" w:colLast="0" w:name="_3j2qqm3" w:id="19"/>
      <w:bookmarkEnd w:id="19"/>
      <w:r w:rsidDel="00000000" w:rsidR="00000000" w:rsidRPr="00000000">
        <w:rPr>
          <w:rtl w:val="0"/>
        </w:rPr>
        <w:t xml:space="preserve">VII. Post-Project Plan</w:t>
      </w:r>
    </w:p>
    <w:p w:rsidR="00000000" w:rsidDel="00000000" w:rsidP="00000000" w:rsidRDefault="00000000" w:rsidRPr="00000000" w14:paraId="0000006D">
      <w:pPr>
        <w:pStyle w:val="Heading2"/>
        <w:rPr/>
      </w:pPr>
      <w:bookmarkStart w:colFirst="0" w:colLast="0" w:name="_1y810tw" w:id="20"/>
      <w:bookmarkEnd w:id="20"/>
      <w:r w:rsidDel="00000000" w:rsidR="00000000" w:rsidRPr="00000000">
        <w:rPr>
          <w:rtl w:val="0"/>
        </w:rPr>
        <w:t xml:space="preserve">Continuation Strategy</w:t>
      </w:r>
    </w:p>
    <w:p w:rsidR="00000000" w:rsidDel="00000000" w:rsidP="00000000" w:rsidRDefault="00000000" w:rsidRPr="00000000" w14:paraId="0000006E">
      <w:pPr>
        <w:rPr/>
      </w:pPr>
      <w:r w:rsidDel="00000000" w:rsidR="00000000" w:rsidRPr="00000000">
        <w:rPr>
          <w:rtl w:val="0"/>
        </w:rPr>
        <w:t xml:space="preserve">The South Kilburn Community Garden’s post-project plan focuses on a continuation strategy to ensure long-term community benefits. Ongoing community interaction is still a top emphasis, ensuring that the garden adapts to changing requirements (TEP UK, 2023). Regular surveys, for example, will be undertaken to collect input on the garden’s functionality, allowing for adaptable improvements based on community preferences.</w:t>
      </w:r>
    </w:p>
    <w:p w:rsidR="00000000" w:rsidDel="00000000" w:rsidP="00000000" w:rsidRDefault="00000000" w:rsidRPr="00000000" w14:paraId="0000006F">
      <w:pPr>
        <w:keepNext w:val="1"/>
        <w:jc w:val="center"/>
        <w:rPr/>
      </w:pPr>
      <w:r w:rsidDel="00000000" w:rsidR="00000000" w:rsidRPr="00000000">
        <w:rPr/>
        <w:drawing>
          <wp:inline distB="0" distT="0" distL="0" distR="0">
            <wp:extent cx="4215011" cy="2811358"/>
            <wp:effectExtent b="0" l="0" r="0" t="0"/>
            <wp:docPr descr="South Kilburn Phase 4 - TEP - The Environment PartnershipTEP – The  Environment Partnership" id="4" name="image4.png"/>
            <a:graphic>
              <a:graphicData uri="http://schemas.openxmlformats.org/drawingml/2006/picture">
                <pic:pic>
                  <pic:nvPicPr>
                    <pic:cNvPr descr="South Kilburn Phase 4 - TEP - The Environment PartnershipTEP – The  Environment Partnership" id="0" name="image4.png"/>
                    <pic:cNvPicPr preferRelativeResize="0"/>
                  </pic:nvPicPr>
                  <pic:blipFill>
                    <a:blip r:embed="rId10"/>
                    <a:srcRect b="0" l="0" r="0" t="0"/>
                    <a:stretch>
                      <a:fillRect/>
                    </a:stretch>
                  </pic:blipFill>
                  <pic:spPr>
                    <a:xfrm>
                      <a:off x="0" y="0"/>
                      <a:ext cx="4215011" cy="2811358"/>
                    </a:xfrm>
                    <a:prstGeom prst="rect"/>
                    <a:ln/>
                  </pic:spPr>
                </pic:pic>
              </a:graphicData>
            </a:graphic>
          </wp:inline>
        </w:drawing>
      </w:r>
      <w:r w:rsidDel="00000000" w:rsidR="00000000" w:rsidRPr="00000000">
        <w:rPr>
          <w:rtl w:val="0"/>
        </w:rPr>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Figure 3: South Kilburn Phase 4 garden planning (TEP UK, 2023)</w:t>
      </w:r>
    </w:p>
    <w:p w:rsidR="00000000" w:rsidDel="00000000" w:rsidP="00000000" w:rsidRDefault="00000000" w:rsidRPr="00000000" w14:paraId="00000071">
      <w:pPr>
        <w:rPr/>
      </w:pPr>
      <w:r w:rsidDel="00000000" w:rsidR="00000000" w:rsidRPr="00000000">
        <w:rPr>
          <w:rtl w:val="0"/>
        </w:rPr>
        <w:t xml:space="preserve">A long-term sustainability strategy has also been devised to ensure the garden’s survival. This involves maintenance, resource management, and continuing community participation. The strategy integrates learnt lessons, emphasising the necessity of adaptation and flexibility. The continuation plan for the South Kilburn Community Garden displays a dedication to long-term community impact, ensuring that the project remains a lively and important part of the community long beyond its initial installation.</w:t>
      </w:r>
    </w:p>
    <w:p w:rsidR="00000000" w:rsidDel="00000000" w:rsidP="00000000" w:rsidRDefault="00000000" w:rsidRPr="00000000" w14:paraId="00000072">
      <w:pPr>
        <w:pStyle w:val="Heading2"/>
        <w:rPr/>
      </w:pPr>
      <w:bookmarkStart w:colFirst="0" w:colLast="0" w:name="_4i7ojhp" w:id="21"/>
      <w:bookmarkEnd w:id="21"/>
      <w:r w:rsidDel="00000000" w:rsidR="00000000" w:rsidRPr="00000000">
        <w:rPr>
          <w:rtl w:val="0"/>
        </w:rPr>
        <w:t xml:space="preserve">Sustainability and Sharing</w:t>
      </w:r>
    </w:p>
    <w:p w:rsidR="00000000" w:rsidDel="00000000" w:rsidP="00000000" w:rsidRDefault="00000000" w:rsidRPr="00000000" w14:paraId="00000073">
      <w:pPr>
        <w:rPr/>
      </w:pPr>
      <w:r w:rsidDel="00000000" w:rsidR="00000000" w:rsidRPr="00000000">
        <w:rPr>
          <w:rtl w:val="0"/>
        </w:rPr>
        <w:t xml:space="preserve">The South Kilburn Community Garden’s post-project strategy prioritises sustainability and sharing to guarantee long-term community benefits. A detailed strategy for maintaining the garden’s functionality has been devised, including considerations for ongoing maintenance and resource management. For example, forming alliances with local businesses and organisations can help to ensure the continued availability of resources and money.</w:t>
      </w:r>
    </w:p>
    <w:p w:rsidR="00000000" w:rsidDel="00000000" w:rsidP="00000000" w:rsidRDefault="00000000" w:rsidRPr="00000000" w14:paraId="00000074">
      <w:pPr>
        <w:rPr/>
      </w:pPr>
      <w:r w:rsidDel="00000000" w:rsidR="00000000" w:rsidRPr="00000000">
        <w:rPr>
          <w:rtl w:val="0"/>
        </w:rPr>
        <w:t xml:space="preserve">The plan includes sharing lessons gained and increasing information dissemination to other community enterprises. Documenting successful engagement methods, effective outreach initiatives, and critical insights gained from project execution are all part of this. The South Kilburn Community Garden project aspires to contribute to larger community development efforts by actively participating in knowledge-sharing projects, promoting a culture of shared learning and cooperation among similar initiatives in the neighbourhood (Hart et al., 2019). This focus on sustainability and sharing demonstrates the project’s commitment to developing long-term positive consequences beyond its immediate scope.</w:t>
      </w:r>
    </w:p>
    <w:p w:rsidR="00000000" w:rsidDel="00000000" w:rsidP="00000000" w:rsidRDefault="00000000" w:rsidRPr="00000000" w14:paraId="00000075">
      <w:pPr>
        <w:spacing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76">
      <w:pPr>
        <w:pStyle w:val="Heading1"/>
        <w:rPr/>
      </w:pPr>
      <w:bookmarkStart w:colFirst="0" w:colLast="0" w:name="_2xcytpi" w:id="22"/>
      <w:bookmarkEnd w:id="22"/>
      <w:r w:rsidDel="00000000" w:rsidR="00000000" w:rsidRPr="00000000">
        <w:rPr>
          <w:rtl w:val="0"/>
        </w:rPr>
        <w:t xml:space="preserve">VIII. Conclusion</w:t>
      </w:r>
    </w:p>
    <w:p w:rsidR="00000000" w:rsidDel="00000000" w:rsidP="00000000" w:rsidRDefault="00000000" w:rsidRPr="00000000" w14:paraId="00000077">
      <w:pPr>
        <w:rPr/>
      </w:pPr>
      <w:r w:rsidDel="00000000" w:rsidR="00000000" w:rsidRPr="00000000">
        <w:rPr>
          <w:rtl w:val="0"/>
        </w:rPr>
        <w:t xml:space="preserve">Finally, the South Kilburn Community Garden project exemplifies excellent community participation and significant activities. The project has positively impacted the neighbourhood landscape by tackling food insecurity and social isolation. The dedication to a variety of participation approaches, early planning, and the development of strong community partnerships has been critical. Lessons acquired, emphasising adaptation and success celebration, have enriched the project’s outcomes (Berardi, 2013). The post-project strategy, which focuses on continuity, sustainability, and knowledge sharing, demonstrates a commitment to long-term community benefits. The success of the South Kilburn Community Garden demonstrates the transforming impact of community-driven projects in encouraging health, connection, and empowerment.</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spacing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7A">
      <w:pPr>
        <w:pStyle w:val="Heading1"/>
        <w:rPr/>
      </w:pPr>
      <w:bookmarkStart w:colFirst="0" w:colLast="0" w:name="_1ci93xb" w:id="23"/>
      <w:bookmarkEnd w:id="23"/>
      <w:r w:rsidDel="00000000" w:rsidR="00000000" w:rsidRPr="00000000">
        <w:rPr>
          <w:rtl w:val="0"/>
        </w:rPr>
        <w:t xml:space="preserve">References</w:t>
      </w:r>
    </w:p>
    <w:p w:rsidR="00000000" w:rsidDel="00000000" w:rsidP="00000000" w:rsidRDefault="00000000" w:rsidRPr="00000000" w14:paraId="0000007B">
      <w:pPr>
        <w:rPr>
          <w:color w:val="222222"/>
          <w:highlight w:val="white"/>
        </w:rPr>
      </w:pPr>
      <w:r w:rsidDel="00000000" w:rsidR="00000000" w:rsidRPr="00000000">
        <w:rPr>
          <w:color w:val="222222"/>
          <w:highlight w:val="white"/>
          <w:rtl w:val="0"/>
        </w:rPr>
        <w:t xml:space="preserve">Berardi, U., 2013. Clarifying the new interpretations of the concept of sustainable building. </w:t>
      </w:r>
      <w:r w:rsidDel="00000000" w:rsidR="00000000" w:rsidRPr="00000000">
        <w:rPr>
          <w:i w:val="1"/>
          <w:color w:val="222222"/>
          <w:highlight w:val="white"/>
          <w:rtl w:val="0"/>
        </w:rPr>
        <w:t xml:space="preserve">Sustainable cities and society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8</w:t>
      </w:r>
      <w:r w:rsidDel="00000000" w:rsidR="00000000" w:rsidRPr="00000000">
        <w:rPr>
          <w:color w:val="222222"/>
          <w:highlight w:val="white"/>
          <w:rtl w:val="0"/>
        </w:rPr>
        <w:t xml:space="preserve">, pp.72-78.</w:t>
      </w:r>
    </w:p>
    <w:p w:rsidR="00000000" w:rsidDel="00000000" w:rsidP="00000000" w:rsidRDefault="00000000" w:rsidRPr="00000000" w14:paraId="0000007C">
      <w:pPr>
        <w:rPr>
          <w:b w:val="1"/>
        </w:rPr>
      </w:pPr>
      <w:r w:rsidDel="00000000" w:rsidR="00000000" w:rsidRPr="00000000">
        <w:rPr>
          <w:color w:val="222222"/>
          <w:highlight w:val="white"/>
          <w:rtl w:val="0"/>
        </w:rPr>
        <w:t xml:space="preserve">Boiral, O. and Heras-Saizarbitoria, I., 2017. Managing biodiversity through stakeholder involvement: why, who, and for what initiatives?. </w:t>
      </w:r>
      <w:r w:rsidDel="00000000" w:rsidR="00000000" w:rsidRPr="00000000">
        <w:rPr>
          <w:i w:val="1"/>
          <w:color w:val="222222"/>
          <w:highlight w:val="white"/>
          <w:rtl w:val="0"/>
        </w:rPr>
        <w:t xml:space="preserve">Journal of Business Ethics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140</w:t>
      </w:r>
      <w:r w:rsidDel="00000000" w:rsidR="00000000" w:rsidRPr="00000000">
        <w:rPr>
          <w:color w:val="222222"/>
          <w:highlight w:val="white"/>
          <w:rtl w:val="0"/>
        </w:rPr>
        <w:t xml:space="preserve">(3), pp.403-421.</w:t>
      </w:r>
      <w:r w:rsidDel="00000000" w:rsidR="00000000" w:rsidRPr="00000000">
        <w:rPr>
          <w:rtl w:val="0"/>
        </w:rPr>
      </w:r>
    </w:p>
    <w:p w:rsidR="00000000" w:rsidDel="00000000" w:rsidP="00000000" w:rsidRDefault="00000000" w:rsidRPr="00000000" w14:paraId="0000007D">
      <w:pPr>
        <w:rPr/>
      </w:pPr>
      <w:r w:rsidDel="00000000" w:rsidR="00000000" w:rsidRPr="00000000">
        <w:rPr>
          <w:color w:val="222222"/>
          <w:highlight w:val="white"/>
          <w:rtl w:val="0"/>
        </w:rPr>
        <w:t xml:space="preserve">Bouamrane, M., Spierenburg, M., Agrawal, A., Boureima, A., Cormier-Salem, M.C., Etienne, M., Le Page, C., Levrel, H. and Mathevet, R., 2016. Stakeholder engagement and biodiversity conservation challenges in social-ecological systems: some insights from biosphere reserves in western Africa and France. </w:t>
      </w:r>
      <w:r w:rsidDel="00000000" w:rsidR="00000000" w:rsidRPr="00000000">
        <w:rPr>
          <w:i w:val="1"/>
          <w:color w:val="222222"/>
          <w:highlight w:val="white"/>
          <w:rtl w:val="0"/>
        </w:rPr>
        <w:t xml:space="preserve">Ecology and Society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21</w:t>
      </w:r>
      <w:r w:rsidDel="00000000" w:rsidR="00000000" w:rsidRPr="00000000">
        <w:rPr>
          <w:color w:val="222222"/>
          <w:highlight w:val="white"/>
          <w:rtl w:val="0"/>
        </w:rPr>
        <w:t xml:space="preserve">(4).</w:t>
      </w:r>
      <w:r w:rsidDel="00000000" w:rsidR="00000000" w:rsidRPr="00000000">
        <w:rPr>
          <w:rtl w:val="0"/>
        </w:rPr>
      </w:r>
    </w:p>
    <w:p w:rsidR="00000000" w:rsidDel="00000000" w:rsidP="00000000" w:rsidRDefault="00000000" w:rsidRPr="00000000" w14:paraId="0000007E">
      <w:pPr>
        <w:rPr>
          <w:color w:val="222222"/>
          <w:highlight w:val="white"/>
        </w:rPr>
      </w:pPr>
      <w:r w:rsidDel="00000000" w:rsidR="00000000" w:rsidRPr="00000000">
        <w:rPr>
          <w:color w:val="222222"/>
          <w:highlight w:val="white"/>
          <w:rtl w:val="0"/>
        </w:rPr>
        <w:t xml:space="preserve">Boulmetis, J. and Dutwin, P., 2014. </w:t>
      </w:r>
      <w:r w:rsidDel="00000000" w:rsidR="00000000" w:rsidRPr="00000000">
        <w:rPr>
          <w:i w:val="1"/>
          <w:color w:val="222222"/>
          <w:highlight w:val="white"/>
          <w:rtl w:val="0"/>
        </w:rPr>
        <w:t xml:space="preserve">The ABCs of evaluation: Timeless techniques for program and project managers</w:t>
      </w:r>
      <w:r w:rsidDel="00000000" w:rsidR="00000000" w:rsidRPr="00000000">
        <w:rPr>
          <w:color w:val="222222"/>
          <w:highlight w:val="white"/>
          <w:rtl w:val="0"/>
        </w:rPr>
        <w:t xml:space="preserve"> (Vol. 56). John Wiley &amp; Sons.</w:t>
      </w:r>
    </w:p>
    <w:p w:rsidR="00000000" w:rsidDel="00000000" w:rsidP="00000000" w:rsidRDefault="00000000" w:rsidRPr="00000000" w14:paraId="0000007F">
      <w:pPr>
        <w:rPr/>
      </w:pPr>
      <w:r w:rsidDel="00000000" w:rsidR="00000000" w:rsidRPr="00000000">
        <w:rPr>
          <w:color w:val="222222"/>
          <w:highlight w:val="white"/>
          <w:rtl w:val="0"/>
        </w:rPr>
        <w:t xml:space="preserve">Daneva, M., Van Der Veen, E., Amrit, C., Ghaisas, S., Sikkel, K., Kumar, R., Ajmeri, N., Ramteerthkar, U. and Wieringa, R., 2013. Agile requirements prioritization in large-scale outsourced system projects: An empirical study. </w:t>
      </w:r>
      <w:r w:rsidDel="00000000" w:rsidR="00000000" w:rsidRPr="00000000">
        <w:rPr>
          <w:i w:val="1"/>
          <w:color w:val="222222"/>
          <w:highlight w:val="white"/>
          <w:rtl w:val="0"/>
        </w:rPr>
        <w:t xml:space="preserve">Journal of systems and software</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86</w:t>
      </w:r>
      <w:r w:rsidDel="00000000" w:rsidR="00000000" w:rsidRPr="00000000">
        <w:rPr>
          <w:color w:val="222222"/>
          <w:highlight w:val="white"/>
          <w:rtl w:val="0"/>
        </w:rPr>
        <w:t xml:space="preserve">(5), pp.1333-1353.</w:t>
      </w:r>
      <w:r w:rsidDel="00000000" w:rsidR="00000000" w:rsidRPr="00000000">
        <w:rPr>
          <w:rtl w:val="0"/>
        </w:rPr>
      </w:r>
    </w:p>
    <w:p w:rsidR="00000000" w:rsidDel="00000000" w:rsidP="00000000" w:rsidRDefault="00000000" w:rsidRPr="00000000" w14:paraId="00000080">
      <w:pPr>
        <w:rPr>
          <w:color w:val="222222"/>
          <w:highlight w:val="white"/>
        </w:rPr>
      </w:pPr>
      <w:r w:rsidDel="00000000" w:rsidR="00000000" w:rsidRPr="00000000">
        <w:rPr>
          <w:color w:val="222222"/>
          <w:highlight w:val="white"/>
          <w:rtl w:val="0"/>
        </w:rPr>
        <w:t xml:space="preserve">Eskerod, P. and Jepsen, A.L., 2016. </w:t>
      </w:r>
      <w:r w:rsidDel="00000000" w:rsidR="00000000" w:rsidRPr="00000000">
        <w:rPr>
          <w:i w:val="1"/>
          <w:color w:val="222222"/>
          <w:highlight w:val="white"/>
          <w:rtl w:val="0"/>
        </w:rPr>
        <w:t xml:space="preserve">Project stakeholder management</w:t>
      </w:r>
      <w:r w:rsidDel="00000000" w:rsidR="00000000" w:rsidRPr="00000000">
        <w:rPr>
          <w:color w:val="222222"/>
          <w:highlight w:val="white"/>
          <w:rtl w:val="0"/>
        </w:rPr>
        <w:t xml:space="preserve">. Routledge.</w:t>
      </w:r>
    </w:p>
    <w:p w:rsidR="00000000" w:rsidDel="00000000" w:rsidP="00000000" w:rsidRDefault="00000000" w:rsidRPr="00000000" w14:paraId="00000081">
      <w:pPr>
        <w:rPr>
          <w:color w:val="222222"/>
          <w:highlight w:val="white"/>
        </w:rPr>
      </w:pPr>
      <w:r w:rsidDel="00000000" w:rsidR="00000000" w:rsidRPr="00000000">
        <w:rPr>
          <w:color w:val="222222"/>
          <w:highlight w:val="white"/>
          <w:rtl w:val="0"/>
        </w:rPr>
        <w:t xml:space="preserve">Gonçalves, B., Marques, A., Soares, A.M.V.D.M. and Pereira, H.M., 2015. Biodiversity offsets: from current challenges to harmonized metrics. </w:t>
      </w:r>
      <w:r w:rsidDel="00000000" w:rsidR="00000000" w:rsidRPr="00000000">
        <w:rPr>
          <w:i w:val="1"/>
          <w:color w:val="222222"/>
          <w:highlight w:val="white"/>
          <w:rtl w:val="0"/>
        </w:rPr>
        <w:t xml:space="preserve">Current Opinion in Environmental Sustainability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14</w:t>
      </w:r>
      <w:r w:rsidDel="00000000" w:rsidR="00000000" w:rsidRPr="00000000">
        <w:rPr>
          <w:color w:val="222222"/>
          <w:highlight w:val="white"/>
          <w:rtl w:val="0"/>
        </w:rPr>
        <w:t xml:space="preserve">, pp.61-67.</w:t>
      </w:r>
    </w:p>
    <w:p w:rsidR="00000000" w:rsidDel="00000000" w:rsidP="00000000" w:rsidRDefault="00000000" w:rsidRPr="00000000" w14:paraId="00000082">
      <w:pPr>
        <w:rPr>
          <w:color w:val="222222"/>
          <w:highlight w:val="white"/>
        </w:rPr>
      </w:pPr>
      <w:r w:rsidDel="00000000" w:rsidR="00000000" w:rsidRPr="00000000">
        <w:rPr>
          <w:color w:val="222222"/>
          <w:highlight w:val="white"/>
          <w:rtl w:val="0"/>
        </w:rPr>
        <w:t xml:space="preserve">Hart, J., Adams, K., Giesekam, J., Tingley, D.D. and Pomponi, F., 2019. Barriers and drivers in a circular economy: The case of the built environment. </w:t>
      </w:r>
      <w:r w:rsidDel="00000000" w:rsidR="00000000" w:rsidRPr="00000000">
        <w:rPr>
          <w:i w:val="1"/>
          <w:color w:val="222222"/>
          <w:highlight w:val="white"/>
          <w:rtl w:val="0"/>
        </w:rPr>
        <w:t xml:space="preserve">Procedia Cirp</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80</w:t>
      </w:r>
      <w:r w:rsidDel="00000000" w:rsidR="00000000" w:rsidRPr="00000000">
        <w:rPr>
          <w:color w:val="222222"/>
          <w:highlight w:val="white"/>
          <w:rtl w:val="0"/>
        </w:rPr>
        <w:t xml:space="preserve">, pp.619-624.</w:t>
      </w:r>
    </w:p>
    <w:p w:rsidR="00000000" w:rsidDel="00000000" w:rsidP="00000000" w:rsidRDefault="00000000" w:rsidRPr="00000000" w14:paraId="00000083">
      <w:pPr>
        <w:rPr>
          <w:color w:val="222222"/>
          <w:highlight w:val="white"/>
        </w:rPr>
      </w:pPr>
      <w:r w:rsidDel="00000000" w:rsidR="00000000" w:rsidRPr="00000000">
        <w:rPr>
          <w:color w:val="222222"/>
          <w:highlight w:val="white"/>
          <w:rtl w:val="0"/>
        </w:rPr>
        <w:t xml:space="preserve">Newcomer, K.E., Hatry, H.P. and Wholey, J.S. eds., 2015. </w:t>
      </w:r>
      <w:r w:rsidDel="00000000" w:rsidR="00000000" w:rsidRPr="00000000">
        <w:rPr>
          <w:i w:val="1"/>
          <w:color w:val="222222"/>
          <w:highlight w:val="white"/>
          <w:rtl w:val="0"/>
        </w:rPr>
        <w:t xml:space="preserve">Handbook of practical program evaluation</w:t>
      </w:r>
      <w:r w:rsidDel="00000000" w:rsidR="00000000" w:rsidRPr="00000000">
        <w:rPr>
          <w:color w:val="222222"/>
          <w:highlight w:val="white"/>
          <w:rtl w:val="0"/>
        </w:rPr>
        <w:t xml:space="preserve">. San Francisco, CA: Jossey-Bass &amp; Pfeiffer Imprints, Wiley.</w:t>
      </w:r>
    </w:p>
    <w:p w:rsidR="00000000" w:rsidDel="00000000" w:rsidP="00000000" w:rsidRDefault="00000000" w:rsidRPr="00000000" w14:paraId="00000084">
      <w:pPr>
        <w:rPr>
          <w:color w:val="222222"/>
          <w:highlight w:val="white"/>
        </w:rPr>
      </w:pPr>
      <w:r w:rsidDel="00000000" w:rsidR="00000000" w:rsidRPr="00000000">
        <w:rPr>
          <w:color w:val="222222"/>
          <w:highlight w:val="white"/>
          <w:rtl w:val="0"/>
        </w:rPr>
        <w:t xml:space="preserve">Opoku, A., 2019. Biodiversity and the built environment: Implications for the Sustainable Development Goals (SDGs). </w:t>
      </w:r>
      <w:r w:rsidDel="00000000" w:rsidR="00000000" w:rsidRPr="00000000">
        <w:rPr>
          <w:i w:val="1"/>
          <w:color w:val="222222"/>
          <w:highlight w:val="white"/>
          <w:rtl w:val="0"/>
        </w:rPr>
        <w:t xml:space="preserve">Resources, conservation and recycling</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141</w:t>
      </w:r>
      <w:r w:rsidDel="00000000" w:rsidR="00000000" w:rsidRPr="00000000">
        <w:rPr>
          <w:color w:val="222222"/>
          <w:highlight w:val="white"/>
          <w:rtl w:val="0"/>
        </w:rPr>
        <w:t xml:space="preserve">, pp.1-7.</w:t>
      </w:r>
    </w:p>
    <w:p w:rsidR="00000000" w:rsidDel="00000000" w:rsidP="00000000" w:rsidRDefault="00000000" w:rsidRPr="00000000" w14:paraId="00000085">
      <w:pPr>
        <w:rPr>
          <w:color w:val="222222"/>
          <w:highlight w:val="white"/>
        </w:rPr>
      </w:pPr>
      <w:r w:rsidDel="00000000" w:rsidR="00000000" w:rsidRPr="00000000">
        <w:rPr>
          <w:rtl w:val="0"/>
        </w:rPr>
        <w:t xml:space="preserve">Space Hive, 2023. </w:t>
      </w:r>
      <w:r w:rsidDel="00000000" w:rsidR="00000000" w:rsidRPr="00000000">
        <w:rPr>
          <w:i w:val="1"/>
          <w:rtl w:val="0"/>
        </w:rPr>
        <w:t xml:space="preserve">Granville Garden - Feeding Our Community</w:t>
      </w:r>
      <w:r w:rsidDel="00000000" w:rsidR="00000000" w:rsidRPr="00000000">
        <w:rPr>
          <w:rtl w:val="0"/>
        </w:rPr>
        <w:t xml:space="preserve">. [online] Spacehive. Available at: https://www.spacehive.com/granville-community-garden [Accessed 1 Dec. 2023].</w:t>
      </w:r>
      <w:r w:rsidDel="00000000" w:rsidR="00000000" w:rsidRPr="00000000">
        <w:rPr>
          <w:rtl w:val="0"/>
        </w:rPr>
      </w:r>
    </w:p>
    <w:p w:rsidR="00000000" w:rsidDel="00000000" w:rsidP="00000000" w:rsidRDefault="00000000" w:rsidRPr="00000000" w14:paraId="00000086">
      <w:pPr>
        <w:rPr>
          <w:color w:val="222222"/>
          <w:highlight w:val="white"/>
        </w:rPr>
      </w:pPr>
      <w:r w:rsidDel="00000000" w:rsidR="00000000" w:rsidRPr="00000000">
        <w:rPr>
          <w:color w:val="222222"/>
          <w:highlight w:val="white"/>
          <w:rtl w:val="0"/>
        </w:rPr>
        <w:t xml:space="preserve">Sterling, E.J., Betley, E., Sigouin, A., Gomez, A., Toomey, A., Cullman, G., Malone, C., Pekor, A., Arengo, F., Blair, M. and Filardi, C., 2017. Assessing the evidence for stakeholder engagement in biodiversity conservation. </w:t>
      </w:r>
      <w:r w:rsidDel="00000000" w:rsidR="00000000" w:rsidRPr="00000000">
        <w:rPr>
          <w:i w:val="1"/>
          <w:color w:val="222222"/>
          <w:highlight w:val="white"/>
          <w:rtl w:val="0"/>
        </w:rPr>
        <w:t xml:space="preserve">Biological conservation</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209</w:t>
      </w:r>
      <w:r w:rsidDel="00000000" w:rsidR="00000000" w:rsidRPr="00000000">
        <w:rPr>
          <w:color w:val="222222"/>
          <w:highlight w:val="white"/>
          <w:rtl w:val="0"/>
        </w:rPr>
        <w:t xml:space="preserve">, pp.159-171.</w:t>
      </w:r>
    </w:p>
    <w:p w:rsidR="00000000" w:rsidDel="00000000" w:rsidP="00000000" w:rsidRDefault="00000000" w:rsidRPr="00000000" w14:paraId="00000087">
      <w:pPr>
        <w:rPr/>
      </w:pPr>
      <w:r w:rsidDel="00000000" w:rsidR="00000000" w:rsidRPr="00000000">
        <w:rPr>
          <w:rtl w:val="0"/>
        </w:rPr>
        <w:t xml:space="preserve">TEP UK, 2023. </w:t>
      </w:r>
      <w:r w:rsidDel="00000000" w:rsidR="00000000" w:rsidRPr="00000000">
        <w:rPr>
          <w:i w:val="1"/>
          <w:rtl w:val="0"/>
        </w:rPr>
        <w:t xml:space="preserve">South Kilburn Phase 4</w:t>
      </w:r>
      <w:r w:rsidDel="00000000" w:rsidR="00000000" w:rsidRPr="00000000">
        <w:rPr>
          <w:rtl w:val="0"/>
        </w:rPr>
        <w:t xml:space="preserve">. [online] TEP - The Environment Partnership. Available at: https://www.tep.uk.com/project/south-kilburn-phase-4/ [Accessed 1 Dec. 2023].</w:t>
      </w:r>
    </w:p>
    <w:p w:rsidR="00000000" w:rsidDel="00000000" w:rsidP="00000000" w:rsidRDefault="00000000" w:rsidRPr="00000000" w14:paraId="00000088">
      <w:pPr>
        <w:rPr>
          <w:color w:val="222222"/>
          <w:highlight w:val="white"/>
        </w:rPr>
      </w:pPr>
      <w:r w:rsidDel="00000000" w:rsidR="00000000" w:rsidRPr="00000000">
        <w:rPr>
          <w:rtl w:val="0"/>
        </w:rPr>
        <w:t xml:space="preserve">The Granville, 2023. </w:t>
      </w:r>
      <w:r w:rsidDel="00000000" w:rsidR="00000000" w:rsidRPr="00000000">
        <w:rPr>
          <w:i w:val="1"/>
          <w:rtl w:val="0"/>
        </w:rPr>
        <w:t xml:space="preserve">About Us | The Granville | South Kilburn</w:t>
      </w:r>
      <w:r w:rsidDel="00000000" w:rsidR="00000000" w:rsidRPr="00000000">
        <w:rPr>
          <w:rtl w:val="0"/>
        </w:rPr>
        <w:t xml:space="preserve">. [online] The Granville. Available at: https://www.thegranville.org/about-us [Accessed 1 Dec. 2023].</w:t>
      </w:r>
      <w:r w:rsidDel="00000000" w:rsidR="00000000" w:rsidRPr="00000000">
        <w:rPr>
          <w:rtl w:val="0"/>
        </w:rPr>
      </w:r>
    </w:p>
    <w:p w:rsidR="00000000" w:rsidDel="00000000" w:rsidP="00000000" w:rsidRDefault="00000000" w:rsidRPr="00000000" w14:paraId="00000089">
      <w:pPr>
        <w:rPr>
          <w:color w:val="222222"/>
          <w:highlight w:val="white"/>
        </w:rPr>
      </w:pPr>
      <w:r w:rsidDel="00000000" w:rsidR="00000000" w:rsidRPr="00000000">
        <w:rPr>
          <w:color w:val="222222"/>
          <w:highlight w:val="white"/>
          <w:rtl w:val="0"/>
        </w:rPr>
        <w:t xml:space="preserve">Yi, Y., Cheng, X., Wieprecht, S. and Tang, C., 2014. Comparison of habitat suitability models using different habitat suitability evaluation methods. </w:t>
      </w:r>
      <w:r w:rsidDel="00000000" w:rsidR="00000000" w:rsidRPr="00000000">
        <w:rPr>
          <w:i w:val="1"/>
          <w:color w:val="222222"/>
          <w:highlight w:val="white"/>
          <w:rtl w:val="0"/>
        </w:rPr>
        <w:t xml:space="preserve">Ecological Engineering</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71</w:t>
      </w:r>
      <w:r w:rsidDel="00000000" w:rsidR="00000000" w:rsidRPr="00000000">
        <w:rPr>
          <w:color w:val="222222"/>
          <w:highlight w:val="white"/>
          <w:rtl w:val="0"/>
        </w:rPr>
        <w:t xml:space="preserve">, pp.335-345.</w:t>
      </w:r>
    </w:p>
    <w:p w:rsidR="00000000" w:rsidDel="00000000" w:rsidP="00000000" w:rsidRDefault="00000000" w:rsidRPr="00000000" w14:paraId="0000008A">
      <w:pPr>
        <w:rPr>
          <w:color w:val="222222"/>
          <w:highlight w:val="white"/>
        </w:rPr>
      </w:pPr>
      <w:r w:rsidDel="00000000" w:rsidR="00000000" w:rsidRPr="00000000">
        <w:rPr>
          <w:color w:val="222222"/>
          <w:highlight w:val="white"/>
          <w:rtl w:val="0"/>
        </w:rPr>
        <w:t xml:space="preserve">Wortley, L., Hero, J.M. and Howes, M., 2013. Evaluating ecological restoration success: a review of the literature. </w:t>
      </w:r>
      <w:r w:rsidDel="00000000" w:rsidR="00000000" w:rsidRPr="00000000">
        <w:rPr>
          <w:i w:val="1"/>
          <w:color w:val="222222"/>
          <w:highlight w:val="white"/>
          <w:rtl w:val="0"/>
        </w:rPr>
        <w:t xml:space="preserve">Restoration ecology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21</w:t>
      </w:r>
      <w:r w:rsidDel="00000000" w:rsidR="00000000" w:rsidRPr="00000000">
        <w:rPr>
          <w:color w:val="222222"/>
          <w:highlight w:val="white"/>
          <w:rtl w:val="0"/>
        </w:rPr>
        <w:t xml:space="preserve">(5), pp.537-543.</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sectPr>
      <w:footerReference r:id="rId11" w:type="default"/>
      <w:type w:val="nextPage"/>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Calibri"/>
  <w:font w:name="Times New Roman"/>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D">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E">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F">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0">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8"/>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8"/>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before="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sz w:val="32"/>
      <w:szCs w:val="32"/>
    </w:rPr>
  </w:style>
  <w:style w:type="paragraph" w:styleId="Heading2">
    <w:name w:val="heading 2"/>
    <w:basedOn w:val="Normal"/>
    <w:next w:val="Normal"/>
    <w:pPr>
      <w:keepNext w:val="1"/>
      <w:keepLines w:val="1"/>
    </w:pPr>
    <w:rPr>
      <w:b w:val="1"/>
      <w:sz w:val="28"/>
      <w:szCs w:val="28"/>
    </w:rPr>
  </w:style>
  <w:style w:type="paragraph" w:styleId="Heading3">
    <w:name w:val="heading 3"/>
    <w:basedOn w:val="Normal"/>
    <w:next w:val="Normal"/>
    <w:pPr>
      <w:keepNext w:val="1"/>
      <w:keepLines w:val="1"/>
      <w:spacing w:after="0" w:before="40" w:lineRule="auto"/>
    </w:pPr>
    <w:rPr>
      <w:b w:val="1"/>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image" Target="media/image4.png"/><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2.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