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AF409" w14:textId="77777777" w:rsidR="009A3567" w:rsidRDefault="009A3567" w:rsidP="006A5BBC"/>
    <w:sdt>
      <w:sdtPr>
        <w:id w:val="1293178349"/>
        <w:docPartObj>
          <w:docPartGallery w:val="Cover Pages"/>
          <w:docPartUnique/>
        </w:docPartObj>
      </w:sdtPr>
      <w:sdtEndPr/>
      <w:sdtContent>
        <w:p w14:paraId="0D5EE3BC" w14:textId="19E14619" w:rsidR="006A5BBC" w:rsidRDefault="006A5BBC" w:rsidP="006A5BBC">
          <w:r w:rsidRPr="006A5BBC">
            <w:rPr>
              <w:rFonts w:eastAsiaTheme="minorEastAsia" w:cs="Arial"/>
              <w:noProof/>
              <w:color w:val="E7E6E6" w:themeColor="background2"/>
              <w:sz w:val="78"/>
              <w:szCs w:val="78"/>
              <w:lang w:val="en-US" w:eastAsia="zh-CN"/>
            </w:rPr>
            <w:drawing>
              <wp:inline distT="0" distB="0" distL="0" distR="0" wp14:anchorId="5BFA53B8" wp14:editId="23FFDEAE">
                <wp:extent cx="3905250" cy="15621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09353" cy="1563741"/>
                        </a:xfrm>
                        <a:prstGeom prst="rect">
                          <a:avLst/>
                        </a:prstGeom>
                        <a:noFill/>
                        <a:ln>
                          <a:noFill/>
                        </a:ln>
                      </pic:spPr>
                    </pic:pic>
                  </a:graphicData>
                </a:graphic>
              </wp:inline>
            </w:drawing>
          </w:r>
        </w:p>
        <w:p w14:paraId="4F2F8CE5" w14:textId="77777777" w:rsidR="006A5BBC" w:rsidRDefault="006A5BBC" w:rsidP="006A5BBC">
          <w:pPr>
            <w:rPr>
              <w:b/>
              <w:bCs/>
              <w:sz w:val="28"/>
              <w:szCs w:val="28"/>
            </w:rPr>
          </w:pPr>
          <w:r>
            <w:rPr>
              <w:b/>
              <w:bCs/>
              <w:sz w:val="28"/>
              <w:szCs w:val="28"/>
            </w:rPr>
            <w:t>Student name: Mariya Georgieva</w:t>
          </w:r>
        </w:p>
        <w:p w14:paraId="1363B1ED" w14:textId="77777777" w:rsidR="006A5BBC" w:rsidRDefault="006A5BBC" w:rsidP="006A5BBC">
          <w:pPr>
            <w:rPr>
              <w:b/>
              <w:bCs/>
              <w:sz w:val="28"/>
              <w:szCs w:val="28"/>
            </w:rPr>
          </w:pPr>
          <w:r>
            <w:rPr>
              <w:b/>
              <w:bCs/>
              <w:sz w:val="28"/>
              <w:szCs w:val="28"/>
            </w:rPr>
            <w:t>Student ID: 1906952</w:t>
          </w:r>
        </w:p>
        <w:p w14:paraId="6436F8B0" w14:textId="77777777" w:rsidR="006A5BBC" w:rsidRDefault="006A5BBC" w:rsidP="006A5BBC">
          <w:pPr>
            <w:rPr>
              <w:b/>
              <w:bCs/>
              <w:sz w:val="28"/>
              <w:szCs w:val="28"/>
            </w:rPr>
          </w:pPr>
          <w:r>
            <w:rPr>
              <w:b/>
              <w:bCs/>
              <w:sz w:val="28"/>
              <w:szCs w:val="28"/>
            </w:rPr>
            <w:t>Module name: Public  Health Policy</w:t>
          </w:r>
        </w:p>
        <w:p w14:paraId="6CE55829" w14:textId="77777777" w:rsidR="006A5BBC" w:rsidRDefault="006A5BBC" w:rsidP="006A5BBC">
          <w:pPr>
            <w:rPr>
              <w:b/>
              <w:bCs/>
              <w:sz w:val="28"/>
              <w:szCs w:val="28"/>
            </w:rPr>
          </w:pPr>
          <w:r>
            <w:rPr>
              <w:b/>
              <w:bCs/>
              <w:sz w:val="28"/>
              <w:szCs w:val="28"/>
            </w:rPr>
            <w:t>Module code: 5013</w:t>
          </w:r>
        </w:p>
        <w:p w14:paraId="5F4556E8" w14:textId="7EB99CF4" w:rsidR="00BB61E8" w:rsidRDefault="006A5BBC" w:rsidP="006A5BBC">
          <w:r>
            <w:rPr>
              <w:b/>
              <w:bCs/>
              <w:sz w:val="28"/>
              <w:szCs w:val="28"/>
            </w:rPr>
            <w:t xml:space="preserve">Lecturer name: Evelyn </w:t>
          </w:r>
          <w:proofErr w:type="spellStart"/>
          <w:r>
            <w:rPr>
              <w:b/>
              <w:bCs/>
              <w:sz w:val="28"/>
              <w:szCs w:val="28"/>
            </w:rPr>
            <w:t>Calahan</w:t>
          </w:r>
          <w:proofErr w:type="spellEnd"/>
          <w:r w:rsidR="00BB61E8">
            <w:br w:type="page"/>
          </w:r>
        </w:p>
      </w:sdtContent>
    </w:sdt>
    <w:sdt>
      <w:sdtPr>
        <w:rPr>
          <w:rFonts w:ascii="Arial" w:eastAsiaTheme="minorHAnsi" w:hAnsi="Arial" w:cstheme="minorBidi"/>
          <w:b w:val="0"/>
          <w:bCs w:val="0"/>
          <w:color w:val="auto"/>
          <w:sz w:val="24"/>
          <w:szCs w:val="22"/>
          <w:lang w:val="en-GB"/>
        </w:rPr>
        <w:id w:val="1700816146"/>
        <w:docPartObj>
          <w:docPartGallery w:val="Table of Contents"/>
          <w:docPartUnique/>
        </w:docPartObj>
      </w:sdtPr>
      <w:sdtEndPr>
        <w:rPr>
          <w:noProof/>
        </w:rPr>
      </w:sdtEndPr>
      <w:sdtContent>
        <w:p w14:paraId="6BB15BDD" w14:textId="0BE03079" w:rsidR="00C954B2" w:rsidRDefault="00C954B2">
          <w:pPr>
            <w:pStyle w:val="TOCHeading"/>
          </w:pPr>
          <w:r>
            <w:t>Table of Contents</w:t>
          </w:r>
        </w:p>
        <w:p w14:paraId="63472AD4" w14:textId="78782E69" w:rsidR="00C954B2" w:rsidRPr="009A3567" w:rsidRDefault="00C954B2" w:rsidP="009A3567">
          <w:pPr>
            <w:pStyle w:val="TOC1"/>
            <w:rPr>
              <w:noProof/>
            </w:rPr>
          </w:pPr>
          <w:r>
            <w:fldChar w:fldCharType="begin"/>
          </w:r>
          <w:r>
            <w:instrText xml:space="preserve"> TOC \o "1-3" \h \z \u </w:instrText>
          </w:r>
          <w:r>
            <w:fldChar w:fldCharType="separate"/>
          </w:r>
          <w:hyperlink w:anchor="_Toc91775255" w:history="1">
            <w:r w:rsidRPr="009A3567">
              <w:rPr>
                <w:rStyle w:val="Hyperlink"/>
                <w:rFonts w:ascii="Arial" w:hAnsi="Arial" w:cs="Arial"/>
                <w:noProof/>
                <w:sz w:val="22"/>
                <w:szCs w:val="22"/>
              </w:rPr>
              <w:t>Introduction</w:t>
            </w:r>
            <w:r w:rsidRPr="009A3567">
              <w:rPr>
                <w:noProof/>
                <w:webHidden/>
              </w:rPr>
              <w:tab/>
            </w:r>
            <w:r w:rsidRPr="009A3567">
              <w:rPr>
                <w:noProof/>
                <w:webHidden/>
              </w:rPr>
              <w:fldChar w:fldCharType="begin"/>
            </w:r>
            <w:r w:rsidRPr="009A3567">
              <w:rPr>
                <w:noProof/>
                <w:webHidden/>
              </w:rPr>
              <w:instrText xml:space="preserve"> PAGEREF _Toc91775255 \h </w:instrText>
            </w:r>
            <w:r w:rsidRPr="009A3567">
              <w:rPr>
                <w:noProof/>
                <w:webHidden/>
              </w:rPr>
            </w:r>
            <w:r w:rsidRPr="009A3567">
              <w:rPr>
                <w:noProof/>
                <w:webHidden/>
              </w:rPr>
              <w:fldChar w:fldCharType="separate"/>
            </w:r>
            <w:r w:rsidRPr="009A3567">
              <w:rPr>
                <w:noProof/>
                <w:webHidden/>
              </w:rPr>
              <w:t>2</w:t>
            </w:r>
            <w:r w:rsidRPr="009A3567">
              <w:rPr>
                <w:noProof/>
                <w:webHidden/>
              </w:rPr>
              <w:fldChar w:fldCharType="end"/>
            </w:r>
          </w:hyperlink>
        </w:p>
        <w:p w14:paraId="3C42EBCB" w14:textId="2AE40AAE" w:rsidR="00C954B2" w:rsidRPr="009A3567" w:rsidRDefault="002E6D76" w:rsidP="009A3567">
          <w:pPr>
            <w:pStyle w:val="TOC1"/>
            <w:rPr>
              <w:noProof/>
            </w:rPr>
          </w:pPr>
          <w:hyperlink w:anchor="_Toc91775256" w:history="1">
            <w:r w:rsidR="00C954B2" w:rsidRPr="009A3567">
              <w:rPr>
                <w:rStyle w:val="Hyperlink"/>
                <w:rFonts w:ascii="Arial" w:hAnsi="Arial" w:cs="Arial"/>
                <w:noProof/>
                <w:sz w:val="22"/>
                <w:szCs w:val="22"/>
              </w:rPr>
              <w:t>COVID-19 Background</w:t>
            </w:r>
            <w:r w:rsidR="00C954B2" w:rsidRPr="009A3567">
              <w:rPr>
                <w:noProof/>
                <w:webHidden/>
              </w:rPr>
              <w:tab/>
            </w:r>
            <w:r w:rsidR="00C954B2" w:rsidRPr="009A3567">
              <w:rPr>
                <w:noProof/>
                <w:webHidden/>
              </w:rPr>
              <w:fldChar w:fldCharType="begin"/>
            </w:r>
            <w:r w:rsidR="00C954B2" w:rsidRPr="009A3567">
              <w:rPr>
                <w:noProof/>
                <w:webHidden/>
              </w:rPr>
              <w:instrText xml:space="preserve"> PAGEREF _Toc91775256 \h </w:instrText>
            </w:r>
            <w:r w:rsidR="00C954B2" w:rsidRPr="009A3567">
              <w:rPr>
                <w:noProof/>
                <w:webHidden/>
              </w:rPr>
            </w:r>
            <w:r w:rsidR="00C954B2" w:rsidRPr="009A3567">
              <w:rPr>
                <w:noProof/>
                <w:webHidden/>
              </w:rPr>
              <w:fldChar w:fldCharType="separate"/>
            </w:r>
            <w:r w:rsidR="00C954B2" w:rsidRPr="009A3567">
              <w:rPr>
                <w:noProof/>
                <w:webHidden/>
              </w:rPr>
              <w:t>2</w:t>
            </w:r>
            <w:r w:rsidR="00C954B2" w:rsidRPr="009A3567">
              <w:rPr>
                <w:noProof/>
                <w:webHidden/>
              </w:rPr>
              <w:fldChar w:fldCharType="end"/>
            </w:r>
          </w:hyperlink>
        </w:p>
        <w:p w14:paraId="6E5CB059" w14:textId="363D326A" w:rsidR="00C954B2" w:rsidRPr="009A3567" w:rsidRDefault="002E6D76" w:rsidP="009A3567">
          <w:pPr>
            <w:pStyle w:val="TOC1"/>
            <w:rPr>
              <w:noProof/>
            </w:rPr>
          </w:pPr>
          <w:hyperlink w:anchor="_Toc91775257" w:history="1">
            <w:r w:rsidR="00C954B2" w:rsidRPr="009A3567">
              <w:rPr>
                <w:rStyle w:val="Hyperlink"/>
                <w:rFonts w:ascii="Arial" w:hAnsi="Arial" w:cs="Arial"/>
                <w:noProof/>
                <w:sz w:val="22"/>
                <w:szCs w:val="22"/>
              </w:rPr>
              <w:t>Different approaches and strategies used to measure, monitor and control the incidence of Covid- 19 in the UK</w:t>
            </w:r>
            <w:r w:rsidR="00C954B2" w:rsidRPr="009A3567">
              <w:rPr>
                <w:noProof/>
                <w:webHidden/>
              </w:rPr>
              <w:tab/>
            </w:r>
            <w:r w:rsidR="00C954B2" w:rsidRPr="009A3567">
              <w:rPr>
                <w:noProof/>
                <w:webHidden/>
              </w:rPr>
              <w:fldChar w:fldCharType="begin"/>
            </w:r>
            <w:r w:rsidR="00C954B2" w:rsidRPr="009A3567">
              <w:rPr>
                <w:noProof/>
                <w:webHidden/>
              </w:rPr>
              <w:instrText xml:space="preserve"> PAGEREF _Toc91775257 \h </w:instrText>
            </w:r>
            <w:r w:rsidR="00C954B2" w:rsidRPr="009A3567">
              <w:rPr>
                <w:noProof/>
                <w:webHidden/>
              </w:rPr>
            </w:r>
            <w:r w:rsidR="00C954B2" w:rsidRPr="009A3567">
              <w:rPr>
                <w:noProof/>
                <w:webHidden/>
              </w:rPr>
              <w:fldChar w:fldCharType="separate"/>
            </w:r>
            <w:r w:rsidR="00C954B2" w:rsidRPr="009A3567">
              <w:rPr>
                <w:noProof/>
                <w:webHidden/>
              </w:rPr>
              <w:t>3</w:t>
            </w:r>
            <w:r w:rsidR="00C954B2" w:rsidRPr="009A3567">
              <w:rPr>
                <w:noProof/>
                <w:webHidden/>
              </w:rPr>
              <w:fldChar w:fldCharType="end"/>
            </w:r>
          </w:hyperlink>
        </w:p>
        <w:p w14:paraId="74E62BDB" w14:textId="6CF9DDD9" w:rsidR="00C954B2" w:rsidRDefault="002E6D76" w:rsidP="009A3567">
          <w:pPr>
            <w:pStyle w:val="TOC1"/>
            <w:rPr>
              <w:noProof/>
            </w:rPr>
          </w:pPr>
          <w:hyperlink w:anchor="_Toc91775258" w:history="1">
            <w:r w:rsidR="00C954B2" w:rsidRPr="00A92DD7">
              <w:rPr>
                <w:rStyle w:val="Hyperlink"/>
                <w:noProof/>
              </w:rPr>
              <w:t>Different approaches and strategies used to measure, monitor and control the incidence of Covid- 19 in Germany</w:t>
            </w:r>
            <w:r w:rsidR="00C954B2">
              <w:rPr>
                <w:noProof/>
                <w:webHidden/>
              </w:rPr>
              <w:tab/>
            </w:r>
            <w:r w:rsidR="00C954B2">
              <w:rPr>
                <w:noProof/>
                <w:webHidden/>
              </w:rPr>
              <w:fldChar w:fldCharType="begin"/>
            </w:r>
            <w:r w:rsidR="00C954B2">
              <w:rPr>
                <w:noProof/>
                <w:webHidden/>
              </w:rPr>
              <w:instrText xml:space="preserve"> PAGEREF _Toc91775258 \h </w:instrText>
            </w:r>
            <w:r w:rsidR="00C954B2">
              <w:rPr>
                <w:noProof/>
                <w:webHidden/>
              </w:rPr>
            </w:r>
            <w:r w:rsidR="00C954B2">
              <w:rPr>
                <w:noProof/>
                <w:webHidden/>
              </w:rPr>
              <w:fldChar w:fldCharType="separate"/>
            </w:r>
            <w:r w:rsidR="00C954B2">
              <w:rPr>
                <w:noProof/>
                <w:webHidden/>
              </w:rPr>
              <w:t>5</w:t>
            </w:r>
            <w:r w:rsidR="00C954B2">
              <w:rPr>
                <w:noProof/>
                <w:webHidden/>
              </w:rPr>
              <w:fldChar w:fldCharType="end"/>
            </w:r>
          </w:hyperlink>
        </w:p>
        <w:p w14:paraId="3D2D758F" w14:textId="31A918B4" w:rsidR="00C954B2" w:rsidRDefault="002E6D76" w:rsidP="009A3567">
          <w:pPr>
            <w:pStyle w:val="TOC1"/>
            <w:rPr>
              <w:noProof/>
            </w:rPr>
          </w:pPr>
          <w:hyperlink w:anchor="_Toc91775259" w:history="1">
            <w:r w:rsidR="00C954B2" w:rsidRPr="00A92DD7">
              <w:rPr>
                <w:rStyle w:val="Hyperlink"/>
                <w:noProof/>
              </w:rPr>
              <w:t>Evaluation of Approaches between UK and Germany</w:t>
            </w:r>
            <w:r w:rsidR="00C954B2">
              <w:rPr>
                <w:noProof/>
                <w:webHidden/>
              </w:rPr>
              <w:tab/>
            </w:r>
            <w:r w:rsidR="00C954B2">
              <w:rPr>
                <w:noProof/>
                <w:webHidden/>
              </w:rPr>
              <w:fldChar w:fldCharType="begin"/>
            </w:r>
            <w:r w:rsidR="00C954B2">
              <w:rPr>
                <w:noProof/>
                <w:webHidden/>
              </w:rPr>
              <w:instrText xml:space="preserve"> PAGEREF _Toc91775259 \h </w:instrText>
            </w:r>
            <w:r w:rsidR="00C954B2">
              <w:rPr>
                <w:noProof/>
                <w:webHidden/>
              </w:rPr>
            </w:r>
            <w:r w:rsidR="00C954B2">
              <w:rPr>
                <w:noProof/>
                <w:webHidden/>
              </w:rPr>
              <w:fldChar w:fldCharType="separate"/>
            </w:r>
            <w:r w:rsidR="00C954B2">
              <w:rPr>
                <w:noProof/>
                <w:webHidden/>
              </w:rPr>
              <w:t>6</w:t>
            </w:r>
            <w:r w:rsidR="00C954B2">
              <w:rPr>
                <w:noProof/>
                <w:webHidden/>
              </w:rPr>
              <w:fldChar w:fldCharType="end"/>
            </w:r>
          </w:hyperlink>
        </w:p>
        <w:p w14:paraId="1403B250" w14:textId="506D4CAF" w:rsidR="00C954B2" w:rsidRDefault="002E6D76" w:rsidP="009A3567">
          <w:pPr>
            <w:pStyle w:val="TOC1"/>
            <w:rPr>
              <w:noProof/>
            </w:rPr>
          </w:pPr>
          <w:hyperlink w:anchor="_Toc91775260" w:history="1">
            <w:r w:rsidR="00C954B2" w:rsidRPr="00A92DD7">
              <w:rPr>
                <w:rStyle w:val="Hyperlink"/>
                <w:noProof/>
              </w:rPr>
              <w:t>Recommendations and Conclusion</w:t>
            </w:r>
            <w:r w:rsidR="00C954B2">
              <w:rPr>
                <w:noProof/>
                <w:webHidden/>
              </w:rPr>
              <w:tab/>
            </w:r>
            <w:r w:rsidR="00C954B2">
              <w:rPr>
                <w:noProof/>
                <w:webHidden/>
              </w:rPr>
              <w:fldChar w:fldCharType="begin"/>
            </w:r>
            <w:r w:rsidR="00C954B2">
              <w:rPr>
                <w:noProof/>
                <w:webHidden/>
              </w:rPr>
              <w:instrText xml:space="preserve"> PAGEREF _Toc91775260 \h </w:instrText>
            </w:r>
            <w:r w:rsidR="00C954B2">
              <w:rPr>
                <w:noProof/>
                <w:webHidden/>
              </w:rPr>
            </w:r>
            <w:r w:rsidR="00C954B2">
              <w:rPr>
                <w:noProof/>
                <w:webHidden/>
              </w:rPr>
              <w:fldChar w:fldCharType="separate"/>
            </w:r>
            <w:r w:rsidR="00C954B2">
              <w:rPr>
                <w:noProof/>
                <w:webHidden/>
              </w:rPr>
              <w:t>7</w:t>
            </w:r>
            <w:r w:rsidR="00C954B2">
              <w:rPr>
                <w:noProof/>
                <w:webHidden/>
              </w:rPr>
              <w:fldChar w:fldCharType="end"/>
            </w:r>
          </w:hyperlink>
        </w:p>
        <w:p w14:paraId="6CDC65DA" w14:textId="4C22B7D4" w:rsidR="00C954B2" w:rsidRDefault="002E6D76" w:rsidP="009A3567">
          <w:pPr>
            <w:pStyle w:val="TOC1"/>
            <w:rPr>
              <w:noProof/>
            </w:rPr>
          </w:pPr>
          <w:hyperlink w:anchor="_Toc91775261" w:history="1">
            <w:r w:rsidR="00C954B2" w:rsidRPr="00A92DD7">
              <w:rPr>
                <w:rStyle w:val="Hyperlink"/>
                <w:noProof/>
              </w:rPr>
              <w:t>References</w:t>
            </w:r>
            <w:r w:rsidR="00C954B2">
              <w:rPr>
                <w:noProof/>
                <w:webHidden/>
              </w:rPr>
              <w:tab/>
            </w:r>
            <w:r w:rsidR="00C954B2">
              <w:rPr>
                <w:noProof/>
                <w:webHidden/>
              </w:rPr>
              <w:fldChar w:fldCharType="begin"/>
            </w:r>
            <w:r w:rsidR="00C954B2">
              <w:rPr>
                <w:noProof/>
                <w:webHidden/>
              </w:rPr>
              <w:instrText xml:space="preserve"> PAGEREF _Toc91775261 \h </w:instrText>
            </w:r>
            <w:r w:rsidR="00C954B2">
              <w:rPr>
                <w:noProof/>
                <w:webHidden/>
              </w:rPr>
            </w:r>
            <w:r w:rsidR="00C954B2">
              <w:rPr>
                <w:noProof/>
                <w:webHidden/>
              </w:rPr>
              <w:fldChar w:fldCharType="separate"/>
            </w:r>
            <w:r w:rsidR="00C954B2">
              <w:rPr>
                <w:noProof/>
                <w:webHidden/>
              </w:rPr>
              <w:t>8</w:t>
            </w:r>
            <w:r w:rsidR="00C954B2">
              <w:rPr>
                <w:noProof/>
                <w:webHidden/>
              </w:rPr>
              <w:fldChar w:fldCharType="end"/>
            </w:r>
          </w:hyperlink>
        </w:p>
        <w:p w14:paraId="0E1E2B3E" w14:textId="6AF31E59" w:rsidR="00C954B2" w:rsidRDefault="00C954B2">
          <w:r>
            <w:rPr>
              <w:b/>
              <w:bCs/>
              <w:noProof/>
            </w:rPr>
            <w:fldChar w:fldCharType="end"/>
          </w:r>
        </w:p>
      </w:sdtContent>
    </w:sdt>
    <w:p w14:paraId="121AE8D3" w14:textId="459877C8" w:rsidR="00FE6EE1" w:rsidRDefault="002E6D76"/>
    <w:p w14:paraId="053802EF" w14:textId="50D5450B" w:rsidR="00BB61E8" w:rsidRDefault="00BB61E8"/>
    <w:p w14:paraId="20C69602" w14:textId="7D758A7D" w:rsidR="00BB61E8" w:rsidRDefault="00BB61E8"/>
    <w:p w14:paraId="214ECD5B" w14:textId="6728DDEB" w:rsidR="00BB61E8" w:rsidRDefault="00BB61E8"/>
    <w:p w14:paraId="25D6739D" w14:textId="2F1E0F73" w:rsidR="00BB61E8" w:rsidRDefault="00BB61E8"/>
    <w:p w14:paraId="2F437835" w14:textId="4A676364" w:rsidR="00BB61E8" w:rsidRDefault="00BB61E8"/>
    <w:p w14:paraId="7B5CE0DF" w14:textId="352BBA48" w:rsidR="00BB61E8" w:rsidRDefault="00BB61E8"/>
    <w:p w14:paraId="69962BF4" w14:textId="41211AA3" w:rsidR="00BB61E8" w:rsidRDefault="00BB61E8"/>
    <w:p w14:paraId="2E07C7BE" w14:textId="7B868668" w:rsidR="00BB61E8" w:rsidRDefault="00BB61E8"/>
    <w:p w14:paraId="72DF416F" w14:textId="79DE30B0" w:rsidR="00BB61E8" w:rsidRDefault="00BB61E8"/>
    <w:p w14:paraId="5BFEC965" w14:textId="58811277" w:rsidR="00BB61E8" w:rsidRDefault="00BB61E8"/>
    <w:p w14:paraId="6AAE32D9" w14:textId="37E1A3F2" w:rsidR="00BB61E8" w:rsidRDefault="00BB61E8"/>
    <w:p w14:paraId="665B5114" w14:textId="5842681F" w:rsidR="00BB61E8" w:rsidRDefault="00BB61E8"/>
    <w:p w14:paraId="06A150C5" w14:textId="75A4516E" w:rsidR="00BB61E8" w:rsidRDefault="00BB61E8"/>
    <w:p w14:paraId="3BD4EE2F" w14:textId="72C25969" w:rsidR="00BB61E8" w:rsidRDefault="00BB61E8"/>
    <w:p w14:paraId="24ED1745" w14:textId="36A26AF0" w:rsidR="00BB61E8" w:rsidRDefault="00BB61E8"/>
    <w:p w14:paraId="00C52A4E" w14:textId="26F4A870" w:rsidR="00BB61E8" w:rsidRDefault="00BB61E8"/>
    <w:p w14:paraId="12EE89B6" w14:textId="6425D2DC" w:rsidR="00BB61E8" w:rsidRDefault="00BB61E8"/>
    <w:p w14:paraId="1A172BE9" w14:textId="6357AA9D" w:rsidR="00BB61E8" w:rsidRDefault="00BB61E8" w:rsidP="00BB61E8">
      <w:pPr>
        <w:pStyle w:val="Heading1"/>
      </w:pPr>
      <w:bookmarkStart w:id="0" w:name="_Toc91775255"/>
      <w:r>
        <w:t>Introduction</w:t>
      </w:r>
      <w:bookmarkEnd w:id="0"/>
    </w:p>
    <w:p w14:paraId="07A35BB7" w14:textId="6B25FD1B" w:rsidR="00BB61E8" w:rsidRPr="009A3567" w:rsidRDefault="00FB7F67" w:rsidP="009A3567">
      <w:pPr>
        <w:spacing w:line="360" w:lineRule="auto"/>
        <w:rPr>
          <w:sz w:val="22"/>
        </w:rPr>
      </w:pPr>
      <w:r w:rsidRPr="009A3567">
        <w:rPr>
          <w:sz w:val="22"/>
        </w:rPr>
        <w:t>Various techniques have been proposed and attempts have been made to control the scourges of coronavirus. Approaches range from reducing cases in a country to zero or possibly to extremely low levels, so that essentially all pollution can be identified and controlled by rapid tests, following pollution. backwards and forwards and following their contacts (TTT) mediation (regulatory methodology), to keep the frequency below the outermost ranges of emergency clinics and concentrated care units, to simply provide high-risk populations for extreme disease and SARS-</w:t>
      </w:r>
      <w:proofErr w:type="spellStart"/>
      <w:r w:rsidRPr="009A3567">
        <w:rPr>
          <w:sz w:val="22"/>
        </w:rPr>
        <w:t>CoV</w:t>
      </w:r>
      <w:proofErr w:type="spellEnd"/>
      <w:r w:rsidRPr="009A3567">
        <w:rPr>
          <w:sz w:val="22"/>
        </w:rPr>
        <w:t xml:space="preserve"> disease (crowd invulnerability procedure)</w:t>
      </w:r>
      <w:r w:rsidR="00E83D2D" w:rsidRPr="009A3567">
        <w:rPr>
          <w:sz w:val="22"/>
        </w:rPr>
        <w:t xml:space="preserve"> (Tseng et al., 2020)</w:t>
      </w:r>
      <w:r w:rsidRPr="009A3567">
        <w:rPr>
          <w:sz w:val="22"/>
        </w:rPr>
        <w:t>. This large number of techniques has advantages and disadvantages. Disposal and regulation systems need strong control measures, supported by appropriate innovation (</w:t>
      </w:r>
      <w:proofErr w:type="spellStart"/>
      <w:r w:rsidRPr="009A3567">
        <w:rPr>
          <w:sz w:val="22"/>
        </w:rPr>
        <w:t>eg</w:t>
      </w:r>
      <w:proofErr w:type="spellEnd"/>
      <w:r w:rsidRPr="009A3567">
        <w:rPr>
          <w:sz w:val="22"/>
        </w:rPr>
        <w:t xml:space="preserve"> application monitoring, mobile phone support, extensive testing) and solid political assistance; they have specific ramifications on individual information security and individual freedoms, but can keep the rate of SARS-CoV-2 disease, coronavirus cases and transmission extremely low, thus likely limiting long-range restrictions on social freedom freedoms close to home. </w:t>
      </w:r>
    </w:p>
    <w:p w14:paraId="458C5179" w14:textId="658749C2" w:rsidR="00FB7F67" w:rsidRPr="009A3567" w:rsidRDefault="00FB7F67" w:rsidP="009A3567">
      <w:pPr>
        <w:spacing w:line="360" w:lineRule="auto"/>
        <w:rPr>
          <w:sz w:val="22"/>
        </w:rPr>
      </w:pPr>
      <w:r w:rsidRPr="009A3567">
        <w:rPr>
          <w:sz w:val="22"/>
        </w:rPr>
        <w:t xml:space="preserve">This report will examine the different approaches and techniques through which UK and Germany have monitored the COVID-19 incidence and evaluate the success </w:t>
      </w:r>
      <w:r w:rsidR="00331C7A" w:rsidRPr="009A3567">
        <w:rPr>
          <w:sz w:val="22"/>
        </w:rPr>
        <w:t xml:space="preserve">of those approaches respectively. </w:t>
      </w:r>
    </w:p>
    <w:p w14:paraId="69D82EF3" w14:textId="74DEB34F" w:rsidR="00885538" w:rsidRDefault="00885538" w:rsidP="00885538">
      <w:pPr>
        <w:pStyle w:val="Heading1"/>
      </w:pPr>
      <w:bookmarkStart w:id="1" w:name="_Toc91775256"/>
      <w:r>
        <w:t>COVID-19 Background</w:t>
      </w:r>
      <w:bookmarkEnd w:id="1"/>
    </w:p>
    <w:p w14:paraId="11A54444" w14:textId="4257DE58" w:rsidR="00331C7A" w:rsidRPr="009A3567" w:rsidRDefault="00331C7A" w:rsidP="009A3567">
      <w:pPr>
        <w:spacing w:line="360" w:lineRule="auto"/>
        <w:rPr>
          <w:sz w:val="22"/>
        </w:rPr>
      </w:pPr>
      <w:r w:rsidRPr="009A3567">
        <w:rPr>
          <w:sz w:val="22"/>
        </w:rPr>
        <w:t>By mid-December 2020, there were more than 70 million detected cases of coronavirus (not all of which are presumed) and about 1.6 million have been declared worldwide. The percentage of victims (CFRs) and the percentage of coronavirus contamination (IFRs) vary in the long term, both locally and universally, depending on various factors, such as the strength of testing in certain nations, the age of the affected populations, the degree of dangerous gatherings (elderly people, people with permanent illnesses) and the accessibility, openness and nature of welfare administrations</w:t>
      </w:r>
      <w:r w:rsidR="00F7398B" w:rsidRPr="009A3567">
        <w:rPr>
          <w:sz w:val="22"/>
        </w:rPr>
        <w:t xml:space="preserve"> (Global Health Action, 2021)</w:t>
      </w:r>
      <w:r w:rsidRPr="009A3567">
        <w:rPr>
          <w:sz w:val="22"/>
        </w:rPr>
        <w:t>.</w:t>
      </w:r>
    </w:p>
    <w:p w14:paraId="0C389D34" w14:textId="0732BD57" w:rsidR="00331C7A" w:rsidRPr="009A3567" w:rsidRDefault="00331C7A" w:rsidP="009A3567">
      <w:pPr>
        <w:spacing w:line="360" w:lineRule="auto"/>
        <w:rPr>
          <w:sz w:val="22"/>
        </w:rPr>
      </w:pPr>
      <w:r w:rsidRPr="009A3567">
        <w:rPr>
          <w:sz w:val="22"/>
        </w:rPr>
        <w:t xml:space="preserve">SARS-CoV-2 is transmitted primarily through beads and steam sprayers during discussions, shouting, singing and training and when people gather in inefficiently ventilated indoor areas; </w:t>
      </w:r>
      <w:proofErr w:type="spellStart"/>
      <w:r w:rsidRPr="009A3567">
        <w:rPr>
          <w:sz w:val="22"/>
        </w:rPr>
        <w:t>Fomiti</w:t>
      </w:r>
      <w:proofErr w:type="spellEnd"/>
      <w:r w:rsidRPr="009A3567">
        <w:rPr>
          <w:sz w:val="22"/>
        </w:rPr>
        <w:t xml:space="preserve"> transmission seems to occupy an insignificant part. The infection initially mimics the upper respiratory tract and Coronavirus cases have previously become irresistible in previous days. this is the main distinction of the epidemiological qualities of SARS-</w:t>
      </w:r>
      <w:proofErr w:type="spellStart"/>
      <w:r w:rsidRPr="009A3567">
        <w:rPr>
          <w:sz w:val="22"/>
        </w:rPr>
        <w:t>CoV</w:t>
      </w:r>
      <w:proofErr w:type="spellEnd"/>
      <w:r w:rsidRPr="009A3567">
        <w:rPr>
          <w:sz w:val="22"/>
        </w:rPr>
        <w:t xml:space="preserve">, in </w:t>
      </w:r>
      <w:r w:rsidRPr="009A3567">
        <w:rPr>
          <w:sz w:val="22"/>
        </w:rPr>
        <w:lastRenderedPageBreak/>
        <w:t>which infected people begin to tarnish others only after the onset of side effects; this has significant implications for the implementation of control measures</w:t>
      </w:r>
      <w:r w:rsidR="00E83D2D" w:rsidRPr="009A3567">
        <w:rPr>
          <w:sz w:val="22"/>
        </w:rPr>
        <w:t xml:space="preserve"> (</w:t>
      </w:r>
      <w:proofErr w:type="spellStart"/>
      <w:r w:rsidR="00E83D2D" w:rsidRPr="009A3567">
        <w:rPr>
          <w:sz w:val="22"/>
        </w:rPr>
        <w:t>Robishaw</w:t>
      </w:r>
      <w:proofErr w:type="spellEnd"/>
      <w:r w:rsidR="00E83D2D" w:rsidRPr="009A3567">
        <w:rPr>
          <w:sz w:val="22"/>
        </w:rPr>
        <w:t xml:space="preserve"> et al., 2021)</w:t>
      </w:r>
      <w:r w:rsidRPr="009A3567">
        <w:rPr>
          <w:sz w:val="22"/>
        </w:rPr>
        <w:t>.</w:t>
      </w:r>
    </w:p>
    <w:p w14:paraId="38CF0F05" w14:textId="5F771BA4" w:rsidR="0041571A" w:rsidRPr="009A3567" w:rsidRDefault="00331C7A" w:rsidP="009A3567">
      <w:pPr>
        <w:spacing w:line="360" w:lineRule="auto"/>
        <w:rPr>
          <w:sz w:val="22"/>
        </w:rPr>
      </w:pPr>
      <w:r w:rsidRPr="009A3567">
        <w:rPr>
          <w:sz w:val="22"/>
        </w:rPr>
        <w:t>Currently, social workers are better off than at the beginning of the pandemic, but a significant group of dangers remains. Today, most of the transmission takes place when unprotected individuals stay together carefully for delayed time frames, as this is mainly the situation in families and during casual social relationships of family members and companions</w:t>
      </w:r>
      <w:r w:rsidR="00E83D2D" w:rsidRPr="009A3567">
        <w:rPr>
          <w:sz w:val="22"/>
        </w:rPr>
        <w:t xml:space="preserve"> (</w:t>
      </w:r>
      <w:proofErr w:type="spellStart"/>
      <w:r w:rsidR="00E83D2D" w:rsidRPr="009A3567">
        <w:rPr>
          <w:sz w:val="22"/>
        </w:rPr>
        <w:t>Robishaw</w:t>
      </w:r>
      <w:proofErr w:type="spellEnd"/>
      <w:r w:rsidR="00E83D2D" w:rsidRPr="009A3567">
        <w:rPr>
          <w:sz w:val="22"/>
        </w:rPr>
        <w:t xml:space="preserve"> et al., 2021)</w:t>
      </w:r>
      <w:r w:rsidRPr="009A3567">
        <w:rPr>
          <w:sz w:val="22"/>
        </w:rPr>
        <w:t>. The risk of transmission is further high in crowded places, such as homes, nursing homes, prisons, exile camps, passenger ships and certain workplaces. Overspending, which is associated with huge public or private social events (for example, in places of worship or during local events), continues to be responsible for significant fluctuations.</w:t>
      </w:r>
    </w:p>
    <w:p w14:paraId="6C239AEC" w14:textId="60C3677D" w:rsidR="00BB61E8" w:rsidRPr="00BB61E8" w:rsidRDefault="00BB61E8" w:rsidP="00BB61E8">
      <w:pPr>
        <w:pStyle w:val="Heading1"/>
      </w:pPr>
      <w:bookmarkStart w:id="2" w:name="_Toc91775257"/>
      <w:r>
        <w:t>D</w:t>
      </w:r>
      <w:r w:rsidRPr="00BB61E8">
        <w:t>ifferent approaches and strategies used to measure, monitor and control the incidence of Covid- 19 in the UK</w:t>
      </w:r>
      <w:bookmarkEnd w:id="2"/>
      <w:r w:rsidR="00885538">
        <w:t xml:space="preserve"> </w:t>
      </w:r>
    </w:p>
    <w:p w14:paraId="3EE83124" w14:textId="08C5CB21" w:rsidR="00331C7A" w:rsidRPr="009A3567" w:rsidRDefault="00331C7A" w:rsidP="009A3567">
      <w:pPr>
        <w:spacing w:line="360" w:lineRule="auto"/>
        <w:rPr>
          <w:sz w:val="22"/>
        </w:rPr>
      </w:pPr>
      <w:r w:rsidRPr="009A3567">
        <w:rPr>
          <w:sz w:val="22"/>
        </w:rPr>
        <w:t>PHE has been the primary source of tracking and evaluating data for COVID-19 incidence in the UK</w:t>
      </w:r>
      <w:r w:rsidR="00F7398B" w:rsidRPr="009A3567">
        <w:rPr>
          <w:sz w:val="22"/>
        </w:rPr>
        <w:t xml:space="preserve"> (Government UK, 2020)</w:t>
      </w:r>
      <w:r w:rsidRPr="009A3567">
        <w:rPr>
          <w:sz w:val="22"/>
        </w:rPr>
        <w:t xml:space="preserve">. One of the capacities of the PHE </w:t>
      </w:r>
      <w:proofErr w:type="spellStart"/>
      <w:r w:rsidRPr="009A3567">
        <w:rPr>
          <w:sz w:val="22"/>
        </w:rPr>
        <w:t>center</w:t>
      </w:r>
      <w:proofErr w:type="spellEnd"/>
      <w:r w:rsidRPr="009A3567">
        <w:rPr>
          <w:sz w:val="22"/>
        </w:rPr>
        <w:t xml:space="preserve"> is the investigation of infections; ensuring that we have the ideal data available to </w:t>
      </w:r>
      <w:r w:rsidR="00F7398B" w:rsidRPr="009A3567">
        <w:rPr>
          <w:sz w:val="22"/>
        </w:rPr>
        <w:t>the organisation</w:t>
      </w:r>
      <w:r w:rsidRPr="009A3567">
        <w:rPr>
          <w:sz w:val="22"/>
        </w:rPr>
        <w:t>, with the ideal chance to shed light on elections and activities in the common welfare framework. Intelligence involves gathering a wide range of information about infection from a variety of sources to provide us with situational awareness.</w:t>
      </w:r>
    </w:p>
    <w:p w14:paraId="1C51F60B" w14:textId="0A425AC1" w:rsidR="00885538" w:rsidRPr="009A3567" w:rsidRDefault="00331C7A" w:rsidP="009A3567">
      <w:pPr>
        <w:spacing w:line="360" w:lineRule="auto"/>
        <w:rPr>
          <w:sz w:val="22"/>
        </w:rPr>
      </w:pPr>
      <w:r w:rsidRPr="009A3567">
        <w:rPr>
          <w:sz w:val="22"/>
        </w:rPr>
        <w:t xml:space="preserve">To help understand the spread of Coronavirus, PHE uses a wide range of ongoing information both at the </w:t>
      </w:r>
      <w:proofErr w:type="spellStart"/>
      <w:r w:rsidRPr="009A3567">
        <w:rPr>
          <w:sz w:val="22"/>
        </w:rPr>
        <w:t>neighborhood</w:t>
      </w:r>
      <w:proofErr w:type="spellEnd"/>
      <w:r w:rsidRPr="009A3567">
        <w:rPr>
          <w:sz w:val="22"/>
        </w:rPr>
        <w:t xml:space="preserve"> and community level, and to keep the general welfare framework informed of the information they collect, we are currently disseminating week after week intelligence report and infographics week by week</w:t>
      </w:r>
      <w:r w:rsidR="00E83D2D" w:rsidRPr="009A3567">
        <w:rPr>
          <w:sz w:val="22"/>
        </w:rPr>
        <w:t xml:space="preserve"> (Hsiang et al., 2020)</w:t>
      </w:r>
      <w:r w:rsidRPr="009A3567">
        <w:rPr>
          <w:sz w:val="22"/>
        </w:rPr>
        <w:t xml:space="preserve">. Monitoring frameworks have been selected so that they can be routinely and reliably assessed. No piece of information tells the whole story of each episode, nor any framework can provide an authoritative figure for the exact number of people who could have coronavirus, as many will have a mild illness and will never report that of welfare administrations. By bringing together a wide range of information, we can make all-around informed decisions about emerging patterns, geological varieties, and gatherings of individuals that are generally affected. </w:t>
      </w:r>
    </w:p>
    <w:p w14:paraId="7C9F39D5" w14:textId="77777777" w:rsidR="00331C7A" w:rsidRPr="009A3567" w:rsidRDefault="00331C7A" w:rsidP="009A3567">
      <w:pPr>
        <w:spacing w:line="360" w:lineRule="auto"/>
        <w:rPr>
          <w:sz w:val="22"/>
        </w:rPr>
      </w:pPr>
      <w:r w:rsidRPr="009A3567">
        <w:rPr>
          <w:sz w:val="22"/>
        </w:rPr>
        <w:t xml:space="preserve">The weekly PHE intelligence report recalls a page on confirmed coronavirus cases in the UK from a research </w:t>
      </w:r>
      <w:proofErr w:type="spellStart"/>
      <w:r w:rsidRPr="009A3567">
        <w:rPr>
          <w:sz w:val="22"/>
        </w:rPr>
        <w:t>center</w:t>
      </w:r>
      <w:proofErr w:type="spellEnd"/>
      <w:r w:rsidRPr="009A3567">
        <w:rPr>
          <w:sz w:val="22"/>
        </w:rPr>
        <w:t>, which includes a breakdown by age / gender. The plague turn, showing the movement of cases in the long run, is additionally remembered for the analysis.</w:t>
      </w:r>
    </w:p>
    <w:p w14:paraId="037A8A42" w14:textId="0074E530" w:rsidR="00331C7A" w:rsidRPr="009A3567" w:rsidRDefault="00331C7A" w:rsidP="009A3567">
      <w:pPr>
        <w:spacing w:line="360" w:lineRule="auto"/>
        <w:rPr>
          <w:sz w:val="22"/>
        </w:rPr>
      </w:pPr>
      <w:r w:rsidRPr="009A3567">
        <w:rPr>
          <w:sz w:val="22"/>
        </w:rPr>
        <w:lastRenderedPageBreak/>
        <w:t xml:space="preserve">The information is displayed from the date on which the sample was taken from the subject, not from the date on which the laboratory completed the testing and sent the information to the PHE. While this provides the most reliable investigation into how things are going in the long run, it means that the figures for the last few days are usually inadequate - so they should not be seen as a sharp drop in cases. It is also important to recall that most tests so far have been offered to those in an emergency clinic with a clinical need just like key NHS specialists, and not to all, many with mild </w:t>
      </w:r>
      <w:r w:rsidR="00E83D2D" w:rsidRPr="009A3567">
        <w:rPr>
          <w:sz w:val="22"/>
        </w:rPr>
        <w:t>analysis (Hsiang et al., 2020)</w:t>
      </w:r>
      <w:r w:rsidRPr="009A3567">
        <w:rPr>
          <w:sz w:val="22"/>
        </w:rPr>
        <w:t>. The cases confirmed in this way are aimed at the general population of people with extreme illnesses, not at those who become infected.</w:t>
      </w:r>
    </w:p>
    <w:p w14:paraId="0F16AC6B" w14:textId="77777777" w:rsidR="00331C7A" w:rsidRPr="009A3567" w:rsidRDefault="00331C7A" w:rsidP="009A3567">
      <w:pPr>
        <w:spacing w:line="360" w:lineRule="auto"/>
        <w:rPr>
          <w:sz w:val="22"/>
        </w:rPr>
      </w:pPr>
      <w:r w:rsidRPr="009A3567">
        <w:rPr>
          <w:sz w:val="22"/>
        </w:rPr>
        <w:t>This is an absolute week-by-week, not the latest day-to-day update, so to stay up to date with confirmed day-to-day cases, you need to use their dashboard, which is updated every night. The surveillance report further divides the confirmed cases of coronavirus by PHE focus (PHE has 9 foci based on nation) and NHS locale. PHE has an organization of welfare security groups consisting of researchers and specialists trained to monitor irresistible episodes of disease. These groups are constantly watching for episodes in scenes such as schools or nursing homes, and the collection of this data is necessary both at close levels and to shed light on our public response.</w:t>
      </w:r>
    </w:p>
    <w:p w14:paraId="73E13F50" w14:textId="77777777" w:rsidR="00331C7A" w:rsidRPr="009A3567" w:rsidRDefault="00331C7A" w:rsidP="009A3567">
      <w:pPr>
        <w:spacing w:line="360" w:lineRule="auto"/>
        <w:rPr>
          <w:sz w:val="22"/>
        </w:rPr>
      </w:pPr>
      <w:r w:rsidRPr="009A3567">
        <w:rPr>
          <w:sz w:val="22"/>
        </w:rPr>
        <w:t>The weekly intelligence report brings together data provided by welfare insurance groups, such as any "intensive respiratory attacks" at the local level, including situations where Covid has been confirmed. As PHE emerges from the colder seasons and influenza-like illnesses become less common, they would expect that most outbreaks in the community should be associated with Coronavirus ("episode" is characterized by at least two individuals being infected. face a comparative disease that has all the signs that it is associated with a place). However, PHE further recognizes that not everyone who becomes infected with Coronavirus will essentially report their indications to a specialist or by calling NHS 111, but many may go online to help track data and tips to speed up their recovery.</w:t>
      </w:r>
    </w:p>
    <w:p w14:paraId="2346D3FB" w14:textId="3981BAD7" w:rsidR="00331C7A" w:rsidRPr="009A3567" w:rsidRDefault="00331C7A" w:rsidP="009A3567">
      <w:pPr>
        <w:spacing w:line="360" w:lineRule="auto"/>
        <w:rPr>
          <w:sz w:val="22"/>
        </w:rPr>
      </w:pPr>
      <w:r w:rsidRPr="009A3567">
        <w:rPr>
          <w:sz w:val="22"/>
        </w:rPr>
        <w:t xml:space="preserve">PHE's web-based monitoring tracks the volume of people searching for common indications of Covid in web search tools such as Google, and the association is paying special attention to confirm that the amount of these activities is expanding beyond expected levels. Finally, the Internet-based </w:t>
      </w:r>
      <w:proofErr w:type="spellStart"/>
      <w:r w:rsidRPr="009A3567">
        <w:rPr>
          <w:sz w:val="22"/>
        </w:rPr>
        <w:t>FluSurvey</w:t>
      </w:r>
      <w:proofErr w:type="spellEnd"/>
      <w:r w:rsidRPr="009A3567">
        <w:rPr>
          <w:sz w:val="22"/>
        </w:rPr>
        <w:t xml:space="preserve"> has been completed by humans in general and tracks self-proclaimed respiratory indications</w:t>
      </w:r>
      <w:r w:rsidR="00E83D2D" w:rsidRPr="009A3567">
        <w:rPr>
          <w:sz w:val="22"/>
        </w:rPr>
        <w:t xml:space="preserve"> (NHS prepares for antiviral deployment to treat COVID-19, 2021)</w:t>
      </w:r>
      <w:r w:rsidRPr="009A3567">
        <w:rPr>
          <w:sz w:val="22"/>
        </w:rPr>
        <w:t>. The tool is already set up to screen for local dominance and coronavirus-related indications.</w:t>
      </w:r>
    </w:p>
    <w:p w14:paraId="6F3EF7A8" w14:textId="34E55D6A" w:rsidR="00331C7A" w:rsidRPr="009A3567" w:rsidRDefault="00331C7A" w:rsidP="009A3567">
      <w:pPr>
        <w:spacing w:line="360" w:lineRule="auto"/>
        <w:rPr>
          <w:sz w:val="22"/>
        </w:rPr>
      </w:pPr>
      <w:r w:rsidRPr="009A3567">
        <w:rPr>
          <w:sz w:val="22"/>
        </w:rPr>
        <w:t xml:space="preserve">As a final note on essential intelligence, the PHE surveillance movement includes a range of information gathered from the nation's GPs. The PHE GP framework records daily the </w:t>
      </w:r>
      <w:r w:rsidRPr="009A3567">
        <w:rPr>
          <w:sz w:val="22"/>
        </w:rPr>
        <w:lastRenderedPageBreak/>
        <w:t>number of GP conferences where patients have a set of respiratory indications, including coronavirus cases. This plan has an extremely wide involvement of the population of Great Britain with about 4500 medical procedures by general practitioners (covering a population of about 40 million patients), which are revealed in it every day</w:t>
      </w:r>
      <w:r w:rsidR="00E83D2D" w:rsidRPr="009A3567">
        <w:rPr>
          <w:sz w:val="22"/>
        </w:rPr>
        <w:t xml:space="preserve"> (NHS prepares for antiviral deployment to treat COVID-19, 2021)</w:t>
      </w:r>
      <w:r w:rsidRPr="009A3567">
        <w:rPr>
          <w:sz w:val="22"/>
        </w:rPr>
        <w:t>.</w:t>
      </w:r>
    </w:p>
    <w:p w14:paraId="479C34CC" w14:textId="3F33C5B7" w:rsidR="00331C7A" w:rsidRPr="009A3567" w:rsidRDefault="00331C7A" w:rsidP="009A3567">
      <w:pPr>
        <w:spacing w:line="360" w:lineRule="auto"/>
        <w:rPr>
          <w:sz w:val="22"/>
        </w:rPr>
      </w:pPr>
      <w:r w:rsidRPr="009A3567">
        <w:rPr>
          <w:sz w:val="22"/>
        </w:rPr>
        <w:t>Our out-of-hours GP framework also checks the number of unscheduled daily visits and calls to GP administrations across the UK, especially at night, short-term, on weekends and in open cases, again where patients report that have respiratory manifestations. Together, these plans provide indispensable information across the country on the number of people giving indications and manifestations to Covid.</w:t>
      </w:r>
    </w:p>
    <w:p w14:paraId="21B532CE" w14:textId="531B9B0D" w:rsidR="00331C7A" w:rsidRPr="009A3567" w:rsidRDefault="00331C7A" w:rsidP="009A3567">
      <w:pPr>
        <w:spacing w:line="360" w:lineRule="auto"/>
        <w:rPr>
          <w:sz w:val="22"/>
        </w:rPr>
      </w:pPr>
      <w:r w:rsidRPr="009A3567">
        <w:rPr>
          <w:sz w:val="22"/>
        </w:rPr>
        <w:t>It is important to note that when verifying these figures, PHE assesses the way in which official government guidelines have encouraged those who believe they have Covid to contact NHS 111 or visit nhs.net instead of going to the private you are a doctor. The GP</w:t>
      </w:r>
      <w:r w:rsidR="00E83D2D" w:rsidRPr="009A3567">
        <w:rPr>
          <w:sz w:val="22"/>
        </w:rPr>
        <w:t>s</w:t>
      </w:r>
      <w:r w:rsidRPr="009A3567">
        <w:rPr>
          <w:sz w:val="22"/>
        </w:rPr>
        <w:t xml:space="preserve"> plan above offer PHE information based on the clinical judgment of GPs who record whether their patient has had respiratory disease, but </w:t>
      </w:r>
      <w:r w:rsidR="00B533D8" w:rsidRPr="009A3567">
        <w:rPr>
          <w:sz w:val="22"/>
        </w:rPr>
        <w:t>PHE</w:t>
      </w:r>
      <w:r w:rsidRPr="009A3567">
        <w:rPr>
          <w:sz w:val="22"/>
        </w:rPr>
        <w:t xml:space="preserve"> are also conducting a substantial consideration that includes laboratory testing of patients</w:t>
      </w:r>
      <w:r w:rsidR="00B533D8" w:rsidRPr="009A3567">
        <w:rPr>
          <w:sz w:val="22"/>
        </w:rPr>
        <w:t xml:space="preserve"> (</w:t>
      </w:r>
      <w:proofErr w:type="spellStart"/>
      <w:r w:rsidR="00B533D8" w:rsidRPr="009A3567">
        <w:rPr>
          <w:sz w:val="22"/>
        </w:rPr>
        <w:t>Bittihn</w:t>
      </w:r>
      <w:proofErr w:type="spellEnd"/>
      <w:r w:rsidR="00B533D8" w:rsidRPr="009A3567">
        <w:rPr>
          <w:sz w:val="22"/>
        </w:rPr>
        <w:t xml:space="preserve"> et al., 2021)</w:t>
      </w:r>
      <w:r w:rsidRPr="009A3567">
        <w:rPr>
          <w:sz w:val="22"/>
        </w:rPr>
        <w:t>.</w:t>
      </w:r>
    </w:p>
    <w:p w14:paraId="4034D9A5" w14:textId="44AB6E23" w:rsidR="00331C7A" w:rsidRPr="009A3567" w:rsidRDefault="00331C7A" w:rsidP="009A3567">
      <w:pPr>
        <w:spacing w:line="360" w:lineRule="auto"/>
        <w:rPr>
          <w:sz w:val="22"/>
        </w:rPr>
      </w:pPr>
      <w:r w:rsidRPr="009A3567">
        <w:rPr>
          <w:sz w:val="22"/>
        </w:rPr>
        <w:t xml:space="preserve">The RCGP plan provides for GPs to take samples from patients or to ask patients to take tampons themselves when advising the GP on respiratory indications - an example of about 200 </w:t>
      </w:r>
      <w:r w:rsidR="00E83D2D" w:rsidRPr="009A3567">
        <w:rPr>
          <w:sz w:val="22"/>
        </w:rPr>
        <w:t>projects</w:t>
      </w:r>
      <w:r w:rsidRPr="009A3567">
        <w:rPr>
          <w:sz w:val="22"/>
        </w:rPr>
        <w:t xml:space="preserve"> from GPs. This provides the PHE with an 'energy speed' test, which the PHE can check step by step, by age and by region, to see if the rate of people with confirmed coronavirus is increasing</w:t>
      </w:r>
      <w:r w:rsidR="00E83D2D" w:rsidRPr="009A3567">
        <w:rPr>
          <w:sz w:val="22"/>
        </w:rPr>
        <w:t xml:space="preserve"> (NHS prepares for antiviral deployment to treat COVID-19, 2021)</w:t>
      </w:r>
      <w:r w:rsidRPr="009A3567">
        <w:rPr>
          <w:sz w:val="22"/>
        </w:rPr>
        <w:t>. This intelligence framework provides additional insight on the grounds that it is not at all like testing in an emergency clinic, it offers data on milder respiratory diseases identified locally.</w:t>
      </w:r>
    </w:p>
    <w:p w14:paraId="595DEC73" w14:textId="438117F8" w:rsidR="00BB61E8" w:rsidRDefault="00BB61E8" w:rsidP="00BB61E8">
      <w:pPr>
        <w:pStyle w:val="Heading1"/>
      </w:pPr>
      <w:bookmarkStart w:id="3" w:name="_Toc91775258"/>
      <w:r>
        <w:t>D</w:t>
      </w:r>
      <w:r w:rsidRPr="00BB61E8">
        <w:t xml:space="preserve">ifferent approaches and strategies used to measure, monitor and control the incidence of Covid- 19 in </w:t>
      </w:r>
      <w:r>
        <w:t>Germany</w:t>
      </w:r>
      <w:bookmarkEnd w:id="3"/>
    </w:p>
    <w:p w14:paraId="5E81B668" w14:textId="23F6A1B8" w:rsidR="0041571A" w:rsidRPr="009A3567" w:rsidRDefault="00331C7A" w:rsidP="009A3567">
      <w:pPr>
        <w:spacing w:line="360" w:lineRule="auto"/>
        <w:rPr>
          <w:sz w:val="22"/>
        </w:rPr>
      </w:pPr>
      <w:r w:rsidRPr="009A3567">
        <w:rPr>
          <w:sz w:val="22"/>
        </w:rPr>
        <w:t xml:space="preserve">The main cases of coronavirus were tracked from China to southern Germany at the end of January 2020. These cases and their contacts were quickly discovered by the welfare framework and their transmission intervened. By </w:t>
      </w:r>
      <w:r w:rsidR="00F7398B" w:rsidRPr="009A3567">
        <w:rPr>
          <w:sz w:val="22"/>
        </w:rPr>
        <w:t xml:space="preserve">the end of </w:t>
      </w:r>
      <w:r w:rsidRPr="009A3567">
        <w:rPr>
          <w:sz w:val="22"/>
        </w:rPr>
        <w:t>2020, the number of coronavirus cases has escaped to increase dramatically. In contrast to the heavily affected European countries (like, France, Germany and the United Kingdom), a lower CFR was observed in Germany during this first wave</w:t>
      </w:r>
      <w:r w:rsidR="00E83D2D" w:rsidRPr="009A3567">
        <w:rPr>
          <w:sz w:val="22"/>
        </w:rPr>
        <w:t xml:space="preserve"> (Yuan et al., 2020)</w:t>
      </w:r>
      <w:r w:rsidRPr="009A3567">
        <w:rPr>
          <w:sz w:val="22"/>
        </w:rPr>
        <w:t>. This was largely clarified by early and extensive testing techniques, initially quite a young population infected with SARS-</w:t>
      </w:r>
      <w:proofErr w:type="spellStart"/>
      <w:r w:rsidRPr="009A3567">
        <w:rPr>
          <w:sz w:val="22"/>
        </w:rPr>
        <w:t>CoV</w:t>
      </w:r>
      <w:proofErr w:type="spellEnd"/>
      <w:r w:rsidRPr="009A3567">
        <w:rPr>
          <w:sz w:val="22"/>
        </w:rPr>
        <w:t>, due to transmission mainly in areas of interest, such as festivals and ski resorts and wells - a working framework for medical care.</w:t>
      </w:r>
    </w:p>
    <w:p w14:paraId="43D3F6C1" w14:textId="68466173" w:rsidR="00331C7A" w:rsidRPr="009A3567" w:rsidRDefault="00331C7A" w:rsidP="009A3567">
      <w:pPr>
        <w:spacing w:line="360" w:lineRule="auto"/>
        <w:rPr>
          <w:sz w:val="22"/>
        </w:rPr>
      </w:pPr>
      <w:r w:rsidRPr="009A3567">
        <w:rPr>
          <w:sz w:val="22"/>
        </w:rPr>
        <w:lastRenderedPageBreak/>
        <w:t xml:space="preserve">Given the growing number of cases and the extreme results of the plague in </w:t>
      </w:r>
      <w:proofErr w:type="spellStart"/>
      <w:r w:rsidRPr="009A3567">
        <w:rPr>
          <w:sz w:val="22"/>
        </w:rPr>
        <w:t>neighboring</w:t>
      </w:r>
      <w:proofErr w:type="spellEnd"/>
      <w:r w:rsidRPr="009A3567">
        <w:rPr>
          <w:sz w:val="22"/>
        </w:rPr>
        <w:t xml:space="preserve"> countries (especially Italy), Germany blocked from </w:t>
      </w:r>
      <w:r w:rsidR="00F7398B" w:rsidRPr="009A3567">
        <w:rPr>
          <w:sz w:val="22"/>
        </w:rPr>
        <w:t>the end of</w:t>
      </w:r>
      <w:r w:rsidRPr="009A3567">
        <w:rPr>
          <w:sz w:val="22"/>
        </w:rPr>
        <w:t xml:space="preserve"> </w:t>
      </w:r>
      <w:r w:rsidR="00F7398B" w:rsidRPr="009A3567">
        <w:rPr>
          <w:sz w:val="22"/>
        </w:rPr>
        <w:t xml:space="preserve">March </w:t>
      </w:r>
      <w:r w:rsidRPr="009A3567">
        <w:rPr>
          <w:sz w:val="22"/>
        </w:rPr>
        <w:t>to 3 May 2020, which included the closure of all unnecessary business, preschools, schools and much reduced exercise in colleges, simply as a boycott of private and public social events, but without significant constraint on individual development. The actions taken by the German government have been widely acknowledged by the population, the number of cases is steadily declining and remains low during the middle months of the year</w:t>
      </w:r>
      <w:r w:rsidR="00F7398B" w:rsidRPr="009A3567">
        <w:rPr>
          <w:sz w:val="22"/>
        </w:rPr>
        <w:t xml:space="preserve"> (Global Health Action, 2021)</w:t>
      </w:r>
      <w:r w:rsidRPr="009A3567">
        <w:rPr>
          <w:sz w:val="22"/>
        </w:rPr>
        <w:t>. The various factors that may have contributed include extremely extensive and scientifically sound data and discussions on public and global achievements in the field of plague in the German media, as well as a functioning and connected political authority. The warm and dry climate in summer, which is considered an outdoor social exercise, is likely to help keep workloads low.</w:t>
      </w:r>
    </w:p>
    <w:p w14:paraId="35AE2C6C" w14:textId="26122FB9" w:rsidR="00331C7A" w:rsidRPr="009A3567" w:rsidRDefault="00331C7A" w:rsidP="009A3567">
      <w:pPr>
        <w:spacing w:line="360" w:lineRule="auto"/>
        <w:rPr>
          <w:sz w:val="22"/>
        </w:rPr>
      </w:pPr>
      <w:r w:rsidRPr="009A3567">
        <w:rPr>
          <w:sz w:val="22"/>
        </w:rPr>
        <w:t xml:space="preserve">Towards the end of late spring, and with people returning from random sites in </w:t>
      </w:r>
      <w:proofErr w:type="spellStart"/>
      <w:r w:rsidRPr="009A3567">
        <w:rPr>
          <w:sz w:val="22"/>
        </w:rPr>
        <w:t>neighboring</w:t>
      </w:r>
      <w:proofErr w:type="spellEnd"/>
      <w:r w:rsidRPr="009A3567">
        <w:rPr>
          <w:sz w:val="22"/>
        </w:rPr>
        <w:t xml:space="preserve"> nations, along with some over-common cases (such as the German meat industry), coronavirus levels rose again. However, despite the approach of virus season, lack of access to antibodies and still distant group insensitivity, public talks and political activity were shockingly based on additional loosening controls. At the same time, huge gatherings and private gatherings continued</w:t>
      </w:r>
      <w:r w:rsidR="00944C47" w:rsidRPr="009A3567">
        <w:rPr>
          <w:sz w:val="22"/>
        </w:rPr>
        <w:t xml:space="preserve"> (Han et al., 2020)</w:t>
      </w:r>
      <w:r w:rsidRPr="009A3567">
        <w:rPr>
          <w:sz w:val="22"/>
        </w:rPr>
        <w:t xml:space="preserve">. This happened despite the early signals of German experts about the speed of the second wave, if there is an excessive withdrawal of control measures. By October, coronavirus cases had risen sharply again, due to the rapid depletion of the </w:t>
      </w:r>
      <w:proofErr w:type="spellStart"/>
      <w:r w:rsidRPr="009A3567">
        <w:rPr>
          <w:sz w:val="22"/>
        </w:rPr>
        <w:t>neighborhood</w:t>
      </w:r>
      <w:proofErr w:type="spellEnd"/>
      <w:r w:rsidRPr="009A3567">
        <w:rPr>
          <w:sz w:val="22"/>
        </w:rPr>
        <w:t xml:space="preserve"> welfare limit (estimated to have reached an average incidence of&gt; 50 cases per 100,000 population over a seven-day period)</w:t>
      </w:r>
      <w:r w:rsidR="00944C47" w:rsidRPr="009A3567">
        <w:rPr>
          <w:sz w:val="22"/>
        </w:rPr>
        <w:t xml:space="preserve"> (Han et al., 2020)</w:t>
      </w:r>
      <w:r w:rsidRPr="009A3567">
        <w:rPr>
          <w:sz w:val="22"/>
        </w:rPr>
        <w:t>. As a result, the contacts of the cases cannot be traced at present. In addition, the testing system needs to be adjusted, as it was currently absurd to expect to test all persons with indications and all contacts. This has led to a generally uncontrolled transmission in many parts of the country.</w:t>
      </w:r>
    </w:p>
    <w:p w14:paraId="34D11FE4" w14:textId="4E9C4597" w:rsidR="0041571A" w:rsidRPr="009A3567" w:rsidRDefault="00331C7A" w:rsidP="009A3567">
      <w:pPr>
        <w:spacing w:line="360" w:lineRule="auto"/>
        <w:rPr>
          <w:sz w:val="22"/>
        </w:rPr>
      </w:pPr>
      <w:r w:rsidRPr="009A3567">
        <w:rPr>
          <w:sz w:val="22"/>
        </w:rPr>
        <w:t>The German Crown Warning Application focuses on information insurance; he did not report individual data to welfare services and was considered a "harmless tiger." Following the creation of tools after the main blockade, the German government has again raised billions of euros to help people and organizations affected by the blockade</w:t>
      </w:r>
      <w:r w:rsidR="00944C47" w:rsidRPr="009A3567">
        <w:rPr>
          <w:sz w:val="22"/>
        </w:rPr>
        <w:t xml:space="preserve"> (Tabari et al., 2020)</w:t>
      </w:r>
      <w:r w:rsidRPr="009A3567">
        <w:rPr>
          <w:sz w:val="22"/>
        </w:rPr>
        <w:t>. In any case, instead of the main wave, there may not have been an agreement in German culture at the time as to which anti-whip measures were being defended and what power should be given to the leader. This disintegration of the agreement was reflected in a deeply visible mobilization week after week against countermeasures in German urban areas, through strong eruptions in the online media and a surprise pyrotechnic attack on the Robert Koch Organization.</w:t>
      </w:r>
    </w:p>
    <w:p w14:paraId="357BB435" w14:textId="32FF502D" w:rsidR="00885538" w:rsidRDefault="00885538" w:rsidP="009A3567">
      <w:pPr>
        <w:pStyle w:val="Heading1"/>
      </w:pPr>
      <w:bookmarkStart w:id="4" w:name="_Toc91775259"/>
      <w:r>
        <w:lastRenderedPageBreak/>
        <w:t>Evaluation of Approaches between UK and Germany</w:t>
      </w:r>
      <w:bookmarkEnd w:id="4"/>
    </w:p>
    <w:p w14:paraId="776B3395" w14:textId="77777777" w:rsidR="00331C7A" w:rsidRPr="009A3567" w:rsidRDefault="00331C7A" w:rsidP="009A3567">
      <w:pPr>
        <w:spacing w:line="360" w:lineRule="auto"/>
        <w:rPr>
          <w:sz w:val="22"/>
        </w:rPr>
      </w:pPr>
      <w:r w:rsidRPr="009A3567">
        <w:rPr>
          <w:sz w:val="22"/>
        </w:rPr>
        <w:t>To address the Coronavirus pandemic worldwide, an epidemiologically educated, evidence-based general welfare response is appropriately called upon, with key elements of intelligence, seizure research, TTT mediation, mitigation and moderate transmission measures in open offices and locally, and research. It needs to be implanted in comprehensive, flexible and freely funded welfare frameworks that provide a common inclusion of well-being in order to be ready for the next emergency pandemic.</w:t>
      </w:r>
    </w:p>
    <w:p w14:paraId="23F2D258" w14:textId="5376E914" w:rsidR="00885538" w:rsidRPr="009A3567" w:rsidRDefault="00331C7A" w:rsidP="009A3567">
      <w:pPr>
        <w:spacing w:line="360" w:lineRule="auto"/>
        <w:rPr>
          <w:sz w:val="22"/>
        </w:rPr>
      </w:pPr>
      <w:r w:rsidRPr="009A3567">
        <w:rPr>
          <w:sz w:val="22"/>
        </w:rPr>
        <w:t>UK has had a stable development in terms of vaccination and frequent tracking of cases throughout the pandemic. On the other hand, Germany controlled the scourge well during the main wave, but at this point neglected to re-adjust the restrictions as cases began to increase once again, leading to a more articulated second pandemic wave. Germany, like other Western nations, must benefit from the WHO's Western Pacific, which is the main reason for the early implementation of extreme control measures that keep the number of SARS-CoV-2 extremely low. achieve close to ordinary social and financial life, before the beneficial implementation of protected and successful immunizations will ideally change the image.</w:t>
      </w:r>
    </w:p>
    <w:p w14:paraId="7CC5A424" w14:textId="068C85FD" w:rsidR="00885538" w:rsidRDefault="00885538" w:rsidP="00885538">
      <w:pPr>
        <w:pStyle w:val="Heading1"/>
      </w:pPr>
      <w:bookmarkStart w:id="5" w:name="_Toc91775260"/>
      <w:r>
        <w:t>Recommendations</w:t>
      </w:r>
      <w:r w:rsidR="00331C7A">
        <w:t xml:space="preserve"> and Conclusion</w:t>
      </w:r>
      <w:bookmarkEnd w:id="5"/>
    </w:p>
    <w:p w14:paraId="4E7B1148" w14:textId="7CE08F73" w:rsidR="00EB1E4C" w:rsidRDefault="00331C7A" w:rsidP="00B57B04">
      <w:pPr>
        <w:spacing w:line="360" w:lineRule="auto"/>
      </w:pPr>
      <w:r w:rsidRPr="00B57B04">
        <w:rPr>
          <w:sz w:val="22"/>
        </w:rPr>
        <w:t>With a major shortage of insurmountable treatments and immunizations, NPIs were vital to controlling the pandemic. Physical removal, travel restrictions, the use of face coatings and eye security, and in particular the strength of PCR testing, have been linked to lower levels of SARS-CoV-2 disease. Enormous blockades have reduced local area transmission during introductory exacerbations and until adequate well-being prepared for the welfare framework, just as during additional tidal waves of the pandemic; however, the effects usually become apparent only after a delay of 1-3 weeks and rely on the strength and combination of measures taken</w:t>
      </w:r>
      <w:r w:rsidRPr="00331C7A">
        <w:t>.</w:t>
      </w:r>
    </w:p>
    <w:p w14:paraId="07757FDA" w14:textId="41B67588" w:rsidR="00BB61E8" w:rsidRDefault="00BB61E8"/>
    <w:p w14:paraId="0FC7CA1C" w14:textId="7230CEF1" w:rsidR="00BB61E8" w:rsidRDefault="00BB61E8"/>
    <w:p w14:paraId="557FE3CB" w14:textId="2652C07C" w:rsidR="00C954B2" w:rsidRDefault="00C954B2"/>
    <w:p w14:paraId="4FAF1170" w14:textId="0A3CDEF7" w:rsidR="00C954B2" w:rsidRDefault="00C954B2"/>
    <w:p w14:paraId="5C426513" w14:textId="7A2C5E58" w:rsidR="00C954B2" w:rsidRDefault="00C954B2"/>
    <w:p w14:paraId="132C4B03" w14:textId="25465B14" w:rsidR="00C954B2" w:rsidRDefault="00C954B2"/>
    <w:p w14:paraId="1720CF75" w14:textId="60C37007" w:rsidR="00C954B2" w:rsidRDefault="00C954B2"/>
    <w:p w14:paraId="44ADA30B" w14:textId="5454C96B" w:rsidR="00C954B2" w:rsidRDefault="00C954B2"/>
    <w:p w14:paraId="53BFE157" w14:textId="0334ADC9" w:rsidR="00C954B2" w:rsidRDefault="00C954B2"/>
    <w:p w14:paraId="16FBB012" w14:textId="509E50EC" w:rsidR="00C954B2" w:rsidRDefault="00C954B2"/>
    <w:p w14:paraId="649348EC" w14:textId="016161C0" w:rsidR="00C954B2" w:rsidRDefault="00C954B2"/>
    <w:p w14:paraId="0FEFB854" w14:textId="7A7F1D1E" w:rsidR="00C954B2" w:rsidRDefault="00C954B2"/>
    <w:p w14:paraId="798D12DA" w14:textId="34191CAC" w:rsidR="00C954B2" w:rsidRDefault="00C954B2"/>
    <w:p w14:paraId="426DC67B" w14:textId="086427EA" w:rsidR="00C954B2" w:rsidRDefault="00C954B2"/>
    <w:p w14:paraId="055BFD93" w14:textId="351BA168" w:rsidR="00C954B2" w:rsidRDefault="00C954B2"/>
    <w:p w14:paraId="000BE4AF" w14:textId="6350AF24" w:rsidR="00C954B2" w:rsidRDefault="00C954B2"/>
    <w:p w14:paraId="295BE04E" w14:textId="44B8EAD9" w:rsidR="00C954B2" w:rsidRDefault="00C954B2"/>
    <w:p w14:paraId="051670DC" w14:textId="77777777" w:rsidR="00C954B2" w:rsidRDefault="00C954B2"/>
    <w:p w14:paraId="0E85631D" w14:textId="03CD08A6" w:rsidR="00BB61E8" w:rsidRDefault="00BB61E8" w:rsidP="00BB61E8">
      <w:pPr>
        <w:pStyle w:val="Heading1"/>
      </w:pPr>
      <w:bookmarkStart w:id="6" w:name="_Toc91775261"/>
      <w:r>
        <w:t>References</w:t>
      </w:r>
      <w:bookmarkEnd w:id="6"/>
    </w:p>
    <w:p w14:paraId="68287D85" w14:textId="5E1CD6CD" w:rsidR="00B533D8" w:rsidRPr="00B57B04" w:rsidRDefault="00B533D8" w:rsidP="00B57B04">
      <w:pPr>
        <w:spacing w:line="360" w:lineRule="auto"/>
        <w:rPr>
          <w:sz w:val="22"/>
        </w:rPr>
      </w:pPr>
      <w:proofErr w:type="spellStart"/>
      <w:r w:rsidRPr="00B57B04">
        <w:rPr>
          <w:sz w:val="22"/>
        </w:rPr>
        <w:t>Bittihn</w:t>
      </w:r>
      <w:proofErr w:type="spellEnd"/>
      <w:r w:rsidRPr="00B57B04">
        <w:rPr>
          <w:sz w:val="22"/>
        </w:rPr>
        <w:t xml:space="preserve">, P., </w:t>
      </w:r>
      <w:proofErr w:type="spellStart"/>
      <w:r w:rsidRPr="00B57B04">
        <w:rPr>
          <w:sz w:val="22"/>
        </w:rPr>
        <w:t>Hupe</w:t>
      </w:r>
      <w:proofErr w:type="spellEnd"/>
      <w:r w:rsidRPr="00B57B04">
        <w:rPr>
          <w:sz w:val="22"/>
        </w:rPr>
        <w:t xml:space="preserve">, L., </w:t>
      </w:r>
      <w:proofErr w:type="spellStart"/>
      <w:r w:rsidRPr="00B57B04">
        <w:rPr>
          <w:sz w:val="22"/>
        </w:rPr>
        <w:t>Isensee</w:t>
      </w:r>
      <w:proofErr w:type="spellEnd"/>
      <w:r w:rsidRPr="00B57B04">
        <w:rPr>
          <w:sz w:val="22"/>
        </w:rPr>
        <w:t xml:space="preserve">, J. and </w:t>
      </w:r>
      <w:proofErr w:type="spellStart"/>
      <w:r w:rsidRPr="00B57B04">
        <w:rPr>
          <w:sz w:val="22"/>
        </w:rPr>
        <w:t>Golestanian</w:t>
      </w:r>
      <w:proofErr w:type="spellEnd"/>
      <w:r w:rsidRPr="00B57B04">
        <w:rPr>
          <w:sz w:val="22"/>
        </w:rPr>
        <w:t xml:space="preserve">, R. (2021). Local measures enable COVID-19 containment with fewer restrictions due to cooperative effects. </w:t>
      </w:r>
      <w:proofErr w:type="spellStart"/>
      <w:r w:rsidRPr="00B57B04">
        <w:rPr>
          <w:i/>
          <w:iCs/>
          <w:sz w:val="22"/>
        </w:rPr>
        <w:t>EClinicalMedicine</w:t>
      </w:r>
      <w:proofErr w:type="spellEnd"/>
      <w:r w:rsidRPr="00B57B04">
        <w:rPr>
          <w:sz w:val="22"/>
        </w:rPr>
        <w:t>, 32, p.100718.</w:t>
      </w:r>
    </w:p>
    <w:p w14:paraId="5D2E1358" w14:textId="6518169D" w:rsidR="00944C47" w:rsidRPr="00B57B04" w:rsidRDefault="00944C47" w:rsidP="00B57B04">
      <w:pPr>
        <w:spacing w:line="360" w:lineRule="auto"/>
        <w:rPr>
          <w:sz w:val="22"/>
        </w:rPr>
      </w:pPr>
      <w:r w:rsidRPr="00B57B04">
        <w:rPr>
          <w:sz w:val="22"/>
        </w:rPr>
        <w:t xml:space="preserve">Han, E., Tan, M.M.J., Turk, E., Sridhar, D., Leung, G.M., Shibuya, K., </w:t>
      </w:r>
      <w:proofErr w:type="spellStart"/>
      <w:r w:rsidRPr="00B57B04">
        <w:rPr>
          <w:sz w:val="22"/>
        </w:rPr>
        <w:t>Asgari</w:t>
      </w:r>
      <w:proofErr w:type="spellEnd"/>
      <w:r w:rsidRPr="00B57B04">
        <w:rPr>
          <w:sz w:val="22"/>
        </w:rPr>
        <w:t>, N., Oh, J., García-</w:t>
      </w:r>
      <w:proofErr w:type="spellStart"/>
      <w:r w:rsidRPr="00B57B04">
        <w:rPr>
          <w:sz w:val="22"/>
        </w:rPr>
        <w:t>Basteiro</w:t>
      </w:r>
      <w:proofErr w:type="spellEnd"/>
      <w:r w:rsidRPr="00B57B04">
        <w:rPr>
          <w:sz w:val="22"/>
        </w:rPr>
        <w:t xml:space="preserve">, A.L., </w:t>
      </w:r>
      <w:proofErr w:type="spellStart"/>
      <w:r w:rsidRPr="00B57B04">
        <w:rPr>
          <w:sz w:val="22"/>
        </w:rPr>
        <w:t>Hanefeld</w:t>
      </w:r>
      <w:proofErr w:type="spellEnd"/>
      <w:r w:rsidRPr="00B57B04">
        <w:rPr>
          <w:sz w:val="22"/>
        </w:rPr>
        <w:t xml:space="preserve">, J., Cook, A.R., Hsu, L.Y., Teo, Y.Y., </w:t>
      </w:r>
      <w:proofErr w:type="spellStart"/>
      <w:r w:rsidRPr="00B57B04">
        <w:rPr>
          <w:sz w:val="22"/>
        </w:rPr>
        <w:t>Heymann</w:t>
      </w:r>
      <w:proofErr w:type="spellEnd"/>
      <w:r w:rsidRPr="00B57B04">
        <w:rPr>
          <w:sz w:val="22"/>
        </w:rPr>
        <w:t xml:space="preserve">, D., Clark, H., McKee, M. and </w:t>
      </w:r>
      <w:proofErr w:type="spellStart"/>
      <w:r w:rsidRPr="00B57B04">
        <w:rPr>
          <w:sz w:val="22"/>
        </w:rPr>
        <w:t>Legido</w:t>
      </w:r>
      <w:proofErr w:type="spellEnd"/>
      <w:r w:rsidRPr="00B57B04">
        <w:rPr>
          <w:sz w:val="22"/>
        </w:rPr>
        <w:t xml:space="preserve">-Quigley, H. (2020). Lessons learnt from easing COVID-19 restrictions: an analysis of countries and regions in Asia Pacific and Europe. </w:t>
      </w:r>
      <w:r w:rsidRPr="00B57B04">
        <w:rPr>
          <w:i/>
          <w:iCs/>
          <w:sz w:val="22"/>
        </w:rPr>
        <w:t>The Lancet</w:t>
      </w:r>
      <w:r w:rsidRPr="00B57B04">
        <w:rPr>
          <w:sz w:val="22"/>
        </w:rPr>
        <w:t>, 396(</w:t>
      </w:r>
      <w:r w:rsidRPr="00B57B04">
        <w:rPr>
          <w:b/>
          <w:bCs/>
          <w:sz w:val="22"/>
        </w:rPr>
        <w:t>10261</w:t>
      </w:r>
      <w:r w:rsidRPr="00B57B04">
        <w:rPr>
          <w:sz w:val="22"/>
        </w:rPr>
        <w:t>).</w:t>
      </w:r>
    </w:p>
    <w:p w14:paraId="4CE81668" w14:textId="22BD8F45" w:rsidR="00E83D2D" w:rsidRPr="00B57B04" w:rsidRDefault="00E83D2D" w:rsidP="00B57B04">
      <w:pPr>
        <w:spacing w:line="360" w:lineRule="auto"/>
        <w:rPr>
          <w:sz w:val="22"/>
        </w:rPr>
      </w:pPr>
      <w:r w:rsidRPr="00B57B04">
        <w:rPr>
          <w:sz w:val="22"/>
        </w:rPr>
        <w:t xml:space="preserve">Hsiang, S., Allen, D., Annan-Phan, S., Bell, K., </w:t>
      </w:r>
      <w:proofErr w:type="spellStart"/>
      <w:r w:rsidRPr="00B57B04">
        <w:rPr>
          <w:sz w:val="22"/>
        </w:rPr>
        <w:t>Bolliger</w:t>
      </w:r>
      <w:proofErr w:type="spellEnd"/>
      <w:r w:rsidRPr="00B57B04">
        <w:rPr>
          <w:sz w:val="22"/>
        </w:rPr>
        <w:t xml:space="preserve">, I., Chong, T., </w:t>
      </w:r>
      <w:proofErr w:type="spellStart"/>
      <w:r w:rsidRPr="00B57B04">
        <w:rPr>
          <w:sz w:val="22"/>
        </w:rPr>
        <w:t>Druckenmiller</w:t>
      </w:r>
      <w:proofErr w:type="spellEnd"/>
      <w:r w:rsidRPr="00B57B04">
        <w:rPr>
          <w:sz w:val="22"/>
        </w:rPr>
        <w:t xml:space="preserve">, H., Huang, L.Y., Hultgren, A., </w:t>
      </w:r>
      <w:proofErr w:type="spellStart"/>
      <w:r w:rsidRPr="00B57B04">
        <w:rPr>
          <w:sz w:val="22"/>
        </w:rPr>
        <w:t>Krasovich</w:t>
      </w:r>
      <w:proofErr w:type="spellEnd"/>
      <w:r w:rsidRPr="00B57B04">
        <w:rPr>
          <w:sz w:val="22"/>
        </w:rPr>
        <w:t xml:space="preserve">, E., Lau, P., Lee, J., Rolf, E., Tseng, J. and Wu, T. (2020). The effect of large-scale anti-contagion policies on the COVID-19 pandemic. </w:t>
      </w:r>
      <w:r w:rsidRPr="00B57B04">
        <w:rPr>
          <w:i/>
          <w:iCs/>
          <w:sz w:val="22"/>
        </w:rPr>
        <w:t>Nature</w:t>
      </w:r>
      <w:r w:rsidRPr="00B57B04">
        <w:rPr>
          <w:sz w:val="22"/>
        </w:rPr>
        <w:t>.</w:t>
      </w:r>
    </w:p>
    <w:p w14:paraId="220EF20D" w14:textId="10C411B5" w:rsidR="00F7398B" w:rsidRPr="00B57B04" w:rsidRDefault="00F7398B" w:rsidP="00B57B04">
      <w:pPr>
        <w:spacing w:line="360" w:lineRule="auto"/>
        <w:rPr>
          <w:sz w:val="22"/>
        </w:rPr>
      </w:pPr>
      <w:r w:rsidRPr="00B57B04">
        <w:rPr>
          <w:sz w:val="22"/>
        </w:rPr>
        <w:t xml:space="preserve">Global Health Action. (2021). COVID-19 in Germany and China: mitigation versus elimination strategy. </w:t>
      </w:r>
      <w:r w:rsidRPr="00B57B04">
        <w:rPr>
          <w:i/>
          <w:iCs/>
          <w:sz w:val="22"/>
        </w:rPr>
        <w:t xml:space="preserve">Global Health Action </w:t>
      </w:r>
      <w:r w:rsidRPr="00B57B04">
        <w:rPr>
          <w:sz w:val="22"/>
        </w:rPr>
        <w:t>[online] Available from: https://dx.doi.org/10.1080%2F16549716.2021.1875601 [Accessed 15/12/2021].</w:t>
      </w:r>
    </w:p>
    <w:p w14:paraId="6BD1824C" w14:textId="6F155FF3" w:rsidR="00BB61E8" w:rsidRPr="00B57B04" w:rsidRDefault="00F7398B" w:rsidP="00B57B04">
      <w:pPr>
        <w:spacing w:line="360" w:lineRule="auto"/>
        <w:rPr>
          <w:sz w:val="22"/>
        </w:rPr>
      </w:pPr>
      <w:r w:rsidRPr="00B57B04">
        <w:rPr>
          <w:sz w:val="22"/>
        </w:rPr>
        <w:t xml:space="preserve">Government UK (2020). Coronavirus (COVID-19): Using data to track the virus. </w:t>
      </w:r>
      <w:r w:rsidRPr="00B57B04">
        <w:rPr>
          <w:i/>
          <w:iCs/>
          <w:sz w:val="22"/>
        </w:rPr>
        <w:t xml:space="preserve">Government UK </w:t>
      </w:r>
      <w:r w:rsidRPr="00B57B04">
        <w:rPr>
          <w:sz w:val="22"/>
        </w:rPr>
        <w:t xml:space="preserve">[online]. Available from: </w:t>
      </w:r>
      <w:hyperlink r:id="rId8" w:history="1">
        <w:r w:rsidRPr="00B57B04">
          <w:rPr>
            <w:rStyle w:val="Hyperlink"/>
            <w:sz w:val="22"/>
          </w:rPr>
          <w:t>https://ukhsa.blog.gov.uk/2020/04/23/coronavirus-covid-19-using-data-to-track-the-virus/</w:t>
        </w:r>
      </w:hyperlink>
      <w:r w:rsidRPr="00B57B04">
        <w:rPr>
          <w:sz w:val="22"/>
        </w:rPr>
        <w:t xml:space="preserve"> [Accessed: 15/12/2021].</w:t>
      </w:r>
    </w:p>
    <w:p w14:paraId="5E23AE02" w14:textId="70324365" w:rsidR="00E83D2D" w:rsidRPr="00B57B04" w:rsidRDefault="00E83D2D" w:rsidP="00B57B04">
      <w:pPr>
        <w:spacing w:line="360" w:lineRule="auto"/>
        <w:rPr>
          <w:sz w:val="22"/>
        </w:rPr>
      </w:pPr>
      <w:r w:rsidRPr="00B57B04">
        <w:rPr>
          <w:sz w:val="22"/>
        </w:rPr>
        <w:t xml:space="preserve">NHS prepares for antiviral deployment to treat COVID-19. (2021). </w:t>
      </w:r>
      <w:r w:rsidRPr="00B57B04">
        <w:rPr>
          <w:i/>
          <w:iCs/>
          <w:sz w:val="22"/>
        </w:rPr>
        <w:t>Pharmaceutical Journal</w:t>
      </w:r>
      <w:r w:rsidRPr="00B57B04">
        <w:rPr>
          <w:sz w:val="22"/>
        </w:rPr>
        <w:t>.</w:t>
      </w:r>
    </w:p>
    <w:p w14:paraId="135B8CBD" w14:textId="5C26962F" w:rsidR="00E83D2D" w:rsidRPr="00B57B04" w:rsidRDefault="00E83D2D" w:rsidP="00B57B04">
      <w:pPr>
        <w:spacing w:line="360" w:lineRule="auto"/>
        <w:rPr>
          <w:sz w:val="22"/>
        </w:rPr>
      </w:pPr>
      <w:proofErr w:type="spellStart"/>
      <w:r w:rsidRPr="00B57B04">
        <w:rPr>
          <w:sz w:val="22"/>
        </w:rPr>
        <w:lastRenderedPageBreak/>
        <w:t>Robishaw</w:t>
      </w:r>
      <w:proofErr w:type="spellEnd"/>
      <w:r w:rsidRPr="00B57B04">
        <w:rPr>
          <w:sz w:val="22"/>
        </w:rPr>
        <w:t xml:space="preserve">, J.D., Alter, S.M., </w:t>
      </w:r>
      <w:proofErr w:type="spellStart"/>
      <w:r w:rsidRPr="00B57B04">
        <w:rPr>
          <w:sz w:val="22"/>
        </w:rPr>
        <w:t>Solano</w:t>
      </w:r>
      <w:proofErr w:type="spellEnd"/>
      <w:r w:rsidRPr="00B57B04">
        <w:rPr>
          <w:sz w:val="22"/>
        </w:rPr>
        <w:t xml:space="preserve">, J.J., Shih, R.D., </w:t>
      </w:r>
      <w:proofErr w:type="spellStart"/>
      <w:r w:rsidRPr="00B57B04">
        <w:rPr>
          <w:sz w:val="22"/>
        </w:rPr>
        <w:t>DeMets</w:t>
      </w:r>
      <w:proofErr w:type="spellEnd"/>
      <w:r w:rsidRPr="00B57B04">
        <w:rPr>
          <w:sz w:val="22"/>
        </w:rPr>
        <w:t xml:space="preserve">, D.L., Maki, D.G. and </w:t>
      </w:r>
      <w:proofErr w:type="spellStart"/>
      <w:r w:rsidRPr="00B57B04">
        <w:rPr>
          <w:sz w:val="22"/>
        </w:rPr>
        <w:t>Hennekens</w:t>
      </w:r>
      <w:proofErr w:type="spellEnd"/>
      <w:r w:rsidRPr="00B57B04">
        <w:rPr>
          <w:sz w:val="22"/>
        </w:rPr>
        <w:t xml:space="preserve">, C.H. (2021). Genomic surveillance to combat COVID-19: challenges and opportunities. </w:t>
      </w:r>
      <w:r w:rsidRPr="00B57B04">
        <w:rPr>
          <w:i/>
          <w:iCs/>
          <w:sz w:val="22"/>
        </w:rPr>
        <w:t>The Lancet Microbe</w:t>
      </w:r>
      <w:r w:rsidRPr="00B57B04">
        <w:rPr>
          <w:sz w:val="22"/>
        </w:rPr>
        <w:t>, 2(</w:t>
      </w:r>
      <w:r w:rsidRPr="00B57B04">
        <w:rPr>
          <w:b/>
          <w:bCs/>
          <w:sz w:val="22"/>
        </w:rPr>
        <w:t>9</w:t>
      </w:r>
      <w:r w:rsidRPr="00B57B04">
        <w:rPr>
          <w:sz w:val="22"/>
        </w:rPr>
        <w:t>), pp.e481–e484.</w:t>
      </w:r>
    </w:p>
    <w:p w14:paraId="4F5C6B3B" w14:textId="4594968F" w:rsidR="00944C47" w:rsidRPr="00B57B04" w:rsidRDefault="00944C47" w:rsidP="00B57B04">
      <w:pPr>
        <w:spacing w:line="360" w:lineRule="auto"/>
        <w:rPr>
          <w:sz w:val="22"/>
        </w:rPr>
      </w:pPr>
      <w:r w:rsidRPr="00B57B04">
        <w:rPr>
          <w:sz w:val="22"/>
        </w:rPr>
        <w:t xml:space="preserve">Tabari, P., </w:t>
      </w:r>
      <w:proofErr w:type="spellStart"/>
      <w:r w:rsidRPr="00B57B04">
        <w:rPr>
          <w:sz w:val="22"/>
        </w:rPr>
        <w:t>Amini</w:t>
      </w:r>
      <w:proofErr w:type="spellEnd"/>
      <w:r w:rsidRPr="00B57B04">
        <w:rPr>
          <w:sz w:val="22"/>
        </w:rPr>
        <w:t xml:space="preserve">, M., </w:t>
      </w:r>
      <w:proofErr w:type="spellStart"/>
      <w:r w:rsidRPr="00B57B04">
        <w:rPr>
          <w:sz w:val="22"/>
        </w:rPr>
        <w:t>Moghadami</w:t>
      </w:r>
      <w:proofErr w:type="spellEnd"/>
      <w:r w:rsidRPr="00B57B04">
        <w:rPr>
          <w:sz w:val="22"/>
        </w:rPr>
        <w:t xml:space="preserve">, M. and </w:t>
      </w:r>
      <w:proofErr w:type="spellStart"/>
      <w:r w:rsidRPr="00B57B04">
        <w:rPr>
          <w:sz w:val="22"/>
        </w:rPr>
        <w:t>Moosavi</w:t>
      </w:r>
      <w:proofErr w:type="spellEnd"/>
      <w:r w:rsidRPr="00B57B04">
        <w:rPr>
          <w:sz w:val="22"/>
        </w:rPr>
        <w:t xml:space="preserve">, M. (2020). International Public Health Responses to COVID-19 Outbreak: A Rapid Review. </w:t>
      </w:r>
      <w:r w:rsidRPr="00B57B04">
        <w:rPr>
          <w:i/>
          <w:iCs/>
          <w:sz w:val="22"/>
        </w:rPr>
        <w:t>Iranian Journal of Medical Sciences</w:t>
      </w:r>
      <w:r w:rsidRPr="00B57B04">
        <w:rPr>
          <w:sz w:val="22"/>
        </w:rPr>
        <w:t>, [online] 45(</w:t>
      </w:r>
      <w:r w:rsidRPr="00B57B04">
        <w:rPr>
          <w:b/>
          <w:bCs/>
          <w:sz w:val="22"/>
        </w:rPr>
        <w:t>3</w:t>
      </w:r>
      <w:r w:rsidRPr="00B57B04">
        <w:rPr>
          <w:sz w:val="22"/>
        </w:rPr>
        <w:t>), pp.157–169. Available from: https://www.ncbi.nlm.nih.gov/pmc/articles/PMC7253494/.</w:t>
      </w:r>
    </w:p>
    <w:p w14:paraId="3148E205" w14:textId="776C5DE8" w:rsidR="00BB61E8" w:rsidRPr="00B57B04" w:rsidRDefault="00E83D2D" w:rsidP="00B57B04">
      <w:pPr>
        <w:spacing w:line="360" w:lineRule="auto"/>
        <w:rPr>
          <w:sz w:val="22"/>
        </w:rPr>
      </w:pPr>
      <w:r w:rsidRPr="00B57B04">
        <w:rPr>
          <w:sz w:val="22"/>
        </w:rPr>
        <w:t xml:space="preserve">Tseng, V.S., Jia-Ching Ying, J., Wong, S.T.C., Cook, D.J. and Liu, J. (2020). Computational Intelligence Techniques for Combating COVID-19: A Survey. </w:t>
      </w:r>
      <w:r w:rsidRPr="00B57B04">
        <w:rPr>
          <w:i/>
          <w:iCs/>
          <w:sz w:val="22"/>
        </w:rPr>
        <w:t>IEEE Computational Intelligence Magazine</w:t>
      </w:r>
      <w:r w:rsidRPr="00B57B04">
        <w:rPr>
          <w:sz w:val="22"/>
        </w:rPr>
        <w:t>, 15(</w:t>
      </w:r>
      <w:r w:rsidRPr="00B57B04">
        <w:rPr>
          <w:b/>
          <w:bCs/>
          <w:sz w:val="22"/>
        </w:rPr>
        <w:t>4</w:t>
      </w:r>
      <w:r w:rsidRPr="00B57B04">
        <w:rPr>
          <w:sz w:val="22"/>
        </w:rPr>
        <w:t>), pp.10–22.</w:t>
      </w:r>
    </w:p>
    <w:p w14:paraId="216CEC52" w14:textId="01F243EA" w:rsidR="00E83D2D" w:rsidRPr="00B57B04" w:rsidRDefault="00E83D2D" w:rsidP="00B57B04">
      <w:pPr>
        <w:spacing w:line="360" w:lineRule="auto"/>
        <w:rPr>
          <w:sz w:val="22"/>
        </w:rPr>
      </w:pPr>
      <w:r w:rsidRPr="00B57B04">
        <w:rPr>
          <w:sz w:val="22"/>
        </w:rPr>
        <w:t xml:space="preserve">Yuan, J., Li, M., </w:t>
      </w:r>
      <w:proofErr w:type="spellStart"/>
      <w:r w:rsidRPr="00B57B04">
        <w:rPr>
          <w:sz w:val="22"/>
        </w:rPr>
        <w:t>Lv</w:t>
      </w:r>
      <w:proofErr w:type="spellEnd"/>
      <w:r w:rsidRPr="00B57B04">
        <w:rPr>
          <w:sz w:val="22"/>
        </w:rPr>
        <w:t xml:space="preserve">, G. and Lu, Z.K. (2020). Monitoring Transmissibility and Mortality of COVID-19 in Europe. </w:t>
      </w:r>
      <w:r w:rsidRPr="00B57B04">
        <w:rPr>
          <w:i/>
          <w:iCs/>
          <w:sz w:val="22"/>
        </w:rPr>
        <w:t>International Journal of Infectious Diseases</w:t>
      </w:r>
      <w:r w:rsidRPr="00B57B04">
        <w:rPr>
          <w:sz w:val="22"/>
        </w:rPr>
        <w:t>.</w:t>
      </w:r>
    </w:p>
    <w:p w14:paraId="462421DA" w14:textId="77777777" w:rsidR="00E83D2D" w:rsidRPr="00B57B04" w:rsidRDefault="00E83D2D" w:rsidP="00B57B04">
      <w:pPr>
        <w:spacing w:line="360" w:lineRule="auto"/>
        <w:rPr>
          <w:sz w:val="22"/>
        </w:rPr>
      </w:pPr>
    </w:p>
    <w:sectPr w:rsidR="00E83D2D" w:rsidRPr="00B57B04" w:rsidSect="00BB61E8">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0D0FD" w14:textId="77777777" w:rsidR="002E6D76" w:rsidRDefault="002E6D76" w:rsidP="00BB61E8">
      <w:pPr>
        <w:spacing w:after="0" w:line="240" w:lineRule="auto"/>
      </w:pPr>
      <w:r>
        <w:separator/>
      </w:r>
    </w:p>
  </w:endnote>
  <w:endnote w:type="continuationSeparator" w:id="0">
    <w:p w14:paraId="70584D7A" w14:textId="77777777" w:rsidR="002E6D76" w:rsidRDefault="002E6D76" w:rsidP="00BB6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2149577"/>
      <w:docPartObj>
        <w:docPartGallery w:val="Page Numbers (Bottom of Page)"/>
        <w:docPartUnique/>
      </w:docPartObj>
    </w:sdtPr>
    <w:sdtEndPr>
      <w:rPr>
        <w:rStyle w:val="PageNumber"/>
      </w:rPr>
    </w:sdtEndPr>
    <w:sdtContent>
      <w:p w14:paraId="76FC973B" w14:textId="417E20F2" w:rsidR="00BB61E8" w:rsidRDefault="00BB61E8" w:rsidP="00A546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B9624B" w14:textId="77777777" w:rsidR="00BB61E8" w:rsidRDefault="00BB61E8" w:rsidP="00BB61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6484870"/>
      <w:docPartObj>
        <w:docPartGallery w:val="Page Numbers (Bottom of Page)"/>
        <w:docPartUnique/>
      </w:docPartObj>
    </w:sdtPr>
    <w:sdtEndPr>
      <w:rPr>
        <w:rStyle w:val="PageNumber"/>
      </w:rPr>
    </w:sdtEndPr>
    <w:sdtContent>
      <w:p w14:paraId="4896B6B9" w14:textId="01F5CD9D" w:rsidR="00BB61E8" w:rsidRDefault="00BB61E8" w:rsidP="00A546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7A157A" w14:textId="77777777" w:rsidR="00BB61E8" w:rsidRDefault="00BB61E8" w:rsidP="00BB61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AF6C6" w14:textId="77777777" w:rsidR="002E6D76" w:rsidRDefault="002E6D76" w:rsidP="00BB61E8">
      <w:pPr>
        <w:spacing w:after="0" w:line="240" w:lineRule="auto"/>
      </w:pPr>
      <w:r>
        <w:separator/>
      </w:r>
    </w:p>
  </w:footnote>
  <w:footnote w:type="continuationSeparator" w:id="0">
    <w:p w14:paraId="5CB50936" w14:textId="77777777" w:rsidR="002E6D76" w:rsidRDefault="002E6D76" w:rsidP="00BB61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E8"/>
    <w:rsid w:val="002E6D76"/>
    <w:rsid w:val="00331C7A"/>
    <w:rsid w:val="0041571A"/>
    <w:rsid w:val="005433BA"/>
    <w:rsid w:val="006546BB"/>
    <w:rsid w:val="006A5BBC"/>
    <w:rsid w:val="007A3D60"/>
    <w:rsid w:val="00885538"/>
    <w:rsid w:val="00944C47"/>
    <w:rsid w:val="009A3567"/>
    <w:rsid w:val="00B533D8"/>
    <w:rsid w:val="00B57B04"/>
    <w:rsid w:val="00BB61E8"/>
    <w:rsid w:val="00C04EED"/>
    <w:rsid w:val="00C954B2"/>
    <w:rsid w:val="00D07F7D"/>
    <w:rsid w:val="00E83D2D"/>
    <w:rsid w:val="00EB0A82"/>
    <w:rsid w:val="00EB1E4C"/>
    <w:rsid w:val="00F7398B"/>
    <w:rsid w:val="00F8010B"/>
    <w:rsid w:val="00FB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140BC"/>
  <w15:chartTrackingRefBased/>
  <w15:docId w15:val="{95CA5CA0-172B-5849-9865-0B31435E2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BB61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61E8"/>
    <w:rPr>
      <w:rFonts w:eastAsiaTheme="minorEastAsia"/>
      <w:sz w:val="22"/>
      <w:szCs w:val="22"/>
      <w:lang w:val="en-US" w:eastAsia="zh-CN"/>
    </w:rPr>
  </w:style>
  <w:style w:type="character" w:customStyle="1" w:styleId="NoSpacingChar">
    <w:name w:val="No Spacing Char"/>
    <w:basedOn w:val="DefaultParagraphFont"/>
    <w:link w:val="NoSpacing"/>
    <w:uiPriority w:val="1"/>
    <w:rsid w:val="00BB61E8"/>
    <w:rPr>
      <w:rFonts w:eastAsiaTheme="minorEastAsia"/>
      <w:sz w:val="22"/>
      <w:szCs w:val="22"/>
      <w:lang w:val="en-US" w:eastAsia="zh-CN"/>
    </w:rPr>
  </w:style>
  <w:style w:type="paragraph" w:styleId="Footer">
    <w:name w:val="footer"/>
    <w:basedOn w:val="Normal"/>
    <w:link w:val="FooterChar"/>
    <w:uiPriority w:val="99"/>
    <w:unhideWhenUsed/>
    <w:rsid w:val="00BB6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1E8"/>
    <w:rPr>
      <w:rFonts w:ascii="Arial" w:hAnsi="Arial"/>
      <w:szCs w:val="22"/>
    </w:rPr>
  </w:style>
  <w:style w:type="character" w:styleId="PageNumber">
    <w:name w:val="page number"/>
    <w:basedOn w:val="DefaultParagraphFont"/>
    <w:uiPriority w:val="99"/>
    <w:semiHidden/>
    <w:unhideWhenUsed/>
    <w:rsid w:val="00BB61E8"/>
  </w:style>
  <w:style w:type="character" w:customStyle="1" w:styleId="Heading1Char">
    <w:name w:val="Heading 1 Char"/>
    <w:basedOn w:val="DefaultParagraphFont"/>
    <w:link w:val="Heading1"/>
    <w:uiPriority w:val="9"/>
    <w:rsid w:val="00BB61E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7398B"/>
    <w:rPr>
      <w:color w:val="0563C1" w:themeColor="hyperlink"/>
      <w:u w:val="single"/>
    </w:rPr>
  </w:style>
  <w:style w:type="character" w:styleId="UnresolvedMention">
    <w:name w:val="Unresolved Mention"/>
    <w:basedOn w:val="DefaultParagraphFont"/>
    <w:uiPriority w:val="99"/>
    <w:semiHidden/>
    <w:unhideWhenUsed/>
    <w:rsid w:val="00F7398B"/>
    <w:rPr>
      <w:color w:val="605E5C"/>
      <w:shd w:val="clear" w:color="auto" w:fill="E1DFDD"/>
    </w:rPr>
  </w:style>
  <w:style w:type="paragraph" w:styleId="TOCHeading">
    <w:name w:val="TOC Heading"/>
    <w:basedOn w:val="Heading1"/>
    <w:next w:val="Normal"/>
    <w:uiPriority w:val="39"/>
    <w:unhideWhenUsed/>
    <w:qFormat/>
    <w:rsid w:val="00C954B2"/>
    <w:pPr>
      <w:spacing w:before="480"/>
      <w:outlineLvl w:val="9"/>
    </w:pPr>
    <w:rPr>
      <w:b/>
      <w:bCs/>
      <w:sz w:val="28"/>
      <w:szCs w:val="28"/>
      <w:lang w:val="en-US"/>
    </w:rPr>
  </w:style>
  <w:style w:type="paragraph" w:styleId="TOC1">
    <w:name w:val="toc 1"/>
    <w:basedOn w:val="Normal"/>
    <w:next w:val="Normal"/>
    <w:autoRedefine/>
    <w:uiPriority w:val="39"/>
    <w:unhideWhenUsed/>
    <w:rsid w:val="009A3567"/>
    <w:pPr>
      <w:tabs>
        <w:tab w:val="right" w:leader="dot" w:pos="9016"/>
      </w:tabs>
      <w:spacing w:before="120" w:after="0" w:line="360" w:lineRule="auto"/>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C954B2"/>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C954B2"/>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954B2"/>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954B2"/>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954B2"/>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954B2"/>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954B2"/>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954B2"/>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47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sa.blog.gov.uk/2020/04/23/coronavirus-covid-19-using-data-to-track-the-viru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4742B0-DBCD-4E4A-B2D8-C8A0A3C7F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2876</Words>
  <Characters>16395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BMHP5013 – Public Health Policy</vt:lpstr>
    </vt:vector>
  </TitlesOfParts>
  <Company>Student ID:</Company>
  <LinksUpToDate>false</LinksUpToDate>
  <CharactersWithSpaces>19233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BMHP5013 – Public Health Policy</dc:title>
  <dc:subject>Assessment 2</dc:subject>
  <dc:creator>Mariya Georgieva</dc:creator>
  <cp:keywords/>
  <dc:description/>
  <cp:lastModifiedBy>Mariya Georgieva</cp:lastModifiedBy>
  <cp:revision>13</cp:revision>
  <dcterms:created xsi:type="dcterms:W3CDTF">2021-12-30T13:59:00Z</dcterms:created>
  <dcterms:modified xsi:type="dcterms:W3CDTF">2022-01-02T15:33:00Z</dcterms:modified>
</cp:coreProperties>
</file>