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6C152" w14:textId="604A654A" w:rsidR="0026644C" w:rsidRPr="00454C37" w:rsidRDefault="00856823">
      <w:pPr>
        <w:rPr>
          <w:rFonts w:ascii="Calibri" w:hAnsi="Calibri"/>
          <w:sz w:val="20"/>
          <w:szCs w:val="20"/>
        </w:rPr>
      </w:pPr>
      <w:r w:rsidRPr="00454C37">
        <w:rPr>
          <w:rFonts w:ascii="Calibri" w:hAnsi="Calibri"/>
          <w:sz w:val="20"/>
          <w:szCs w:val="20"/>
        </w:rPr>
        <w:t>Module name: Introduction to Physiology</w:t>
      </w:r>
    </w:p>
    <w:p w14:paraId="64944F6F" w14:textId="3AD99BCE" w:rsidR="00856823" w:rsidRPr="00454C37" w:rsidRDefault="00734F46">
      <w:pPr>
        <w:rPr>
          <w:rFonts w:ascii="Calibri" w:hAnsi="Calibri"/>
          <w:sz w:val="20"/>
          <w:szCs w:val="20"/>
        </w:rPr>
      </w:pPr>
      <w:r w:rsidRPr="00454C37">
        <w:rPr>
          <w:rFonts w:ascii="Calibri" w:hAnsi="Calibri"/>
          <w:sz w:val="20"/>
          <w:szCs w:val="20"/>
        </w:rPr>
        <w:t>Module code: BMHP</w:t>
      </w:r>
      <w:r w:rsidR="00454C37" w:rsidRPr="00454C37">
        <w:rPr>
          <w:rFonts w:ascii="Calibri" w:hAnsi="Calibri"/>
          <w:sz w:val="20"/>
          <w:szCs w:val="20"/>
        </w:rPr>
        <w:t>5023</w:t>
      </w:r>
    </w:p>
    <w:p w14:paraId="7D53CFB8" w14:textId="5A2FB098" w:rsidR="00856823" w:rsidRDefault="00454C37">
      <w:pPr>
        <w:rPr>
          <w:rFonts w:ascii="Calibri" w:hAnsi="Calibri"/>
          <w:sz w:val="20"/>
          <w:szCs w:val="20"/>
        </w:rPr>
      </w:pPr>
      <w:r>
        <w:rPr>
          <w:rFonts w:ascii="Calibri" w:hAnsi="Calibri"/>
          <w:sz w:val="20"/>
          <w:szCs w:val="20"/>
        </w:rPr>
        <w:t xml:space="preserve">Student Name: </w:t>
      </w:r>
      <w:r w:rsidR="009C00F8">
        <w:rPr>
          <w:rFonts w:ascii="Calibri" w:hAnsi="Calibri"/>
          <w:sz w:val="20"/>
          <w:szCs w:val="20"/>
        </w:rPr>
        <w:t>Dashanti Martins Da Cruz</w:t>
      </w:r>
    </w:p>
    <w:p w14:paraId="18D9D500" w14:textId="186B9075" w:rsidR="009C00F8" w:rsidRDefault="009C00F8">
      <w:pPr>
        <w:rPr>
          <w:rFonts w:ascii="Calibri" w:hAnsi="Calibri"/>
          <w:sz w:val="20"/>
          <w:szCs w:val="20"/>
        </w:rPr>
      </w:pPr>
      <w:r>
        <w:rPr>
          <w:rFonts w:ascii="Calibri" w:hAnsi="Calibri"/>
          <w:sz w:val="20"/>
          <w:szCs w:val="20"/>
        </w:rPr>
        <w:t>Student ID: 2330883</w:t>
      </w:r>
    </w:p>
    <w:p w14:paraId="777D6750" w14:textId="6ADDE84D" w:rsidR="009C00F8" w:rsidRDefault="009C00F8">
      <w:pPr>
        <w:rPr>
          <w:rFonts w:ascii="Calibri" w:hAnsi="Calibri"/>
          <w:sz w:val="20"/>
          <w:szCs w:val="20"/>
        </w:rPr>
      </w:pPr>
      <w:r>
        <w:rPr>
          <w:rFonts w:ascii="Calibri" w:hAnsi="Calibri"/>
          <w:sz w:val="20"/>
          <w:szCs w:val="20"/>
        </w:rPr>
        <w:t xml:space="preserve">Lecturer Name: </w:t>
      </w:r>
      <w:r w:rsidR="00005523">
        <w:rPr>
          <w:rFonts w:ascii="Calibri" w:hAnsi="Calibri"/>
          <w:sz w:val="20"/>
          <w:szCs w:val="20"/>
        </w:rPr>
        <w:t>Shaila Hussain</w:t>
      </w:r>
    </w:p>
    <w:p w14:paraId="6A0E7BBA" w14:textId="77777777" w:rsidR="00005523" w:rsidRDefault="00005523">
      <w:pPr>
        <w:rPr>
          <w:rFonts w:ascii="Calibri" w:hAnsi="Calibri"/>
          <w:sz w:val="20"/>
          <w:szCs w:val="20"/>
        </w:rPr>
      </w:pPr>
    </w:p>
    <w:p w14:paraId="4103E4E0" w14:textId="43017A7D" w:rsidR="00005523" w:rsidRDefault="00C241E7">
      <w:pPr>
        <w:rPr>
          <w:rFonts w:ascii="Calibri" w:hAnsi="Calibri"/>
          <w:b/>
          <w:bCs/>
          <w:sz w:val="20"/>
          <w:szCs w:val="20"/>
        </w:rPr>
      </w:pPr>
      <w:r>
        <w:rPr>
          <w:rFonts w:ascii="Calibri" w:hAnsi="Calibri"/>
          <w:b/>
          <w:bCs/>
          <w:sz w:val="20"/>
          <w:szCs w:val="20"/>
        </w:rPr>
        <w:t xml:space="preserve">Case </w:t>
      </w:r>
      <w:r w:rsidR="003F6A5E">
        <w:rPr>
          <w:rFonts w:ascii="Calibri" w:hAnsi="Calibri"/>
          <w:b/>
          <w:bCs/>
          <w:sz w:val="20"/>
          <w:szCs w:val="20"/>
        </w:rPr>
        <w:t>Study</w:t>
      </w:r>
    </w:p>
    <w:p w14:paraId="044B1BB5" w14:textId="77777777" w:rsidR="005E29AC" w:rsidRPr="00661BC5" w:rsidRDefault="00E52A20">
      <w:pPr>
        <w:pStyle w:val="p1"/>
        <w:divId w:val="305160258"/>
        <w:rPr>
          <w:rFonts w:ascii="Calibri" w:hAnsi="Calibri"/>
          <w:sz w:val="20"/>
          <w:szCs w:val="20"/>
        </w:rPr>
      </w:pPr>
      <w:r w:rsidRPr="00E52A20">
        <w:rPr>
          <w:rFonts w:ascii="Calibri" w:hAnsi="Calibri"/>
          <w:sz w:val="20"/>
          <w:szCs w:val="20"/>
        </w:rPr>
        <w:t xml:space="preserve">Diabetes mellitus is a long-term metabolic condition characterised by the body’s inability to regulate blood glucose levels effectively, leading to hyperglycaemia and long-term complications if not managed appropriately. There are two main types: Type 1, which is autoimmune and results in the destruction of insulin-producing beta cells in the pancreas, and Type 2, which is primarily associated with insulin resistance and a relative lack of insulin production. Type 2 diabetes is more prevalent, accounting for around 90% of all diabetes cases in the UK (Diabetes UK, 2024). As a practice nurse working in a local GP surgery, I have observed an increasing number of patients diagnosed with Type 2 diabetes, many of whom struggle to understand the complexity of their condition and how their lifestyle choices impact their blood glucose levels. Risk factors for Type 2 diabetes include obesity, sedentary lifestyle, unhealthy diet, family history, ethnicity, and age, with modifiable behaviours such as smoking, poor nutrition, and lack of physical activity playing major roles in its development and progression. The NHS Long Term Plan (2019) and NICE guidelines (NG28, 2015) both emphasise the importance of early education and lifestyle interventions in supporting patients to self-manage their condition effectively. Understanding how blood sugar is controlled, and how diet, exercise, and monitoring can prevent complications, is crucial in empowering patients to maintain optimal health outcomes. In healthy individuals, blood sugar levels are maintained within a narrow range—usually between 4 and 7 mmol/L—through the coordinated actions of insulin and glucagon, hormones produced by the pancreas. After eating, carbohydrates are broken down into glucose, which enters the bloodstream and triggers insulin secretion from the beta cells in the islets of Langerhans. Insulin facilitates the uptake of glucose into body cells, particularly muscle and liver cells, where it is stored as glycogen or used for energy production. When blood glucose levels fall, such as between meals, the alpha cells of the pancreas release glucagon, stimulating the liver to convert stored glycogen back into glucose and release it into the bloodstream. This feedback mechanism ensures that the body maintains a constant supply of glucose for energy. However, in Type 2 diabetes, cells become resistant to insulin, and the pancreas may not produce enough insulin to compensate, resulting in persistently high blood glucose levels. Prolonged hyperglycaemia can damage blood vessels, nerves, and organs, increasing the risk of complications such as cardiovascular disease, kidney failure, neuropathy, and retinopathy. Therefore, maintaining safe and effective blood sugar levels is a fundamental aspect of diabetes management. Within the body, glucose and oxygen play essential roles in cellular metabolism, particularly in the production of adenosine triphosphate (ATP)—the primary energy currency of the cell. This process occurs through cellular respiration, which includes glycolysis, the Krebs cycle, and the electron transport chain. In the presence of oxygen (aerobic respiration), glucose is broken down into carbon dioxide and water, releasing energy that is stored in ATP molecules. This energy is required for vital physiological processes, including muscle contraction, nerve transmission, and cell repair. When insulin resistance prevents glucose from entering cells efficiently, less glucose is available for energy production, leading to fatigue, poor wound healing, and increased fat breakdown for energy, which in turn raises blood lipid levels. In severe cases, when glucose cannot be utilised properly, the body breaks down fat excessively, producing ketones, which can cause metabolic imbalances such as diabetic ketoacidosis (although more common in Type 1 diabetes). Thus, the regulation of glucose metabolism is vital for maintaining energy balance and overall health. Recording and tracking blood sugar levels play a critical role in helping individuals with Type 2 diabetes to safely manage their condition. Regular self-monitoring allows patients to observe how their blood glucose responds to food, activity, medication, and stress, empowering them to make informed decisions about their care. Monitoring is typically done using a glucometer or continuous glucose monitor (CGM), which provides readings that can be logged and reviewed over time. According to NICE (2015), routine blood glucose monitoring is especially beneficial for patients using insulin or sulfonylurea medications, those experiencing hypoglycaemia, or those needing to assess the impact of lifestyle changes. Tracking blood glucose </w:t>
      </w:r>
      <w:r w:rsidRPr="00E52A20">
        <w:rPr>
          <w:rFonts w:ascii="Calibri" w:hAnsi="Calibri"/>
          <w:sz w:val="20"/>
          <w:szCs w:val="20"/>
        </w:rPr>
        <w:lastRenderedPageBreak/>
        <w:t xml:space="preserve">trends helps to identify patterns of hyperglycaemia or hypoglycaemia, allowing for timely adjustments to diet, exercise, or medication. For example, if a patient records consistently high readings after meals, this may indicate the need to reduce carbohydrate intake or improve meal timing. Keeping a diary of readings also enhances communication between patients and healthcare providers, facilitating collaborative care planning and goal setting. Furthermore, monitoring supports early detection of complications, such as poor </w:t>
      </w:r>
      <w:proofErr w:type="spellStart"/>
      <w:r w:rsidRPr="00E52A20">
        <w:rPr>
          <w:rFonts w:ascii="Calibri" w:hAnsi="Calibri"/>
          <w:sz w:val="20"/>
          <w:szCs w:val="20"/>
        </w:rPr>
        <w:t>glycaemic</w:t>
      </w:r>
      <w:proofErr w:type="spellEnd"/>
      <w:r w:rsidRPr="00E52A20">
        <w:rPr>
          <w:rFonts w:ascii="Calibri" w:hAnsi="Calibri"/>
          <w:sz w:val="20"/>
          <w:szCs w:val="20"/>
        </w:rPr>
        <w:t xml:space="preserve"> control leading to diabetic foot ulcers or vision changes. HbA1c testing, which measures average blood glucose over a two- to three-month period, provides additional insight into long-term control. Educating patients about the purpose and interpretation of these tests is vital for motivation and adherence. The NHS England Diabetes Prevention Programme (2023) highlights self-monitoring as a cornerstone of patient empowerment and behaviour change, linking consistent monitoring with better self-management outcomes and reduced healthcare costs. Lifestyle modification is another crucial component of diabetes management, supported by substantial evidence. Adopting healthy habits such as maintaining a balanced diet, engaging in regular physical activity, and avoiding harmful substances like tobacco and excessive alcohol can significantly improve </w:t>
      </w:r>
      <w:proofErr w:type="spellStart"/>
      <w:r w:rsidRPr="00E52A20">
        <w:rPr>
          <w:rFonts w:ascii="Calibri" w:hAnsi="Calibri"/>
          <w:sz w:val="20"/>
          <w:szCs w:val="20"/>
        </w:rPr>
        <w:t>glycaemic</w:t>
      </w:r>
      <w:proofErr w:type="spellEnd"/>
      <w:r w:rsidRPr="00E52A20">
        <w:rPr>
          <w:rFonts w:ascii="Calibri" w:hAnsi="Calibri"/>
          <w:sz w:val="20"/>
          <w:szCs w:val="20"/>
        </w:rPr>
        <w:t xml:space="preserve"> control and overall health. Diet is a key factor, as the type and amount of carbohydrate consumed directly affect blood glucose levels. A diet rich in whole grains, fruits, vegetables, lean protein, and healthy fats—while limiting sugary drinks, processed foods, and refined carbohydrates—can help stabilise glucose levels and promote weight management. The Eatwell Guide (Public Health England, 2016) provides practical recommendations for balanced eating, encouraging portion control and reduced intake of saturated fats and added sugars. Research indicates that a Mediterranean-style diet, which emphasises olive oil, fish, nuts, and plant-based foods, can lower HbA1c levels and improve lipid profiles in people with Type 2 diabetes (Diabetes UK, 2023). Weight reduction of just 5–10% can significantly enhance insulin sensitivity and reduce medication dependence. Exercise also plays an essential role in controlling blood sugar levels. Physical activity increases glucose uptake by muscle cells and enhances insulin sensitivity, leading to better metabolic control. The NICE Quality Standard for Diabetes (2020) recommends at least 150 minutes of moderate-intensity exercise per week, such as brisk walking, cycling, or swimming. Encouraging patients to integrate activity into daily routines—like taking the stairs instead of lifts or walking short distances—can be an achievable goal. However, it is important to tailor exercise advice to individual abilities and medical conditions to avoid hypoglycaemia, particularly for those using insulin or insulin-stimulating medications. Combining aerobic and resistance training offers the best outcomes for improving </w:t>
      </w:r>
      <w:proofErr w:type="spellStart"/>
      <w:r w:rsidRPr="00E52A20">
        <w:rPr>
          <w:rFonts w:ascii="Calibri" w:hAnsi="Calibri"/>
          <w:sz w:val="20"/>
          <w:szCs w:val="20"/>
        </w:rPr>
        <w:t>glycaemic</w:t>
      </w:r>
      <w:proofErr w:type="spellEnd"/>
      <w:r w:rsidRPr="00E52A20">
        <w:rPr>
          <w:rFonts w:ascii="Calibri" w:hAnsi="Calibri"/>
          <w:sz w:val="20"/>
          <w:szCs w:val="20"/>
        </w:rPr>
        <w:t xml:space="preserve"> control and cardiovascular fitness. Smoking cessation is another vital recommendation for individuals with diabetes, as smoking exacerbates vascular damage, increases insulin resistance, and raises the risk of complications such as heart disease and stroke. Vaping is not considered a safe alternative, as nicotine still affects insulin action and cardiovascular health. Practice nurses play a crucial role in providing smoking cessation support, offering behavioural counselling and pharmacological aids such as nicotine replacement therapy. Education should focus on the long-term benefits of quitting, including improved circulation, lung function, and blood pressure control. Stress management is another overlooked yet important factor. Chronic stress triggers the release of cortisol and adrenaline, which can elevate blood sugar levels by promoting glucose production in the liver. Psychological wellbeing directly impacts self-care behaviours, including diet adherence and medication compliance. Interventions such as mindfulness, yoga, relaxation techniques, and access to mental health support can help patients manage stress effectively. Addressing emotional wellbeing through compassionate, person-centred communication strengthens trust and encourages engagement in self-management. Alcohol consumption should also be discussed with patients, as excessive drinking can interfere with medication, contribute to weight gain, and cause unpredictable changes in blood sugar. Moderate alcohol intake should be limited, and patients advised to monitor their glucose carefully if they drink. Sleep quality and adequate rest also play roles in metabolic regulation; poor sleep has been linked to insulin resistance and increased appetite, making sleep hygiene advice another useful component of care planning. Education is central to empowering individuals to manage their diabetes effectively. Structured education programmes such as DESMOND (Diabetes Education and Self-Management for Ongoing and Newly Diagnosed) provide patients with the knowledge and skills to make informed lifestyle and treatment decisions. Such programmes are supported by NICE (NG28, 2015) as evidence-based tools for improving self-efficacy and long-term outcomes. As a practice nurse, I would use motivational interviewing techniques to explore barriers to change, encourage goal-setting, and celebrate progress, ensuring that patients feel supported rather than judged. Effective communication also involves using plain</w:t>
      </w:r>
      <w:r w:rsidR="00DD57FE">
        <w:rPr>
          <w:rFonts w:ascii="Calibri" w:hAnsi="Calibri"/>
          <w:sz w:val="20"/>
          <w:szCs w:val="20"/>
        </w:rPr>
        <w:t xml:space="preserve"> language and culturally appropriate materials, as health literacy can vary widely.</w:t>
      </w:r>
      <w:r w:rsidR="00CC11D1">
        <w:rPr>
          <w:rFonts w:ascii="Calibri" w:hAnsi="Calibri"/>
          <w:sz w:val="20"/>
          <w:szCs w:val="20"/>
        </w:rPr>
        <w:t xml:space="preserve"> </w:t>
      </w:r>
      <w:r w:rsidR="00CC11D1" w:rsidRPr="001C3099">
        <w:rPr>
          <w:rStyle w:val="s1"/>
          <w:rFonts w:ascii="Calibri" w:hAnsi="Calibri"/>
          <w:sz w:val="20"/>
          <w:szCs w:val="20"/>
        </w:rPr>
        <w:t xml:space="preserve">In conclusion, diabetes is a growing public health challenge that requires a holistic, person-centred approach to care. Understanding how blood sugar is regulated, how oxygen and glucose interact in metabolism, and the importance of monitoring empowers patients to take control of their condition. Tracking blood sugar levels provides valuable feedback for both patients and healthcare professionals, enabling early intervention and </w:t>
      </w:r>
      <w:r w:rsidR="00CC11D1" w:rsidRPr="001C3099">
        <w:rPr>
          <w:rStyle w:val="s1"/>
          <w:rFonts w:ascii="Calibri" w:hAnsi="Calibri"/>
          <w:sz w:val="20"/>
          <w:szCs w:val="20"/>
        </w:rPr>
        <w:lastRenderedPageBreak/>
        <w:t xml:space="preserve">tailored adjustments to treatment plans. Lifestyle factors—such as diet, exercise, smoking cessation, stress management, and alcohol moderation—play powerful roles in improving </w:t>
      </w:r>
      <w:proofErr w:type="spellStart"/>
      <w:r w:rsidR="00CC11D1" w:rsidRPr="001C3099">
        <w:rPr>
          <w:rStyle w:val="s1"/>
          <w:rFonts w:ascii="Calibri" w:hAnsi="Calibri"/>
          <w:sz w:val="20"/>
          <w:szCs w:val="20"/>
        </w:rPr>
        <w:t>glycaemic</w:t>
      </w:r>
      <w:proofErr w:type="spellEnd"/>
      <w:r w:rsidR="00CC11D1" w:rsidRPr="001C3099">
        <w:rPr>
          <w:rStyle w:val="s1"/>
          <w:rFonts w:ascii="Calibri" w:hAnsi="Calibri"/>
          <w:sz w:val="20"/>
          <w:szCs w:val="20"/>
        </w:rPr>
        <w:t xml:space="preserve"> control and reducing complications. Practice nurses occupy a unique position in primary care to educate, motivate, and support patients through ongoing monitoring and health promotion activities. By adhering to national guidelines, promoting evidence-based lifestyle advice, and fostering collaborative relationships, healthcare professionals can help patients achieve optimal diabetes control and enhance their quality of life. Ongoing patient education, supported by multidisciplinary teamwork and continuous review, ensures that diabetes management remains proactive, empowering, and sustainable over time.</w:t>
      </w:r>
      <w:r w:rsidR="005E29AC" w:rsidRPr="00661BC5">
        <w:rPr>
          <w:rStyle w:val="s1"/>
          <w:rFonts w:ascii="Calibri" w:hAnsi="Calibri"/>
          <w:sz w:val="20"/>
          <w:szCs w:val="20"/>
        </w:rPr>
        <w:t xml:space="preserve"> Building on this, it is essential to recognise that diabetes care does not exist in isolation but is influenced by wider social determinants of health, including socioeconomic status, education, cultural beliefs, employment, and access to healthcare. Individuals from deprived communities may face barriers such as limited access to healthy food options, fewer safe spaces for exercise, and increased stress due to financial pressures. These factors contribute to higher rates of Type 2 diabetes and poorer health outcomes. As a practice nurse, acknowledging these inequalities enables me to adopt a more compassionate and realistic approach when supporting behaviour change, understanding that lifestyle modifications are influenced not only by personal choices but also by environmental and social constraints. Tailoring interventions to meet the unique needs of each patient strengthens engagement, improves equality in healthcare, and aligns with the NHS focus on reducing health disparities. Another important consideration is the psychological burden of living with a long-term condition like diabetes. Many patients experience feelings of guilt, frustration, or fear, particularly when their blood glucose readings remain high despite their best efforts. Diabetes distress is a recognised phenomenon and can seriously impact self-management, motivation, and quality of life. Incorporating mental health screening into routine reviews, signposting patients to counselling services, and providing empathetic, non-judgemental care are crucial components of effective diabetes management. This supports the holistic philosophy of nursing practice, ensuring that emotional as well as physical wellbeing is addressed. Furthermore, the rapid advancement of digital health technologies is transforming diabetes care. Smartphone apps, wearable glucose monitors, and remote monitoring systems enable patients to track their readings more efficiently and share them with clinicians during virtual or in-person appointments. These tools promote greater independence, support early detection of changes, and strengthen collaborative decision-making. However, digital literacy varies among patients, so it is important to offer training and alternative options to ensure equitable access. Ultimately, diabetes management is a lifelong journey requiring continuous support, education, and adaptation. By promoting a collaborative, person-centred approach grounded in evidence-based practice and cultural sensitivity, healthcare professionals can empower patients to achieve sustainable improvements in their health. This holistic strategy not only reduces the risk of long-term complications but also enhances confidence, motivation, and overall quality of life for individuals living with Type 2 diabetes.</w:t>
      </w:r>
      <w:r w:rsidR="005E29AC" w:rsidRPr="00661BC5">
        <w:rPr>
          <w:rStyle w:val="apple-converted-space"/>
          <w:rFonts w:ascii="Calibri" w:hAnsi="Calibri"/>
          <w:sz w:val="20"/>
          <w:szCs w:val="20"/>
        </w:rPr>
        <w:t> </w:t>
      </w:r>
    </w:p>
    <w:p w14:paraId="57350141" w14:textId="5072ACB8" w:rsidR="00CC11D1" w:rsidRPr="00661BC5" w:rsidRDefault="00CC11D1">
      <w:pPr>
        <w:pStyle w:val="p1"/>
        <w:divId w:val="519125017"/>
        <w:rPr>
          <w:rFonts w:ascii="Calibri" w:hAnsi="Calibri"/>
          <w:sz w:val="20"/>
          <w:szCs w:val="20"/>
        </w:rPr>
      </w:pPr>
    </w:p>
    <w:p w14:paraId="5D0B2963" w14:textId="277DF6DA" w:rsidR="003F6A5E" w:rsidRPr="00661BC5" w:rsidRDefault="003F6A5E">
      <w:pPr>
        <w:rPr>
          <w:rFonts w:ascii="Calibri" w:hAnsi="Calibri"/>
          <w:sz w:val="20"/>
          <w:szCs w:val="20"/>
        </w:rPr>
      </w:pPr>
    </w:p>
    <w:p w14:paraId="63E83606" w14:textId="3F274584" w:rsidR="00DD57FE" w:rsidRPr="001C3099" w:rsidRDefault="001C3099">
      <w:pPr>
        <w:rPr>
          <w:rFonts w:ascii="Calibri" w:hAnsi="Calibri"/>
          <w:b/>
          <w:bCs/>
          <w:sz w:val="20"/>
          <w:szCs w:val="20"/>
        </w:rPr>
      </w:pPr>
      <w:r w:rsidRPr="001C3099">
        <w:rPr>
          <w:rFonts w:ascii="Calibri" w:hAnsi="Calibri"/>
          <w:b/>
          <w:bCs/>
          <w:sz w:val="20"/>
          <w:szCs w:val="20"/>
        </w:rPr>
        <w:t>References:</w:t>
      </w:r>
    </w:p>
    <w:p w14:paraId="5FA3087E" w14:textId="77777777" w:rsidR="00A4057C" w:rsidRPr="00A4057C" w:rsidRDefault="00A4057C">
      <w:pPr>
        <w:pStyle w:val="p1"/>
        <w:divId w:val="523060155"/>
        <w:rPr>
          <w:rFonts w:ascii="Calibri" w:hAnsi="Calibri"/>
          <w:sz w:val="20"/>
          <w:szCs w:val="20"/>
        </w:rPr>
      </w:pPr>
      <w:r w:rsidRPr="00A4057C">
        <w:rPr>
          <w:rStyle w:val="s1"/>
          <w:rFonts w:ascii="Calibri" w:hAnsi="Calibri"/>
          <w:sz w:val="20"/>
          <w:szCs w:val="20"/>
        </w:rPr>
        <w:t xml:space="preserve">Diabetes UK. (2023). </w:t>
      </w:r>
      <w:r w:rsidRPr="00A4057C">
        <w:rPr>
          <w:rStyle w:val="s2"/>
          <w:rFonts w:ascii="Calibri" w:hAnsi="Calibri"/>
          <w:sz w:val="20"/>
          <w:szCs w:val="20"/>
        </w:rPr>
        <w:t>Healthy eating and diabetes</w:t>
      </w:r>
      <w:r w:rsidRPr="00A4057C">
        <w:rPr>
          <w:rStyle w:val="s1"/>
          <w:rFonts w:ascii="Calibri" w:hAnsi="Calibri"/>
          <w:sz w:val="20"/>
          <w:szCs w:val="20"/>
        </w:rPr>
        <w:t>. Retrieved from https://www.diabetes.org.uk</w:t>
      </w:r>
    </w:p>
    <w:p w14:paraId="0C89C3C3" w14:textId="77777777" w:rsidR="00A4057C" w:rsidRPr="00A4057C" w:rsidRDefault="00A4057C">
      <w:pPr>
        <w:pStyle w:val="p1"/>
        <w:divId w:val="523060155"/>
        <w:rPr>
          <w:rFonts w:ascii="Calibri" w:hAnsi="Calibri"/>
          <w:sz w:val="20"/>
          <w:szCs w:val="20"/>
        </w:rPr>
      </w:pPr>
      <w:r w:rsidRPr="00A4057C">
        <w:rPr>
          <w:rStyle w:val="s1"/>
          <w:rFonts w:ascii="Calibri" w:hAnsi="Calibri"/>
          <w:sz w:val="20"/>
          <w:szCs w:val="20"/>
        </w:rPr>
        <w:t xml:space="preserve">    •    Diabetes UK. (2024). </w:t>
      </w:r>
      <w:r w:rsidRPr="00A4057C">
        <w:rPr>
          <w:rStyle w:val="s2"/>
          <w:rFonts w:ascii="Calibri" w:hAnsi="Calibri"/>
          <w:sz w:val="20"/>
          <w:szCs w:val="20"/>
        </w:rPr>
        <w:t>Diabetes facts and statistics</w:t>
      </w:r>
      <w:r w:rsidRPr="00A4057C">
        <w:rPr>
          <w:rStyle w:val="s1"/>
          <w:rFonts w:ascii="Calibri" w:hAnsi="Calibri"/>
          <w:sz w:val="20"/>
          <w:szCs w:val="20"/>
        </w:rPr>
        <w:t>.</w:t>
      </w:r>
    </w:p>
    <w:p w14:paraId="1C27B83B" w14:textId="77777777" w:rsidR="00A4057C" w:rsidRPr="00A4057C" w:rsidRDefault="00A4057C">
      <w:pPr>
        <w:pStyle w:val="p1"/>
        <w:divId w:val="523060155"/>
        <w:rPr>
          <w:rFonts w:ascii="Calibri" w:hAnsi="Calibri"/>
          <w:sz w:val="20"/>
          <w:szCs w:val="20"/>
        </w:rPr>
      </w:pPr>
      <w:r w:rsidRPr="00A4057C">
        <w:rPr>
          <w:rStyle w:val="s1"/>
          <w:rFonts w:ascii="Calibri" w:hAnsi="Calibri"/>
          <w:sz w:val="20"/>
          <w:szCs w:val="20"/>
        </w:rPr>
        <w:t xml:space="preserve">    •    National Institute for Health and Care Excellence (NICE). (2015). </w:t>
      </w:r>
      <w:r w:rsidRPr="00A4057C">
        <w:rPr>
          <w:rStyle w:val="s2"/>
          <w:rFonts w:ascii="Calibri" w:hAnsi="Calibri"/>
          <w:sz w:val="20"/>
          <w:szCs w:val="20"/>
        </w:rPr>
        <w:t>Type 2 diabetes in adults: management (NG28)</w:t>
      </w:r>
      <w:r w:rsidRPr="00A4057C">
        <w:rPr>
          <w:rStyle w:val="s1"/>
          <w:rFonts w:ascii="Calibri" w:hAnsi="Calibri"/>
          <w:sz w:val="20"/>
          <w:szCs w:val="20"/>
        </w:rPr>
        <w:t>.</w:t>
      </w:r>
    </w:p>
    <w:p w14:paraId="3AD35F3D" w14:textId="77777777" w:rsidR="00A4057C" w:rsidRPr="00A4057C" w:rsidRDefault="00A4057C">
      <w:pPr>
        <w:pStyle w:val="p1"/>
        <w:divId w:val="523060155"/>
        <w:rPr>
          <w:rFonts w:ascii="Calibri" w:hAnsi="Calibri"/>
          <w:sz w:val="20"/>
          <w:szCs w:val="20"/>
        </w:rPr>
      </w:pPr>
      <w:r w:rsidRPr="00A4057C">
        <w:rPr>
          <w:rStyle w:val="s1"/>
          <w:rFonts w:ascii="Calibri" w:hAnsi="Calibri"/>
          <w:sz w:val="20"/>
          <w:szCs w:val="20"/>
        </w:rPr>
        <w:t xml:space="preserve">    •    National Institute for Health and Care Excellence (NICE). (2020). </w:t>
      </w:r>
      <w:r w:rsidRPr="00A4057C">
        <w:rPr>
          <w:rStyle w:val="s2"/>
          <w:rFonts w:ascii="Calibri" w:hAnsi="Calibri"/>
          <w:sz w:val="20"/>
          <w:szCs w:val="20"/>
        </w:rPr>
        <w:t>Diabetes: Quality Standard QS6</w:t>
      </w:r>
      <w:r w:rsidRPr="00A4057C">
        <w:rPr>
          <w:rStyle w:val="s1"/>
          <w:rFonts w:ascii="Calibri" w:hAnsi="Calibri"/>
          <w:sz w:val="20"/>
          <w:szCs w:val="20"/>
        </w:rPr>
        <w:t>.</w:t>
      </w:r>
    </w:p>
    <w:p w14:paraId="59F97CA7" w14:textId="77777777" w:rsidR="00A4057C" w:rsidRPr="00A4057C" w:rsidRDefault="00A4057C">
      <w:pPr>
        <w:pStyle w:val="p1"/>
        <w:divId w:val="523060155"/>
        <w:rPr>
          <w:rFonts w:ascii="Calibri" w:hAnsi="Calibri"/>
          <w:sz w:val="20"/>
          <w:szCs w:val="20"/>
        </w:rPr>
      </w:pPr>
      <w:r w:rsidRPr="00A4057C">
        <w:rPr>
          <w:rStyle w:val="s1"/>
          <w:rFonts w:ascii="Calibri" w:hAnsi="Calibri"/>
          <w:sz w:val="20"/>
          <w:szCs w:val="20"/>
        </w:rPr>
        <w:t xml:space="preserve">    •    NHS England. (2019). </w:t>
      </w:r>
      <w:r w:rsidRPr="00A4057C">
        <w:rPr>
          <w:rStyle w:val="s2"/>
          <w:rFonts w:ascii="Calibri" w:hAnsi="Calibri"/>
          <w:sz w:val="20"/>
          <w:szCs w:val="20"/>
        </w:rPr>
        <w:t>The NHS Long Term Plan</w:t>
      </w:r>
      <w:r w:rsidRPr="00A4057C">
        <w:rPr>
          <w:rStyle w:val="s1"/>
          <w:rFonts w:ascii="Calibri" w:hAnsi="Calibri"/>
          <w:sz w:val="20"/>
          <w:szCs w:val="20"/>
        </w:rPr>
        <w:t>.</w:t>
      </w:r>
    </w:p>
    <w:p w14:paraId="532FF62C" w14:textId="77777777" w:rsidR="00A4057C" w:rsidRPr="00A4057C" w:rsidRDefault="00A4057C">
      <w:pPr>
        <w:pStyle w:val="p1"/>
        <w:divId w:val="523060155"/>
        <w:rPr>
          <w:rFonts w:ascii="Calibri" w:hAnsi="Calibri"/>
          <w:sz w:val="20"/>
          <w:szCs w:val="20"/>
        </w:rPr>
      </w:pPr>
      <w:r w:rsidRPr="00A4057C">
        <w:rPr>
          <w:rStyle w:val="s1"/>
          <w:rFonts w:ascii="Calibri" w:hAnsi="Calibri"/>
          <w:sz w:val="20"/>
          <w:szCs w:val="20"/>
        </w:rPr>
        <w:t xml:space="preserve">    •    NHS England. (2023). </w:t>
      </w:r>
      <w:r w:rsidRPr="00A4057C">
        <w:rPr>
          <w:rStyle w:val="s2"/>
          <w:rFonts w:ascii="Calibri" w:hAnsi="Calibri"/>
          <w:sz w:val="20"/>
          <w:szCs w:val="20"/>
        </w:rPr>
        <w:t>National Diabetes Prevention Programme</w:t>
      </w:r>
      <w:r w:rsidRPr="00A4057C">
        <w:rPr>
          <w:rStyle w:val="s1"/>
          <w:rFonts w:ascii="Calibri" w:hAnsi="Calibri"/>
          <w:sz w:val="20"/>
          <w:szCs w:val="20"/>
        </w:rPr>
        <w:t>.</w:t>
      </w:r>
    </w:p>
    <w:p w14:paraId="7203D836" w14:textId="77777777" w:rsidR="00A4057C" w:rsidRPr="00A4057C" w:rsidRDefault="00A4057C">
      <w:pPr>
        <w:pStyle w:val="p1"/>
        <w:divId w:val="523060155"/>
        <w:rPr>
          <w:rFonts w:ascii="Calibri" w:hAnsi="Calibri"/>
          <w:sz w:val="20"/>
          <w:szCs w:val="20"/>
        </w:rPr>
      </w:pPr>
      <w:r w:rsidRPr="00A4057C">
        <w:rPr>
          <w:rStyle w:val="s1"/>
          <w:rFonts w:ascii="Calibri" w:hAnsi="Calibri"/>
          <w:sz w:val="20"/>
          <w:szCs w:val="20"/>
        </w:rPr>
        <w:t xml:space="preserve">    •    Public Health England. (2016). </w:t>
      </w:r>
      <w:r w:rsidRPr="00A4057C">
        <w:rPr>
          <w:rStyle w:val="s2"/>
          <w:rFonts w:ascii="Calibri" w:hAnsi="Calibri"/>
          <w:sz w:val="20"/>
          <w:szCs w:val="20"/>
        </w:rPr>
        <w:t>The Eatwell Guide</w:t>
      </w:r>
      <w:r w:rsidRPr="00A4057C">
        <w:rPr>
          <w:rStyle w:val="s1"/>
          <w:rFonts w:ascii="Calibri" w:hAnsi="Calibri"/>
          <w:sz w:val="20"/>
          <w:szCs w:val="20"/>
        </w:rPr>
        <w:t>.</w:t>
      </w:r>
    </w:p>
    <w:p w14:paraId="188A94D8" w14:textId="77777777" w:rsidR="00A4057C" w:rsidRPr="00A4057C" w:rsidRDefault="00A4057C">
      <w:pPr>
        <w:pStyle w:val="p1"/>
        <w:divId w:val="523060155"/>
        <w:rPr>
          <w:rFonts w:ascii="Calibri" w:hAnsi="Calibri"/>
          <w:sz w:val="20"/>
          <w:szCs w:val="20"/>
        </w:rPr>
      </w:pPr>
      <w:r w:rsidRPr="00A4057C">
        <w:rPr>
          <w:rStyle w:val="s1"/>
          <w:rFonts w:ascii="Calibri" w:hAnsi="Calibri"/>
          <w:sz w:val="20"/>
          <w:szCs w:val="20"/>
        </w:rPr>
        <w:t xml:space="preserve">    •    World Health Organization (WHO). (2023). </w:t>
      </w:r>
      <w:r w:rsidRPr="00A4057C">
        <w:rPr>
          <w:rStyle w:val="s2"/>
          <w:rFonts w:ascii="Calibri" w:hAnsi="Calibri"/>
          <w:sz w:val="20"/>
          <w:szCs w:val="20"/>
        </w:rPr>
        <w:t>Diabetes fact sheet</w:t>
      </w:r>
      <w:r w:rsidRPr="00A4057C">
        <w:rPr>
          <w:rStyle w:val="s1"/>
          <w:rFonts w:ascii="Calibri" w:hAnsi="Calibri"/>
          <w:sz w:val="20"/>
          <w:szCs w:val="20"/>
        </w:rPr>
        <w:t>.</w:t>
      </w:r>
    </w:p>
    <w:p w14:paraId="59ACAA35" w14:textId="77777777" w:rsidR="001C3099" w:rsidRPr="00A4057C" w:rsidRDefault="001C3099">
      <w:pPr>
        <w:rPr>
          <w:rFonts w:ascii="Calibri" w:hAnsi="Calibri"/>
          <w:sz w:val="20"/>
          <w:szCs w:val="20"/>
          <w:u w:val="single"/>
        </w:rPr>
      </w:pPr>
    </w:p>
    <w:sectPr w:rsidR="001C3099" w:rsidRPr="00A405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F UI">
    <w:altName w:val="Cambria"/>
    <w:panose1 w:val="020B0604020202020204"/>
    <w:charset w:val="00"/>
    <w:family w:val="roman"/>
    <w:pitch w:val="default"/>
  </w:font>
  <w:font w:name=".SFUI-Regular">
    <w:altName w:val="Cambria"/>
    <w:panose1 w:val="020B0604020202020204"/>
    <w:charset w:val="00"/>
    <w:family w:val="roman"/>
    <w:pitch w:val="default"/>
  </w:font>
  <w:font w:name=".SFUI-RegularItalic">
    <w:altName w:val="Cambria"/>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44C"/>
    <w:rsid w:val="00005523"/>
    <w:rsid w:val="001013BA"/>
    <w:rsid w:val="001C3099"/>
    <w:rsid w:val="0026644C"/>
    <w:rsid w:val="00362AB5"/>
    <w:rsid w:val="003A2763"/>
    <w:rsid w:val="003F6A5E"/>
    <w:rsid w:val="00454C37"/>
    <w:rsid w:val="005E29AC"/>
    <w:rsid w:val="00661BC5"/>
    <w:rsid w:val="00734F46"/>
    <w:rsid w:val="00856823"/>
    <w:rsid w:val="009452E6"/>
    <w:rsid w:val="009C00F8"/>
    <w:rsid w:val="00A4057C"/>
    <w:rsid w:val="00C241E7"/>
    <w:rsid w:val="00CC11D1"/>
    <w:rsid w:val="00DD57FE"/>
    <w:rsid w:val="00E52A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644841"/>
  <w15:chartTrackingRefBased/>
  <w15:docId w15:val="{9F7FE865-2737-7142-BBE7-199C68B43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64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64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64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64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64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64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64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64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64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64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64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64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64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64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64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64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64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644C"/>
    <w:rPr>
      <w:rFonts w:eastAsiaTheme="majorEastAsia" w:cstheme="majorBidi"/>
      <w:color w:val="272727" w:themeColor="text1" w:themeTint="D8"/>
    </w:rPr>
  </w:style>
  <w:style w:type="paragraph" w:styleId="Title">
    <w:name w:val="Title"/>
    <w:basedOn w:val="Normal"/>
    <w:next w:val="Normal"/>
    <w:link w:val="TitleChar"/>
    <w:uiPriority w:val="10"/>
    <w:qFormat/>
    <w:rsid w:val="002664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64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64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64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644C"/>
    <w:pPr>
      <w:spacing w:before="160"/>
      <w:jc w:val="center"/>
    </w:pPr>
    <w:rPr>
      <w:i/>
      <w:iCs/>
      <w:color w:val="404040" w:themeColor="text1" w:themeTint="BF"/>
    </w:rPr>
  </w:style>
  <w:style w:type="character" w:customStyle="1" w:styleId="QuoteChar">
    <w:name w:val="Quote Char"/>
    <w:basedOn w:val="DefaultParagraphFont"/>
    <w:link w:val="Quote"/>
    <w:uiPriority w:val="29"/>
    <w:rsid w:val="0026644C"/>
    <w:rPr>
      <w:i/>
      <w:iCs/>
      <w:color w:val="404040" w:themeColor="text1" w:themeTint="BF"/>
    </w:rPr>
  </w:style>
  <w:style w:type="paragraph" w:styleId="ListParagraph">
    <w:name w:val="List Paragraph"/>
    <w:basedOn w:val="Normal"/>
    <w:uiPriority w:val="34"/>
    <w:qFormat/>
    <w:rsid w:val="0026644C"/>
    <w:pPr>
      <w:ind w:left="720"/>
      <w:contextualSpacing/>
    </w:pPr>
  </w:style>
  <w:style w:type="character" w:styleId="IntenseEmphasis">
    <w:name w:val="Intense Emphasis"/>
    <w:basedOn w:val="DefaultParagraphFont"/>
    <w:uiPriority w:val="21"/>
    <w:qFormat/>
    <w:rsid w:val="0026644C"/>
    <w:rPr>
      <w:i/>
      <w:iCs/>
      <w:color w:val="0F4761" w:themeColor="accent1" w:themeShade="BF"/>
    </w:rPr>
  </w:style>
  <w:style w:type="paragraph" w:styleId="IntenseQuote">
    <w:name w:val="Intense Quote"/>
    <w:basedOn w:val="Normal"/>
    <w:next w:val="Normal"/>
    <w:link w:val="IntenseQuoteChar"/>
    <w:uiPriority w:val="30"/>
    <w:qFormat/>
    <w:rsid w:val="002664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644C"/>
    <w:rPr>
      <w:i/>
      <w:iCs/>
      <w:color w:val="0F4761" w:themeColor="accent1" w:themeShade="BF"/>
    </w:rPr>
  </w:style>
  <w:style w:type="character" w:styleId="IntenseReference">
    <w:name w:val="Intense Reference"/>
    <w:basedOn w:val="DefaultParagraphFont"/>
    <w:uiPriority w:val="32"/>
    <w:qFormat/>
    <w:rsid w:val="0026644C"/>
    <w:rPr>
      <w:b/>
      <w:bCs/>
      <w:smallCaps/>
      <w:color w:val="0F4761" w:themeColor="accent1" w:themeShade="BF"/>
      <w:spacing w:val="5"/>
    </w:rPr>
  </w:style>
  <w:style w:type="paragraph" w:customStyle="1" w:styleId="p1">
    <w:name w:val="p1"/>
    <w:basedOn w:val="Normal"/>
    <w:rsid w:val="00CC11D1"/>
    <w:pPr>
      <w:spacing w:after="0" w:line="240" w:lineRule="auto"/>
    </w:pPr>
    <w:rPr>
      <w:rFonts w:ascii=".SF UI" w:hAnsi=".SF UI" w:cs="Times New Roman"/>
      <w:kern w:val="0"/>
      <w:sz w:val="26"/>
      <w:szCs w:val="26"/>
      <w14:ligatures w14:val="none"/>
    </w:rPr>
  </w:style>
  <w:style w:type="character" w:customStyle="1" w:styleId="s1">
    <w:name w:val="s1"/>
    <w:basedOn w:val="DefaultParagraphFont"/>
    <w:rsid w:val="00CC11D1"/>
    <w:rPr>
      <w:rFonts w:ascii=".SFUI-Regular" w:hAnsi=".SFUI-Regular" w:hint="default"/>
      <w:b w:val="0"/>
      <w:bCs w:val="0"/>
      <w:i w:val="0"/>
      <w:iCs w:val="0"/>
      <w:sz w:val="26"/>
      <w:szCs w:val="26"/>
    </w:rPr>
  </w:style>
  <w:style w:type="character" w:customStyle="1" w:styleId="s2">
    <w:name w:val="s2"/>
    <w:basedOn w:val="DefaultParagraphFont"/>
    <w:rsid w:val="00A4057C"/>
    <w:rPr>
      <w:rFonts w:ascii=".SFUI-RegularItalic" w:hAnsi=".SFUI-RegularItalic" w:hint="default"/>
      <w:b w:val="0"/>
      <w:bCs w:val="0"/>
      <w:i/>
      <w:iCs/>
      <w:sz w:val="26"/>
      <w:szCs w:val="26"/>
    </w:rPr>
  </w:style>
  <w:style w:type="character" w:customStyle="1" w:styleId="apple-converted-space">
    <w:name w:val="apple-converted-space"/>
    <w:basedOn w:val="DefaultParagraphFont"/>
    <w:rsid w:val="005E29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9125017">
      <w:bodyDiv w:val="1"/>
      <w:marLeft w:val="0"/>
      <w:marRight w:val="0"/>
      <w:marTop w:val="0"/>
      <w:marBottom w:val="0"/>
      <w:divBdr>
        <w:top w:val="none" w:sz="0" w:space="0" w:color="auto"/>
        <w:left w:val="none" w:sz="0" w:space="0" w:color="auto"/>
        <w:bottom w:val="none" w:sz="0" w:space="0" w:color="auto"/>
        <w:right w:val="none" w:sz="0" w:space="0" w:color="auto"/>
      </w:divBdr>
      <w:divsChild>
        <w:div w:id="305160258">
          <w:marLeft w:val="0"/>
          <w:marRight w:val="0"/>
          <w:marTop w:val="0"/>
          <w:marBottom w:val="0"/>
          <w:divBdr>
            <w:top w:val="none" w:sz="0" w:space="0" w:color="auto"/>
            <w:left w:val="none" w:sz="0" w:space="0" w:color="auto"/>
            <w:bottom w:val="none" w:sz="0" w:space="0" w:color="auto"/>
            <w:right w:val="none" w:sz="0" w:space="0" w:color="auto"/>
          </w:divBdr>
        </w:div>
      </w:divsChild>
    </w:div>
    <w:div w:id="523060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2272</Words>
  <Characters>12954</Characters>
  <Application>Microsoft Office Word</Application>
  <DocSecurity>0</DocSecurity>
  <Lines>107</Lines>
  <Paragraphs>30</Paragraphs>
  <ScaleCrop>false</ScaleCrop>
  <Company/>
  <LinksUpToDate>false</LinksUpToDate>
  <CharactersWithSpaces>15196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Dashanti Martins Da Curz (2330883)</dc:creator>
  <cp:keywords/>
  <dc:description/>
  <cp:lastModifiedBy>Dashanti Martins Da Curz (2330883)</cp:lastModifiedBy>
  <cp:revision>2</cp:revision>
  <dcterms:created xsi:type="dcterms:W3CDTF">2025-11-26T21:38:00Z</dcterms:created>
  <dcterms:modified xsi:type="dcterms:W3CDTF">2025-11-26T21:38:00Z</dcterms:modified>
</cp:coreProperties>
</file>