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C09C6" w14:textId="77777777" w:rsidR="00AB268D"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Noshin </w:t>
      </w:r>
      <w:proofErr w:type="spellStart"/>
      <w:r>
        <w:rPr>
          <w:rFonts w:ascii="Arial" w:eastAsia="Times New Roman" w:hAnsi="Arial" w:cs="Arial"/>
          <w:b/>
          <w:bCs/>
          <w:kern w:val="36"/>
          <w:sz w:val="22"/>
          <w:szCs w:val="22"/>
          <w14:ligatures w14:val="none"/>
        </w:rPr>
        <w:t>bano</w:t>
      </w:r>
      <w:proofErr w:type="spellEnd"/>
      <w:r>
        <w:rPr>
          <w:rFonts w:ascii="Arial" w:eastAsia="Times New Roman" w:hAnsi="Arial" w:cs="Arial"/>
          <w:b/>
          <w:bCs/>
          <w:kern w:val="36"/>
          <w:sz w:val="22"/>
          <w:szCs w:val="22"/>
          <w14:ligatures w14:val="none"/>
        </w:rPr>
        <w:t xml:space="preserve"> khan 2441329</w:t>
      </w:r>
    </w:p>
    <w:p w14:paraId="769FEC7C" w14:textId="77777777" w:rsidR="00AB268D"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BMH5016-Reflective report Assignment</w:t>
      </w:r>
    </w:p>
    <w:p w14:paraId="70403F0A" w14:textId="77777777" w:rsidR="00AB268D"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Lecture- Mr Kennedy </w:t>
      </w:r>
      <w:proofErr w:type="spellStart"/>
      <w:r>
        <w:rPr>
          <w:rFonts w:ascii="Arial" w:eastAsia="Times New Roman" w:hAnsi="Arial" w:cs="Arial"/>
          <w:b/>
          <w:bCs/>
          <w:kern w:val="36"/>
          <w:sz w:val="22"/>
          <w:szCs w:val="22"/>
          <w14:ligatures w14:val="none"/>
        </w:rPr>
        <w:t>Obohwemu</w:t>
      </w:r>
      <w:proofErr w:type="spellEnd"/>
      <w:r>
        <w:rPr>
          <w:rFonts w:ascii="Arial" w:eastAsia="Times New Roman" w:hAnsi="Arial" w:cs="Arial"/>
          <w:b/>
          <w:bCs/>
          <w:kern w:val="36"/>
          <w:sz w:val="22"/>
          <w:szCs w:val="22"/>
          <w14:ligatures w14:val="none"/>
        </w:rPr>
        <w:t xml:space="preserve">, Robert </w:t>
      </w:r>
      <w:proofErr w:type="spellStart"/>
      <w:r>
        <w:rPr>
          <w:rFonts w:ascii="Arial" w:eastAsia="Times New Roman" w:hAnsi="Arial" w:cs="Arial"/>
          <w:b/>
          <w:bCs/>
          <w:kern w:val="36"/>
          <w:sz w:val="22"/>
          <w:szCs w:val="22"/>
          <w14:ligatures w14:val="none"/>
        </w:rPr>
        <w:t>Nartowski</w:t>
      </w:r>
      <w:proofErr w:type="spellEnd"/>
      <w:r>
        <w:rPr>
          <w:rFonts w:ascii="Arial" w:eastAsia="Times New Roman" w:hAnsi="Arial" w:cs="Arial"/>
          <w:b/>
          <w:bCs/>
          <w:kern w:val="36"/>
          <w:sz w:val="22"/>
          <w:szCs w:val="22"/>
          <w14:ligatures w14:val="none"/>
        </w:rPr>
        <w:t xml:space="preserve"> and </w:t>
      </w:r>
      <w:proofErr w:type="spellStart"/>
      <w:r>
        <w:rPr>
          <w:rFonts w:ascii="Arial" w:eastAsia="Times New Roman" w:hAnsi="Arial" w:cs="Arial"/>
          <w:b/>
          <w:bCs/>
          <w:kern w:val="36"/>
          <w:sz w:val="22"/>
          <w:szCs w:val="22"/>
          <w14:ligatures w14:val="none"/>
        </w:rPr>
        <w:t>Azida</w:t>
      </w:r>
      <w:proofErr w:type="spellEnd"/>
      <w:r>
        <w:rPr>
          <w:rFonts w:ascii="Arial" w:eastAsia="Times New Roman" w:hAnsi="Arial" w:cs="Arial"/>
          <w:b/>
          <w:bCs/>
          <w:kern w:val="36"/>
          <w:sz w:val="22"/>
          <w:szCs w:val="22"/>
          <w14:ligatures w14:val="none"/>
        </w:rPr>
        <w:t xml:space="preserve"> </w:t>
      </w:r>
      <w:proofErr w:type="spellStart"/>
      <w:r>
        <w:rPr>
          <w:rFonts w:ascii="Arial" w:eastAsia="Times New Roman" w:hAnsi="Arial" w:cs="Arial"/>
          <w:b/>
          <w:bCs/>
          <w:kern w:val="36"/>
          <w:sz w:val="22"/>
          <w:szCs w:val="22"/>
          <w14:ligatures w14:val="none"/>
        </w:rPr>
        <w:t>Zainol</w:t>
      </w:r>
      <w:proofErr w:type="spellEnd"/>
      <w:r>
        <w:rPr>
          <w:rFonts w:ascii="Arial" w:eastAsia="Times New Roman" w:hAnsi="Arial" w:cs="Arial"/>
          <w:b/>
          <w:bCs/>
          <w:kern w:val="36"/>
          <w:sz w:val="22"/>
          <w:szCs w:val="22"/>
          <w14:ligatures w14:val="none"/>
        </w:rPr>
        <w:t xml:space="preserve"> </w:t>
      </w:r>
    </w:p>
    <w:p w14:paraId="6BBF5558" w14:textId="77777777" w:rsidR="00AB268D"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63A14C5" w14:textId="77777777" w:rsidR="00AB268D" w:rsidRPr="00D42BA5"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D42BA5">
        <w:rPr>
          <w:rFonts w:ascii="Arial" w:eastAsia="Times New Roman" w:hAnsi="Arial" w:cs="Arial"/>
          <w:b/>
          <w:bCs/>
          <w:kern w:val="36"/>
          <w:sz w:val="22"/>
          <w:szCs w:val="22"/>
          <w14:ligatures w14:val="none"/>
        </w:rPr>
        <w:t>Principles of Health and Social Care</w:t>
      </w:r>
    </w:p>
    <w:p w14:paraId="1D3B9087" w14:textId="77777777" w:rsidR="00AB268D" w:rsidRPr="00D42BA5"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D42BA5">
        <w:rPr>
          <w:rFonts w:ascii="Arial" w:eastAsia="Times New Roman" w:hAnsi="Arial" w:cs="Arial"/>
          <w:b/>
          <w:bCs/>
          <w:kern w:val="0"/>
          <w:sz w:val="22"/>
          <w:szCs w:val="22"/>
          <w14:ligatures w14:val="none"/>
        </w:rPr>
        <w:t>Introduction</w:t>
      </w:r>
    </w:p>
    <w:p w14:paraId="11243F0C" w14:textId="77777777" w:rsidR="00AB268D" w:rsidRPr="00F81FC2" w:rsidRDefault="00AB268D" w:rsidP="00DE4338">
      <w:pPr>
        <w:spacing w:before="100" w:beforeAutospacing="1" w:after="100" w:afterAutospacing="1" w:line="240" w:lineRule="auto"/>
        <w:rPr>
          <w:rFonts w:ascii="Arial" w:hAnsi="Arial" w:cs="Arial"/>
          <w:kern w:val="0"/>
          <w:sz w:val="22"/>
          <w:szCs w:val="22"/>
          <w14:ligatures w14:val="none"/>
        </w:rPr>
      </w:pPr>
      <w:r w:rsidRPr="00F81FC2">
        <w:rPr>
          <w:rFonts w:ascii="Arial" w:hAnsi="Arial" w:cs="Arial"/>
          <w:kern w:val="0"/>
          <w:sz w:val="22"/>
          <w:szCs w:val="22"/>
          <w14:ligatures w14:val="none"/>
        </w:rPr>
        <w:t>Person-centred care, partnership working and ethical practice are important principles within health and social care. They help professionals provide care that respects the individual, protects their rights and responds to their physical, emotional and social needs. These principles are particularly important when supporting people with long-term conditions because managing health can be affected by many factors beyond the medical condition itself.</w:t>
      </w:r>
    </w:p>
    <w:p w14:paraId="36936515" w14:textId="77777777" w:rsidR="00AB268D" w:rsidRPr="00F81FC2" w:rsidRDefault="00AB268D" w:rsidP="00DE4338">
      <w:pPr>
        <w:spacing w:before="100" w:beforeAutospacing="1" w:after="100" w:afterAutospacing="1" w:line="240" w:lineRule="auto"/>
        <w:rPr>
          <w:rFonts w:ascii="Arial" w:hAnsi="Arial" w:cs="Arial"/>
          <w:kern w:val="0"/>
          <w:sz w:val="22"/>
          <w:szCs w:val="22"/>
          <w14:ligatures w14:val="none"/>
        </w:rPr>
      </w:pPr>
      <w:r w:rsidRPr="00F81FC2">
        <w:rPr>
          <w:rFonts w:ascii="Arial" w:hAnsi="Arial" w:cs="Arial"/>
          <w:kern w:val="0"/>
          <w:sz w:val="22"/>
          <w:szCs w:val="22"/>
          <w14:ligatures w14:val="none"/>
        </w:rPr>
        <w:t>This report will reflect on the importance of these three principles within UK health and social care. It will then apply them to the case study of Joan, who has Chronic Obstructive Pulmonary Disease (COPD) and Crohn’s disease and experienced difficulties managing her health and attending appointments. Finally, I will reflect on how these principles can influence my own development and future practice as a health and social care professional.</w:t>
      </w:r>
    </w:p>
    <w:p w14:paraId="4F99B989" w14:textId="77777777" w:rsidR="00AB268D" w:rsidRPr="004F31DB" w:rsidRDefault="00AB268D" w:rsidP="00DE4338">
      <w:pPr>
        <w:spacing w:before="100" w:beforeAutospacing="1" w:after="100" w:afterAutospacing="1" w:line="240" w:lineRule="auto"/>
        <w:rPr>
          <w:rFonts w:ascii="Times New Roman" w:hAnsi="Times New Roman" w:cs="Times New Roman"/>
          <w:kern w:val="0"/>
          <w14:ligatures w14:val="none"/>
        </w:rPr>
      </w:pPr>
      <w:r w:rsidRPr="004F31DB">
        <w:rPr>
          <w:rFonts w:ascii="Arial" w:eastAsia="Times New Roman" w:hAnsi="Arial" w:cs="Arial"/>
          <w:b/>
          <w:bCs/>
          <w:kern w:val="36"/>
          <w:sz w:val="22"/>
          <w:szCs w:val="22"/>
          <w14:ligatures w14:val="none"/>
        </w:rPr>
        <w:t>Importance of Principles of Health and Social Care</w:t>
      </w:r>
    </w:p>
    <w:p w14:paraId="576F8D9E"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Person-centred care</w:t>
      </w:r>
    </w:p>
    <w:p w14:paraId="6D98BFDC"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Person-centred care means recognising the service user as an individual rather than seeing them only in terms of their diagnosis. It requires professionals to consider the person’s needs, preferences, values, circumstances and goals when planning care.</w:t>
      </w:r>
    </w:p>
    <w:p w14:paraId="1805567B"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This is important because individuals with the same medical condition may have very different experiences. A standard approach may therefore fail to identify what is preventing a particular person from engaging with treatment. NHS England explains personalised care as giving people choice and control over how their care is planned and delivered, based on what matters to them and their individual needs and strengths. </w:t>
      </w:r>
    </w:p>
    <w:p w14:paraId="1FD37464"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Shared decision-making strengthens this approach. It involves professionals contributing clinical knowledge while the individual contributes knowledge about their own circumstances, values and preferences.  This changes the relationship from professionals simply telling people what to do towards professionals working with them.</w:t>
      </w:r>
    </w:p>
    <w:p w14:paraId="0E24F3A7"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However, person-centred care does not mean that every request must automatically be accepted. Professionals still have responsibilities relating to safety, evidence-based practice and their professional boundaries. The challenge is therefore to balance professional knowledge with respect for the person’s autonomy.</w:t>
      </w:r>
    </w:p>
    <w:p w14:paraId="3AA4008C"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 xml:space="preserve">Maslow’s Hierarchy of Needs can also help explain why a holistic approach is important. Maslow (1943) proposed different levels of human need, beginning with physiological and safety needs and progressing towards belonging, esteem and self-actualisation. Although the theory has limitations because people’s needs do not always follow a fixed hierarchy, it </w:t>
      </w:r>
      <w:r w:rsidRPr="00B45B69">
        <w:rPr>
          <w:rFonts w:ascii="Arial" w:hAnsi="Arial" w:cs="Arial"/>
          <w:kern w:val="0"/>
          <w:sz w:val="22"/>
          <w:szCs w:val="22"/>
          <w14:ligatures w14:val="none"/>
        </w:rPr>
        <w:lastRenderedPageBreak/>
        <w:t>provides a useful reminder that wellbeing involves more than physical health. A service user may also require safety, relationships, confidence and independence.</w:t>
      </w:r>
    </w:p>
    <w:p w14:paraId="40B5BB26"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Partnership working</w:t>
      </w:r>
    </w:p>
    <w:p w14:paraId="16D974CD"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Partnership working involves service users, professionals, carers and relevant organisations cooperating to achieve appropriate outcomes. A person with complex health needs may require support from several services, making communication and coordination important.</w:t>
      </w:r>
    </w:p>
    <w:p w14:paraId="2F62A7B4"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The HCPC Standards of Conduct, Performance and Ethics require registrants to work in partnership with service users and carers and to work appropriately with colleagues for the benefit of those receiving services. </w:t>
      </w:r>
    </w:p>
    <w:p w14:paraId="76C865F3" w14:textId="77777777" w:rsidR="00AB268D" w:rsidRPr="00B45B69" w:rsidRDefault="00AB268D" w:rsidP="00DE4338">
      <w:pPr>
        <w:spacing w:before="100" w:beforeAutospacing="1" w:after="100" w:afterAutospacing="1" w:line="240" w:lineRule="auto"/>
        <w:rPr>
          <w:rFonts w:ascii="Arial" w:hAnsi="Arial" w:cs="Arial"/>
          <w:kern w:val="0"/>
          <w:sz w:val="22"/>
          <w:szCs w:val="22"/>
          <w14:ligatures w14:val="none"/>
        </w:rPr>
      </w:pPr>
      <w:r w:rsidRPr="00B45B69">
        <w:rPr>
          <w:rFonts w:ascii="Arial" w:hAnsi="Arial" w:cs="Arial"/>
          <w:kern w:val="0"/>
          <w:sz w:val="22"/>
          <w:szCs w:val="22"/>
          <w14:ligatures w14:val="none"/>
        </w:rPr>
        <w:t>Effective partnership working can improve continuity of care because different professionals contribute their own expertise. However, partnership working can also present challenges. Poor communication, unclear responsibilities or inappropriate information sharing could result in fragmented care or breaches of confidentiality. Therefore, partnership requires clear communication and professional accountability rather than simply involving more professionals.</w:t>
      </w:r>
    </w:p>
    <w:p w14:paraId="00FC1903"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Ethical practice</w:t>
      </w:r>
    </w:p>
    <w:p w14:paraId="6258339F" w14:textId="77777777" w:rsidR="00AB268D" w:rsidRPr="00420F5B" w:rsidRDefault="00AB268D" w:rsidP="00DE4338">
      <w:pPr>
        <w:spacing w:before="100" w:beforeAutospacing="1" w:after="100" w:afterAutospacing="1" w:line="240" w:lineRule="auto"/>
        <w:rPr>
          <w:rFonts w:ascii="Arial" w:hAnsi="Arial" w:cs="Arial"/>
          <w:kern w:val="0"/>
          <w:sz w:val="22"/>
          <w:szCs w:val="22"/>
          <w14:ligatures w14:val="none"/>
        </w:rPr>
      </w:pPr>
      <w:r w:rsidRPr="00420F5B">
        <w:rPr>
          <w:rFonts w:ascii="Arial" w:hAnsi="Arial" w:cs="Arial"/>
          <w:kern w:val="0"/>
          <w:sz w:val="22"/>
          <w:szCs w:val="22"/>
          <w14:ligatures w14:val="none"/>
        </w:rPr>
        <w:t>Ethical practice concerns making decisions that respect the rights, dignity and wellbeing of service users. Four commonly applied principles are autonomy, beneficence, non-maleficence and justice.</w:t>
      </w:r>
    </w:p>
    <w:p w14:paraId="6CC1490E" w14:textId="77777777" w:rsidR="00AB268D" w:rsidRPr="00420F5B" w:rsidRDefault="00AB268D" w:rsidP="00DE4338">
      <w:pPr>
        <w:spacing w:before="100" w:beforeAutospacing="1" w:after="100" w:afterAutospacing="1" w:line="240" w:lineRule="auto"/>
        <w:rPr>
          <w:rFonts w:ascii="Arial" w:hAnsi="Arial" w:cs="Arial"/>
          <w:kern w:val="0"/>
          <w:sz w:val="22"/>
          <w:szCs w:val="22"/>
          <w14:ligatures w14:val="none"/>
        </w:rPr>
      </w:pPr>
      <w:r w:rsidRPr="00420F5B">
        <w:rPr>
          <w:rFonts w:ascii="Arial" w:hAnsi="Arial" w:cs="Arial"/>
          <w:kern w:val="0"/>
          <w:sz w:val="22"/>
          <w:szCs w:val="22"/>
          <w14:ligatures w14:val="none"/>
        </w:rPr>
        <w:t>Autonomy concerns respecting an individual’s right to participate in decisions. Beneficence means acting for their benefit, while non-maleficence concerns avoiding unnecessary harm. Justice relates to fairness and equitable treatment.</w:t>
      </w:r>
    </w:p>
    <w:p w14:paraId="4E1C91C6" w14:textId="77777777" w:rsidR="00AB268D" w:rsidRPr="00420F5B" w:rsidRDefault="00AB268D" w:rsidP="00DE4338">
      <w:pPr>
        <w:spacing w:before="100" w:beforeAutospacing="1" w:after="100" w:afterAutospacing="1" w:line="240" w:lineRule="auto"/>
        <w:rPr>
          <w:rFonts w:ascii="Arial" w:hAnsi="Arial" w:cs="Arial"/>
          <w:kern w:val="0"/>
          <w:sz w:val="22"/>
          <w:szCs w:val="22"/>
          <w14:ligatures w14:val="none"/>
        </w:rPr>
      </w:pPr>
      <w:r w:rsidRPr="00420F5B">
        <w:rPr>
          <w:rFonts w:ascii="Arial" w:hAnsi="Arial" w:cs="Arial"/>
          <w:kern w:val="0"/>
          <w:sz w:val="22"/>
          <w:szCs w:val="22"/>
          <w14:ligatures w14:val="none"/>
        </w:rPr>
        <w:t>These principles can sometimes conflict. For example, a professional may believe a treatment is beneficial while a person with capacity chooses not to accept it. Ethical practice means that professionals should not simply override an individual’s choices because they believe they know what is best.</w:t>
      </w:r>
    </w:p>
    <w:p w14:paraId="39114427" w14:textId="77777777" w:rsidR="00AB268D" w:rsidRPr="00420F5B" w:rsidRDefault="00AB268D" w:rsidP="00DE4338">
      <w:pPr>
        <w:spacing w:before="100" w:beforeAutospacing="1" w:after="100" w:afterAutospacing="1" w:line="240" w:lineRule="auto"/>
        <w:rPr>
          <w:rFonts w:ascii="Arial" w:hAnsi="Arial" w:cs="Arial"/>
          <w:kern w:val="0"/>
          <w:sz w:val="22"/>
          <w:szCs w:val="22"/>
          <w14:ligatures w14:val="none"/>
        </w:rPr>
      </w:pPr>
      <w:r w:rsidRPr="00420F5B">
        <w:rPr>
          <w:rFonts w:ascii="Arial" w:hAnsi="Arial" w:cs="Arial"/>
          <w:kern w:val="0"/>
          <w:sz w:val="22"/>
          <w:szCs w:val="22"/>
          <w14:ligatures w14:val="none"/>
        </w:rPr>
        <w:t>The current HCPC standards require professionals to respect privacy and dignity, obtain valid and informed consent, treat people fairly and protect confidential information. </w:t>
      </w:r>
    </w:p>
    <w:p w14:paraId="6670633C" w14:textId="77777777" w:rsidR="00AB268D" w:rsidRPr="00420F5B" w:rsidRDefault="00AB268D" w:rsidP="00DE4338">
      <w:pPr>
        <w:spacing w:before="100" w:beforeAutospacing="1" w:after="100" w:afterAutospacing="1" w:line="240" w:lineRule="auto"/>
        <w:rPr>
          <w:rFonts w:ascii="Arial" w:hAnsi="Arial" w:cs="Arial"/>
          <w:kern w:val="0"/>
          <w:sz w:val="22"/>
          <w:szCs w:val="22"/>
          <w14:ligatures w14:val="none"/>
        </w:rPr>
      </w:pPr>
      <w:r w:rsidRPr="00420F5B">
        <w:rPr>
          <w:rFonts w:ascii="Arial" w:hAnsi="Arial" w:cs="Arial"/>
          <w:kern w:val="0"/>
          <w:sz w:val="22"/>
          <w:szCs w:val="22"/>
          <w14:ligatures w14:val="none"/>
        </w:rPr>
        <w:t>Overall, person-centred care, partnership working and ethics are connected. Person-centred care identifies what matters to the individual, partnership brings together appropriate support, and ethical practice ensures that this is delivered while respecting the person’s rights and dignity.</w:t>
      </w:r>
    </w:p>
    <w:p w14:paraId="009BD130" w14:textId="77777777" w:rsidR="00AB268D" w:rsidRPr="004F31DB" w:rsidRDefault="00AB268D" w:rsidP="00DE4338">
      <w:pPr>
        <w:spacing w:before="100" w:beforeAutospacing="1" w:after="100" w:afterAutospacing="1" w:line="240" w:lineRule="auto"/>
        <w:rPr>
          <w:rFonts w:ascii="Arial" w:hAnsi="Arial" w:cs="Arial"/>
          <w:b/>
          <w:bCs/>
          <w:kern w:val="0"/>
          <w:sz w:val="22"/>
          <w:szCs w:val="22"/>
          <w14:ligatures w14:val="none"/>
        </w:rPr>
      </w:pPr>
      <w:r w:rsidRPr="004F31DB">
        <w:rPr>
          <w:rFonts w:ascii="Arial" w:eastAsia="Times New Roman" w:hAnsi="Arial" w:cs="Arial"/>
          <w:b/>
          <w:bCs/>
          <w:kern w:val="36"/>
          <w:sz w:val="22"/>
          <w:szCs w:val="22"/>
          <w14:ligatures w14:val="none"/>
        </w:rPr>
        <w:t>Practical Examples of Concepts in Practice – Joan’s Case Study</w:t>
      </w:r>
    </w:p>
    <w:p w14:paraId="74B4D07D"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Joan’s problems and challenges</w:t>
      </w:r>
    </w:p>
    <w:p w14:paraId="57AF3223"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main problem within Joan’s case was not simply that she missed healthcare appointments. Joan had COPD, which affected her wellbeing and sometimes prevented her from doing activities she wanted to do. Her specialist physiotherapist suggested pulmonary rehabilitation to help her manage her symptoms.</w:t>
      </w:r>
    </w:p>
    <w:p w14:paraId="77234F24"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lastRenderedPageBreak/>
        <w:t>Although Joan understood this advice, she was overwhelmed, often failed to attend appointments and struggled to follow the recommendations she received. She also experienced emergency hospital admissions.</w:t>
      </w:r>
    </w:p>
    <w:p w14:paraId="209FFD89"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 Patient Activation Measure (PAM) assessment found Joan to be at activation level one, indicating a very low level of activation. She had limited knowledge and confidence concerning her care and found it difficult to follow treatment recommendations and achieve goals.</w:t>
      </w:r>
    </w:p>
    <w:p w14:paraId="34CE2200"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An important issue is how professionals interpreted this behaviour. If they had simply labelled Joan as “non-compliant” because she missed appointments, they might not have addressed the real problem.</w:t>
      </w:r>
    </w:p>
    <w:p w14:paraId="62FB1A70"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During weekly meetings with a member of the therapy team, Joan was given an opportunity to discuss what was affecting her. This revealed an important barrier: she also had uncontrolled Crohn’s disease. Because of her bowel problems, she felt unable to leave her house.</w:t>
      </w:r>
    </w:p>
    <w:p w14:paraId="56321C9E"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demonstrates why holistic, person-centred assessment is necessary. Joan’s COPD could not effectively be considered in isolation because another condition was preventing her from accessing COPD-related support.</w:t>
      </w:r>
    </w:p>
    <w:p w14:paraId="5B80C2BF"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Person-centred care</w:t>
      </w:r>
    </w:p>
    <w:p w14:paraId="75BC020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Person-centred care is clearly demonstrated through the team’s decision to understand Joan’s circumstances rather than simply repeatedly advising her to attend appointments.</w:t>
      </w:r>
    </w:p>
    <w:p w14:paraId="48A7F023"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NHS England states that personalised care and support planning should involve proactive conversations about what matters to the individual and their wider health and wellbeing.  Joan’s weekly meetings reflect this principle because they allowed her barriers to be explored.</w:t>
      </w:r>
    </w:p>
    <w:p w14:paraId="6DB43DC3"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Once her uncontrolled Crohn’s disease had been identified, an action plan was developed with Joan and her GP helped improve its management.</w:t>
      </w:r>
    </w:p>
    <w:p w14:paraId="36B253E2"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difference between doing something to Joan and working with Joan is significant. Simply giving more instructions about pulmonary rehabilitation probably would not have solved the underlying problem because the barrier was not a lack of appointments; it was her difficulty leaving home.</w:t>
      </w:r>
    </w:p>
    <w:p w14:paraId="7248CA1C"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also demonstrates shared decision-making. NHS England explains that professionals bring clinical expertise while individuals bring knowledge about their personal circumstances and preferences.  In Joan’s situation, both forms of knowledge were necessary.</w:t>
      </w:r>
    </w:p>
    <w:p w14:paraId="6D7E792C"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eventual outcome provides evidence of increased independence. Once her Crohn’s disease was better managed, Joan went Christmas shopping with her daughter for the first time in years. More importantly from a healthcare perspective, she independently arranged to attend pulmonary rehabilitation in a community setting.</w:t>
      </w:r>
    </w:p>
    <w:p w14:paraId="27FB877E"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suggests that person-centred care did more than increase appointment attendance. It contributed to Joan gaining confidence and taking greater responsibility for managing her own health.</w:t>
      </w:r>
    </w:p>
    <w:p w14:paraId="7789C603"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lastRenderedPageBreak/>
        <w:t>Partnership working</w:t>
      </w:r>
    </w:p>
    <w:p w14:paraId="7B7E47BD"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Partnership working was also central to Joan’s improvement. Joan, the therapy team, her GP and pulmonary rehabilitation services each had different but connected roles.</w:t>
      </w:r>
    </w:p>
    <w:p w14:paraId="3693180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therapy professional helped Joan identify barriers, while the GP supported the management of her Crohn’s disease. Joan herself was also an important member of this partnership because professionals needed information about her lived experience to understand why the existing approach was unsuccessful.</w:t>
      </w:r>
    </w:p>
    <w:p w14:paraId="440D431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challenges the idea that partnership working occurs only between professionals. Effective partnership should also include the service user.</w:t>
      </w:r>
    </w:p>
    <w:p w14:paraId="4BD4C4CB"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Nevertheless, information sharing must be appropriate. HCPC standards require professionals to work with colleagues and share relevant information where appropriate, while also requiring service-user information to be treated confidentially.  Therefore, partnership working does not remove the professional responsibility to protect privacy.</w:t>
      </w:r>
    </w:p>
    <w:p w14:paraId="3C8E72FE"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Ethical practice</w:t>
      </w:r>
    </w:p>
    <w:p w14:paraId="3FDE4C8C"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Several ethical principles can be applied to Joan’s case.</w:t>
      </w:r>
    </w:p>
    <w:p w14:paraId="4E2B5B4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Autonomy was promoted by involving Joan in decisions and enabling her to take greater control. Beneficence was demonstrated through attempts to improve both her health and wellbeing. Non-maleficence was relevant because failing to identify her barriers could potentially have contributed to continued poor management of her health and further emergency care.</w:t>
      </w:r>
    </w:p>
    <w:p w14:paraId="705939A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Justice can also be considered. Treating everybody identically is not always the same as treating people fairly. Joan needed support that recognised her specific barriers. A person-centred response therefore enabled her to access healthcare more effectively.</w:t>
      </w:r>
    </w:p>
    <w:p w14:paraId="2A06E3B0"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However, professionals also had to respect Joan’s choices. Even where pulmonary rehabilitation was clinically recommended, supporting autonomy meant encouraging informed participation rather than forcing compliance.</w:t>
      </w:r>
    </w:p>
    <w:p w14:paraId="6559AD2E"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Evaluating the outcome</w:t>
      </w:r>
    </w:p>
    <w:p w14:paraId="3C559A2C"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data in the case study provides useful evidence of improvement.</w:t>
      </w:r>
    </w:p>
    <w:p w14:paraId="3B08695E"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After seven months, Joan completed the PAM again and her score had increased by more than 40%. Previously, she had nine outpatient appointments and attended six, meaning she missed three. She also experienced two emergency admissions.</w:t>
      </w:r>
    </w:p>
    <w:p w14:paraId="4CBF1DC1"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During the following year, Joan was more engaged with services. Of her next ten outpatient appointments, she missed only one, and she had one emergency admission.</w:t>
      </w:r>
    </w:p>
    <w:p w14:paraId="5AE55073"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These figures suggest a positive change following the intervention. However, it is important to avoid assuming that person-centred care alone caused every improvement. Better management of Crohn’s disease and increased engagement with services were also important factors.</w:t>
      </w:r>
    </w:p>
    <w:p w14:paraId="2A4C35BA"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lastRenderedPageBreak/>
        <w:t>Therefore, the strongest conclusion from Joan’s case is that identifying her individual barrier and coordinating appropriate support was associated with improvements in her confidence, engagement and healthcare use.</w:t>
      </w:r>
    </w:p>
    <w:p w14:paraId="48B5F444" w14:textId="77777777" w:rsidR="00AB268D" w:rsidRPr="004F31DB"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4F31DB">
        <w:rPr>
          <w:rFonts w:ascii="Arial" w:eastAsia="Times New Roman" w:hAnsi="Arial" w:cs="Arial"/>
          <w:b/>
          <w:bCs/>
          <w:kern w:val="36"/>
          <w:sz w:val="22"/>
          <w:szCs w:val="22"/>
          <w14:ligatures w14:val="none"/>
        </w:rPr>
        <w:t>Self-Reflection as a Health and Social Care Professional</w:t>
      </w:r>
    </w:p>
    <w:p w14:paraId="0768AA6D"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Reflecting on Joan’s case has changed my understanding of what good health and social care involves. Previously, it could be easy to think that good care mainly means providing the correct treatment or advice. I now recognise that even clinically appropriate advice may have limited effect if professionals do not understand whether the individual is actually able to follow it.</w:t>
      </w:r>
    </w:p>
    <w:p w14:paraId="555EC348" w14:textId="77777777" w:rsidR="00AB268D" w:rsidRPr="004F31DB" w:rsidRDefault="00AB268D" w:rsidP="00DE4338">
      <w:pPr>
        <w:spacing w:before="100" w:beforeAutospacing="1" w:after="100" w:afterAutospacing="1" w:line="240" w:lineRule="auto"/>
        <w:outlineLvl w:val="1"/>
        <w:rPr>
          <w:rFonts w:ascii="Arial" w:eastAsia="Times New Roman" w:hAnsi="Arial" w:cs="Arial"/>
          <w:kern w:val="0"/>
          <w:sz w:val="22"/>
          <w:szCs w:val="22"/>
          <w14:ligatures w14:val="none"/>
        </w:rPr>
      </w:pPr>
      <w:r w:rsidRPr="004F31DB">
        <w:rPr>
          <w:rFonts w:ascii="Arial" w:eastAsia="Times New Roman" w:hAnsi="Arial" w:cs="Arial"/>
          <w:kern w:val="0"/>
          <w:sz w:val="22"/>
          <w:szCs w:val="22"/>
          <w14:ligatures w14:val="none"/>
        </w:rPr>
        <w:t>Avoiding assumptions</w:t>
      </w:r>
    </w:p>
    <w:p w14:paraId="2F767707"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One of the strongest lessons I have taken from Joan’s case is the importance of avoiding assumptions.</w:t>
      </w:r>
    </w:p>
    <w:p w14:paraId="6EC10129"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If I encountered someone who repeatedly missed appointments, my first response should not be to assume that they were irresponsible or uninterested in their health. Joan understood that pulmonary rehabilitation could help her, yet her uncontrolled Crohn’s disease created a genuine barrier to leaving home.</w:t>
      </w:r>
    </w:p>
    <w:p w14:paraId="7D5675E1"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In my future practice, I would therefore ask questions such as what is making attendance difficult and whether there are practical, physical, communication or emotional barriers that need to be addressed.</w:t>
      </w:r>
    </w:p>
    <w:p w14:paraId="78F53FD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approach is consistent with HCPC standards, which require professionals to listen to service users, consider their needs and wishes and provide information in an understandable way. </w:t>
      </w:r>
    </w:p>
    <w:p w14:paraId="739EBB66"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reflection has identified a skill I want to strengthen: active listening. Listening involves more than allowing somebody to speak. I need to pay attention, avoid interrupting unnecessarily, ask appropriate open questions and check my understanding.</w:t>
      </w:r>
    </w:p>
    <w:p w14:paraId="2B881CFC" w14:textId="77777777" w:rsidR="00AB268D" w:rsidRPr="004F31DB"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4F31DB">
        <w:rPr>
          <w:rFonts w:ascii="Arial" w:eastAsia="Times New Roman" w:hAnsi="Arial" w:cs="Arial"/>
          <w:b/>
          <w:bCs/>
          <w:kern w:val="0"/>
          <w:sz w:val="22"/>
          <w:szCs w:val="22"/>
          <w14:ligatures w14:val="none"/>
        </w:rPr>
        <w:t>Communication</w:t>
      </w:r>
    </w:p>
    <w:p w14:paraId="1FCCBCCD"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Communication is another area I consider essential to my future development.</w:t>
      </w:r>
    </w:p>
    <w:p w14:paraId="0C73C25E"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Joan’s case demonstrates that communication can uncover information that directly affects care. Her difficulties might have continued if nobody had provided an opportunity for her to explain why she could not leave her home.</w:t>
      </w:r>
    </w:p>
    <w:p w14:paraId="4FF444F9"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 would therefore aim to create an environment where service users feel comfortable raising concerns. I would avoid judgemental language because this could discourage people from disclosing important information.</w:t>
      </w:r>
    </w:p>
    <w:p w14:paraId="6906E077"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Communication also needs to be adapted to the individual. HCPC standards require professionals to take practicable steps to meet people’s language and communication needs.  This means I should not assume that one communication method is suitable for everybody.</w:t>
      </w:r>
    </w:p>
    <w:p w14:paraId="47DE3788"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lastRenderedPageBreak/>
        <w:t>An area for my development is becoming more confident in difficult conversations. I can improve this through placement experience, observing experienced professionals, requesting feedback and reflecting afterwards on what worked and what could be improved.</w:t>
      </w:r>
    </w:p>
    <w:p w14:paraId="33053160" w14:textId="77777777" w:rsidR="00AB268D" w:rsidRPr="00233936"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233936">
        <w:rPr>
          <w:rFonts w:ascii="Arial" w:eastAsia="Times New Roman" w:hAnsi="Arial" w:cs="Arial"/>
          <w:b/>
          <w:bCs/>
          <w:kern w:val="0"/>
          <w:sz w:val="22"/>
          <w:szCs w:val="22"/>
          <w14:ligatures w14:val="none"/>
        </w:rPr>
        <w:t>Empowerment and independence</w:t>
      </w:r>
    </w:p>
    <w:p w14:paraId="694408F6"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Joan’s case has also made me think differently about independence.</w:t>
      </w:r>
    </w:p>
    <w:p w14:paraId="7218C471"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Helping somebody does not necessarily mean doing everything for them. In some situations, too much professional control could actually reduce opportunities for individuals to develop confidence in managing their own health.</w:t>
      </w:r>
    </w:p>
    <w:p w14:paraId="3B3525A7"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NHS England describes shared decision-making as a collaborative process that empowers people to make decisions appropriate to their circumstances.  Similarly, HCPC standards require professionals, where appropriate, to empower service users to participate in maintaining their health and wellbeing. </w:t>
      </w:r>
    </w:p>
    <w:p w14:paraId="00F2423A"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can be seen in Joan independently arranging pulmonary rehabilitation. Her progress therefore involved not only receiving services but becoming more active in her own care.</w:t>
      </w:r>
    </w:p>
    <w:p w14:paraId="68E35447"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In my future practice, I would try to identify what a person can do independently before deciding what assistance they require. I would work with them to develop achievable goals rather than automatically taking control.</w:t>
      </w:r>
    </w:p>
    <w:p w14:paraId="7425243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Maslow’s theory also has relevance here. Joan’s physical health was important, but being able to leave her house, spend time shopping with her daughter and regain confidence also contributed to her wider wellbeing. This reinforces the importance of seeing the whole person.</w:t>
      </w:r>
    </w:p>
    <w:p w14:paraId="4FEC853D" w14:textId="77777777" w:rsidR="00AB268D" w:rsidRPr="00233936"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233936">
        <w:rPr>
          <w:rFonts w:ascii="Arial" w:eastAsia="Times New Roman" w:hAnsi="Arial" w:cs="Arial"/>
          <w:b/>
          <w:bCs/>
          <w:kern w:val="0"/>
          <w:sz w:val="22"/>
          <w:szCs w:val="22"/>
          <w14:ligatures w14:val="none"/>
        </w:rPr>
        <w:t>Partnership working and professional boundaries</w:t>
      </w:r>
    </w:p>
    <w:p w14:paraId="3FC054D8"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Another area I need to develop is confidence in multidisciplinary working.</w:t>
      </w:r>
    </w:p>
    <w:p w14:paraId="5083BA9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Health and social care professionals cannot be experts in everything. Recognising the limits of my role is therefore part of safe professional practice rather than a weakness.</w:t>
      </w:r>
    </w:p>
    <w:p w14:paraId="6899D758"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If I identified a problem outside my competence, I would seek guidance from an appropriate colleague or follow the correct referral pathway rather than attempting to manage something I was not qualified to address. HCPC standards require professionals to work within the limits of their knowledge and skills and to work in partnership with colleagues. </w:t>
      </w:r>
    </w:p>
    <w:p w14:paraId="70E7366A"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Joan’s case demonstrates the benefit of this approach. The therapy team identified the barrier, but her GP had an important role in addressing the management of her Crohn’s disease.</w:t>
      </w:r>
    </w:p>
    <w:p w14:paraId="711F6C7A"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At the same time, multidisciplinary working requires accountability. I would need to document information appropriately, communicate clearly and ensure that I understood my own responsibilities within the care plan.</w:t>
      </w:r>
    </w:p>
    <w:p w14:paraId="5D917AC8" w14:textId="77777777" w:rsidR="00AB268D" w:rsidRPr="00233936"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233936">
        <w:rPr>
          <w:rFonts w:ascii="Arial" w:eastAsia="Times New Roman" w:hAnsi="Arial" w:cs="Arial"/>
          <w:b/>
          <w:bCs/>
          <w:kern w:val="0"/>
          <w:sz w:val="22"/>
          <w:szCs w:val="22"/>
          <w14:ligatures w14:val="none"/>
        </w:rPr>
        <w:t>Ethics and confidentiality</w:t>
      </w:r>
    </w:p>
    <w:p w14:paraId="31202B3D"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Ethical practice will also influence how I behave professionally.</w:t>
      </w:r>
    </w:p>
    <w:p w14:paraId="3A27A22B"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lastRenderedPageBreak/>
        <w:t>I recognise that I may sometimes disagree with a service user’s decision. However, my personal opinion should not automatically determine their care. Where a person has capacity, I should provide appropriate information, ensure they understand their options and respect informed decisions within the relevant legal and professional framework.</w:t>
      </w:r>
    </w:p>
    <w:p w14:paraId="1D8531C0"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HCPC standards require valid, voluntary and informed consent and also state that professionals must consider how their personal values and biases could affect care. </w:t>
      </w:r>
    </w:p>
    <w:p w14:paraId="19D25C5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This is particularly important because unconscious assumptions could influence how I respond to someone like Joan. Describing her simply as someone who “does not attend appointments” could create a negative impression without recognising the health problem behind her behaviour.</w:t>
      </w:r>
    </w:p>
    <w:p w14:paraId="362CEA98"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Confidentiality is another professional responsibility I need to maintain. I may become aware of sensitive information about people’s medical conditions, family circumstances, or personal lives. Such information should not be discussed unnecessarily. HCPC standards require information about service users to be treated as confidential and set limits on when disclosure is appropriate. </w:t>
      </w:r>
    </w:p>
    <w:p w14:paraId="74308828" w14:textId="77777777" w:rsidR="00AB268D" w:rsidRPr="00233936" w:rsidRDefault="00AB268D" w:rsidP="00DE4338">
      <w:pPr>
        <w:spacing w:before="100" w:beforeAutospacing="1" w:after="100" w:afterAutospacing="1" w:line="240" w:lineRule="auto"/>
        <w:outlineLvl w:val="1"/>
        <w:rPr>
          <w:rFonts w:ascii="Arial" w:eastAsia="Times New Roman" w:hAnsi="Arial" w:cs="Arial"/>
          <w:b/>
          <w:bCs/>
          <w:kern w:val="0"/>
          <w:sz w:val="22"/>
          <w:szCs w:val="22"/>
          <w14:ligatures w14:val="none"/>
        </w:rPr>
      </w:pPr>
      <w:r w:rsidRPr="00233936">
        <w:rPr>
          <w:rFonts w:ascii="Arial" w:eastAsia="Times New Roman" w:hAnsi="Arial" w:cs="Arial"/>
          <w:b/>
          <w:bCs/>
          <w:kern w:val="0"/>
          <w:sz w:val="22"/>
          <w:szCs w:val="22"/>
          <w14:ligatures w14:val="none"/>
        </w:rPr>
        <w:t>My strengths, weaknesses, and development plan</w:t>
      </w:r>
    </w:p>
    <w:p w14:paraId="04E4568E"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One strength I would like to continue developing is my ability to listen to people and recognise that their circumstances may be more complicated than they first appear.</w:t>
      </w:r>
    </w:p>
    <w:p w14:paraId="46D927FA"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However, I also recognise that I need to increase my confidence, professional communication, understanding of legislation and ability to work within multidisciplinary teams.</w:t>
      </w:r>
    </w:p>
    <w:p w14:paraId="13DF89F9"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To improve, I will actively request feedback from tutors, supervisors, and experienced colleagues. Instead of viewing constructive feedback negatively, I will use it to identify specific areas where my practice can improve. This aligns with HCPC requirements to maintain knowledge through continuing professional development and use feedback to improve practice. </w:t>
      </w:r>
    </w:p>
    <w:p w14:paraId="01BCDB5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I will also continue learning about legislation, organisational policies, safeguarding, confidentiality, consent, and professional codes. During future placements or employment, I will observe how experienced professionals communicate with service users and multidisciplinary teams and then reflect on how I can apply effective approaches myself.</w:t>
      </w:r>
    </w:p>
    <w:p w14:paraId="45386AAF"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My development goals should be specific rather than simply stating that I want to “improve.” For example, after challenging interactions I can use a reflective model to identify what happened, how I responded, what I learned and what I would change next time. I can also ask supervisors for targeted feedback on my communication and record learning activities as part of my continuing professional development.</w:t>
      </w:r>
    </w:p>
    <w:p w14:paraId="206184A2"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Joan’s case has taught me to ask, “What is preventing this person from engaging?” rather than immediately asking “Why are they not following the advice?” This difference is important because the first question encourages curiosity and person-centred problem-solving, while the second could lead to judgement.</w:t>
      </w:r>
    </w:p>
    <w:p w14:paraId="582A0927" w14:textId="77777777" w:rsidR="00AB268D" w:rsidRPr="004F31DB" w:rsidRDefault="00AB268D" w:rsidP="00DE4338">
      <w:pPr>
        <w:spacing w:before="100" w:beforeAutospacing="1" w:after="100" w:afterAutospacing="1" w:line="240" w:lineRule="auto"/>
        <w:outlineLvl w:val="0"/>
        <w:rPr>
          <w:rFonts w:ascii="Arial" w:eastAsia="Times New Roman" w:hAnsi="Arial" w:cs="Arial"/>
          <w:b/>
          <w:bCs/>
          <w:kern w:val="36"/>
          <w:sz w:val="22"/>
          <w:szCs w:val="22"/>
          <w14:ligatures w14:val="none"/>
        </w:rPr>
      </w:pPr>
      <w:r w:rsidRPr="004F31DB">
        <w:rPr>
          <w:rFonts w:ascii="Arial" w:eastAsia="Times New Roman" w:hAnsi="Arial" w:cs="Arial"/>
          <w:b/>
          <w:bCs/>
          <w:kern w:val="36"/>
          <w:sz w:val="22"/>
          <w:szCs w:val="22"/>
          <w14:ligatures w14:val="none"/>
        </w:rPr>
        <w:t>Conclusion</w:t>
      </w:r>
    </w:p>
    <w:p w14:paraId="5FADEFE3"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lastRenderedPageBreak/>
        <w:t>Person-centred care, partnership working and ethical practice are closely connected principles that contribute to safe and effective health and social care.</w:t>
      </w:r>
    </w:p>
    <w:p w14:paraId="2ED8C5B0"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Joan’s case demonstrates why professionals need to look beyond a person’s immediate behaviour. Although she repeatedly missed appointments and struggled to follow advice, further discussion identified uncontrolled Crohn’s disease as an important barrier preventing her from leaving home. Addressing this problem through an individualised action plan, GP involvement and ongoing therapy support enabled Joan to become more involved in managing her health.</w:t>
      </w:r>
    </w:p>
    <w:p w14:paraId="4D24ABD5"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The outcomes were meaningful. Her PAM score increased by more than 40%, she went from missing three of nine outpatient appointments to missing only one of the next ten, and her emergency admissions reduced from two to one. However, these outcomes should not simply be attributed to one intervention; they reflect the combined effects of identifying her needs, improving management of her Crohn’s disease, and increasing her engagement.</w:t>
      </w:r>
    </w:p>
    <w:p w14:paraId="12E0DB61"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Reflecting on the case has helped me recognise that my future role will involve more than following procedures. I will need to listen without making assumptions, communicate effectively, respect autonomy and confidentiality, recognise my professional limitations and work collaboratively with others.</w:t>
      </w:r>
    </w:p>
    <w:p w14:paraId="574CD946" w14:textId="77777777" w:rsidR="00AB268D" w:rsidRPr="004F31DB" w:rsidRDefault="00AB268D" w:rsidP="00DE4338">
      <w:pPr>
        <w:spacing w:before="100" w:beforeAutospacing="1" w:after="100" w:afterAutospacing="1" w:line="240" w:lineRule="auto"/>
        <w:rPr>
          <w:rFonts w:ascii="Arial" w:hAnsi="Arial" w:cs="Arial"/>
          <w:kern w:val="0"/>
          <w:sz w:val="22"/>
          <w:szCs w:val="22"/>
          <w14:ligatures w14:val="none"/>
        </w:rPr>
      </w:pPr>
      <w:r w:rsidRPr="004F31DB">
        <w:rPr>
          <w:rFonts w:ascii="Arial" w:hAnsi="Arial" w:cs="Arial"/>
          <w:kern w:val="0"/>
          <w:sz w:val="22"/>
          <w:szCs w:val="22"/>
          <w14:ligatures w14:val="none"/>
        </w:rPr>
        <w:t>My continuing development will therefore focus on communication, multidisciplinary working, legislation, ethical decision-making, and reflective practice. Applying these principles should help me contribute to care that is not only clinically appropriate but also respects the individual as an active partner in their own health and wellbeing.</w:t>
      </w:r>
    </w:p>
    <w:p w14:paraId="3A3845BF" w14:textId="77777777" w:rsidR="00AB268D" w:rsidRPr="00233936" w:rsidRDefault="00AB268D" w:rsidP="00DE4338">
      <w:pPr>
        <w:spacing w:before="100" w:beforeAutospacing="1" w:after="100" w:afterAutospacing="1" w:line="240" w:lineRule="auto"/>
        <w:outlineLvl w:val="1"/>
        <w:rPr>
          <w:rFonts w:ascii="Arial" w:eastAsia="Times New Roman" w:hAnsi="Arial" w:cs="Arial"/>
          <w:kern w:val="0"/>
          <w:sz w:val="22"/>
          <w:szCs w:val="22"/>
          <w14:ligatures w14:val="none"/>
        </w:rPr>
      </w:pPr>
      <w:r w:rsidRPr="00233936">
        <w:rPr>
          <w:rFonts w:ascii="Arial" w:eastAsia="Times New Roman" w:hAnsi="Arial" w:cs="Arial"/>
          <w:kern w:val="0"/>
          <w:sz w:val="22"/>
          <w:szCs w:val="22"/>
          <w14:ligatures w14:val="none"/>
        </w:rPr>
        <w:t>References</w:t>
      </w:r>
    </w:p>
    <w:p w14:paraId="1BD878C5" w14:textId="77777777" w:rsidR="00AB268D" w:rsidRPr="00A35254" w:rsidRDefault="00AB268D" w:rsidP="00DE4338">
      <w:pPr>
        <w:spacing w:before="100" w:beforeAutospacing="1" w:after="100" w:afterAutospacing="1" w:line="240" w:lineRule="auto"/>
        <w:rPr>
          <w:rFonts w:ascii="Times New Roman" w:hAnsi="Times New Roman" w:cs="Times New Roman"/>
          <w:kern w:val="0"/>
          <w14:ligatures w14:val="none"/>
        </w:rPr>
      </w:pPr>
      <w:r w:rsidRPr="00A35254">
        <w:rPr>
          <w:rFonts w:ascii="Times New Roman" w:hAnsi="Times New Roman" w:cs="Times New Roman"/>
          <w:b/>
          <w:bCs/>
          <w:kern w:val="0"/>
          <w14:ligatures w14:val="none"/>
        </w:rPr>
        <w:t>Health and Care Professions Council (HCPC)</w:t>
      </w:r>
      <w:r w:rsidRPr="00A35254">
        <w:rPr>
          <w:rFonts w:ascii="Times New Roman" w:hAnsi="Times New Roman" w:cs="Times New Roman"/>
          <w:kern w:val="0"/>
          <w14:ligatures w14:val="none"/>
        </w:rPr>
        <w:t xml:space="preserve"> (2024) </w:t>
      </w:r>
      <w:r w:rsidRPr="00A35254">
        <w:rPr>
          <w:rFonts w:ascii="Times New Roman" w:hAnsi="Times New Roman" w:cs="Times New Roman"/>
          <w:i/>
          <w:iCs/>
          <w:kern w:val="0"/>
          <w14:ligatures w14:val="none"/>
        </w:rPr>
        <w:t>Standards of conduct, performance and ethics</w:t>
      </w:r>
      <w:r w:rsidRPr="00A35254">
        <w:rPr>
          <w:rFonts w:ascii="Times New Roman" w:hAnsi="Times New Roman" w:cs="Times New Roman"/>
          <w:kern w:val="0"/>
          <w14:ligatures w14:val="none"/>
        </w:rPr>
        <w:t xml:space="preserve">. Effective from 1 September 2024. </w:t>
      </w:r>
      <w:r w:rsidRPr="00A35254">
        <w:rPr>
          <w:rFonts w:ascii="Times New Roman" w:hAnsi="Times New Roman" w:cs="Times New Roman"/>
          <w:kern w:val="0"/>
          <w14:ligatures w14:val="none"/>
        </w:rPr>
        <w:br/>
        <w:t>HCPC Standards⁠</w:t>
      </w:r>
      <w:r w:rsidRPr="00A35254">
        <w:rPr>
          <w:rFonts w:ascii="Times New Roman" w:hAnsi="Times New Roman" w:cs="Times New Roman"/>
          <w:noProof/>
          <w:kern w:val="0"/>
          <w14:ligatures w14:val="none"/>
        </w:rPr>
        <mc:AlternateContent>
          <mc:Choice Requires="wps">
            <w:drawing>
              <wp:inline distT="0" distB="0" distL="0" distR="0" wp14:anchorId="44CD2DD0" wp14:editId="0E63575D">
                <wp:extent cx="301625" cy="301625"/>
                <wp:effectExtent l="0" t="0" r="0" b="0"/>
                <wp:docPr id="197601793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5F338D" id="Rectangle 4"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" filled="f" stroked="f">
                <o:lock v:ext="edit" aspectratio="t"/>
                <w10:anchorlock/>
              </v:rect>
            </w:pict>
          </mc:Fallback>
        </mc:AlternateContent>
      </w:r>
    </w:p>
    <w:p w14:paraId="5A9DE2E0" w14:textId="77777777" w:rsidR="00AB268D" w:rsidRPr="00A35254" w:rsidRDefault="00AB268D" w:rsidP="00DE4338">
      <w:pPr>
        <w:spacing w:before="100" w:beforeAutospacing="1" w:after="100" w:afterAutospacing="1" w:line="240" w:lineRule="auto"/>
        <w:rPr>
          <w:rFonts w:ascii="Times New Roman" w:hAnsi="Times New Roman" w:cs="Times New Roman"/>
          <w:kern w:val="0"/>
          <w14:ligatures w14:val="none"/>
        </w:rPr>
      </w:pPr>
      <w:r w:rsidRPr="00A35254">
        <w:rPr>
          <w:rFonts w:ascii="Times New Roman" w:hAnsi="Times New Roman" w:cs="Times New Roman"/>
          <w:b/>
          <w:bCs/>
          <w:kern w:val="0"/>
          <w14:ligatures w14:val="none"/>
        </w:rPr>
        <w:t>Maslow, A.H.</w:t>
      </w:r>
      <w:r w:rsidRPr="00A35254">
        <w:rPr>
          <w:rFonts w:ascii="Times New Roman" w:hAnsi="Times New Roman" w:cs="Times New Roman"/>
          <w:kern w:val="0"/>
          <w14:ligatures w14:val="none"/>
        </w:rPr>
        <w:t xml:space="preserve"> (1943) ‘A theory of human motivation’, </w:t>
      </w:r>
      <w:r w:rsidRPr="00A35254">
        <w:rPr>
          <w:rFonts w:ascii="Times New Roman" w:hAnsi="Times New Roman" w:cs="Times New Roman"/>
          <w:i/>
          <w:iCs/>
          <w:kern w:val="0"/>
          <w14:ligatures w14:val="none"/>
        </w:rPr>
        <w:t>Psychological Review</w:t>
      </w:r>
      <w:r w:rsidRPr="00A35254">
        <w:rPr>
          <w:rFonts w:ascii="Times New Roman" w:hAnsi="Times New Roman" w:cs="Times New Roman"/>
          <w:kern w:val="0"/>
          <w14:ligatures w14:val="none"/>
        </w:rPr>
        <w:t>, 50(4), pp. 370–396.</w:t>
      </w:r>
    </w:p>
    <w:p w14:paraId="761585E3" w14:textId="77777777" w:rsidR="00AB268D" w:rsidRPr="00A35254" w:rsidRDefault="00AB268D" w:rsidP="00DE4338">
      <w:pPr>
        <w:spacing w:before="100" w:beforeAutospacing="1" w:after="100" w:afterAutospacing="1" w:line="240" w:lineRule="auto"/>
        <w:rPr>
          <w:rFonts w:ascii="Times New Roman" w:hAnsi="Times New Roman" w:cs="Times New Roman"/>
          <w:kern w:val="0"/>
          <w14:ligatures w14:val="none"/>
        </w:rPr>
      </w:pPr>
      <w:r w:rsidRPr="00A35254">
        <w:rPr>
          <w:rFonts w:ascii="Times New Roman" w:hAnsi="Times New Roman" w:cs="Times New Roman"/>
          <w:b/>
          <w:bCs/>
          <w:kern w:val="0"/>
          <w14:ligatures w14:val="none"/>
        </w:rPr>
        <w:t>NHS England</w:t>
      </w:r>
      <w:r w:rsidRPr="00A35254">
        <w:rPr>
          <w:rFonts w:ascii="Times New Roman" w:hAnsi="Times New Roman" w:cs="Times New Roman"/>
          <w:kern w:val="0"/>
          <w14:ligatures w14:val="none"/>
        </w:rPr>
        <w:t xml:space="preserve"> (n.d.) </w:t>
      </w:r>
      <w:r w:rsidRPr="00A35254">
        <w:rPr>
          <w:rFonts w:ascii="Times New Roman" w:hAnsi="Times New Roman" w:cs="Times New Roman"/>
          <w:i/>
          <w:iCs/>
          <w:kern w:val="0"/>
          <w14:ligatures w14:val="none"/>
        </w:rPr>
        <w:t>About shared decision making</w:t>
      </w:r>
      <w:r w:rsidRPr="00A35254">
        <w:rPr>
          <w:rFonts w:ascii="Times New Roman" w:hAnsi="Times New Roman" w:cs="Times New Roman"/>
          <w:kern w:val="0"/>
          <w14:ligatures w14:val="none"/>
        </w:rPr>
        <w:t xml:space="preserve">. </w:t>
      </w:r>
      <w:r w:rsidRPr="00A35254">
        <w:rPr>
          <w:rFonts w:ascii="Times New Roman" w:hAnsi="Times New Roman" w:cs="Times New Roman"/>
          <w:kern w:val="0"/>
          <w14:ligatures w14:val="none"/>
        </w:rPr>
        <w:br/>
        <w:t>NHS England – Shared decision making⁠</w:t>
      </w:r>
      <w:r w:rsidRPr="00A35254">
        <w:rPr>
          <w:rFonts w:ascii="Times New Roman" w:hAnsi="Times New Roman" w:cs="Times New Roman"/>
          <w:noProof/>
          <w:kern w:val="0"/>
          <w14:ligatures w14:val="none"/>
        </w:rPr>
        <mc:AlternateContent>
          <mc:Choice Requires="wps">
            <w:drawing>
              <wp:inline distT="0" distB="0" distL="0" distR="0" wp14:anchorId="141B3340" wp14:editId="7289D505">
                <wp:extent cx="301625" cy="301625"/>
                <wp:effectExtent l="0" t="0" r="0" b="0"/>
                <wp:docPr id="202152292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D2BC79" id="Rectangle 3"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" filled="f" stroked="f">
                <o:lock v:ext="edit" aspectratio="t"/>
                <w10:anchorlock/>
              </v:rect>
            </w:pict>
          </mc:Fallback>
        </mc:AlternateContent>
      </w:r>
    </w:p>
    <w:p w14:paraId="32BE3F7D" w14:textId="77777777" w:rsidR="00AB268D" w:rsidRPr="00A35254" w:rsidRDefault="00AB268D" w:rsidP="00DE4338">
      <w:pPr>
        <w:spacing w:before="100" w:beforeAutospacing="1" w:after="100" w:afterAutospacing="1" w:line="240" w:lineRule="auto"/>
        <w:rPr>
          <w:rFonts w:ascii="Times New Roman" w:hAnsi="Times New Roman" w:cs="Times New Roman"/>
          <w:kern w:val="0"/>
          <w14:ligatures w14:val="none"/>
        </w:rPr>
      </w:pPr>
      <w:r w:rsidRPr="00A35254">
        <w:rPr>
          <w:rFonts w:ascii="Times New Roman" w:hAnsi="Times New Roman" w:cs="Times New Roman"/>
          <w:b/>
          <w:bCs/>
          <w:kern w:val="0"/>
          <w14:ligatures w14:val="none"/>
        </w:rPr>
        <w:t>NHS England</w:t>
      </w:r>
      <w:r w:rsidRPr="00A35254">
        <w:rPr>
          <w:rFonts w:ascii="Times New Roman" w:hAnsi="Times New Roman" w:cs="Times New Roman"/>
          <w:kern w:val="0"/>
          <w14:ligatures w14:val="none"/>
        </w:rPr>
        <w:t xml:space="preserve"> (n.d.) </w:t>
      </w:r>
      <w:r w:rsidRPr="00A35254">
        <w:rPr>
          <w:rFonts w:ascii="Times New Roman" w:hAnsi="Times New Roman" w:cs="Times New Roman"/>
          <w:i/>
          <w:iCs/>
          <w:kern w:val="0"/>
          <w14:ligatures w14:val="none"/>
        </w:rPr>
        <w:t>Personalised care and support planning</w:t>
      </w:r>
      <w:r w:rsidRPr="00A35254">
        <w:rPr>
          <w:rFonts w:ascii="Times New Roman" w:hAnsi="Times New Roman" w:cs="Times New Roman"/>
          <w:kern w:val="0"/>
          <w14:ligatures w14:val="none"/>
        </w:rPr>
        <w:t xml:space="preserve">. </w:t>
      </w:r>
      <w:r w:rsidRPr="00A35254">
        <w:rPr>
          <w:rFonts w:ascii="Times New Roman" w:hAnsi="Times New Roman" w:cs="Times New Roman"/>
          <w:kern w:val="0"/>
          <w14:ligatures w14:val="none"/>
        </w:rPr>
        <w:br/>
        <w:t>NHS England – Personalised care and support planning⁠</w:t>
      </w:r>
      <w:r w:rsidRPr="00A35254">
        <w:rPr>
          <w:rFonts w:ascii="Times New Roman" w:hAnsi="Times New Roman" w:cs="Times New Roman"/>
          <w:noProof/>
          <w:kern w:val="0"/>
          <w14:ligatures w14:val="none"/>
        </w:rPr>
        <mc:AlternateContent>
          <mc:Choice Requires="wps">
            <w:drawing>
              <wp:inline distT="0" distB="0" distL="0" distR="0" wp14:anchorId="2CBE188E" wp14:editId="13C0BD1B">
                <wp:extent cx="301625" cy="301625"/>
                <wp:effectExtent l="0" t="0" r="0" b="0"/>
                <wp:docPr id="110774096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C3662F" id="Rectangle 2"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" filled="f" stroked="f">
                <o:lock v:ext="edit" aspectratio="t"/>
                <w10:anchorlock/>
              </v:rect>
            </w:pict>
          </mc:Fallback>
        </mc:AlternateContent>
      </w:r>
    </w:p>
    <w:p w14:paraId="47967926" w14:textId="77777777" w:rsidR="00AB268D" w:rsidRPr="00A35254" w:rsidRDefault="00AB268D" w:rsidP="00DE4338">
      <w:pPr>
        <w:spacing w:before="100" w:beforeAutospacing="1" w:after="100" w:afterAutospacing="1" w:line="240" w:lineRule="auto"/>
        <w:rPr>
          <w:rFonts w:ascii="Times New Roman" w:hAnsi="Times New Roman" w:cs="Times New Roman"/>
          <w:kern w:val="0"/>
          <w14:ligatures w14:val="none"/>
        </w:rPr>
      </w:pPr>
      <w:r w:rsidRPr="00A35254">
        <w:rPr>
          <w:rFonts w:ascii="Times New Roman" w:hAnsi="Times New Roman" w:cs="Times New Roman"/>
          <w:b/>
          <w:bCs/>
          <w:kern w:val="0"/>
          <w14:ligatures w14:val="none"/>
        </w:rPr>
        <w:t>NHS England</w:t>
      </w:r>
      <w:r w:rsidRPr="00A35254">
        <w:rPr>
          <w:rFonts w:ascii="Times New Roman" w:hAnsi="Times New Roman" w:cs="Times New Roman"/>
          <w:kern w:val="0"/>
          <w14:ligatures w14:val="none"/>
        </w:rPr>
        <w:t xml:space="preserve"> (n.d.) </w:t>
      </w:r>
      <w:r w:rsidRPr="00A35254">
        <w:rPr>
          <w:rFonts w:ascii="Times New Roman" w:hAnsi="Times New Roman" w:cs="Times New Roman"/>
          <w:i/>
          <w:iCs/>
          <w:kern w:val="0"/>
          <w14:ligatures w14:val="none"/>
        </w:rPr>
        <w:t>What is personalised care?</w:t>
      </w:r>
      <w:r w:rsidRPr="00A35254">
        <w:rPr>
          <w:rFonts w:ascii="Times New Roman" w:hAnsi="Times New Roman" w:cs="Times New Roman"/>
          <w:kern w:val="0"/>
          <w14:ligatures w14:val="none"/>
        </w:rPr>
        <w:t xml:space="preserve"> </w:t>
      </w:r>
      <w:r w:rsidRPr="00A35254">
        <w:rPr>
          <w:rFonts w:ascii="Times New Roman" w:hAnsi="Times New Roman" w:cs="Times New Roman"/>
          <w:kern w:val="0"/>
          <w14:ligatures w14:val="none"/>
        </w:rPr>
        <w:br/>
        <w:t>NHS England – Personalised care⁠</w:t>
      </w:r>
      <w:r w:rsidRPr="00A35254">
        <w:rPr>
          <w:rFonts w:ascii="Times New Roman" w:hAnsi="Times New Roman" w:cs="Times New Roman"/>
          <w:noProof/>
          <w:kern w:val="0"/>
          <w14:ligatures w14:val="none"/>
        </w:rPr>
        <mc:AlternateContent>
          <mc:Choice Requires="wps">
            <w:drawing>
              <wp:inline distT="0" distB="0" distL="0" distR="0" wp14:anchorId="64236D27" wp14:editId="3E1F61C9">
                <wp:extent cx="301625" cy="301625"/>
                <wp:effectExtent l="0" t="0" r="0" b="0"/>
                <wp:docPr id="50174367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6CDE7A" id="Rectangle 1"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" filled="f" stroked="f">
                <o:lock v:ext="edit" aspectratio="t"/>
                <w10:anchorlock/>
              </v:rect>
            </w:pict>
          </mc:Fallback>
        </mc:AlternateContent>
      </w:r>
    </w:p>
    <w:p w14:paraId="72B27F5E" w14:textId="77777777" w:rsidR="00AB268D" w:rsidRDefault="00AB268D" w:rsidP="00DE4338"/>
    <w:p w14:paraId="3BBA39A5" w14:textId="77777777" w:rsidR="00AB268D" w:rsidRDefault="00AB268D"/>
    <w:sectPr w:rsidR="00AB2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68D"/>
    <w:rsid w:val="00595355"/>
    <w:rsid w:val="00935419"/>
    <w:rsid w:val="00944FFB"/>
    <w:rsid w:val="00AB2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CEAED9"/>
  <w15:chartTrackingRefBased/>
  <w15:docId w15:val="{74EEF6FD-E6F7-934C-ABED-48CAE25CE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68D"/>
    <w:rPr>
      <w:rFonts w:eastAsiaTheme="majorEastAsia" w:cstheme="majorBidi"/>
      <w:color w:val="272727" w:themeColor="text1" w:themeTint="D8"/>
    </w:rPr>
  </w:style>
  <w:style w:type="paragraph" w:styleId="Title">
    <w:name w:val="Title"/>
    <w:basedOn w:val="Normal"/>
    <w:next w:val="Normal"/>
    <w:link w:val="TitleChar"/>
    <w:uiPriority w:val="10"/>
    <w:qFormat/>
    <w:rsid w:val="00AB2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68D"/>
    <w:pPr>
      <w:spacing w:before="160"/>
      <w:jc w:val="center"/>
    </w:pPr>
    <w:rPr>
      <w:i/>
      <w:iCs/>
      <w:color w:val="404040" w:themeColor="text1" w:themeTint="BF"/>
    </w:rPr>
  </w:style>
  <w:style w:type="character" w:customStyle="1" w:styleId="QuoteChar">
    <w:name w:val="Quote Char"/>
    <w:basedOn w:val="DefaultParagraphFont"/>
    <w:link w:val="Quote"/>
    <w:uiPriority w:val="29"/>
    <w:rsid w:val="00AB268D"/>
    <w:rPr>
      <w:i/>
      <w:iCs/>
      <w:color w:val="404040" w:themeColor="text1" w:themeTint="BF"/>
    </w:rPr>
  </w:style>
  <w:style w:type="paragraph" w:styleId="ListParagraph">
    <w:name w:val="List Paragraph"/>
    <w:basedOn w:val="Normal"/>
    <w:uiPriority w:val="34"/>
    <w:qFormat/>
    <w:rsid w:val="00AB268D"/>
    <w:pPr>
      <w:ind w:left="720"/>
      <w:contextualSpacing/>
    </w:pPr>
  </w:style>
  <w:style w:type="character" w:styleId="IntenseEmphasis">
    <w:name w:val="Intense Emphasis"/>
    <w:basedOn w:val="DefaultParagraphFont"/>
    <w:uiPriority w:val="21"/>
    <w:qFormat/>
    <w:rsid w:val="00AB268D"/>
    <w:rPr>
      <w:i/>
      <w:iCs/>
      <w:color w:val="0F4761" w:themeColor="accent1" w:themeShade="BF"/>
    </w:rPr>
  </w:style>
  <w:style w:type="paragraph" w:styleId="IntenseQuote">
    <w:name w:val="Intense Quote"/>
    <w:basedOn w:val="Normal"/>
    <w:next w:val="Normal"/>
    <w:link w:val="IntenseQuoteChar"/>
    <w:uiPriority w:val="30"/>
    <w:qFormat/>
    <w:rsid w:val="00AB2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68D"/>
    <w:rPr>
      <w:i/>
      <w:iCs/>
      <w:color w:val="0F4761" w:themeColor="accent1" w:themeShade="BF"/>
    </w:rPr>
  </w:style>
  <w:style w:type="character" w:styleId="IntenseReference">
    <w:name w:val="Intense Reference"/>
    <w:basedOn w:val="DefaultParagraphFont"/>
    <w:uiPriority w:val="32"/>
    <w:qFormat/>
    <w:rsid w:val="00AB26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3208</Words>
  <Characters>18287</Characters>
  <Application>Microsoft Office Word</Application>
  <DocSecurity>0</DocSecurity>
  <Lines>152</Lines>
  <Paragraphs>42</Paragraphs>
  <ScaleCrop>false</ScaleCrop>
  <Company/>
  <LinksUpToDate>false</LinksUpToDate>
  <CharactersWithSpaces>21453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Noshin Khan (2441329)</dc:creator>
  <cp:keywords/>
  <dc:description/>
  <cp:lastModifiedBy>Noshin Khan (2441329)</cp:lastModifiedBy>
  <cp:revision>2</cp:revision>
  <dcterms:created xsi:type="dcterms:W3CDTF">2026-10-25T11:29:00Z</dcterms:created>
  <dcterms:modified xsi:type="dcterms:W3CDTF">2026-10-25T11:29:00Z</dcterms:modified>
</cp:coreProperties>
</file>