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2B3A5" w14:textId="77777777" w:rsidR="00396491" w:rsidRDefault="00396491" w:rsidP="00396491">
      <w:pPr>
        <w:pStyle w:val="NoSpacing"/>
        <w:spacing w:line="360" w:lineRule="auto"/>
        <w:jc w:val="center"/>
        <w:rPr>
          <w:rFonts w:ascii="Times New Roman" w:hAnsi="Times New Roman" w:cs="Times New Roman"/>
          <w:sz w:val="24"/>
          <w:szCs w:val="24"/>
        </w:rPr>
      </w:pPr>
    </w:p>
    <w:p w14:paraId="51A49115" w14:textId="77777777" w:rsidR="00396491" w:rsidRDefault="00396491" w:rsidP="00396491">
      <w:pPr>
        <w:pStyle w:val="NoSpacing"/>
        <w:spacing w:line="360" w:lineRule="auto"/>
        <w:jc w:val="center"/>
        <w:rPr>
          <w:rFonts w:ascii="Times New Roman" w:hAnsi="Times New Roman" w:cs="Times New Roman"/>
          <w:sz w:val="24"/>
          <w:szCs w:val="24"/>
        </w:rPr>
      </w:pPr>
    </w:p>
    <w:p w14:paraId="1678DB60" w14:textId="77777777" w:rsidR="00396491" w:rsidRDefault="00396491" w:rsidP="00396491">
      <w:pPr>
        <w:pStyle w:val="NoSpacing"/>
        <w:spacing w:line="360" w:lineRule="auto"/>
        <w:jc w:val="center"/>
        <w:rPr>
          <w:rFonts w:ascii="Times New Roman" w:hAnsi="Times New Roman" w:cs="Times New Roman"/>
          <w:sz w:val="24"/>
          <w:szCs w:val="24"/>
        </w:rPr>
      </w:pPr>
    </w:p>
    <w:p w14:paraId="3CF07D8F" w14:textId="77777777" w:rsidR="00396491" w:rsidRDefault="00396491" w:rsidP="00396491">
      <w:pPr>
        <w:pStyle w:val="NoSpacing"/>
        <w:spacing w:line="360" w:lineRule="auto"/>
        <w:jc w:val="center"/>
        <w:rPr>
          <w:rFonts w:ascii="Times New Roman" w:hAnsi="Times New Roman" w:cs="Times New Roman"/>
          <w:sz w:val="24"/>
          <w:szCs w:val="24"/>
        </w:rPr>
      </w:pPr>
    </w:p>
    <w:p w14:paraId="324D2933" w14:textId="77777777" w:rsidR="00396491" w:rsidRDefault="00396491" w:rsidP="00396491">
      <w:pPr>
        <w:pStyle w:val="NoSpacing"/>
        <w:spacing w:line="360" w:lineRule="auto"/>
        <w:jc w:val="center"/>
        <w:rPr>
          <w:rFonts w:ascii="Times New Roman" w:hAnsi="Times New Roman" w:cs="Times New Roman"/>
          <w:sz w:val="24"/>
          <w:szCs w:val="24"/>
        </w:rPr>
      </w:pPr>
    </w:p>
    <w:p w14:paraId="056089C3" w14:textId="77777777" w:rsidR="00396491" w:rsidRDefault="00396491" w:rsidP="00396491">
      <w:pPr>
        <w:pStyle w:val="NoSpacing"/>
        <w:spacing w:line="360" w:lineRule="auto"/>
        <w:jc w:val="center"/>
        <w:rPr>
          <w:rFonts w:ascii="Times New Roman" w:hAnsi="Times New Roman" w:cs="Times New Roman"/>
          <w:sz w:val="24"/>
          <w:szCs w:val="24"/>
        </w:rPr>
      </w:pPr>
    </w:p>
    <w:p w14:paraId="654C991E" w14:textId="77777777" w:rsidR="00396491" w:rsidRDefault="00396491" w:rsidP="00396491">
      <w:pPr>
        <w:pStyle w:val="NoSpacing"/>
        <w:spacing w:line="360" w:lineRule="auto"/>
        <w:jc w:val="center"/>
        <w:rPr>
          <w:rFonts w:ascii="Times New Roman" w:hAnsi="Times New Roman" w:cs="Times New Roman"/>
          <w:sz w:val="24"/>
          <w:szCs w:val="24"/>
        </w:rPr>
      </w:pPr>
    </w:p>
    <w:p w14:paraId="41403617" w14:textId="77777777" w:rsidR="00396491" w:rsidRDefault="00396491" w:rsidP="00396491">
      <w:pPr>
        <w:pStyle w:val="NoSpacing"/>
        <w:spacing w:line="360" w:lineRule="auto"/>
        <w:jc w:val="center"/>
        <w:rPr>
          <w:rFonts w:ascii="Times New Roman" w:hAnsi="Times New Roman" w:cs="Times New Roman"/>
          <w:sz w:val="24"/>
          <w:szCs w:val="24"/>
        </w:rPr>
      </w:pPr>
    </w:p>
    <w:p w14:paraId="486813A5" w14:textId="77777777" w:rsidR="00396491" w:rsidRDefault="00396491" w:rsidP="00396491">
      <w:pPr>
        <w:pStyle w:val="NoSpacing"/>
        <w:spacing w:line="360" w:lineRule="auto"/>
        <w:jc w:val="center"/>
        <w:rPr>
          <w:rFonts w:ascii="Times New Roman" w:hAnsi="Times New Roman" w:cs="Times New Roman"/>
          <w:sz w:val="24"/>
          <w:szCs w:val="24"/>
        </w:rPr>
      </w:pPr>
    </w:p>
    <w:p w14:paraId="7DECB02C" w14:textId="77777777" w:rsidR="00396491" w:rsidRDefault="00396491" w:rsidP="00166F20">
      <w:pPr>
        <w:pStyle w:val="NoSpacing"/>
        <w:spacing w:line="360" w:lineRule="auto"/>
        <w:rPr>
          <w:rFonts w:ascii="Times New Roman" w:hAnsi="Times New Roman" w:cs="Times New Roman"/>
          <w:sz w:val="24"/>
          <w:szCs w:val="24"/>
        </w:rPr>
      </w:pPr>
    </w:p>
    <w:p w14:paraId="432FD1B9" w14:textId="77777777" w:rsidR="00396491" w:rsidRDefault="00396491" w:rsidP="00396491">
      <w:pPr>
        <w:pStyle w:val="NoSpacing"/>
        <w:spacing w:line="360" w:lineRule="auto"/>
        <w:jc w:val="center"/>
        <w:rPr>
          <w:rFonts w:ascii="Times New Roman" w:hAnsi="Times New Roman" w:cs="Times New Roman"/>
          <w:sz w:val="24"/>
          <w:szCs w:val="24"/>
        </w:rPr>
      </w:pPr>
    </w:p>
    <w:p w14:paraId="7C8451DF" w14:textId="77777777" w:rsidR="00396491" w:rsidRDefault="00396491" w:rsidP="00396491">
      <w:pPr>
        <w:pStyle w:val="NoSpacing"/>
        <w:spacing w:line="360" w:lineRule="auto"/>
        <w:jc w:val="center"/>
        <w:rPr>
          <w:rFonts w:ascii="Times New Roman" w:hAnsi="Times New Roman" w:cs="Times New Roman"/>
          <w:sz w:val="24"/>
          <w:szCs w:val="24"/>
        </w:rPr>
      </w:pPr>
    </w:p>
    <w:p w14:paraId="6F548E3C" w14:textId="22D696DB" w:rsidR="39174320" w:rsidRDefault="00396491" w:rsidP="00396491">
      <w:pPr>
        <w:pStyle w:val="NoSpacing"/>
        <w:spacing w:line="360" w:lineRule="auto"/>
        <w:jc w:val="center"/>
        <w:rPr>
          <w:rFonts w:ascii="Times New Roman" w:hAnsi="Times New Roman" w:cs="Times New Roman"/>
          <w:sz w:val="48"/>
          <w:szCs w:val="48"/>
        </w:rPr>
      </w:pPr>
      <w:r w:rsidRPr="00166F20">
        <w:rPr>
          <w:rFonts w:ascii="Times New Roman" w:hAnsi="Times New Roman" w:cs="Times New Roman"/>
          <w:sz w:val="48"/>
          <w:szCs w:val="48"/>
        </w:rPr>
        <w:t>Community Engagement</w:t>
      </w:r>
    </w:p>
    <w:p w14:paraId="1D662009" w14:textId="0CA65592" w:rsidR="00166F20" w:rsidRDefault="00166F20" w:rsidP="00396491">
      <w:pPr>
        <w:pStyle w:val="NoSpacing"/>
        <w:spacing w:line="360" w:lineRule="auto"/>
        <w:jc w:val="center"/>
        <w:rPr>
          <w:rFonts w:ascii="Times New Roman" w:hAnsi="Times New Roman" w:cs="Times New Roman"/>
          <w:sz w:val="48"/>
          <w:szCs w:val="48"/>
        </w:rPr>
      </w:pPr>
      <w:r>
        <w:rPr>
          <w:rFonts w:ascii="Times New Roman" w:hAnsi="Times New Roman" w:cs="Times New Roman"/>
          <w:sz w:val="48"/>
          <w:szCs w:val="48"/>
        </w:rPr>
        <w:t>Assignment 1</w:t>
      </w:r>
    </w:p>
    <w:p w14:paraId="642D7942" w14:textId="77777777" w:rsidR="00166F20" w:rsidRPr="00166F20" w:rsidRDefault="00166F20" w:rsidP="00396491">
      <w:pPr>
        <w:pStyle w:val="NoSpacing"/>
        <w:spacing w:line="360" w:lineRule="auto"/>
        <w:jc w:val="center"/>
        <w:rPr>
          <w:rFonts w:ascii="Times New Roman" w:hAnsi="Times New Roman" w:cs="Times New Roman"/>
          <w:sz w:val="48"/>
          <w:szCs w:val="48"/>
        </w:rPr>
      </w:pPr>
    </w:p>
    <w:p w14:paraId="19E5E564" w14:textId="7A85AF3E" w:rsidR="00396491" w:rsidRPr="00166F20" w:rsidRDefault="00396491" w:rsidP="00396491">
      <w:pPr>
        <w:pStyle w:val="NoSpacing"/>
        <w:spacing w:line="360" w:lineRule="auto"/>
        <w:jc w:val="center"/>
        <w:rPr>
          <w:rFonts w:ascii="Times New Roman" w:hAnsi="Times New Roman" w:cs="Times New Roman"/>
          <w:b/>
          <w:bCs/>
          <w:sz w:val="24"/>
          <w:szCs w:val="24"/>
        </w:rPr>
      </w:pPr>
      <w:r w:rsidRPr="00166F20">
        <w:rPr>
          <w:rFonts w:ascii="Times New Roman" w:hAnsi="Times New Roman" w:cs="Times New Roman"/>
          <w:b/>
          <w:bCs/>
          <w:sz w:val="24"/>
          <w:szCs w:val="24"/>
        </w:rPr>
        <w:t>Student Number:</w:t>
      </w:r>
      <w:r w:rsidR="00166F20" w:rsidRPr="00166F20">
        <w:rPr>
          <w:rFonts w:ascii="Times New Roman" w:hAnsi="Times New Roman" w:cs="Times New Roman"/>
          <w:b/>
          <w:bCs/>
          <w:sz w:val="24"/>
          <w:szCs w:val="24"/>
        </w:rPr>
        <w:t xml:space="preserve"> 2122719</w:t>
      </w:r>
    </w:p>
    <w:p w14:paraId="32BAD1FC" w14:textId="1F60F7F0" w:rsidR="00396491" w:rsidRPr="00166F20" w:rsidRDefault="00166F20" w:rsidP="00396491">
      <w:pPr>
        <w:pStyle w:val="NoSpacing"/>
        <w:spacing w:line="360" w:lineRule="auto"/>
        <w:jc w:val="center"/>
        <w:rPr>
          <w:rFonts w:ascii="Times New Roman" w:hAnsi="Times New Roman" w:cs="Times New Roman"/>
          <w:b/>
          <w:bCs/>
          <w:sz w:val="24"/>
          <w:szCs w:val="24"/>
        </w:rPr>
      </w:pPr>
      <w:r w:rsidRPr="00166F20">
        <w:rPr>
          <w:rFonts w:ascii="Times New Roman" w:hAnsi="Times New Roman" w:cs="Times New Roman"/>
          <w:b/>
          <w:bCs/>
          <w:sz w:val="24"/>
          <w:szCs w:val="24"/>
        </w:rPr>
        <w:t xml:space="preserve">Student Name: </w:t>
      </w:r>
      <w:proofErr w:type="spellStart"/>
      <w:r w:rsidRPr="00166F20">
        <w:rPr>
          <w:rFonts w:ascii="Times New Roman" w:hAnsi="Times New Roman" w:cs="Times New Roman"/>
          <w:b/>
          <w:bCs/>
          <w:sz w:val="24"/>
          <w:szCs w:val="24"/>
        </w:rPr>
        <w:t>Vasile</w:t>
      </w:r>
      <w:proofErr w:type="spellEnd"/>
      <w:r w:rsidRPr="00166F20">
        <w:rPr>
          <w:rFonts w:ascii="Times New Roman" w:hAnsi="Times New Roman" w:cs="Times New Roman"/>
          <w:b/>
          <w:bCs/>
          <w:sz w:val="24"/>
          <w:szCs w:val="24"/>
        </w:rPr>
        <w:t xml:space="preserve"> </w:t>
      </w:r>
      <w:proofErr w:type="spellStart"/>
      <w:r w:rsidRPr="00166F20">
        <w:rPr>
          <w:rFonts w:ascii="Times New Roman" w:hAnsi="Times New Roman" w:cs="Times New Roman"/>
          <w:b/>
          <w:bCs/>
          <w:sz w:val="24"/>
          <w:szCs w:val="24"/>
        </w:rPr>
        <w:t>Brates</w:t>
      </w:r>
      <w:proofErr w:type="spellEnd"/>
    </w:p>
    <w:p w14:paraId="75644DA2" w14:textId="77777777" w:rsidR="00396491" w:rsidRDefault="00396491">
      <w:pPr>
        <w:rPr>
          <w:rFonts w:asciiTheme="majorHAnsi" w:eastAsiaTheme="majorEastAsia" w:hAnsiTheme="majorHAnsi" w:cstheme="majorBidi"/>
          <w:color w:val="2F5496" w:themeColor="accent1" w:themeShade="BF"/>
          <w:sz w:val="32"/>
          <w:szCs w:val="32"/>
        </w:rPr>
      </w:pPr>
      <w:r>
        <w:br w:type="page"/>
      </w:r>
    </w:p>
    <w:p w14:paraId="2C078E63" w14:textId="60C10CEB" w:rsidR="006853FB" w:rsidRDefault="39174320" w:rsidP="00F21D79">
      <w:pPr>
        <w:spacing w:line="360" w:lineRule="auto"/>
        <w:ind w:firstLine="720"/>
        <w:jc w:val="both"/>
        <w:rPr>
          <w:rFonts w:ascii="Times New Roman" w:eastAsia="Times New Roman" w:hAnsi="Times New Roman" w:cs="Times New Roman"/>
        </w:rPr>
      </w:pPr>
      <w:r w:rsidRPr="39174320">
        <w:rPr>
          <w:rFonts w:ascii="Times New Roman" w:eastAsia="Times New Roman" w:hAnsi="Times New Roman" w:cs="Times New Roman"/>
        </w:rPr>
        <w:lastRenderedPageBreak/>
        <w:t>Understanding the concept of community engagement and being conversant with the different perspectives that explain it goes a long way in helping businesses flourish. Public institutions anticipate that by involving the community, they will be able to strengthen their bonds of friendship and trust with their people and offer them advantages that will last. The advantage of community involvement is demonstrated by how it encourages government and public decision-making organizations to pay attention to feedback. Community involvement improves, deepens, and lends legitimacy to relationships between governmental institutions and communities. Community engagement, as opposed to public and citizen participation, indicates a more important goal and level of activity on the part of the organization. Giving blood and taking care of the local garden are two fantastic examples. Community engagement and community development are commonly mistaken for being the same, however the two differ. Community development is a bottom-up technique that is used to change the power dynamic in how social issues are addressed, particularly to empower marginalized groups, while community engagement is well-suited to encourage local decision-making and agenda-setting. Community engagement is therefore a contributor or facilitator for community development. In this essay, we shall talk about the different perspectives on community engagement, the benefits of it, the challenges community engagement faces and how these challenges impact the possibility of engaging with the community thereby giving viable solutions to facilitate effective engagement (Reynolds and Shields, 2015).</w:t>
      </w:r>
    </w:p>
    <w:p w14:paraId="3A23BEF3" w14:textId="29E2E040" w:rsidR="39174320" w:rsidRDefault="39174320" w:rsidP="00F21D79">
      <w:pPr>
        <w:spacing w:line="360" w:lineRule="auto"/>
        <w:ind w:firstLine="720"/>
        <w:jc w:val="both"/>
        <w:rPr>
          <w:rFonts w:ascii="Times New Roman" w:eastAsia="Times New Roman" w:hAnsi="Times New Roman" w:cs="Times New Roman"/>
          <w:sz w:val="24"/>
          <w:szCs w:val="24"/>
        </w:rPr>
      </w:pPr>
      <w:proofErr w:type="spellStart"/>
      <w:r w:rsidRPr="39174320">
        <w:rPr>
          <w:rFonts w:ascii="Times New Roman" w:eastAsia="Times New Roman" w:hAnsi="Times New Roman" w:cs="Times New Roman"/>
          <w:sz w:val="24"/>
          <w:szCs w:val="24"/>
        </w:rPr>
        <w:t>Attree</w:t>
      </w:r>
      <w:proofErr w:type="spellEnd"/>
      <w:r w:rsidRPr="39174320">
        <w:rPr>
          <w:rFonts w:ascii="Times New Roman" w:eastAsia="Times New Roman" w:hAnsi="Times New Roman" w:cs="Times New Roman"/>
          <w:sz w:val="24"/>
          <w:szCs w:val="24"/>
        </w:rPr>
        <w:t xml:space="preserve"> et al. (2011) has defined community engagement as the involvement of the community in the decision-making process, the governance and delivery of initiatives that are aimed at addressing the social determinants of health of the population. The community engagement framework is bound by four pillars which are practice, people, performance, and policy. The basis of community engagement should be a set of precise, decided goals. The information requirements, stakeholder participation alternatives, and participant follow-up will all be explicitly stated in a successful community involvement process. Community stakeholders participate in engagement activities because they believe their opinions will have an impact on the decision made (Wilson, 2019). In-depth explanations of the decision being taken and how stakeholder input has affected it are provided by effective community engagement. There are several principles that guide the practice of community engagement. They </w:t>
      </w:r>
      <w:r w:rsidR="00396491" w:rsidRPr="39174320">
        <w:rPr>
          <w:rFonts w:ascii="Times New Roman" w:eastAsia="Times New Roman" w:hAnsi="Times New Roman" w:cs="Times New Roman"/>
          <w:sz w:val="24"/>
          <w:szCs w:val="24"/>
        </w:rPr>
        <w:t>include</w:t>
      </w:r>
      <w:r w:rsidRPr="39174320">
        <w:rPr>
          <w:rFonts w:ascii="Times New Roman" w:eastAsia="Times New Roman" w:hAnsi="Times New Roman" w:cs="Times New Roman"/>
          <w:sz w:val="24"/>
          <w:szCs w:val="24"/>
        </w:rPr>
        <w:t xml:space="preserve"> careful planning and preparation, inclusion and demographic diversity, collaboration and shared purpose, openness, trust and transparency, impact and action and the last principle is the sustained engagement and participatory culture (</w:t>
      </w:r>
      <w:proofErr w:type="spellStart"/>
      <w:r w:rsidRPr="39174320">
        <w:rPr>
          <w:rFonts w:ascii="Times New Roman" w:eastAsia="Times New Roman" w:hAnsi="Times New Roman" w:cs="Times New Roman"/>
          <w:sz w:val="24"/>
          <w:szCs w:val="24"/>
        </w:rPr>
        <w:t>Aslin</w:t>
      </w:r>
      <w:proofErr w:type="spellEnd"/>
      <w:r w:rsidRPr="39174320">
        <w:rPr>
          <w:rFonts w:ascii="Times New Roman" w:eastAsia="Times New Roman" w:hAnsi="Times New Roman" w:cs="Times New Roman"/>
          <w:sz w:val="24"/>
          <w:szCs w:val="24"/>
        </w:rPr>
        <w:t xml:space="preserve"> and Brown, 2014).</w:t>
      </w:r>
    </w:p>
    <w:p w14:paraId="638F7FAB" w14:textId="78E8AFC8"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The best outcomes come from involvement in the community when efforts are made consistently to allow for the development and strengthening of relationships over time. By engaging in appropriate and inclusive preparation, make sure that the process's design, organization, and convening reflect the needs of the participants as well as a clearly defined purpose. Planning for flexibility is essential because things can change, stakeholders might have doubts about the process's goals or the effectiveness of its methods, or they might require more time, information, or their own resources to fully participate in the process' co-design. Planning encourages adherence and commitment among elected officials and the public and assists in guiding later decision-making. It also creates a future-oriented road map for the community by highlighting problems and encouraging improvements.</w:t>
      </w:r>
    </w:p>
    <w:p w14:paraId="5FAE9218" w14:textId="39D803DB"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Diversity and inclusivity are necessary to maintain the harmony of ideas and viewpoints in any situation especially in the case of a community project. Different points of view will be tolerated in a balanced world, which will lessen prejudice against difference. The average degree of cultural competency in society can be raised by promoting a more balanced world. Community engagement organizers should effectively accept a diversity of persons, perspectives, ideas, and information to provide the framework for high-quality outcomes and democratic legitimacy. This helps us to value diversity in the workplace and community while also embracing and celebrating the rich diversity that everyone possesses.</w:t>
      </w:r>
    </w:p>
    <w:p w14:paraId="70D7D1E8" w14:textId="190B4721"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 xml:space="preserve">Working together as a team or organization to achieve a common objective explains the principle of collaboration and shared purpose. The benefits of coordination and collaboration may be substantial and long-lasting, but they need work to establish and maintain. </w:t>
      </w:r>
      <w:bookmarkStart w:id="0" w:name="_Int_5rK8F9Sr"/>
      <w:proofErr w:type="gramStart"/>
      <w:r w:rsidRPr="39174320">
        <w:rPr>
          <w:rFonts w:ascii="Times New Roman" w:eastAsia="Times New Roman" w:hAnsi="Times New Roman" w:cs="Times New Roman"/>
          <w:sz w:val="24"/>
          <w:szCs w:val="24"/>
        </w:rPr>
        <w:t>In order to</w:t>
      </w:r>
      <w:bookmarkEnd w:id="0"/>
      <w:proofErr w:type="gramEnd"/>
      <w:r w:rsidRPr="39174320">
        <w:rPr>
          <w:rFonts w:ascii="Times New Roman" w:eastAsia="Times New Roman" w:hAnsi="Times New Roman" w:cs="Times New Roman"/>
          <w:sz w:val="24"/>
          <w:szCs w:val="24"/>
        </w:rPr>
        <w:t xml:space="preserve"> reach a consensus that benefits the community, groups that form partnerships must cooperate and coordinate (</w:t>
      </w:r>
      <w:proofErr w:type="spellStart"/>
      <w:r w:rsidRPr="39174320">
        <w:rPr>
          <w:rFonts w:ascii="Times New Roman" w:eastAsia="Times New Roman" w:hAnsi="Times New Roman" w:cs="Times New Roman"/>
          <w:sz w:val="24"/>
          <w:szCs w:val="24"/>
        </w:rPr>
        <w:t>Wiedman</w:t>
      </w:r>
      <w:proofErr w:type="spellEnd"/>
      <w:r w:rsidRPr="39174320">
        <w:rPr>
          <w:rFonts w:ascii="Times New Roman" w:eastAsia="Times New Roman" w:hAnsi="Times New Roman" w:cs="Times New Roman"/>
          <w:sz w:val="24"/>
          <w:szCs w:val="24"/>
        </w:rPr>
        <w:t xml:space="preserve"> et al., 2015). This can result in the sharing of strategies and resources, the collaboration on problem-solving, and the sharing of information. You need to encourage collaboration among participants, governmental and community groups, and others to advance the common good. More creativity, more effective procedures, more success, and better communication result from teamwork and shared purpose.</w:t>
      </w:r>
    </w:p>
    <w:p w14:paraId="67F05950" w14:textId="093E11C2"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Another principle of community engagement is openness and learning. This principle entails the process of community engagement should also serve as a learning entity and should exhibit openness. The community project should be focused in achieving effectiveness and should encourage the possibility of innovative ideas. By acknowledging and expressing the needs and interests of all participants, including decision-makers, the openness and learning concept encourages the making of sustainable decisions. This improves community commitment to decisions and acceptance of results as local expertise from various groups influences and produces inclusive, practical solutions.</w:t>
      </w:r>
    </w:p>
    <w:p w14:paraId="76F7F87B" w14:textId="43F40D7A"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Transparency and trust go together and collectively form one of the most crucial principles of community engagement. To encourage an educated and equitable decision-making process in organizing, engagement, and equality work, transparency is the full and honest presentation of all facts, information, and context. Accountability, sincerity, and openness are displayed when something is transparent. Transparency helps the parties involved build confidence with one another. The project's organizers, sponsors, and other participants must have complete faith in one another for this to work. Trust promotes volunteering, which boosts the economy and results in healthier lifestyles for the populace. Transparent community involvement starts with the disclosure of the goal and only then includes the means provided by others. Engagement with the community that is transparent encourages additional transparency.</w:t>
      </w:r>
    </w:p>
    <w:p w14:paraId="3F6A5114" w14:textId="28040595" w:rsidR="39174320" w:rsidRDefault="39174320" w:rsidP="00F21D79">
      <w:pPr>
        <w:spacing w:line="360" w:lineRule="auto"/>
        <w:ind w:firstLine="720"/>
        <w:jc w:val="both"/>
        <w:rPr>
          <w:rFonts w:ascii="Times New Roman" w:eastAsia="Times New Roman" w:hAnsi="Times New Roman" w:cs="Times New Roman"/>
          <w:sz w:val="24"/>
          <w:szCs w:val="24"/>
          <w:lang w:val="en-US"/>
        </w:rPr>
      </w:pPr>
      <w:r w:rsidRPr="39174320">
        <w:rPr>
          <w:rFonts w:ascii="Times New Roman" w:eastAsia="Times New Roman" w:hAnsi="Times New Roman" w:cs="Times New Roman"/>
          <w:sz w:val="24"/>
          <w:szCs w:val="24"/>
        </w:rPr>
        <w:t>The principle of impact and action focuses on the effects of the community engagement project on the community. It is upon the organizers of the programme to make sure that the actions and efforts invested in the project will fruit positively and that the community, members are aware of them. Community engagement or social action are other names for the broad spectrum of activities that make up community action. the goals, community participation, the nature of featured activities, their reach, and the way they are incorporated within the council are all subject to change. Local services should be at the heart of every community initiative.</w:t>
      </w:r>
    </w:p>
    <w:p w14:paraId="1359A17E" w14:textId="3020D623" w:rsidR="39174320" w:rsidRDefault="39174320" w:rsidP="00F21D79">
      <w:pPr>
        <w:spacing w:line="360" w:lineRule="auto"/>
        <w:ind w:firstLine="720"/>
        <w:jc w:val="both"/>
        <w:rPr>
          <w:rFonts w:ascii="Times New Roman" w:eastAsia="Times New Roman" w:hAnsi="Times New Roman" w:cs="Times New Roman"/>
          <w:sz w:val="24"/>
          <w:szCs w:val="24"/>
        </w:rPr>
      </w:pPr>
      <w:r w:rsidRPr="39174320">
        <w:rPr>
          <w:rFonts w:ascii="Times New Roman" w:eastAsia="Times New Roman" w:hAnsi="Times New Roman" w:cs="Times New Roman"/>
          <w:sz w:val="24"/>
          <w:szCs w:val="24"/>
        </w:rPr>
        <w:t xml:space="preserve">Lastly, a good community engagement programme should exhibit sustained engagement and the culture of participation. Project sustainability has been noted as </w:t>
      </w:r>
      <w:bookmarkStart w:id="1" w:name="_Int_3VsNNoMf"/>
      <w:r w:rsidRPr="39174320">
        <w:rPr>
          <w:rFonts w:ascii="Times New Roman" w:eastAsia="Times New Roman" w:hAnsi="Times New Roman" w:cs="Times New Roman"/>
          <w:sz w:val="24"/>
          <w:szCs w:val="24"/>
        </w:rPr>
        <w:t>a critical concern</w:t>
      </w:r>
      <w:bookmarkEnd w:id="1"/>
      <w:r w:rsidRPr="39174320">
        <w:rPr>
          <w:rFonts w:ascii="Times New Roman" w:eastAsia="Times New Roman" w:hAnsi="Times New Roman" w:cs="Times New Roman"/>
          <w:sz w:val="24"/>
          <w:szCs w:val="24"/>
        </w:rPr>
        <w:t xml:space="preserve"> in many projects across the UK. One of the key tactics for fostering positive and long-lasting growth changes in our society has been community involvement. All project beneficiaries must actively take part in its conception, design, and execution </w:t>
      </w:r>
      <w:bookmarkStart w:id="2" w:name="_Int_ubEpGiXZ"/>
      <w:r w:rsidRPr="39174320">
        <w:rPr>
          <w:rFonts w:ascii="Times New Roman" w:eastAsia="Times New Roman" w:hAnsi="Times New Roman" w:cs="Times New Roman"/>
          <w:sz w:val="24"/>
          <w:szCs w:val="24"/>
        </w:rPr>
        <w:t>for</w:t>
      </w:r>
      <w:bookmarkEnd w:id="2"/>
      <w:r w:rsidRPr="39174320">
        <w:rPr>
          <w:rFonts w:ascii="Times New Roman" w:eastAsia="Times New Roman" w:hAnsi="Times New Roman" w:cs="Times New Roman"/>
          <w:sz w:val="24"/>
          <w:szCs w:val="24"/>
        </w:rPr>
        <w:t xml:space="preserve"> them to all completely profit from it. Participation in the community is what this is. Sustainable development cannot exist without participatory culture, which is also a source of identity, creativity, and innovation for both individuals and communities. It is essential for ensuring economic growth and process ownership, in addition to aiding in the eradication of poverty and the promotion of social inclusion.</w:t>
      </w:r>
    </w:p>
    <w:p w14:paraId="7FF36538" w14:textId="375C41BE" w:rsidR="39174320" w:rsidRDefault="39174320" w:rsidP="00F21D79">
      <w:pPr>
        <w:spacing w:line="360" w:lineRule="auto"/>
        <w:ind w:firstLine="720"/>
        <w:jc w:val="both"/>
        <w:rPr>
          <w:rFonts w:ascii="Times New Roman" w:eastAsia="Times New Roman" w:hAnsi="Times New Roman" w:cs="Times New Roman"/>
          <w:sz w:val="24"/>
          <w:szCs w:val="24"/>
        </w:rPr>
      </w:pPr>
      <w:r w:rsidRPr="39174320">
        <w:rPr>
          <w:rFonts w:ascii="Times New Roman" w:eastAsia="Times New Roman" w:hAnsi="Times New Roman" w:cs="Times New Roman"/>
          <w:sz w:val="24"/>
          <w:szCs w:val="24"/>
        </w:rPr>
        <w:t xml:space="preserve">Community engagement has </w:t>
      </w:r>
      <w:bookmarkStart w:id="3" w:name="_Int_yDBKZqSn"/>
      <w:r w:rsidRPr="39174320">
        <w:rPr>
          <w:rFonts w:ascii="Times New Roman" w:eastAsia="Times New Roman" w:hAnsi="Times New Roman" w:cs="Times New Roman"/>
          <w:sz w:val="24"/>
          <w:szCs w:val="24"/>
        </w:rPr>
        <w:t>several</w:t>
      </w:r>
      <w:bookmarkEnd w:id="3"/>
      <w:r w:rsidRPr="39174320">
        <w:rPr>
          <w:rFonts w:ascii="Times New Roman" w:eastAsia="Times New Roman" w:hAnsi="Times New Roman" w:cs="Times New Roman"/>
          <w:sz w:val="24"/>
          <w:szCs w:val="24"/>
        </w:rPr>
        <w:t xml:space="preserve"> benefits to the community members as well as external organizations. Keeping in line with the social perspective that defines the community as being affected by the social and political networks surrounding its members, community engagement ensures lower crime levels as well as less disparity among the members (Watson, 2007). Looking at the personal perspective of community which says that people have unique ideas about a community which differs from the researchers work, community engagement leads to the realization of a more talented workforce thereby creating more jobs for the community members. The virtual perspective speaks of a community as inclusive of the virtual community which interacts in their own ways. The virtual communities include the Facebook community and the Twitter community (Inman and </w:t>
      </w:r>
      <w:proofErr w:type="spellStart"/>
      <w:r w:rsidRPr="39174320">
        <w:rPr>
          <w:rFonts w:ascii="Times New Roman" w:eastAsia="Times New Roman" w:hAnsi="Times New Roman" w:cs="Times New Roman"/>
          <w:sz w:val="24"/>
          <w:szCs w:val="24"/>
        </w:rPr>
        <w:t>Schutze</w:t>
      </w:r>
      <w:proofErr w:type="spellEnd"/>
      <w:r w:rsidRPr="39174320">
        <w:rPr>
          <w:rFonts w:ascii="Times New Roman" w:eastAsia="Times New Roman" w:hAnsi="Times New Roman" w:cs="Times New Roman"/>
          <w:sz w:val="24"/>
          <w:szCs w:val="24"/>
        </w:rPr>
        <w:t xml:space="preserve"> 2010). Community engagement increases community understanding of issues and gives communities the tools to become subject matter experts through the online engagement. In virtual communities, participants from many different social and professional groups connect; these relationships can be very informal or quite official. Virtual communities have had </w:t>
      </w:r>
      <w:bookmarkStart w:id="4" w:name="_Int_cDlgjxEc"/>
      <w:r w:rsidRPr="39174320">
        <w:rPr>
          <w:rFonts w:ascii="Times New Roman" w:eastAsia="Times New Roman" w:hAnsi="Times New Roman" w:cs="Times New Roman"/>
          <w:sz w:val="24"/>
          <w:szCs w:val="24"/>
        </w:rPr>
        <w:t>an enormous impact</w:t>
      </w:r>
      <w:bookmarkEnd w:id="4"/>
      <w:r w:rsidRPr="39174320">
        <w:rPr>
          <w:rFonts w:ascii="Times New Roman" w:eastAsia="Times New Roman" w:hAnsi="Times New Roman" w:cs="Times New Roman"/>
          <w:sz w:val="24"/>
          <w:szCs w:val="24"/>
        </w:rPr>
        <w:t xml:space="preserve"> on communication, personal identity, and the fundamental human connection and will continue to do so. Some online groups stimulate the emergence of moral norms, encourage intragroup change, and impose penalties for breaking the rules. Most community engagement projects use the community-based approach to fulfil the programmes. It is the responsibility of the community to identify security threats and to collaborate on creating security strategies, assistance alternatives, and solutions. Members of the community feel that their systems are recognized, supported, and respected because it encourages respect for their rights (Warwick et al., 2010).</w:t>
      </w:r>
    </w:p>
    <w:p w14:paraId="2D32E10A" w14:textId="6560F64B" w:rsidR="39174320" w:rsidRDefault="39174320" w:rsidP="00F21D79">
      <w:pPr>
        <w:spacing w:line="360" w:lineRule="auto"/>
        <w:ind w:firstLine="720"/>
        <w:jc w:val="both"/>
        <w:rPr>
          <w:rFonts w:ascii="Times New Roman" w:eastAsia="Times New Roman" w:hAnsi="Times New Roman" w:cs="Times New Roman"/>
          <w:sz w:val="24"/>
          <w:szCs w:val="24"/>
        </w:rPr>
      </w:pPr>
      <w:r w:rsidRPr="39174320">
        <w:rPr>
          <w:rFonts w:ascii="Times New Roman" w:eastAsia="Times New Roman" w:hAnsi="Times New Roman" w:cs="Times New Roman"/>
          <w:sz w:val="24"/>
          <w:szCs w:val="24"/>
        </w:rPr>
        <w:t xml:space="preserve">Community engagement faces a couple of challenges. Attitudes and expectations are one of the major problems that community engagement must address. The community may believe they lack the ability to provide useful recommendations, </w:t>
      </w:r>
      <w:bookmarkStart w:id="5" w:name="_Int_MQgMdhEg"/>
      <w:r w:rsidRPr="39174320">
        <w:rPr>
          <w:rFonts w:ascii="Times New Roman" w:eastAsia="Times New Roman" w:hAnsi="Times New Roman" w:cs="Times New Roman"/>
          <w:sz w:val="24"/>
          <w:szCs w:val="24"/>
        </w:rPr>
        <w:t>will not</w:t>
      </w:r>
      <w:bookmarkEnd w:id="5"/>
      <w:r w:rsidRPr="39174320">
        <w:rPr>
          <w:rFonts w:ascii="Times New Roman" w:eastAsia="Times New Roman" w:hAnsi="Times New Roman" w:cs="Times New Roman"/>
          <w:sz w:val="24"/>
          <w:szCs w:val="24"/>
        </w:rPr>
        <w:t xml:space="preserve"> be taken seriously, or have little influence over the decision-making process (Kramer et al., 2012). People may find it difficult to contribute their skills, resources, and time due to geographical or cultural restrictions. Due of the divergent viewpoints, this presents a problem for the stakeholders. Focus groups may prove to be insufficient, while opinion forums may devolve into chaos. It becomes difficult to measure the outcomes of the community participation </w:t>
      </w:r>
      <w:bookmarkStart w:id="6" w:name="_Int_GZwvWjzw"/>
      <w:r w:rsidRPr="39174320">
        <w:rPr>
          <w:rFonts w:ascii="Times New Roman" w:eastAsia="Times New Roman" w:hAnsi="Times New Roman" w:cs="Times New Roman"/>
          <w:sz w:val="24"/>
          <w:szCs w:val="24"/>
        </w:rPr>
        <w:t>because of</w:t>
      </w:r>
      <w:bookmarkEnd w:id="6"/>
      <w:r w:rsidRPr="39174320">
        <w:rPr>
          <w:rFonts w:ascii="Times New Roman" w:eastAsia="Times New Roman" w:hAnsi="Times New Roman" w:cs="Times New Roman"/>
          <w:sz w:val="24"/>
          <w:szCs w:val="24"/>
        </w:rPr>
        <w:t xml:space="preserve"> the resulting standardization. Another challenge is the characteristic of the urban areas as opposed to the rural areas where the communities are close (</w:t>
      </w:r>
      <w:proofErr w:type="spellStart"/>
      <w:r w:rsidRPr="39174320">
        <w:rPr>
          <w:rFonts w:ascii="Times New Roman" w:eastAsia="Times New Roman" w:hAnsi="Times New Roman" w:cs="Times New Roman"/>
          <w:sz w:val="24"/>
          <w:szCs w:val="24"/>
        </w:rPr>
        <w:t>Hoelzer</w:t>
      </w:r>
      <w:proofErr w:type="spellEnd"/>
      <w:r w:rsidRPr="39174320">
        <w:rPr>
          <w:rFonts w:ascii="Times New Roman" w:eastAsia="Times New Roman" w:hAnsi="Times New Roman" w:cs="Times New Roman"/>
          <w:sz w:val="24"/>
          <w:szCs w:val="24"/>
        </w:rPr>
        <w:t xml:space="preserve"> and </w:t>
      </w:r>
      <w:proofErr w:type="spellStart"/>
      <w:r w:rsidRPr="39174320">
        <w:rPr>
          <w:rFonts w:ascii="Times New Roman" w:eastAsia="Times New Roman" w:hAnsi="Times New Roman" w:cs="Times New Roman"/>
          <w:sz w:val="24"/>
          <w:szCs w:val="24"/>
        </w:rPr>
        <w:t>Kass</w:t>
      </w:r>
      <w:proofErr w:type="spellEnd"/>
      <w:r w:rsidRPr="39174320">
        <w:rPr>
          <w:rFonts w:ascii="Times New Roman" w:eastAsia="Times New Roman" w:hAnsi="Times New Roman" w:cs="Times New Roman"/>
          <w:sz w:val="24"/>
          <w:szCs w:val="24"/>
        </w:rPr>
        <w:t>, 2015).</w:t>
      </w:r>
    </w:p>
    <w:p w14:paraId="492E1A28" w14:textId="7FC1ADA5" w:rsidR="39174320" w:rsidRDefault="39174320" w:rsidP="00F21D79">
      <w:pPr>
        <w:spacing w:line="360" w:lineRule="auto"/>
        <w:ind w:firstLine="720"/>
        <w:jc w:val="both"/>
        <w:rPr>
          <w:rFonts w:ascii="Times New Roman" w:eastAsia="Times New Roman" w:hAnsi="Times New Roman" w:cs="Times New Roman"/>
          <w:sz w:val="24"/>
          <w:szCs w:val="24"/>
        </w:rPr>
      </w:pPr>
      <w:r w:rsidRPr="39174320">
        <w:rPr>
          <w:rFonts w:ascii="Times New Roman" w:eastAsia="Times New Roman" w:hAnsi="Times New Roman" w:cs="Times New Roman"/>
          <w:sz w:val="24"/>
          <w:szCs w:val="24"/>
        </w:rPr>
        <w:t xml:space="preserve">Projects involving community involvement could be more challenging in metropolitan settings where inhabitants might not know one another, and communities might be more divided. Due to the vast diversity of urban populations, it might be difficult to take everyone's interests into account (Kramer et al., 2012). Additionally, it could be difficult to communicate technical concepts to the locals if they </w:t>
      </w:r>
      <w:bookmarkStart w:id="7" w:name="_Int_lFTnkqxQ"/>
      <w:r w:rsidRPr="39174320">
        <w:rPr>
          <w:rFonts w:ascii="Times New Roman" w:eastAsia="Times New Roman" w:hAnsi="Times New Roman" w:cs="Times New Roman"/>
          <w:sz w:val="24"/>
          <w:szCs w:val="24"/>
        </w:rPr>
        <w:t>do not</w:t>
      </w:r>
      <w:bookmarkEnd w:id="7"/>
      <w:r w:rsidRPr="39174320">
        <w:rPr>
          <w:rFonts w:ascii="Times New Roman" w:eastAsia="Times New Roman" w:hAnsi="Times New Roman" w:cs="Times New Roman"/>
          <w:sz w:val="24"/>
          <w:szCs w:val="24"/>
        </w:rPr>
        <w:t xml:space="preserve"> speak the same language as you do or if they have different objectives. In urban settings, developing and implementing a community engagement program can be particularly challenging. </w:t>
      </w:r>
      <w:bookmarkStart w:id="8" w:name="_Int_fll9tf2Q"/>
      <w:r w:rsidRPr="39174320">
        <w:rPr>
          <w:rFonts w:ascii="Times New Roman" w:eastAsia="Times New Roman" w:hAnsi="Times New Roman" w:cs="Times New Roman"/>
          <w:sz w:val="24"/>
          <w:szCs w:val="24"/>
        </w:rPr>
        <w:t>It is</w:t>
      </w:r>
      <w:bookmarkEnd w:id="8"/>
      <w:r w:rsidRPr="39174320">
        <w:rPr>
          <w:rFonts w:ascii="Times New Roman" w:eastAsia="Times New Roman" w:hAnsi="Times New Roman" w:cs="Times New Roman"/>
          <w:sz w:val="24"/>
          <w:szCs w:val="24"/>
        </w:rPr>
        <w:t xml:space="preserve"> possible that there </w:t>
      </w:r>
      <w:bookmarkStart w:id="9" w:name="_Int_kdN1W30z"/>
      <w:r w:rsidRPr="39174320">
        <w:rPr>
          <w:rFonts w:ascii="Times New Roman" w:eastAsia="Times New Roman" w:hAnsi="Times New Roman" w:cs="Times New Roman"/>
          <w:sz w:val="24"/>
          <w:szCs w:val="24"/>
        </w:rPr>
        <w:t>is not</w:t>
      </w:r>
      <w:bookmarkEnd w:id="9"/>
      <w:r w:rsidRPr="39174320">
        <w:rPr>
          <w:rFonts w:ascii="Times New Roman" w:eastAsia="Times New Roman" w:hAnsi="Times New Roman" w:cs="Times New Roman"/>
          <w:sz w:val="24"/>
          <w:szCs w:val="24"/>
        </w:rPr>
        <w:t xml:space="preserve"> the peace and collaboration in the community that would allow for successful involvement. Another challenge is locating qualified representatives who can fairly represent the variety of the community in meetings and planning sessions (</w:t>
      </w:r>
      <w:proofErr w:type="spellStart"/>
      <w:r w:rsidRPr="39174320">
        <w:rPr>
          <w:rFonts w:ascii="Times New Roman" w:eastAsia="Times New Roman" w:hAnsi="Times New Roman" w:cs="Times New Roman"/>
          <w:sz w:val="24"/>
          <w:szCs w:val="24"/>
        </w:rPr>
        <w:t>Hoelzer</w:t>
      </w:r>
      <w:proofErr w:type="spellEnd"/>
      <w:r w:rsidRPr="39174320">
        <w:rPr>
          <w:rFonts w:ascii="Times New Roman" w:eastAsia="Times New Roman" w:hAnsi="Times New Roman" w:cs="Times New Roman"/>
          <w:sz w:val="24"/>
          <w:szCs w:val="24"/>
        </w:rPr>
        <w:t xml:space="preserve"> and </w:t>
      </w:r>
      <w:proofErr w:type="spellStart"/>
      <w:r w:rsidRPr="39174320">
        <w:rPr>
          <w:rFonts w:ascii="Times New Roman" w:eastAsia="Times New Roman" w:hAnsi="Times New Roman" w:cs="Times New Roman"/>
          <w:sz w:val="24"/>
          <w:szCs w:val="24"/>
        </w:rPr>
        <w:t>Kass</w:t>
      </w:r>
      <w:proofErr w:type="spellEnd"/>
      <w:r w:rsidRPr="39174320">
        <w:rPr>
          <w:rFonts w:ascii="Times New Roman" w:eastAsia="Times New Roman" w:hAnsi="Times New Roman" w:cs="Times New Roman"/>
          <w:sz w:val="24"/>
          <w:szCs w:val="24"/>
        </w:rPr>
        <w:t>, 2015).</w:t>
      </w:r>
    </w:p>
    <w:p w14:paraId="22C715BF" w14:textId="442F8E33" w:rsidR="39174320" w:rsidRDefault="39174320" w:rsidP="00F21D79">
      <w:pPr>
        <w:spacing w:line="360" w:lineRule="auto"/>
        <w:ind w:firstLine="720"/>
        <w:jc w:val="both"/>
        <w:rPr>
          <w:rFonts w:ascii="Times New Roman" w:eastAsia="Times New Roman" w:hAnsi="Times New Roman" w:cs="Times New Roman"/>
          <w:sz w:val="24"/>
          <w:szCs w:val="24"/>
        </w:rPr>
      </w:pPr>
      <w:r w:rsidRPr="39174320">
        <w:rPr>
          <w:rFonts w:ascii="Times New Roman" w:eastAsia="Times New Roman" w:hAnsi="Times New Roman" w:cs="Times New Roman"/>
          <w:sz w:val="24"/>
          <w:szCs w:val="24"/>
        </w:rPr>
        <w:t>Another challenge to community engagement is the inclusion of both genders in the programme. Gender equality is a sensitive issue that has been on the rise across the globe on national issues. Women should actively participate in community events since they are likely to have a significant impact on family hygiene and sanitation practices (Kramer et al., 2012). However, it might be challenging for individuals to attend community activities and take part in conversations because of their obligations to their families. Both sexes must actively participate in the gender integration and community development processes. If both men and women do not engage equally or speak with one voice, growth cannot be sustained. Because it will enable both men and women to make decisions that will improve their own sexual and reproductive health as well as the health of their partners and families, gender equality is crucial in the context of community involvement projects (</w:t>
      </w:r>
      <w:proofErr w:type="spellStart"/>
      <w:r w:rsidRPr="39174320">
        <w:rPr>
          <w:rFonts w:ascii="Times New Roman" w:eastAsia="Times New Roman" w:hAnsi="Times New Roman" w:cs="Times New Roman"/>
          <w:sz w:val="24"/>
          <w:szCs w:val="24"/>
        </w:rPr>
        <w:t>Hoelzer</w:t>
      </w:r>
      <w:proofErr w:type="spellEnd"/>
      <w:r w:rsidRPr="39174320">
        <w:rPr>
          <w:rFonts w:ascii="Times New Roman" w:eastAsia="Times New Roman" w:hAnsi="Times New Roman" w:cs="Times New Roman"/>
          <w:sz w:val="24"/>
          <w:szCs w:val="24"/>
        </w:rPr>
        <w:t xml:space="preserve"> and </w:t>
      </w:r>
      <w:proofErr w:type="spellStart"/>
      <w:r w:rsidRPr="39174320">
        <w:rPr>
          <w:rFonts w:ascii="Times New Roman" w:eastAsia="Times New Roman" w:hAnsi="Times New Roman" w:cs="Times New Roman"/>
          <w:sz w:val="24"/>
          <w:szCs w:val="24"/>
        </w:rPr>
        <w:t>Kass</w:t>
      </w:r>
      <w:proofErr w:type="spellEnd"/>
      <w:r w:rsidRPr="39174320">
        <w:rPr>
          <w:rFonts w:ascii="Times New Roman" w:eastAsia="Times New Roman" w:hAnsi="Times New Roman" w:cs="Times New Roman"/>
          <w:sz w:val="24"/>
          <w:szCs w:val="24"/>
        </w:rPr>
        <w:t>, 2015).</w:t>
      </w:r>
    </w:p>
    <w:p w14:paraId="2B5766EB" w14:textId="40628970" w:rsidR="39174320" w:rsidRDefault="39174320" w:rsidP="00F21D79">
      <w:pPr>
        <w:spacing w:line="360" w:lineRule="auto"/>
        <w:ind w:firstLine="720"/>
        <w:jc w:val="both"/>
        <w:rPr>
          <w:rFonts w:ascii="Times New Roman" w:eastAsia="Times New Roman" w:hAnsi="Times New Roman" w:cs="Times New Roman"/>
          <w:sz w:val="24"/>
          <w:szCs w:val="24"/>
        </w:rPr>
      </w:pPr>
      <w:bookmarkStart w:id="10" w:name="_Int_8RCwcubR"/>
      <w:proofErr w:type="gramStart"/>
      <w:r w:rsidRPr="39174320">
        <w:rPr>
          <w:rFonts w:ascii="Times New Roman" w:eastAsia="Times New Roman" w:hAnsi="Times New Roman" w:cs="Times New Roman"/>
          <w:sz w:val="24"/>
          <w:szCs w:val="24"/>
        </w:rPr>
        <w:t>In light of</w:t>
      </w:r>
      <w:bookmarkEnd w:id="10"/>
      <w:proofErr w:type="gramEnd"/>
      <w:r w:rsidRPr="39174320">
        <w:rPr>
          <w:rFonts w:ascii="Times New Roman" w:eastAsia="Times New Roman" w:hAnsi="Times New Roman" w:cs="Times New Roman"/>
          <w:sz w:val="24"/>
          <w:szCs w:val="24"/>
        </w:rPr>
        <w:t xml:space="preserve"> this information, I can therefore conclude that community engagement is a fundamental aspect towards fostering community development. Having looked at the different perspectives and approaches of community engagement, and the guiding principles leading to a successful engagement process, I have no doubt in the back of mind that the benefits outweigh any short comings that might be faced in the involvement process. The benefits include increased problem-solving knowledge among the community members, in depth information access and an improved decision-making skill. In a student's perspective, community engagement mentors the student to become better in by making sure that the social, </w:t>
      </w:r>
      <w:bookmarkStart w:id="11" w:name="_Int_RMWTmaCm"/>
      <w:r w:rsidRPr="39174320">
        <w:rPr>
          <w:rFonts w:ascii="Times New Roman" w:eastAsia="Times New Roman" w:hAnsi="Times New Roman" w:cs="Times New Roman"/>
          <w:sz w:val="24"/>
          <w:szCs w:val="24"/>
        </w:rPr>
        <w:t>emotional,</w:t>
      </w:r>
      <w:bookmarkEnd w:id="11"/>
      <w:r w:rsidRPr="39174320">
        <w:rPr>
          <w:rFonts w:ascii="Times New Roman" w:eastAsia="Times New Roman" w:hAnsi="Times New Roman" w:cs="Times New Roman"/>
          <w:sz w:val="24"/>
          <w:szCs w:val="24"/>
        </w:rPr>
        <w:t xml:space="preserve"> and physical needs are addressed. People should have the ability to affect and change the laws and policies that govern them in accordance with the social contract that exists between people and government. The foundation of effective community involvement strategies is a principled approach. As a result, the policies become better, and the community and its government enjoy greater trust.</w:t>
      </w:r>
    </w:p>
    <w:p w14:paraId="38545904" w14:textId="5D06D5B9" w:rsidR="39174320" w:rsidRDefault="39174320">
      <w:r>
        <w:br w:type="page"/>
      </w:r>
    </w:p>
    <w:p w14:paraId="51132F94" w14:textId="6F6F0CB9" w:rsidR="39174320" w:rsidRPr="00396491" w:rsidRDefault="39174320" w:rsidP="00396491">
      <w:pPr>
        <w:spacing w:after="0" w:line="240" w:lineRule="auto"/>
        <w:jc w:val="both"/>
        <w:rPr>
          <w:rFonts w:ascii="Times New Roman" w:eastAsia="Times New Roman" w:hAnsi="Times New Roman" w:cs="Times New Roman"/>
          <w:b/>
          <w:bCs/>
          <w:sz w:val="24"/>
          <w:szCs w:val="24"/>
        </w:rPr>
      </w:pPr>
      <w:r w:rsidRPr="00396491">
        <w:rPr>
          <w:rStyle w:val="Heading1Char"/>
          <w:rFonts w:ascii="Times New Roman" w:hAnsi="Times New Roman" w:cs="Times New Roman"/>
          <w:b/>
          <w:bCs/>
          <w:color w:val="auto"/>
          <w:sz w:val="24"/>
          <w:szCs w:val="24"/>
        </w:rPr>
        <w:t>References</w:t>
      </w:r>
    </w:p>
    <w:p w14:paraId="45C8F3E9"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proofErr w:type="spellStart"/>
      <w:r w:rsidRPr="00396491">
        <w:rPr>
          <w:rFonts w:ascii="Times New Roman" w:hAnsi="Times New Roman" w:cs="Times New Roman"/>
          <w:sz w:val="24"/>
          <w:szCs w:val="24"/>
        </w:rPr>
        <w:t>Aslin</w:t>
      </w:r>
      <w:proofErr w:type="spellEnd"/>
      <w:r w:rsidRPr="00396491">
        <w:rPr>
          <w:rFonts w:ascii="Times New Roman" w:hAnsi="Times New Roman" w:cs="Times New Roman"/>
          <w:sz w:val="24"/>
          <w:szCs w:val="24"/>
        </w:rPr>
        <w:t>, H. and Brown, V., 2004. Towards whole of community engagement: A practical toolkit. Murray-Darling Basin Commission.</w:t>
      </w:r>
    </w:p>
    <w:p w14:paraId="49421D64"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proofErr w:type="spellStart"/>
      <w:r w:rsidRPr="00396491">
        <w:rPr>
          <w:rFonts w:ascii="Times New Roman" w:hAnsi="Times New Roman" w:cs="Times New Roman"/>
          <w:sz w:val="24"/>
          <w:szCs w:val="24"/>
        </w:rPr>
        <w:t>Attree</w:t>
      </w:r>
      <w:proofErr w:type="spellEnd"/>
      <w:r w:rsidRPr="00396491">
        <w:rPr>
          <w:rFonts w:ascii="Times New Roman" w:hAnsi="Times New Roman" w:cs="Times New Roman"/>
          <w:sz w:val="24"/>
          <w:szCs w:val="24"/>
        </w:rPr>
        <w:t xml:space="preserve">, P., French, B., Milton, B., </w:t>
      </w:r>
      <w:proofErr w:type="spellStart"/>
      <w:r w:rsidRPr="00396491">
        <w:rPr>
          <w:rFonts w:ascii="Times New Roman" w:hAnsi="Times New Roman" w:cs="Times New Roman"/>
          <w:sz w:val="24"/>
          <w:szCs w:val="24"/>
        </w:rPr>
        <w:t>Povall</w:t>
      </w:r>
      <w:proofErr w:type="spellEnd"/>
      <w:r w:rsidRPr="00396491">
        <w:rPr>
          <w:rFonts w:ascii="Times New Roman" w:hAnsi="Times New Roman" w:cs="Times New Roman"/>
          <w:sz w:val="24"/>
          <w:szCs w:val="24"/>
        </w:rPr>
        <w:t xml:space="preserve">, S., Whitehead, M. and Popay, J., 2011. The experience of community engagement for individuals: a rapid review of evidence. Health &amp; social care in the community, 19(3), pp.250-260.  </w:t>
      </w:r>
    </w:p>
    <w:p w14:paraId="086E66D0"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proofErr w:type="spellStart"/>
      <w:r w:rsidRPr="00396491">
        <w:rPr>
          <w:rFonts w:ascii="Times New Roman" w:hAnsi="Times New Roman" w:cs="Times New Roman"/>
          <w:sz w:val="24"/>
          <w:szCs w:val="24"/>
        </w:rPr>
        <w:t>Butin</w:t>
      </w:r>
      <w:proofErr w:type="spellEnd"/>
      <w:r w:rsidRPr="00396491">
        <w:rPr>
          <w:rFonts w:ascii="Times New Roman" w:hAnsi="Times New Roman" w:cs="Times New Roman"/>
          <w:sz w:val="24"/>
          <w:szCs w:val="24"/>
        </w:rPr>
        <w:t>, D., 2010. Service-learning in theory and practice: The future of community engagement in higher education. Springer.</w:t>
      </w:r>
    </w:p>
    <w:p w14:paraId="0E6AF91B"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Holzer, J. and </w:t>
      </w:r>
      <w:proofErr w:type="spellStart"/>
      <w:r w:rsidRPr="00396491">
        <w:rPr>
          <w:rFonts w:ascii="Times New Roman" w:hAnsi="Times New Roman" w:cs="Times New Roman"/>
          <w:sz w:val="24"/>
          <w:szCs w:val="24"/>
        </w:rPr>
        <w:t>Kass</w:t>
      </w:r>
      <w:proofErr w:type="spellEnd"/>
      <w:r w:rsidRPr="00396491">
        <w:rPr>
          <w:rFonts w:ascii="Times New Roman" w:hAnsi="Times New Roman" w:cs="Times New Roman"/>
          <w:sz w:val="24"/>
          <w:szCs w:val="24"/>
        </w:rPr>
        <w:t>, N., 2015. Understanding the supports of and challenges to community engagement in the CTSAs. Clinical and Translational Science, 8(2), pp.116-122.</w:t>
      </w:r>
    </w:p>
    <w:p w14:paraId="38E3357C"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Inman, P. and </w:t>
      </w:r>
      <w:proofErr w:type="spellStart"/>
      <w:r w:rsidRPr="00396491">
        <w:rPr>
          <w:rFonts w:ascii="Times New Roman" w:hAnsi="Times New Roman" w:cs="Times New Roman"/>
          <w:sz w:val="24"/>
          <w:szCs w:val="24"/>
        </w:rPr>
        <w:t>Schütze</w:t>
      </w:r>
      <w:proofErr w:type="spellEnd"/>
      <w:r w:rsidRPr="00396491">
        <w:rPr>
          <w:rFonts w:ascii="Times New Roman" w:hAnsi="Times New Roman" w:cs="Times New Roman"/>
          <w:sz w:val="24"/>
          <w:szCs w:val="24"/>
        </w:rPr>
        <w:t xml:space="preserve">, H.G. eds., 2010. The community engagement and service mission of universities. Leicester: NIACE. </w:t>
      </w:r>
    </w:p>
    <w:p w14:paraId="7F87A41E"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Jacob, W.J., </w:t>
      </w:r>
      <w:proofErr w:type="spellStart"/>
      <w:r w:rsidRPr="00396491">
        <w:rPr>
          <w:rFonts w:ascii="Times New Roman" w:hAnsi="Times New Roman" w:cs="Times New Roman"/>
          <w:sz w:val="24"/>
          <w:szCs w:val="24"/>
        </w:rPr>
        <w:t>Sutin</w:t>
      </w:r>
      <w:proofErr w:type="spellEnd"/>
      <w:r w:rsidRPr="00396491">
        <w:rPr>
          <w:rFonts w:ascii="Times New Roman" w:hAnsi="Times New Roman" w:cs="Times New Roman"/>
          <w:sz w:val="24"/>
          <w:szCs w:val="24"/>
        </w:rPr>
        <w:t xml:space="preserve">, S.E., Weidman, </w:t>
      </w:r>
      <w:bookmarkStart w:id="12" w:name="_Int_3E3BkmK4"/>
      <w:r w:rsidRPr="00396491">
        <w:rPr>
          <w:rFonts w:ascii="Times New Roman" w:hAnsi="Times New Roman" w:cs="Times New Roman"/>
          <w:sz w:val="24"/>
          <w:szCs w:val="24"/>
        </w:rPr>
        <w:t>J.C.,</w:t>
      </w:r>
      <w:bookmarkEnd w:id="12"/>
      <w:r w:rsidRPr="00396491">
        <w:rPr>
          <w:rFonts w:ascii="Times New Roman" w:hAnsi="Times New Roman" w:cs="Times New Roman"/>
          <w:sz w:val="24"/>
          <w:szCs w:val="24"/>
        </w:rPr>
        <w:t xml:space="preserve"> and Yeager, J.L. eds., 2015. Community engagement in higher education: Policy reforms and practice. Springer.</w:t>
      </w:r>
    </w:p>
    <w:p w14:paraId="11B01D72"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Kramer, S., Amos, T., Lazarus, S. and Seedat, M., 2012. The philosophical assumptions, </w:t>
      </w:r>
      <w:bookmarkStart w:id="13" w:name="_Int_Xqw5axc2"/>
      <w:r w:rsidRPr="00396491">
        <w:rPr>
          <w:rFonts w:ascii="Times New Roman" w:hAnsi="Times New Roman" w:cs="Times New Roman"/>
          <w:sz w:val="24"/>
          <w:szCs w:val="24"/>
        </w:rPr>
        <w:t>utility,</w:t>
      </w:r>
      <w:bookmarkEnd w:id="13"/>
      <w:r w:rsidRPr="00396491">
        <w:rPr>
          <w:rFonts w:ascii="Times New Roman" w:hAnsi="Times New Roman" w:cs="Times New Roman"/>
          <w:sz w:val="24"/>
          <w:szCs w:val="24"/>
        </w:rPr>
        <w:t xml:space="preserve"> and challenges of asset mapping approaches to community engagement. Journal of Psychology in Africa, 22(4), pp.537-544. </w:t>
      </w:r>
    </w:p>
    <w:p w14:paraId="2C664C59"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McReynolds, M. and Shields, E., 2015. Diving deep in community engagement: A model for professional development. Lulu. Com. </w:t>
      </w:r>
    </w:p>
    <w:p w14:paraId="6B8BB311"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proofErr w:type="spellStart"/>
      <w:r w:rsidRPr="00396491">
        <w:rPr>
          <w:rFonts w:ascii="Times New Roman" w:hAnsi="Times New Roman" w:cs="Times New Roman"/>
          <w:sz w:val="24"/>
          <w:szCs w:val="24"/>
        </w:rPr>
        <w:t>Millican</w:t>
      </w:r>
      <w:proofErr w:type="spellEnd"/>
      <w:r w:rsidRPr="00396491">
        <w:rPr>
          <w:rFonts w:ascii="Times New Roman" w:hAnsi="Times New Roman" w:cs="Times New Roman"/>
          <w:sz w:val="24"/>
          <w:szCs w:val="24"/>
        </w:rPr>
        <w:t xml:space="preserve">, J. and </w:t>
      </w:r>
      <w:proofErr w:type="spellStart"/>
      <w:r w:rsidRPr="00396491">
        <w:rPr>
          <w:rFonts w:ascii="Times New Roman" w:hAnsi="Times New Roman" w:cs="Times New Roman"/>
          <w:sz w:val="24"/>
          <w:szCs w:val="24"/>
        </w:rPr>
        <w:t>Bourner</w:t>
      </w:r>
      <w:proofErr w:type="spellEnd"/>
      <w:r w:rsidRPr="00396491">
        <w:rPr>
          <w:rFonts w:ascii="Times New Roman" w:hAnsi="Times New Roman" w:cs="Times New Roman"/>
          <w:sz w:val="24"/>
          <w:szCs w:val="24"/>
        </w:rPr>
        <w:t xml:space="preserve">, T., 2014. Learning to Make a Difference: Student-community engagement and the higher education curriculum. </w:t>
      </w:r>
      <w:proofErr w:type="spellStart"/>
      <w:r w:rsidRPr="00396491">
        <w:rPr>
          <w:rFonts w:ascii="Times New Roman" w:hAnsi="Times New Roman" w:cs="Times New Roman"/>
          <w:sz w:val="24"/>
          <w:szCs w:val="24"/>
        </w:rPr>
        <w:t>Niace</w:t>
      </w:r>
      <w:proofErr w:type="spellEnd"/>
      <w:r w:rsidRPr="00396491">
        <w:rPr>
          <w:rFonts w:ascii="Times New Roman" w:hAnsi="Times New Roman" w:cs="Times New Roman"/>
          <w:sz w:val="24"/>
          <w:szCs w:val="24"/>
        </w:rPr>
        <w:t>.</w:t>
      </w:r>
    </w:p>
    <w:p w14:paraId="696190FA"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Ross, C., Warwick, C., </w:t>
      </w:r>
      <w:proofErr w:type="spellStart"/>
      <w:r w:rsidRPr="00396491">
        <w:rPr>
          <w:rFonts w:ascii="Times New Roman" w:hAnsi="Times New Roman" w:cs="Times New Roman"/>
          <w:sz w:val="24"/>
          <w:szCs w:val="24"/>
        </w:rPr>
        <w:t>Terras</w:t>
      </w:r>
      <w:proofErr w:type="spellEnd"/>
      <w:r w:rsidRPr="00396491">
        <w:rPr>
          <w:rFonts w:ascii="Times New Roman" w:hAnsi="Times New Roman" w:cs="Times New Roman"/>
          <w:sz w:val="24"/>
          <w:szCs w:val="24"/>
        </w:rPr>
        <w:t xml:space="preserve">, M. and </w:t>
      </w:r>
      <w:proofErr w:type="spellStart"/>
      <w:r w:rsidRPr="00396491">
        <w:rPr>
          <w:rFonts w:ascii="Times New Roman" w:hAnsi="Times New Roman" w:cs="Times New Roman"/>
          <w:sz w:val="24"/>
          <w:szCs w:val="24"/>
        </w:rPr>
        <w:t>Nyhan</w:t>
      </w:r>
      <w:proofErr w:type="spellEnd"/>
      <w:r w:rsidRPr="00396491">
        <w:rPr>
          <w:rFonts w:ascii="Times New Roman" w:hAnsi="Times New Roman" w:cs="Times New Roman"/>
          <w:sz w:val="24"/>
          <w:szCs w:val="24"/>
        </w:rPr>
        <w:t>, J., 2012. Social media for digital humanities and community engagement. Digital humanities in practice, 1, pp.23-46.</w:t>
      </w:r>
    </w:p>
    <w:p w14:paraId="5F03C61F"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 xml:space="preserve">Watson, D., 2007. Managing civic and community engagement. McGraw-Hill Education (UK). </w:t>
      </w:r>
    </w:p>
    <w:p w14:paraId="2ED48468" w14:textId="77777777" w:rsidR="00396491" w:rsidRPr="00396491" w:rsidRDefault="00396491" w:rsidP="00396491">
      <w:pPr>
        <w:pStyle w:val="NoSpacing"/>
        <w:spacing w:line="360" w:lineRule="auto"/>
        <w:ind w:left="720" w:hanging="720"/>
        <w:rPr>
          <w:rFonts w:ascii="Times New Roman" w:hAnsi="Times New Roman" w:cs="Times New Roman"/>
          <w:sz w:val="24"/>
          <w:szCs w:val="24"/>
        </w:rPr>
      </w:pPr>
      <w:r w:rsidRPr="00396491">
        <w:rPr>
          <w:rFonts w:ascii="Times New Roman" w:hAnsi="Times New Roman" w:cs="Times New Roman"/>
          <w:sz w:val="24"/>
          <w:szCs w:val="24"/>
        </w:rPr>
        <w:t>Wilson, P.A., 2019. The heart of community engagement: Practitioner stories from across the globe. Routledge</w:t>
      </w:r>
    </w:p>
    <w:sectPr w:rsidR="00396491" w:rsidRPr="0039649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E104A" w14:textId="77777777" w:rsidR="0044661D" w:rsidRDefault="0044661D" w:rsidP="00396491">
      <w:pPr>
        <w:spacing w:after="0" w:line="240" w:lineRule="auto"/>
      </w:pPr>
      <w:r>
        <w:separator/>
      </w:r>
    </w:p>
  </w:endnote>
  <w:endnote w:type="continuationSeparator" w:id="0">
    <w:p w14:paraId="306AA4F3" w14:textId="77777777" w:rsidR="0044661D" w:rsidRDefault="0044661D" w:rsidP="00396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889708"/>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2128C332" w14:textId="383DA8D5" w:rsidR="00396491" w:rsidRPr="00396491" w:rsidRDefault="00396491">
        <w:pPr>
          <w:pStyle w:val="Footer"/>
          <w:pBdr>
            <w:top w:val="single" w:sz="4" w:space="1" w:color="D9D9D9" w:themeColor="background1" w:themeShade="D9"/>
          </w:pBdr>
          <w:jc w:val="right"/>
          <w:rPr>
            <w:rFonts w:ascii="Times New Roman" w:hAnsi="Times New Roman" w:cs="Times New Roman"/>
            <w:sz w:val="24"/>
            <w:szCs w:val="24"/>
          </w:rPr>
        </w:pPr>
        <w:r w:rsidRPr="00396491">
          <w:rPr>
            <w:rFonts w:ascii="Times New Roman" w:hAnsi="Times New Roman" w:cs="Times New Roman"/>
            <w:sz w:val="24"/>
            <w:szCs w:val="24"/>
          </w:rPr>
          <w:fldChar w:fldCharType="begin"/>
        </w:r>
        <w:r w:rsidRPr="00396491">
          <w:rPr>
            <w:rFonts w:ascii="Times New Roman" w:hAnsi="Times New Roman" w:cs="Times New Roman"/>
            <w:sz w:val="24"/>
            <w:szCs w:val="24"/>
          </w:rPr>
          <w:instrText xml:space="preserve"> PAGE   \* MERGEFORMAT </w:instrText>
        </w:r>
        <w:r w:rsidRPr="00396491">
          <w:rPr>
            <w:rFonts w:ascii="Times New Roman" w:hAnsi="Times New Roman" w:cs="Times New Roman"/>
            <w:sz w:val="24"/>
            <w:szCs w:val="24"/>
          </w:rPr>
          <w:fldChar w:fldCharType="separate"/>
        </w:r>
        <w:r w:rsidRPr="00396491">
          <w:rPr>
            <w:rFonts w:ascii="Times New Roman" w:hAnsi="Times New Roman" w:cs="Times New Roman"/>
            <w:noProof/>
            <w:sz w:val="24"/>
            <w:szCs w:val="24"/>
          </w:rPr>
          <w:t>2</w:t>
        </w:r>
        <w:r w:rsidRPr="00396491">
          <w:rPr>
            <w:rFonts w:ascii="Times New Roman" w:hAnsi="Times New Roman" w:cs="Times New Roman"/>
            <w:noProof/>
            <w:sz w:val="24"/>
            <w:szCs w:val="24"/>
          </w:rPr>
          <w:fldChar w:fldCharType="end"/>
        </w:r>
        <w:r w:rsidRPr="00396491">
          <w:rPr>
            <w:rFonts w:ascii="Times New Roman" w:hAnsi="Times New Roman" w:cs="Times New Roman"/>
            <w:sz w:val="24"/>
            <w:szCs w:val="24"/>
          </w:rPr>
          <w:t xml:space="preserve"> | </w:t>
        </w:r>
        <w:r w:rsidRPr="00396491">
          <w:rPr>
            <w:rFonts w:ascii="Times New Roman" w:hAnsi="Times New Roman" w:cs="Times New Roman"/>
            <w:color w:val="7F7F7F" w:themeColor="background1" w:themeShade="7F"/>
            <w:spacing w:val="60"/>
            <w:sz w:val="24"/>
            <w:szCs w:val="24"/>
          </w:rPr>
          <w:t>Page</w:t>
        </w:r>
      </w:p>
    </w:sdtContent>
  </w:sdt>
  <w:p w14:paraId="7B3056CD" w14:textId="77777777" w:rsidR="00396491" w:rsidRDefault="00396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1DD45" w14:textId="77777777" w:rsidR="0044661D" w:rsidRDefault="0044661D" w:rsidP="00396491">
      <w:pPr>
        <w:spacing w:after="0" w:line="240" w:lineRule="auto"/>
      </w:pPr>
      <w:r>
        <w:separator/>
      </w:r>
    </w:p>
  </w:footnote>
  <w:footnote w:type="continuationSeparator" w:id="0">
    <w:p w14:paraId="6E907D72" w14:textId="77777777" w:rsidR="0044661D" w:rsidRDefault="0044661D" w:rsidP="003964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sA4Yeu85t8t+N" int2:id="jGv30rDS">
      <int2:state int2:value="Rejected" int2:type="LegacyProofing"/>
    </int2:textHash>
    <int2:textHash int2:hashCode="TJ3mGCxAqBL304" int2:id="6Vodyxis">
      <int2:state int2:value="Rejected" int2:type="LegacyProofing"/>
    </int2:textHash>
    <int2:textHash int2:hashCode="CCH7Hp5mZTGu8k" int2:id="M7XwJTzZ">
      <int2:state int2:value="Rejected" int2:type="LegacyProofing"/>
    </int2:textHash>
    <int2:bookmark int2:bookmarkName="_Int_3E3BkmK4" int2:invalidationBookmarkName="" int2:hashCode="onpZM8KjM9e0QM" int2:id="sUCXEUs2"/>
    <int2:bookmark int2:bookmarkName="_Int_MQgMdhEg" int2:invalidationBookmarkName="" int2:hashCode="hB6Ix2OZu25mI4" int2:id="w79JQdkA"/>
    <int2:bookmark int2:bookmarkName="_Int_Xqw5axc2" int2:invalidationBookmarkName="" int2:hashCode="iIT9MNZOXPlwVM" int2:id="2RuPHuMh"/>
    <int2:bookmark int2:bookmarkName="_Int_RMWTmaCm" int2:invalidationBookmarkName="" int2:hashCode="piCJxx0d0ZKBfq" int2:id="2gWIgkj8"/>
    <int2:bookmark int2:bookmarkName="_Int_8RCwcubR" int2:invalidationBookmarkName="" int2:hashCode="b0kxACN2sT9WYw" int2:id="RNCULe2u">
      <int2:state int2:value="Rejected" int2:type="AugLoop_Text_Critique"/>
    </int2:bookmark>
    <int2:bookmark int2:bookmarkName="_Int_kdN1W30z" int2:invalidationBookmarkName="" int2:hashCode="7i6/UTMFG/Oc1J" int2:id="y9hkWR8p"/>
    <int2:bookmark int2:bookmarkName="_Int_fll9tf2Q" int2:invalidationBookmarkName="" int2:hashCode="jw/dBEh079oqof" int2:id="RVKqSqak"/>
    <int2:bookmark int2:bookmarkName="_Int_lFTnkqxQ" int2:invalidationBookmarkName="" int2:hashCode="sNHYlKSu139Ziq" int2:id="UlrewqFf"/>
    <int2:bookmark int2:bookmarkName="_Int_GZwvWjzw" int2:invalidationBookmarkName="" int2:hashCode="VRd/LyDcPFdCnc" int2:id="60knzZGh"/>
    <int2:bookmark int2:bookmarkName="_Int_cDlgjxEc" int2:invalidationBookmarkName="" int2:hashCode="vRaZnLtxr83bwA" int2:id="gr9v816d"/>
    <int2:bookmark int2:bookmarkName="_Int_yDBKZqSn" int2:invalidationBookmarkName="" int2:hashCode="0lXQ0GySJQ8tJA" int2:id="R3LH46tA"/>
    <int2:bookmark int2:bookmarkName="_Int_ubEpGiXZ" int2:invalidationBookmarkName="" int2:hashCode="a2Elz8dU03M6CK" int2:id="vzdJrhiO"/>
    <int2:bookmark int2:bookmarkName="_Int_3VsNNoMf" int2:invalidationBookmarkName="" int2:hashCode="/6tLHJMELL2E1f" int2:id="iNT9WPxR"/>
    <int2:bookmark int2:bookmarkName="_Int_5rK8F9Sr" int2:invalidationBookmarkName="" int2:hashCode="3KKjJeR/dxf+gy" int2:id="JiVgev5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5CD37"/>
    <w:multiLevelType w:val="hybridMultilevel"/>
    <w:tmpl w:val="1D36E82C"/>
    <w:lvl w:ilvl="0" w:tplc="81D0A39C">
      <w:start w:val="1"/>
      <w:numFmt w:val="decimal"/>
      <w:lvlText w:val="%1."/>
      <w:lvlJc w:val="left"/>
      <w:pPr>
        <w:ind w:left="720" w:hanging="360"/>
      </w:pPr>
    </w:lvl>
    <w:lvl w:ilvl="1" w:tplc="2B3AA6C6">
      <w:start w:val="1"/>
      <w:numFmt w:val="lowerLetter"/>
      <w:lvlText w:val="%2."/>
      <w:lvlJc w:val="left"/>
      <w:pPr>
        <w:ind w:left="1440" w:hanging="360"/>
      </w:pPr>
    </w:lvl>
    <w:lvl w:ilvl="2" w:tplc="AE7C6F98">
      <w:start w:val="1"/>
      <w:numFmt w:val="lowerRoman"/>
      <w:lvlText w:val="%3."/>
      <w:lvlJc w:val="right"/>
      <w:pPr>
        <w:ind w:left="2160" w:hanging="180"/>
      </w:pPr>
    </w:lvl>
    <w:lvl w:ilvl="3" w:tplc="A056A60C">
      <w:start w:val="1"/>
      <w:numFmt w:val="decimal"/>
      <w:lvlText w:val="%4."/>
      <w:lvlJc w:val="left"/>
      <w:pPr>
        <w:ind w:left="2880" w:hanging="360"/>
      </w:pPr>
    </w:lvl>
    <w:lvl w:ilvl="4" w:tplc="A8901616">
      <w:start w:val="1"/>
      <w:numFmt w:val="lowerLetter"/>
      <w:lvlText w:val="%5."/>
      <w:lvlJc w:val="left"/>
      <w:pPr>
        <w:ind w:left="3600" w:hanging="360"/>
      </w:pPr>
    </w:lvl>
    <w:lvl w:ilvl="5" w:tplc="A008C822">
      <w:start w:val="1"/>
      <w:numFmt w:val="lowerRoman"/>
      <w:lvlText w:val="%6."/>
      <w:lvlJc w:val="right"/>
      <w:pPr>
        <w:ind w:left="4320" w:hanging="180"/>
      </w:pPr>
    </w:lvl>
    <w:lvl w:ilvl="6" w:tplc="659A6056">
      <w:start w:val="1"/>
      <w:numFmt w:val="decimal"/>
      <w:lvlText w:val="%7."/>
      <w:lvlJc w:val="left"/>
      <w:pPr>
        <w:ind w:left="5040" w:hanging="360"/>
      </w:pPr>
    </w:lvl>
    <w:lvl w:ilvl="7" w:tplc="1DB4CCDE">
      <w:start w:val="1"/>
      <w:numFmt w:val="lowerLetter"/>
      <w:lvlText w:val="%8."/>
      <w:lvlJc w:val="left"/>
      <w:pPr>
        <w:ind w:left="5760" w:hanging="360"/>
      </w:pPr>
    </w:lvl>
    <w:lvl w:ilvl="8" w:tplc="E340A3F2">
      <w:start w:val="1"/>
      <w:numFmt w:val="lowerRoman"/>
      <w:lvlText w:val="%9."/>
      <w:lvlJc w:val="right"/>
      <w:pPr>
        <w:ind w:left="6480" w:hanging="180"/>
      </w:pPr>
    </w:lvl>
  </w:abstractNum>
  <w:num w:numId="1" w16cid:durableId="955990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FB833A"/>
    <w:rsid w:val="00166F20"/>
    <w:rsid w:val="00396491"/>
    <w:rsid w:val="0044661D"/>
    <w:rsid w:val="006853FB"/>
    <w:rsid w:val="00AF4CDA"/>
    <w:rsid w:val="00F21D79"/>
    <w:rsid w:val="39174320"/>
    <w:rsid w:val="73FB8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B833A"/>
  <w15:chartTrackingRefBased/>
  <w15:docId w15:val="{37C53706-2891-4C71-80A4-D782760A8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9174320"/>
    <w:rPr>
      <w:lang w:val="en-GB"/>
    </w:rPr>
  </w:style>
  <w:style w:type="paragraph" w:styleId="Heading1">
    <w:name w:val="heading 1"/>
    <w:basedOn w:val="Normal"/>
    <w:next w:val="Normal"/>
    <w:link w:val="Heading1Char"/>
    <w:uiPriority w:val="9"/>
    <w:qFormat/>
    <w:rsid w:val="39174320"/>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9174320"/>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9174320"/>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9174320"/>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9174320"/>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9174320"/>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9174320"/>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9174320"/>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9174320"/>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9174320"/>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9174320"/>
    <w:rPr>
      <w:rFonts w:eastAsiaTheme="minorEastAsia"/>
      <w:color w:val="5A5A5A"/>
    </w:rPr>
  </w:style>
  <w:style w:type="paragraph" w:styleId="Quote">
    <w:name w:val="Quote"/>
    <w:basedOn w:val="Normal"/>
    <w:next w:val="Normal"/>
    <w:link w:val="QuoteChar"/>
    <w:uiPriority w:val="29"/>
    <w:qFormat/>
    <w:rsid w:val="39174320"/>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9174320"/>
    <w:pPr>
      <w:spacing w:before="360" w:after="360"/>
      <w:ind w:left="864" w:right="864"/>
      <w:jc w:val="center"/>
    </w:pPr>
    <w:rPr>
      <w:i/>
      <w:iCs/>
      <w:color w:val="4472C4" w:themeColor="accent1"/>
    </w:rPr>
  </w:style>
  <w:style w:type="paragraph" w:styleId="ListParagraph">
    <w:name w:val="List Paragraph"/>
    <w:basedOn w:val="Normal"/>
    <w:uiPriority w:val="34"/>
    <w:qFormat/>
    <w:rsid w:val="39174320"/>
    <w:pPr>
      <w:ind w:left="720"/>
      <w:contextualSpacing/>
    </w:pPr>
  </w:style>
  <w:style w:type="character" w:customStyle="1" w:styleId="Heading1Char">
    <w:name w:val="Heading 1 Char"/>
    <w:basedOn w:val="DefaultParagraphFont"/>
    <w:link w:val="Heading1"/>
    <w:uiPriority w:val="9"/>
    <w:rsid w:val="39174320"/>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9174320"/>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9174320"/>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9174320"/>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9174320"/>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9174320"/>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9174320"/>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9174320"/>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9174320"/>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9174320"/>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9174320"/>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9174320"/>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9174320"/>
    <w:rPr>
      <w:i/>
      <w:iCs/>
      <w:noProof w:val="0"/>
      <w:color w:val="4472C4" w:themeColor="accent1"/>
      <w:lang w:val="en-GB"/>
    </w:rPr>
  </w:style>
  <w:style w:type="paragraph" w:styleId="TOC1">
    <w:name w:val="toc 1"/>
    <w:basedOn w:val="Normal"/>
    <w:next w:val="Normal"/>
    <w:uiPriority w:val="39"/>
    <w:unhideWhenUsed/>
    <w:rsid w:val="39174320"/>
    <w:pPr>
      <w:spacing w:after="100"/>
    </w:pPr>
  </w:style>
  <w:style w:type="paragraph" w:styleId="TOC2">
    <w:name w:val="toc 2"/>
    <w:basedOn w:val="Normal"/>
    <w:next w:val="Normal"/>
    <w:uiPriority w:val="39"/>
    <w:unhideWhenUsed/>
    <w:rsid w:val="39174320"/>
    <w:pPr>
      <w:spacing w:after="100"/>
      <w:ind w:left="220"/>
    </w:pPr>
  </w:style>
  <w:style w:type="paragraph" w:styleId="TOC3">
    <w:name w:val="toc 3"/>
    <w:basedOn w:val="Normal"/>
    <w:next w:val="Normal"/>
    <w:uiPriority w:val="39"/>
    <w:unhideWhenUsed/>
    <w:rsid w:val="39174320"/>
    <w:pPr>
      <w:spacing w:after="100"/>
      <w:ind w:left="440"/>
    </w:pPr>
  </w:style>
  <w:style w:type="paragraph" w:styleId="TOC4">
    <w:name w:val="toc 4"/>
    <w:basedOn w:val="Normal"/>
    <w:next w:val="Normal"/>
    <w:uiPriority w:val="39"/>
    <w:unhideWhenUsed/>
    <w:rsid w:val="39174320"/>
    <w:pPr>
      <w:spacing w:after="100"/>
      <w:ind w:left="660"/>
    </w:pPr>
  </w:style>
  <w:style w:type="paragraph" w:styleId="TOC5">
    <w:name w:val="toc 5"/>
    <w:basedOn w:val="Normal"/>
    <w:next w:val="Normal"/>
    <w:uiPriority w:val="39"/>
    <w:unhideWhenUsed/>
    <w:rsid w:val="39174320"/>
    <w:pPr>
      <w:spacing w:after="100"/>
      <w:ind w:left="880"/>
    </w:pPr>
  </w:style>
  <w:style w:type="paragraph" w:styleId="TOC6">
    <w:name w:val="toc 6"/>
    <w:basedOn w:val="Normal"/>
    <w:next w:val="Normal"/>
    <w:uiPriority w:val="39"/>
    <w:unhideWhenUsed/>
    <w:rsid w:val="39174320"/>
    <w:pPr>
      <w:spacing w:after="100"/>
      <w:ind w:left="1100"/>
    </w:pPr>
  </w:style>
  <w:style w:type="paragraph" w:styleId="TOC7">
    <w:name w:val="toc 7"/>
    <w:basedOn w:val="Normal"/>
    <w:next w:val="Normal"/>
    <w:uiPriority w:val="39"/>
    <w:unhideWhenUsed/>
    <w:rsid w:val="39174320"/>
    <w:pPr>
      <w:spacing w:after="100"/>
      <w:ind w:left="1320"/>
    </w:pPr>
  </w:style>
  <w:style w:type="paragraph" w:styleId="TOC8">
    <w:name w:val="toc 8"/>
    <w:basedOn w:val="Normal"/>
    <w:next w:val="Normal"/>
    <w:uiPriority w:val="39"/>
    <w:unhideWhenUsed/>
    <w:rsid w:val="39174320"/>
    <w:pPr>
      <w:spacing w:after="100"/>
      <w:ind w:left="1540"/>
    </w:pPr>
  </w:style>
  <w:style w:type="paragraph" w:styleId="TOC9">
    <w:name w:val="toc 9"/>
    <w:basedOn w:val="Normal"/>
    <w:next w:val="Normal"/>
    <w:uiPriority w:val="39"/>
    <w:unhideWhenUsed/>
    <w:rsid w:val="39174320"/>
    <w:pPr>
      <w:spacing w:after="100"/>
      <w:ind w:left="1760"/>
    </w:pPr>
  </w:style>
  <w:style w:type="paragraph" w:styleId="EndnoteText">
    <w:name w:val="endnote text"/>
    <w:basedOn w:val="Normal"/>
    <w:link w:val="EndnoteTextChar"/>
    <w:uiPriority w:val="99"/>
    <w:semiHidden/>
    <w:unhideWhenUsed/>
    <w:rsid w:val="39174320"/>
    <w:pPr>
      <w:spacing w:after="0"/>
    </w:pPr>
    <w:rPr>
      <w:sz w:val="20"/>
      <w:szCs w:val="20"/>
    </w:rPr>
  </w:style>
  <w:style w:type="character" w:customStyle="1" w:styleId="EndnoteTextChar">
    <w:name w:val="Endnote Text Char"/>
    <w:basedOn w:val="DefaultParagraphFont"/>
    <w:link w:val="EndnoteText"/>
    <w:uiPriority w:val="99"/>
    <w:semiHidden/>
    <w:rsid w:val="39174320"/>
    <w:rPr>
      <w:noProof w:val="0"/>
      <w:sz w:val="20"/>
      <w:szCs w:val="20"/>
      <w:lang w:val="en-GB"/>
    </w:rPr>
  </w:style>
  <w:style w:type="paragraph" w:styleId="Footer">
    <w:name w:val="footer"/>
    <w:basedOn w:val="Normal"/>
    <w:link w:val="FooterChar"/>
    <w:uiPriority w:val="99"/>
    <w:unhideWhenUsed/>
    <w:rsid w:val="39174320"/>
    <w:pPr>
      <w:tabs>
        <w:tab w:val="center" w:pos="4680"/>
        <w:tab w:val="right" w:pos="9360"/>
      </w:tabs>
      <w:spacing w:after="0"/>
    </w:pPr>
  </w:style>
  <w:style w:type="character" w:customStyle="1" w:styleId="FooterChar">
    <w:name w:val="Footer Char"/>
    <w:basedOn w:val="DefaultParagraphFont"/>
    <w:link w:val="Footer"/>
    <w:uiPriority w:val="99"/>
    <w:rsid w:val="39174320"/>
    <w:rPr>
      <w:noProof w:val="0"/>
      <w:lang w:val="en-GB"/>
    </w:rPr>
  </w:style>
  <w:style w:type="paragraph" w:styleId="FootnoteText">
    <w:name w:val="footnote text"/>
    <w:basedOn w:val="Normal"/>
    <w:link w:val="FootnoteTextChar"/>
    <w:uiPriority w:val="99"/>
    <w:semiHidden/>
    <w:unhideWhenUsed/>
    <w:rsid w:val="39174320"/>
    <w:pPr>
      <w:spacing w:after="0"/>
    </w:pPr>
    <w:rPr>
      <w:sz w:val="20"/>
      <w:szCs w:val="20"/>
    </w:rPr>
  </w:style>
  <w:style w:type="character" w:customStyle="1" w:styleId="FootnoteTextChar">
    <w:name w:val="Footnote Text Char"/>
    <w:basedOn w:val="DefaultParagraphFont"/>
    <w:link w:val="FootnoteText"/>
    <w:uiPriority w:val="99"/>
    <w:semiHidden/>
    <w:rsid w:val="39174320"/>
    <w:rPr>
      <w:noProof w:val="0"/>
      <w:sz w:val="20"/>
      <w:szCs w:val="20"/>
      <w:lang w:val="en-GB"/>
    </w:rPr>
  </w:style>
  <w:style w:type="paragraph" w:styleId="Header">
    <w:name w:val="header"/>
    <w:basedOn w:val="Normal"/>
    <w:link w:val="HeaderChar"/>
    <w:uiPriority w:val="99"/>
    <w:unhideWhenUsed/>
    <w:rsid w:val="39174320"/>
    <w:pPr>
      <w:tabs>
        <w:tab w:val="center" w:pos="4680"/>
        <w:tab w:val="right" w:pos="9360"/>
      </w:tabs>
      <w:spacing w:after="0"/>
    </w:pPr>
  </w:style>
  <w:style w:type="character" w:customStyle="1" w:styleId="HeaderChar">
    <w:name w:val="Header Char"/>
    <w:basedOn w:val="DefaultParagraphFont"/>
    <w:link w:val="Header"/>
    <w:uiPriority w:val="99"/>
    <w:rsid w:val="39174320"/>
    <w:rPr>
      <w:noProof w:val="0"/>
      <w:lang w:val="en-GB"/>
    </w:rPr>
  </w:style>
  <w:style w:type="paragraph" w:styleId="NoSpacing">
    <w:name w:val="No Spacing"/>
    <w:uiPriority w:val="1"/>
    <w:qFormat/>
    <w:rsid w:val="00396491"/>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2392</Words>
  <Characters>13638</Characters>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2022-09-07T20:34:00Z</dcterms:created>
  <dcterms:modified xsi:type="dcterms:W3CDTF">2022-09-07T20:34:00Z</dcterms:modified>
</cp:coreProperties>
</file>