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7ECF0" w14:textId="77777777" w:rsidR="00F54A34" w:rsidRPr="00DD2B98" w:rsidRDefault="00F54A34" w:rsidP="00FB0BC0">
      <w:pPr>
        <w:pStyle w:val="NoSpacing"/>
        <w:spacing w:line="480" w:lineRule="auto"/>
        <w:rPr>
          <w:rFonts w:ascii="Times New Roman" w:hAnsi="Times New Roman" w:cs="Times New Roman"/>
        </w:rPr>
      </w:pPr>
    </w:p>
    <w:p w14:paraId="5BCCD19C" w14:textId="77777777" w:rsidR="00F54A34" w:rsidRPr="00DD2B98" w:rsidRDefault="00F54A34" w:rsidP="00542433">
      <w:pPr>
        <w:pStyle w:val="NoSpacing"/>
        <w:spacing w:line="480" w:lineRule="auto"/>
        <w:rPr>
          <w:rFonts w:ascii="Times New Roman" w:hAnsi="Times New Roman" w:cs="Times New Roman"/>
          <w:b/>
          <w:bCs/>
        </w:rPr>
      </w:pPr>
    </w:p>
    <w:p w14:paraId="3990025A" w14:textId="48180035" w:rsidR="009C4C8C" w:rsidRPr="005C22E6" w:rsidRDefault="00E17469" w:rsidP="000C5449">
      <w:pPr>
        <w:pStyle w:val="NoSpacing"/>
        <w:spacing w:line="480" w:lineRule="auto"/>
        <w:jc w:val="center"/>
        <w:rPr>
          <w:rFonts w:ascii="Times New Roman" w:hAnsi="Times New Roman" w:cs="Times New Roman"/>
          <w:b/>
          <w:bCs/>
          <w:sz w:val="28"/>
          <w:szCs w:val="28"/>
        </w:rPr>
      </w:pPr>
      <w:r w:rsidRPr="005C22E6">
        <w:rPr>
          <w:rFonts w:ascii="Times New Roman" w:hAnsi="Times New Roman" w:cs="Times New Roman"/>
          <w:b/>
          <w:bCs/>
          <w:sz w:val="28"/>
          <w:szCs w:val="28"/>
        </w:rPr>
        <w:t>GLOBAL LEADERSHIP CHALLENGES: GOVERNING ARTIFICIAL INTELLIGENCE IN A COMPLEX GLOBAL ENVIRONMENT</w:t>
      </w:r>
    </w:p>
    <w:p w14:paraId="4BCC3F2D" w14:textId="77777777" w:rsidR="00F54A34" w:rsidRPr="00DD2B98" w:rsidRDefault="00F54A34" w:rsidP="000C5449">
      <w:pPr>
        <w:pStyle w:val="NoSpacing"/>
        <w:spacing w:line="480" w:lineRule="auto"/>
        <w:jc w:val="center"/>
        <w:rPr>
          <w:rFonts w:ascii="Times New Roman" w:hAnsi="Times New Roman" w:cs="Times New Roman"/>
          <w:b/>
          <w:bCs/>
        </w:rPr>
      </w:pPr>
    </w:p>
    <w:p w14:paraId="2735A289" w14:textId="77777777" w:rsidR="00F54A34" w:rsidRPr="00DD2B98" w:rsidRDefault="00F54A34" w:rsidP="000C5449">
      <w:pPr>
        <w:pStyle w:val="NoSpacing"/>
        <w:spacing w:line="480" w:lineRule="auto"/>
        <w:jc w:val="center"/>
        <w:rPr>
          <w:rFonts w:ascii="Times New Roman" w:hAnsi="Times New Roman" w:cs="Times New Roman"/>
          <w:b/>
          <w:bCs/>
        </w:rPr>
      </w:pPr>
    </w:p>
    <w:p w14:paraId="2E359B85" w14:textId="77777777" w:rsidR="00F54A34" w:rsidRPr="00DD2B98" w:rsidRDefault="00F54A34" w:rsidP="005C22E6">
      <w:pPr>
        <w:pStyle w:val="NoSpacing"/>
        <w:spacing w:line="480" w:lineRule="auto"/>
        <w:rPr>
          <w:rFonts w:ascii="Times New Roman" w:hAnsi="Times New Roman" w:cs="Times New Roman"/>
          <w:b/>
          <w:bCs/>
        </w:rPr>
      </w:pPr>
    </w:p>
    <w:p w14:paraId="5453A9A6" w14:textId="77777777" w:rsidR="00F54A34" w:rsidRPr="00DD2B98" w:rsidRDefault="00F54A34" w:rsidP="000C5449">
      <w:pPr>
        <w:pStyle w:val="NoSpacing"/>
        <w:spacing w:line="480" w:lineRule="auto"/>
        <w:jc w:val="center"/>
        <w:rPr>
          <w:rFonts w:ascii="Times New Roman" w:hAnsi="Times New Roman" w:cs="Times New Roman"/>
          <w:b/>
          <w:bCs/>
        </w:rPr>
      </w:pPr>
    </w:p>
    <w:p w14:paraId="37ABA340" w14:textId="2B5DA58E" w:rsidR="00F54A34" w:rsidRPr="005C22E6" w:rsidRDefault="00F54A34" w:rsidP="005C22E6">
      <w:pPr>
        <w:pStyle w:val="NoSpacing"/>
        <w:spacing w:line="480" w:lineRule="auto"/>
        <w:rPr>
          <w:rFonts w:ascii="Times New Roman" w:hAnsi="Times New Roman" w:cs="Times New Roman"/>
          <w:b/>
          <w:bCs/>
        </w:rPr>
      </w:pPr>
      <w:r w:rsidRPr="005C22E6">
        <w:rPr>
          <w:rFonts w:ascii="Times New Roman" w:hAnsi="Times New Roman" w:cs="Times New Roman"/>
          <w:b/>
          <w:bCs/>
        </w:rPr>
        <w:t>Student’s Name</w:t>
      </w:r>
      <w:r w:rsidR="005C22E6" w:rsidRPr="005C22E6">
        <w:rPr>
          <w:rFonts w:ascii="Times New Roman" w:hAnsi="Times New Roman" w:cs="Times New Roman"/>
          <w:b/>
          <w:bCs/>
        </w:rPr>
        <w:t>: Muhammad Shaheryar</w:t>
      </w:r>
    </w:p>
    <w:p w14:paraId="4EA2919C" w14:textId="6A63A9C7" w:rsidR="00F54A34" w:rsidRPr="005C22E6" w:rsidRDefault="00F54A34" w:rsidP="005C22E6">
      <w:pPr>
        <w:pStyle w:val="NoSpacing"/>
        <w:spacing w:line="480" w:lineRule="auto"/>
        <w:rPr>
          <w:rFonts w:ascii="Times New Roman" w:hAnsi="Times New Roman" w:cs="Times New Roman"/>
          <w:b/>
          <w:bCs/>
        </w:rPr>
      </w:pPr>
      <w:r w:rsidRPr="005C22E6">
        <w:rPr>
          <w:rFonts w:ascii="Times New Roman" w:hAnsi="Times New Roman" w:cs="Times New Roman"/>
          <w:b/>
          <w:bCs/>
        </w:rPr>
        <w:t>Institution</w:t>
      </w:r>
      <w:r w:rsidR="005C22E6" w:rsidRPr="005C22E6">
        <w:rPr>
          <w:rFonts w:ascii="Times New Roman" w:hAnsi="Times New Roman" w:cs="Times New Roman"/>
          <w:b/>
          <w:bCs/>
        </w:rPr>
        <w:t>: University Of Wales Trinity Saint David</w:t>
      </w:r>
    </w:p>
    <w:p w14:paraId="4DB8F2D3" w14:textId="0E0FF74E" w:rsidR="00F54A34" w:rsidRPr="005C22E6" w:rsidRDefault="00F54A34" w:rsidP="005C22E6">
      <w:pPr>
        <w:pStyle w:val="NoSpacing"/>
        <w:spacing w:line="480" w:lineRule="auto"/>
        <w:rPr>
          <w:rFonts w:ascii="Times New Roman" w:hAnsi="Times New Roman" w:cs="Times New Roman"/>
          <w:b/>
          <w:bCs/>
        </w:rPr>
      </w:pPr>
      <w:r w:rsidRPr="005C22E6">
        <w:rPr>
          <w:rFonts w:ascii="Times New Roman" w:hAnsi="Times New Roman" w:cs="Times New Roman"/>
          <w:b/>
          <w:bCs/>
        </w:rPr>
        <w:t>Professor’s Name</w:t>
      </w:r>
      <w:r w:rsidR="005C22E6" w:rsidRPr="005C22E6">
        <w:rPr>
          <w:rFonts w:ascii="Times New Roman" w:hAnsi="Times New Roman" w:cs="Times New Roman"/>
          <w:b/>
          <w:bCs/>
        </w:rPr>
        <w:t>: Rebecca Francis-Davies</w:t>
      </w:r>
    </w:p>
    <w:p w14:paraId="4B486ABC" w14:textId="1D43FECA" w:rsidR="00F54A34" w:rsidRPr="005C22E6" w:rsidRDefault="00F54A34" w:rsidP="005C22E6">
      <w:pPr>
        <w:pStyle w:val="NoSpacing"/>
        <w:spacing w:line="480" w:lineRule="auto"/>
        <w:rPr>
          <w:rFonts w:ascii="Times New Roman" w:hAnsi="Times New Roman" w:cs="Times New Roman"/>
          <w:b/>
          <w:bCs/>
        </w:rPr>
      </w:pPr>
      <w:r w:rsidRPr="005C22E6">
        <w:rPr>
          <w:rFonts w:ascii="Times New Roman" w:hAnsi="Times New Roman" w:cs="Times New Roman"/>
          <w:b/>
          <w:bCs/>
        </w:rPr>
        <w:t>Course</w:t>
      </w:r>
      <w:r w:rsidR="005C22E6" w:rsidRPr="005C22E6">
        <w:rPr>
          <w:rFonts w:ascii="Times New Roman" w:hAnsi="Times New Roman" w:cs="Times New Roman"/>
          <w:b/>
          <w:bCs/>
        </w:rPr>
        <w:t>: Global Business Challenges</w:t>
      </w:r>
    </w:p>
    <w:p w14:paraId="1CEB917E" w14:textId="022F4FF1" w:rsidR="00542433" w:rsidRPr="005C22E6" w:rsidRDefault="00F54A34" w:rsidP="005C22E6">
      <w:pPr>
        <w:pStyle w:val="NoSpacing"/>
        <w:spacing w:line="480" w:lineRule="auto"/>
        <w:rPr>
          <w:rFonts w:ascii="Times New Roman" w:hAnsi="Times New Roman" w:cs="Times New Roman"/>
          <w:b/>
          <w:bCs/>
        </w:rPr>
      </w:pPr>
      <w:r w:rsidRPr="005C22E6">
        <w:rPr>
          <w:rFonts w:ascii="Times New Roman" w:hAnsi="Times New Roman" w:cs="Times New Roman"/>
          <w:b/>
          <w:bCs/>
        </w:rPr>
        <w:t>Date</w:t>
      </w:r>
      <w:r w:rsidR="005C22E6" w:rsidRPr="005C22E6">
        <w:rPr>
          <w:rFonts w:ascii="Times New Roman" w:hAnsi="Times New Roman" w:cs="Times New Roman"/>
          <w:b/>
          <w:bCs/>
        </w:rPr>
        <w:t>: 26</w:t>
      </w:r>
      <w:r w:rsidR="005C22E6" w:rsidRPr="005C22E6">
        <w:rPr>
          <w:rFonts w:ascii="Times New Roman" w:hAnsi="Times New Roman" w:cs="Times New Roman"/>
          <w:b/>
          <w:bCs/>
          <w:vertAlign w:val="superscript"/>
        </w:rPr>
        <w:t>th</w:t>
      </w:r>
      <w:r w:rsidR="005C22E6" w:rsidRPr="005C22E6">
        <w:rPr>
          <w:rFonts w:ascii="Times New Roman" w:hAnsi="Times New Roman" w:cs="Times New Roman"/>
          <w:b/>
          <w:bCs/>
        </w:rPr>
        <w:t xml:space="preserve"> April 2026</w:t>
      </w:r>
    </w:p>
    <w:p w14:paraId="66D51446" w14:textId="77777777" w:rsidR="00542433" w:rsidRPr="00DD2B98" w:rsidRDefault="00542433" w:rsidP="00542433">
      <w:pPr>
        <w:pStyle w:val="NoSpacing"/>
        <w:spacing w:line="480" w:lineRule="auto"/>
        <w:jc w:val="center"/>
        <w:rPr>
          <w:rFonts w:ascii="Times New Roman" w:hAnsi="Times New Roman" w:cs="Times New Roman"/>
        </w:rPr>
      </w:pPr>
    </w:p>
    <w:p w14:paraId="5B5556E5" w14:textId="77777777" w:rsidR="00542433" w:rsidRPr="00DD2B98" w:rsidRDefault="00542433" w:rsidP="00542433">
      <w:pPr>
        <w:pStyle w:val="NoSpacing"/>
        <w:spacing w:line="480" w:lineRule="auto"/>
        <w:jc w:val="center"/>
        <w:rPr>
          <w:rFonts w:ascii="Times New Roman" w:hAnsi="Times New Roman" w:cs="Times New Roman"/>
        </w:rPr>
      </w:pPr>
    </w:p>
    <w:p w14:paraId="795702C1" w14:textId="77777777" w:rsidR="00542433" w:rsidRPr="00DD2B98" w:rsidRDefault="00542433" w:rsidP="00542433">
      <w:pPr>
        <w:pStyle w:val="NoSpacing"/>
        <w:spacing w:line="480" w:lineRule="auto"/>
        <w:jc w:val="center"/>
        <w:rPr>
          <w:rFonts w:ascii="Times New Roman" w:hAnsi="Times New Roman" w:cs="Times New Roman"/>
        </w:rPr>
      </w:pPr>
    </w:p>
    <w:p w14:paraId="3093D548" w14:textId="77777777" w:rsidR="00542433" w:rsidRDefault="00542433" w:rsidP="00542433">
      <w:pPr>
        <w:pStyle w:val="NoSpacing"/>
        <w:spacing w:line="480" w:lineRule="auto"/>
        <w:jc w:val="center"/>
        <w:rPr>
          <w:rFonts w:ascii="Times New Roman" w:hAnsi="Times New Roman" w:cs="Times New Roman"/>
        </w:rPr>
      </w:pPr>
    </w:p>
    <w:p w14:paraId="1E09A069" w14:textId="77777777" w:rsidR="005C22E6" w:rsidRDefault="005C22E6" w:rsidP="00542433">
      <w:pPr>
        <w:pStyle w:val="NoSpacing"/>
        <w:spacing w:line="480" w:lineRule="auto"/>
        <w:jc w:val="center"/>
        <w:rPr>
          <w:rFonts w:ascii="Times New Roman" w:hAnsi="Times New Roman" w:cs="Times New Roman"/>
        </w:rPr>
      </w:pPr>
    </w:p>
    <w:p w14:paraId="427E4070" w14:textId="77777777" w:rsidR="005C22E6" w:rsidRPr="00DD2B98" w:rsidRDefault="005C22E6" w:rsidP="00542433">
      <w:pPr>
        <w:pStyle w:val="NoSpacing"/>
        <w:spacing w:line="480" w:lineRule="auto"/>
        <w:jc w:val="center"/>
        <w:rPr>
          <w:rFonts w:ascii="Times New Roman" w:hAnsi="Times New Roman" w:cs="Times New Roman"/>
        </w:rPr>
      </w:pPr>
    </w:p>
    <w:p w14:paraId="10A3E939" w14:textId="77777777" w:rsidR="00542433" w:rsidRDefault="00542433" w:rsidP="00542433">
      <w:pPr>
        <w:pStyle w:val="NoSpacing"/>
        <w:spacing w:line="480" w:lineRule="auto"/>
        <w:jc w:val="center"/>
        <w:rPr>
          <w:rFonts w:ascii="Times New Roman" w:hAnsi="Times New Roman" w:cs="Times New Roman"/>
        </w:rPr>
      </w:pPr>
    </w:p>
    <w:p w14:paraId="11BA7F2C" w14:textId="77777777" w:rsidR="00FB0BC0" w:rsidRDefault="00FB0BC0" w:rsidP="00542433">
      <w:pPr>
        <w:pStyle w:val="NoSpacing"/>
        <w:spacing w:line="480" w:lineRule="auto"/>
        <w:jc w:val="center"/>
        <w:rPr>
          <w:rFonts w:ascii="Times New Roman" w:hAnsi="Times New Roman" w:cs="Times New Roman"/>
        </w:rPr>
      </w:pPr>
    </w:p>
    <w:p w14:paraId="29D27DC8" w14:textId="77777777" w:rsidR="00FB0BC0" w:rsidRPr="00DD2B98" w:rsidRDefault="00FB0BC0" w:rsidP="00542433">
      <w:pPr>
        <w:pStyle w:val="NoSpacing"/>
        <w:spacing w:line="480" w:lineRule="auto"/>
        <w:jc w:val="center"/>
        <w:rPr>
          <w:rFonts w:ascii="Times New Roman" w:hAnsi="Times New Roman" w:cs="Times New Roman"/>
        </w:rPr>
      </w:pPr>
    </w:p>
    <w:sdt>
      <w:sdtPr>
        <w:rPr>
          <w:rFonts w:ascii="Times New Roman" w:eastAsiaTheme="minorHAnsi" w:hAnsi="Times New Roman" w:cs="Times New Roman"/>
          <w:color w:val="auto"/>
          <w:kern w:val="2"/>
          <w:sz w:val="24"/>
          <w:szCs w:val="24"/>
          <w14:ligatures w14:val="standardContextual"/>
        </w:rPr>
        <w:id w:val="-128172185"/>
        <w:docPartObj>
          <w:docPartGallery w:val="Table of Contents"/>
          <w:docPartUnique/>
        </w:docPartObj>
      </w:sdtPr>
      <w:sdtEndPr>
        <w:rPr>
          <w:noProof/>
        </w:rPr>
      </w:sdtEndPr>
      <w:sdtContent>
        <w:p w14:paraId="67D85DFC" w14:textId="5FCD8D0B" w:rsidR="00542433" w:rsidRPr="00DD2B98" w:rsidRDefault="00542433" w:rsidP="00542433">
          <w:pPr>
            <w:pStyle w:val="TOCHeading"/>
            <w:spacing w:line="240" w:lineRule="auto"/>
            <w:jc w:val="center"/>
            <w:rPr>
              <w:rFonts w:ascii="Times New Roman" w:hAnsi="Times New Roman" w:cs="Times New Roman"/>
              <w:b/>
              <w:bCs/>
              <w:color w:val="auto"/>
              <w:sz w:val="24"/>
              <w:szCs w:val="24"/>
            </w:rPr>
          </w:pPr>
          <w:r w:rsidRPr="00DD2B98">
            <w:rPr>
              <w:rFonts w:ascii="Times New Roman" w:hAnsi="Times New Roman" w:cs="Times New Roman"/>
              <w:b/>
              <w:bCs/>
              <w:color w:val="auto"/>
              <w:sz w:val="24"/>
              <w:szCs w:val="24"/>
            </w:rPr>
            <w:t>Table of Contents</w:t>
          </w:r>
        </w:p>
        <w:p w14:paraId="4CB3A590" w14:textId="6DE8C312" w:rsidR="00542433" w:rsidRPr="00DD2B98" w:rsidRDefault="00542433" w:rsidP="00542433">
          <w:pPr>
            <w:pStyle w:val="TOC1"/>
            <w:tabs>
              <w:tab w:val="right" w:leader="dot" w:pos="9350"/>
            </w:tabs>
            <w:spacing w:line="240" w:lineRule="auto"/>
            <w:rPr>
              <w:rFonts w:ascii="Times New Roman" w:hAnsi="Times New Roman" w:cs="Times New Roman"/>
              <w:noProof/>
            </w:rPr>
          </w:pPr>
          <w:r w:rsidRPr="00DD2B98">
            <w:rPr>
              <w:rFonts w:ascii="Times New Roman" w:hAnsi="Times New Roman" w:cs="Times New Roman"/>
            </w:rPr>
            <w:fldChar w:fldCharType="begin"/>
          </w:r>
          <w:r w:rsidRPr="00DD2B98">
            <w:rPr>
              <w:rFonts w:ascii="Times New Roman" w:hAnsi="Times New Roman" w:cs="Times New Roman"/>
            </w:rPr>
            <w:instrText xml:space="preserve"> TOC \o "1-3" \h \z \u </w:instrText>
          </w:r>
          <w:r w:rsidRPr="00DD2B98">
            <w:rPr>
              <w:rFonts w:ascii="Times New Roman" w:hAnsi="Times New Roman" w:cs="Times New Roman"/>
            </w:rPr>
            <w:fldChar w:fldCharType="separate"/>
          </w:r>
          <w:hyperlink w:anchor="_Toc227149275" w:history="1">
            <w:r w:rsidRPr="00DD2B98">
              <w:rPr>
                <w:rStyle w:val="Hyperlink"/>
                <w:rFonts w:ascii="Times New Roman" w:eastAsia="Times New Roman" w:hAnsi="Times New Roman" w:cs="Times New Roman"/>
                <w:noProof/>
                <w:color w:val="auto"/>
              </w:rPr>
              <w:t>Executive Summary</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_Toc227149275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3</w:t>
            </w:r>
            <w:r w:rsidRPr="00DD2B98">
              <w:rPr>
                <w:rFonts w:ascii="Times New Roman" w:hAnsi="Times New Roman" w:cs="Times New Roman"/>
                <w:noProof/>
                <w:webHidden/>
              </w:rPr>
              <w:fldChar w:fldCharType="end"/>
            </w:r>
          </w:hyperlink>
        </w:p>
        <w:p w14:paraId="22E36599" w14:textId="6443DFD0"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76" w:history="1">
            <w:r w:rsidRPr="00DD2B98">
              <w:rPr>
                <w:rStyle w:val="Hyperlink"/>
                <w:rFonts w:ascii="Times New Roman" w:eastAsia="Times New Roman" w:hAnsi="Times New Roman" w:cs="Times New Roman"/>
                <w:noProof/>
                <w:color w:val="auto"/>
              </w:rPr>
              <w:t>1. Introduction</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_Toc227149276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3</w:t>
            </w:r>
            <w:r w:rsidRPr="00DD2B98">
              <w:rPr>
                <w:rFonts w:ascii="Times New Roman" w:hAnsi="Times New Roman" w:cs="Times New Roman"/>
                <w:noProof/>
                <w:webHidden/>
              </w:rPr>
              <w:fldChar w:fldCharType="end"/>
            </w:r>
          </w:hyperlink>
        </w:p>
        <w:p w14:paraId="08BD61B9" w14:textId="0A0D7BAE"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77" w:history="1">
            <w:r w:rsidRPr="00DD2B98">
              <w:rPr>
                <w:rStyle w:val="Hyperlink"/>
                <w:rFonts w:ascii="Times New Roman" w:eastAsia="Times New Roman" w:hAnsi="Times New Roman" w:cs="Times New Roman"/>
                <w:noProof/>
                <w:color w:val="auto"/>
              </w:rPr>
              <w:t>2. AI as a Wicked Global Leadership Challenge</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_Toc227149277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4</w:t>
            </w:r>
            <w:r w:rsidRPr="00DD2B98">
              <w:rPr>
                <w:rFonts w:ascii="Times New Roman" w:hAnsi="Times New Roman" w:cs="Times New Roman"/>
                <w:noProof/>
                <w:webHidden/>
              </w:rPr>
              <w:fldChar w:fldCharType="end"/>
            </w:r>
          </w:hyperlink>
        </w:p>
        <w:p w14:paraId="645AA017" w14:textId="1921B641"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78" w:history="1">
            <w:r w:rsidRPr="00DD2B98">
              <w:rPr>
                <w:rStyle w:val="Hyperlink"/>
                <w:rFonts w:ascii="Times New Roman" w:eastAsia="Times New Roman" w:hAnsi="Times New Roman" w:cs="Times New Roman"/>
                <w:noProof/>
                <w:color w:val="auto"/>
              </w:rPr>
              <w:t>3. PESTLE Analysis of the Global AI Environment</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_Toc227149278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4</w:t>
            </w:r>
            <w:r w:rsidRPr="00DD2B98">
              <w:rPr>
                <w:rFonts w:ascii="Times New Roman" w:hAnsi="Times New Roman" w:cs="Times New Roman"/>
                <w:noProof/>
                <w:webHidden/>
              </w:rPr>
              <w:fldChar w:fldCharType="end"/>
            </w:r>
          </w:hyperlink>
        </w:p>
        <w:p w14:paraId="03BC80CE" w14:textId="38D0CA63"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79" w:history="1">
            <w:r w:rsidRPr="00DD2B98">
              <w:rPr>
                <w:rStyle w:val="Hyperlink"/>
                <w:rFonts w:ascii="Times New Roman" w:eastAsia="Times New Roman" w:hAnsi="Times New Roman" w:cs="Times New Roman"/>
                <w:noProof/>
                <w:color w:val="auto"/>
              </w:rPr>
              <w:t>Political Factors</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_Toc227149279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5</w:t>
            </w:r>
            <w:r w:rsidRPr="00DD2B98">
              <w:rPr>
                <w:rFonts w:ascii="Times New Roman" w:hAnsi="Times New Roman" w:cs="Times New Roman"/>
                <w:noProof/>
                <w:webHidden/>
              </w:rPr>
              <w:fldChar w:fldCharType="end"/>
            </w:r>
          </w:hyperlink>
        </w:p>
        <w:p w14:paraId="71A60845" w14:textId="04D4CA45"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80" w:history="1">
            <w:r w:rsidRPr="00DD2B98">
              <w:rPr>
                <w:rStyle w:val="Hyperlink"/>
                <w:rFonts w:ascii="Times New Roman" w:eastAsia="Times New Roman" w:hAnsi="Times New Roman" w:cs="Times New Roman"/>
                <w:noProof/>
                <w:color w:val="auto"/>
              </w:rPr>
              <w:t>Economic Factors</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_Toc227149280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5</w:t>
            </w:r>
            <w:r w:rsidRPr="00DD2B98">
              <w:rPr>
                <w:rFonts w:ascii="Times New Roman" w:hAnsi="Times New Roman" w:cs="Times New Roman"/>
                <w:noProof/>
                <w:webHidden/>
              </w:rPr>
              <w:fldChar w:fldCharType="end"/>
            </w:r>
          </w:hyperlink>
        </w:p>
        <w:p w14:paraId="09982A11" w14:textId="0BDDC587"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81" w:history="1">
            <w:r w:rsidRPr="00DD2B98">
              <w:rPr>
                <w:rStyle w:val="Hyperlink"/>
                <w:rFonts w:ascii="Times New Roman" w:eastAsia="Times New Roman" w:hAnsi="Times New Roman" w:cs="Times New Roman"/>
                <w:noProof/>
                <w:color w:val="auto"/>
              </w:rPr>
              <w:t>Social Factors</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_Toc227149281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6</w:t>
            </w:r>
            <w:r w:rsidRPr="00DD2B98">
              <w:rPr>
                <w:rFonts w:ascii="Times New Roman" w:hAnsi="Times New Roman" w:cs="Times New Roman"/>
                <w:noProof/>
                <w:webHidden/>
              </w:rPr>
              <w:fldChar w:fldCharType="end"/>
            </w:r>
          </w:hyperlink>
        </w:p>
        <w:p w14:paraId="2D929057" w14:textId="1BCCBBE9"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82" w:history="1">
            <w:r w:rsidRPr="00DD2B98">
              <w:rPr>
                <w:rStyle w:val="Hyperlink"/>
                <w:rFonts w:ascii="Times New Roman" w:eastAsia="Times New Roman" w:hAnsi="Times New Roman" w:cs="Times New Roman"/>
                <w:noProof/>
                <w:color w:val="auto"/>
              </w:rPr>
              <w:t>Technological Factors</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_Toc227149282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6</w:t>
            </w:r>
            <w:r w:rsidRPr="00DD2B98">
              <w:rPr>
                <w:rFonts w:ascii="Times New Roman" w:hAnsi="Times New Roman" w:cs="Times New Roman"/>
                <w:noProof/>
                <w:webHidden/>
              </w:rPr>
              <w:fldChar w:fldCharType="end"/>
            </w:r>
          </w:hyperlink>
        </w:p>
        <w:p w14:paraId="6AB81BFD" w14:textId="1501C165"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83" w:history="1">
            <w:r w:rsidRPr="00DD2B98">
              <w:rPr>
                <w:rStyle w:val="Hyperlink"/>
                <w:rFonts w:ascii="Times New Roman" w:eastAsia="Times New Roman" w:hAnsi="Times New Roman" w:cs="Times New Roman"/>
                <w:noProof/>
                <w:color w:val="auto"/>
              </w:rPr>
              <w:t>Legal Factors</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_Toc227149283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7</w:t>
            </w:r>
            <w:r w:rsidRPr="00DD2B98">
              <w:rPr>
                <w:rFonts w:ascii="Times New Roman" w:hAnsi="Times New Roman" w:cs="Times New Roman"/>
                <w:noProof/>
                <w:webHidden/>
              </w:rPr>
              <w:fldChar w:fldCharType="end"/>
            </w:r>
          </w:hyperlink>
        </w:p>
        <w:p w14:paraId="3416B691" w14:textId="4B331621"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84" w:history="1">
            <w:r w:rsidRPr="00DD2B98">
              <w:rPr>
                <w:rStyle w:val="Hyperlink"/>
                <w:rFonts w:ascii="Times New Roman" w:eastAsia="Times New Roman" w:hAnsi="Times New Roman" w:cs="Times New Roman"/>
                <w:noProof/>
                <w:color w:val="auto"/>
              </w:rPr>
              <w:t>Environmental Factors</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_Toc227149284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7</w:t>
            </w:r>
            <w:r w:rsidRPr="00DD2B98">
              <w:rPr>
                <w:rFonts w:ascii="Times New Roman" w:hAnsi="Times New Roman" w:cs="Times New Roman"/>
                <w:noProof/>
                <w:webHidden/>
              </w:rPr>
              <w:fldChar w:fldCharType="end"/>
            </w:r>
          </w:hyperlink>
        </w:p>
        <w:p w14:paraId="6666A39A" w14:textId="262DD6D8"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85" w:history="1">
            <w:r w:rsidRPr="00DD2B98">
              <w:rPr>
                <w:rStyle w:val="Hyperlink"/>
                <w:rFonts w:ascii="Times New Roman" w:eastAsia="Times New Roman" w:hAnsi="Times New Roman" w:cs="Times New Roman"/>
                <w:noProof/>
                <w:color w:val="auto"/>
              </w:rPr>
              <w:t>4. UK vs EU Comparative Analysis</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_Toc227149285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8</w:t>
            </w:r>
            <w:r w:rsidRPr="00DD2B98">
              <w:rPr>
                <w:rFonts w:ascii="Times New Roman" w:hAnsi="Times New Roman" w:cs="Times New Roman"/>
                <w:noProof/>
                <w:webHidden/>
              </w:rPr>
              <w:fldChar w:fldCharType="end"/>
            </w:r>
          </w:hyperlink>
        </w:p>
        <w:p w14:paraId="0A9F3D5D" w14:textId="0EBEA323"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86" w:history="1">
            <w:r w:rsidRPr="00DD2B98">
              <w:rPr>
                <w:rStyle w:val="Hyperlink"/>
                <w:rFonts w:ascii="Times New Roman" w:eastAsia="Times New Roman" w:hAnsi="Times New Roman" w:cs="Times New Roman"/>
                <w:noProof/>
                <w:color w:val="auto"/>
              </w:rPr>
              <w:t>Regulatory Approach</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_Toc227149286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8</w:t>
            </w:r>
            <w:r w:rsidRPr="00DD2B98">
              <w:rPr>
                <w:rFonts w:ascii="Times New Roman" w:hAnsi="Times New Roman" w:cs="Times New Roman"/>
                <w:noProof/>
                <w:webHidden/>
              </w:rPr>
              <w:fldChar w:fldCharType="end"/>
            </w:r>
          </w:hyperlink>
        </w:p>
        <w:p w14:paraId="1A01DA46" w14:textId="7CB68A4B"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87" w:history="1">
            <w:r w:rsidRPr="00DD2B98">
              <w:rPr>
                <w:rStyle w:val="Hyperlink"/>
                <w:rFonts w:ascii="Times New Roman" w:eastAsia="Times New Roman" w:hAnsi="Times New Roman" w:cs="Times New Roman"/>
                <w:noProof/>
                <w:color w:val="auto"/>
              </w:rPr>
              <w:t>Governance Philosophy</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_Toc227149287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9</w:t>
            </w:r>
            <w:r w:rsidRPr="00DD2B98">
              <w:rPr>
                <w:rFonts w:ascii="Times New Roman" w:hAnsi="Times New Roman" w:cs="Times New Roman"/>
                <w:noProof/>
                <w:webHidden/>
              </w:rPr>
              <w:fldChar w:fldCharType="end"/>
            </w:r>
          </w:hyperlink>
        </w:p>
        <w:p w14:paraId="541F7FD4" w14:textId="0BD196F1"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88" w:history="1">
            <w:r w:rsidRPr="00DD2B98">
              <w:rPr>
                <w:rStyle w:val="Hyperlink"/>
                <w:rFonts w:ascii="Times New Roman" w:eastAsia="Times New Roman" w:hAnsi="Times New Roman" w:cs="Times New Roman"/>
                <w:noProof/>
                <w:color w:val="auto"/>
              </w:rPr>
              <w:t>Business Impact</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_Toc227149288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10</w:t>
            </w:r>
            <w:r w:rsidRPr="00DD2B98">
              <w:rPr>
                <w:rFonts w:ascii="Times New Roman" w:hAnsi="Times New Roman" w:cs="Times New Roman"/>
                <w:noProof/>
                <w:webHidden/>
              </w:rPr>
              <w:fldChar w:fldCharType="end"/>
            </w:r>
          </w:hyperlink>
        </w:p>
        <w:p w14:paraId="5777BE08" w14:textId="0C6E58FD"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89" w:history="1">
            <w:r w:rsidRPr="00DD2B98">
              <w:rPr>
                <w:rStyle w:val="Hyperlink"/>
                <w:rFonts w:ascii="Times New Roman" w:eastAsia="Times New Roman" w:hAnsi="Times New Roman" w:cs="Times New Roman"/>
                <w:noProof/>
                <w:color w:val="auto"/>
              </w:rPr>
              <w:t>Strategic Implications for Multinational Organisations</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_Toc227149289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11</w:t>
            </w:r>
            <w:r w:rsidRPr="00DD2B98">
              <w:rPr>
                <w:rFonts w:ascii="Times New Roman" w:hAnsi="Times New Roman" w:cs="Times New Roman"/>
                <w:noProof/>
                <w:webHidden/>
              </w:rPr>
              <w:fldChar w:fldCharType="end"/>
            </w:r>
          </w:hyperlink>
        </w:p>
        <w:p w14:paraId="27C226D4" w14:textId="572EF56B"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90" w:history="1">
            <w:r w:rsidRPr="00DD2B98">
              <w:rPr>
                <w:rStyle w:val="Hyperlink"/>
                <w:rFonts w:ascii="Times New Roman" w:eastAsia="Times New Roman" w:hAnsi="Times New Roman" w:cs="Times New Roman"/>
                <w:noProof/>
                <w:color w:val="auto"/>
              </w:rPr>
              <w:t>5. Governance Frameworks and Global Coordination</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_Toc227149290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12</w:t>
            </w:r>
            <w:r w:rsidRPr="00DD2B98">
              <w:rPr>
                <w:rFonts w:ascii="Times New Roman" w:hAnsi="Times New Roman" w:cs="Times New Roman"/>
                <w:noProof/>
                <w:webHidden/>
              </w:rPr>
              <w:fldChar w:fldCharType="end"/>
            </w:r>
          </w:hyperlink>
        </w:p>
        <w:p w14:paraId="5E585866" w14:textId="6677D46C"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91" w:history="1">
            <w:r w:rsidRPr="00DD2B98">
              <w:rPr>
                <w:rStyle w:val="Hyperlink"/>
                <w:rFonts w:ascii="Times New Roman" w:eastAsia="Times New Roman" w:hAnsi="Times New Roman" w:cs="Times New Roman"/>
                <w:noProof/>
                <w:color w:val="auto"/>
              </w:rPr>
              <w:t>6. The Role of Global Leadership</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_Toc227149291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13</w:t>
            </w:r>
            <w:r w:rsidRPr="00DD2B98">
              <w:rPr>
                <w:rFonts w:ascii="Times New Roman" w:hAnsi="Times New Roman" w:cs="Times New Roman"/>
                <w:noProof/>
                <w:webHidden/>
              </w:rPr>
              <w:fldChar w:fldCharType="end"/>
            </w:r>
          </w:hyperlink>
        </w:p>
        <w:p w14:paraId="7E442288" w14:textId="0B949908"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92" w:history="1">
            <w:r w:rsidRPr="00DD2B98">
              <w:rPr>
                <w:rStyle w:val="Hyperlink"/>
                <w:rFonts w:ascii="Times New Roman" w:eastAsia="Times New Roman" w:hAnsi="Times New Roman" w:cs="Times New Roman"/>
                <w:noProof/>
                <w:color w:val="auto"/>
              </w:rPr>
              <w:t>7. Case Study: Microsoft and Responsible AI</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_Toc227149292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14</w:t>
            </w:r>
            <w:r w:rsidRPr="00DD2B98">
              <w:rPr>
                <w:rFonts w:ascii="Times New Roman" w:hAnsi="Times New Roman" w:cs="Times New Roman"/>
                <w:noProof/>
                <w:webHidden/>
              </w:rPr>
              <w:fldChar w:fldCharType="end"/>
            </w:r>
          </w:hyperlink>
        </w:p>
        <w:p w14:paraId="16EDC7AD" w14:textId="3B149F81"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93" w:history="1">
            <w:r w:rsidRPr="00DD2B98">
              <w:rPr>
                <w:rStyle w:val="Hyperlink"/>
                <w:rFonts w:ascii="Times New Roman" w:eastAsia="Times New Roman" w:hAnsi="Times New Roman" w:cs="Times New Roman"/>
                <w:noProof/>
                <w:color w:val="auto"/>
              </w:rPr>
              <w:t>8. Implementation Plan</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_Toc227149293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14</w:t>
            </w:r>
            <w:r w:rsidRPr="00DD2B98">
              <w:rPr>
                <w:rFonts w:ascii="Times New Roman" w:hAnsi="Times New Roman" w:cs="Times New Roman"/>
                <w:noProof/>
                <w:webHidden/>
              </w:rPr>
              <w:fldChar w:fldCharType="end"/>
            </w:r>
          </w:hyperlink>
        </w:p>
        <w:p w14:paraId="3B11EC86" w14:textId="21FB21F7"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94" w:history="1">
            <w:r w:rsidRPr="00DD2B98">
              <w:rPr>
                <w:rStyle w:val="Hyperlink"/>
                <w:rFonts w:ascii="Times New Roman" w:eastAsia="Times New Roman" w:hAnsi="Times New Roman" w:cs="Times New Roman"/>
                <w:noProof/>
                <w:color w:val="auto"/>
              </w:rPr>
              <w:t>Phase 1: Short-Term (0–6 Months)</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_Toc227149294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15</w:t>
            </w:r>
            <w:r w:rsidRPr="00DD2B98">
              <w:rPr>
                <w:rFonts w:ascii="Times New Roman" w:hAnsi="Times New Roman" w:cs="Times New Roman"/>
                <w:noProof/>
                <w:webHidden/>
              </w:rPr>
              <w:fldChar w:fldCharType="end"/>
            </w:r>
          </w:hyperlink>
        </w:p>
        <w:p w14:paraId="39AB9EC1" w14:textId="31595A0E"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95" w:history="1">
            <w:r w:rsidRPr="00DD2B98">
              <w:rPr>
                <w:rStyle w:val="Hyperlink"/>
                <w:rFonts w:ascii="Times New Roman" w:eastAsia="Times New Roman" w:hAnsi="Times New Roman" w:cs="Times New Roman"/>
                <w:noProof/>
                <w:color w:val="auto"/>
              </w:rPr>
              <w:t>Phase 2: Medium-Term (6–24 Months)</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_Toc227149295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16</w:t>
            </w:r>
            <w:r w:rsidRPr="00DD2B98">
              <w:rPr>
                <w:rFonts w:ascii="Times New Roman" w:hAnsi="Times New Roman" w:cs="Times New Roman"/>
                <w:noProof/>
                <w:webHidden/>
              </w:rPr>
              <w:fldChar w:fldCharType="end"/>
            </w:r>
          </w:hyperlink>
        </w:p>
        <w:p w14:paraId="07F6364C" w14:textId="4D430B37"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96" w:history="1">
            <w:r w:rsidRPr="00DD2B98">
              <w:rPr>
                <w:rStyle w:val="Hyperlink"/>
                <w:rFonts w:ascii="Times New Roman" w:eastAsia="Times New Roman" w:hAnsi="Times New Roman" w:cs="Times New Roman"/>
                <w:noProof/>
                <w:color w:val="auto"/>
              </w:rPr>
              <w:t>Phase 3: Long-Term (2–5 Years)</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_Toc227149296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16</w:t>
            </w:r>
            <w:r w:rsidRPr="00DD2B98">
              <w:rPr>
                <w:rFonts w:ascii="Times New Roman" w:hAnsi="Times New Roman" w:cs="Times New Roman"/>
                <w:noProof/>
                <w:webHidden/>
              </w:rPr>
              <w:fldChar w:fldCharType="end"/>
            </w:r>
          </w:hyperlink>
        </w:p>
        <w:p w14:paraId="0B8DAF78" w14:textId="5A74773B"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97" w:history="1">
            <w:r w:rsidRPr="00DD2B98">
              <w:rPr>
                <w:rStyle w:val="Hyperlink"/>
                <w:rFonts w:ascii="Times New Roman" w:eastAsia="Times New Roman" w:hAnsi="Times New Roman" w:cs="Times New Roman"/>
                <w:noProof/>
                <w:color w:val="auto"/>
              </w:rPr>
              <w:t>Resource Considerations</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_Toc227149297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17</w:t>
            </w:r>
            <w:r w:rsidRPr="00DD2B98">
              <w:rPr>
                <w:rFonts w:ascii="Times New Roman" w:hAnsi="Times New Roman" w:cs="Times New Roman"/>
                <w:noProof/>
                <w:webHidden/>
              </w:rPr>
              <w:fldChar w:fldCharType="end"/>
            </w:r>
          </w:hyperlink>
        </w:p>
        <w:p w14:paraId="5591485D" w14:textId="63579A04"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98" w:history="1">
            <w:r w:rsidRPr="00DD2B98">
              <w:rPr>
                <w:rStyle w:val="Hyperlink"/>
                <w:rFonts w:ascii="Times New Roman" w:hAnsi="Times New Roman" w:cs="Times New Roman"/>
                <w:noProof/>
                <w:color w:val="auto"/>
              </w:rPr>
              <w:t>Risk Controls</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_Toc227149298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18</w:t>
            </w:r>
            <w:r w:rsidRPr="00DD2B98">
              <w:rPr>
                <w:rFonts w:ascii="Times New Roman" w:hAnsi="Times New Roman" w:cs="Times New Roman"/>
                <w:noProof/>
                <w:webHidden/>
              </w:rPr>
              <w:fldChar w:fldCharType="end"/>
            </w:r>
          </w:hyperlink>
        </w:p>
        <w:p w14:paraId="4191F359" w14:textId="6F0E439C"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299" w:history="1">
            <w:r w:rsidRPr="00DD2B98">
              <w:rPr>
                <w:rStyle w:val="Hyperlink"/>
                <w:rFonts w:ascii="Times New Roman" w:hAnsi="Times New Roman" w:cs="Times New Roman"/>
                <w:noProof/>
                <w:color w:val="auto"/>
              </w:rPr>
              <w:t>9. Critical Evaluation and Key Tensions</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_Toc227149299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18</w:t>
            </w:r>
            <w:r w:rsidRPr="00DD2B98">
              <w:rPr>
                <w:rFonts w:ascii="Times New Roman" w:hAnsi="Times New Roman" w:cs="Times New Roman"/>
                <w:noProof/>
                <w:webHidden/>
              </w:rPr>
              <w:fldChar w:fldCharType="end"/>
            </w:r>
          </w:hyperlink>
        </w:p>
        <w:p w14:paraId="173175D3" w14:textId="3DB425F7"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300" w:history="1">
            <w:r w:rsidRPr="00DD2B98">
              <w:rPr>
                <w:rStyle w:val="Hyperlink"/>
                <w:rFonts w:ascii="Times New Roman" w:eastAsia="Times New Roman" w:hAnsi="Times New Roman" w:cs="Times New Roman"/>
                <w:noProof/>
                <w:color w:val="auto"/>
              </w:rPr>
              <w:t>10. Recommendations</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_Toc227149300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19</w:t>
            </w:r>
            <w:r w:rsidRPr="00DD2B98">
              <w:rPr>
                <w:rFonts w:ascii="Times New Roman" w:hAnsi="Times New Roman" w:cs="Times New Roman"/>
                <w:noProof/>
                <w:webHidden/>
              </w:rPr>
              <w:fldChar w:fldCharType="end"/>
            </w:r>
          </w:hyperlink>
        </w:p>
        <w:p w14:paraId="5F81E6FC" w14:textId="405EDC9A"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301" w:history="1">
            <w:r w:rsidRPr="00DD2B98">
              <w:rPr>
                <w:rStyle w:val="Hyperlink"/>
                <w:rFonts w:ascii="Times New Roman" w:eastAsia="Times New Roman" w:hAnsi="Times New Roman" w:cs="Times New Roman"/>
                <w:noProof/>
                <w:color w:val="auto"/>
              </w:rPr>
              <w:t>11. Conclusion</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_Toc227149301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20</w:t>
            </w:r>
            <w:r w:rsidRPr="00DD2B98">
              <w:rPr>
                <w:rFonts w:ascii="Times New Roman" w:hAnsi="Times New Roman" w:cs="Times New Roman"/>
                <w:noProof/>
                <w:webHidden/>
              </w:rPr>
              <w:fldChar w:fldCharType="end"/>
            </w:r>
          </w:hyperlink>
        </w:p>
        <w:p w14:paraId="15872864" w14:textId="3B51CFD4" w:rsidR="00542433" w:rsidRPr="00DD2B98" w:rsidRDefault="00542433" w:rsidP="00542433">
          <w:pPr>
            <w:pStyle w:val="TOC1"/>
            <w:tabs>
              <w:tab w:val="right" w:leader="dot" w:pos="9350"/>
            </w:tabs>
            <w:spacing w:line="240" w:lineRule="auto"/>
            <w:rPr>
              <w:rFonts w:ascii="Times New Roman" w:hAnsi="Times New Roman" w:cs="Times New Roman"/>
              <w:noProof/>
            </w:rPr>
          </w:pPr>
          <w:hyperlink w:anchor="_Toc227149302" w:history="1">
            <w:r w:rsidRPr="00DD2B98">
              <w:rPr>
                <w:rStyle w:val="Hyperlink"/>
                <w:rFonts w:ascii="Times New Roman" w:eastAsia="Times New Roman" w:hAnsi="Times New Roman" w:cs="Times New Roman"/>
                <w:noProof/>
                <w:color w:val="auto"/>
              </w:rPr>
              <w:t>Reference List</w:t>
            </w:r>
            <w:r w:rsidRPr="00DD2B98">
              <w:rPr>
                <w:rFonts w:ascii="Times New Roman" w:hAnsi="Times New Roman" w:cs="Times New Roman"/>
                <w:noProof/>
                <w:webHidden/>
              </w:rPr>
              <w:tab/>
            </w:r>
            <w:r w:rsidRPr="00DD2B98">
              <w:rPr>
                <w:rFonts w:ascii="Times New Roman" w:hAnsi="Times New Roman" w:cs="Times New Roman"/>
                <w:noProof/>
                <w:webHidden/>
              </w:rPr>
              <w:fldChar w:fldCharType="begin"/>
            </w:r>
            <w:r w:rsidRPr="00DD2B98">
              <w:rPr>
                <w:rFonts w:ascii="Times New Roman" w:hAnsi="Times New Roman" w:cs="Times New Roman"/>
                <w:noProof/>
                <w:webHidden/>
              </w:rPr>
              <w:instrText xml:space="preserve"> PAGEREF _Toc227149302 \h </w:instrText>
            </w:r>
            <w:r w:rsidRPr="00DD2B98">
              <w:rPr>
                <w:rFonts w:ascii="Times New Roman" w:hAnsi="Times New Roman" w:cs="Times New Roman"/>
                <w:noProof/>
                <w:webHidden/>
              </w:rPr>
            </w:r>
            <w:r w:rsidRPr="00DD2B98">
              <w:rPr>
                <w:rFonts w:ascii="Times New Roman" w:hAnsi="Times New Roman" w:cs="Times New Roman"/>
                <w:noProof/>
                <w:webHidden/>
              </w:rPr>
              <w:fldChar w:fldCharType="separate"/>
            </w:r>
            <w:r w:rsidR="006C2960">
              <w:rPr>
                <w:rFonts w:ascii="Times New Roman" w:hAnsi="Times New Roman" w:cs="Times New Roman"/>
                <w:noProof/>
                <w:webHidden/>
              </w:rPr>
              <w:t>21</w:t>
            </w:r>
            <w:r w:rsidRPr="00DD2B98">
              <w:rPr>
                <w:rFonts w:ascii="Times New Roman" w:hAnsi="Times New Roman" w:cs="Times New Roman"/>
                <w:noProof/>
                <w:webHidden/>
              </w:rPr>
              <w:fldChar w:fldCharType="end"/>
            </w:r>
          </w:hyperlink>
        </w:p>
        <w:p w14:paraId="7609915E" w14:textId="7B36DFE2" w:rsidR="00542433" w:rsidRPr="00DD2B98" w:rsidRDefault="00542433" w:rsidP="00542433">
          <w:pPr>
            <w:spacing w:line="240" w:lineRule="auto"/>
            <w:rPr>
              <w:rFonts w:ascii="Times New Roman" w:hAnsi="Times New Roman" w:cs="Times New Roman"/>
            </w:rPr>
          </w:pPr>
          <w:r w:rsidRPr="00DD2B98">
            <w:rPr>
              <w:rFonts w:ascii="Times New Roman" w:hAnsi="Times New Roman" w:cs="Times New Roman"/>
              <w:noProof/>
            </w:rPr>
            <w:fldChar w:fldCharType="end"/>
          </w:r>
        </w:p>
      </w:sdtContent>
    </w:sdt>
    <w:p w14:paraId="7F7C9202" w14:textId="77777777" w:rsidR="00542433" w:rsidRPr="00DD2B98" w:rsidRDefault="00542433" w:rsidP="00542433">
      <w:pPr>
        <w:pStyle w:val="NoSpacing"/>
        <w:rPr>
          <w:rFonts w:ascii="Times New Roman" w:hAnsi="Times New Roman" w:cs="Times New Roman"/>
        </w:rPr>
      </w:pPr>
      <w:bookmarkStart w:id="0" w:name="_Toc227149275"/>
    </w:p>
    <w:p w14:paraId="68C8A47B" w14:textId="17A940AA" w:rsidR="00542433" w:rsidRDefault="00542433" w:rsidP="00542433">
      <w:pPr>
        <w:pStyle w:val="NoSpacing"/>
        <w:rPr>
          <w:rFonts w:ascii="Times New Roman" w:hAnsi="Times New Roman" w:cs="Times New Roman"/>
        </w:rPr>
      </w:pPr>
    </w:p>
    <w:p w14:paraId="53228AAE" w14:textId="6F2F15A4" w:rsidR="00DD2B98" w:rsidRDefault="00DD2B98" w:rsidP="00542433">
      <w:pPr>
        <w:pStyle w:val="NoSpacing"/>
        <w:rPr>
          <w:rFonts w:ascii="Times New Roman" w:hAnsi="Times New Roman" w:cs="Times New Roman"/>
        </w:rPr>
      </w:pPr>
    </w:p>
    <w:p w14:paraId="7C5E2C03" w14:textId="77777777" w:rsidR="00DD2B98" w:rsidRPr="00DD2B98" w:rsidRDefault="00DD2B98" w:rsidP="00542433">
      <w:pPr>
        <w:pStyle w:val="NoSpacing"/>
        <w:rPr>
          <w:rFonts w:ascii="Times New Roman" w:hAnsi="Times New Roman" w:cs="Times New Roman"/>
        </w:rPr>
      </w:pPr>
    </w:p>
    <w:p w14:paraId="5D7FEA34" w14:textId="77777777" w:rsidR="00542433" w:rsidRPr="00DD2B98" w:rsidRDefault="00542433" w:rsidP="00542433">
      <w:pPr>
        <w:pStyle w:val="NoSpacing"/>
        <w:rPr>
          <w:rFonts w:ascii="Times New Roman" w:hAnsi="Times New Roman" w:cs="Times New Roman"/>
        </w:rPr>
      </w:pPr>
    </w:p>
    <w:p w14:paraId="7278D6DC" w14:textId="77777777" w:rsidR="00542433" w:rsidRPr="00DD2B98" w:rsidRDefault="00542433" w:rsidP="00542433">
      <w:pPr>
        <w:pStyle w:val="NoSpacing"/>
        <w:rPr>
          <w:rFonts w:ascii="Times New Roman" w:hAnsi="Times New Roman" w:cs="Times New Roman"/>
        </w:rPr>
      </w:pPr>
    </w:p>
    <w:p w14:paraId="0D7FF51A" w14:textId="0F48AF46" w:rsidR="009C42E5" w:rsidRPr="00DD2B98" w:rsidRDefault="00E17469" w:rsidP="00542433">
      <w:pPr>
        <w:pStyle w:val="NoSpacing"/>
        <w:spacing w:line="480" w:lineRule="auto"/>
        <w:rPr>
          <w:rFonts w:ascii="Times New Roman" w:hAnsi="Times New Roman" w:cs="Times New Roman"/>
          <w:b/>
          <w:bCs/>
        </w:rPr>
      </w:pPr>
      <w:r w:rsidRPr="00DD2B98">
        <w:rPr>
          <w:rFonts w:ascii="Times New Roman" w:hAnsi="Times New Roman" w:cs="Times New Roman"/>
          <w:b/>
          <w:bCs/>
        </w:rPr>
        <w:lastRenderedPageBreak/>
        <w:t>Executive Summary</w:t>
      </w:r>
      <w:bookmarkEnd w:id="0"/>
    </w:p>
    <w:p w14:paraId="75CD2AAE" w14:textId="37A6BF69" w:rsidR="00812AC6"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 xml:space="preserve">Artificial Intelligence (AI) </w:t>
      </w:r>
      <w:r w:rsidR="00AC5CC2" w:rsidRPr="00DD2B98">
        <w:rPr>
          <w:rFonts w:ascii="Times New Roman" w:hAnsi="Times New Roman" w:cs="Times New Roman"/>
        </w:rPr>
        <w:t xml:space="preserve">presents significant </w:t>
      </w:r>
      <w:r w:rsidRPr="00DD2B98">
        <w:rPr>
          <w:rFonts w:ascii="Times New Roman" w:hAnsi="Times New Roman" w:cs="Times New Roman"/>
        </w:rPr>
        <w:t xml:space="preserve">opportunities as well as serious </w:t>
      </w:r>
      <w:r w:rsidR="00AC5CC2" w:rsidRPr="00DD2B98">
        <w:rPr>
          <w:rFonts w:ascii="Times New Roman" w:hAnsi="Times New Roman" w:cs="Times New Roman"/>
        </w:rPr>
        <w:t xml:space="preserve">risks </w:t>
      </w:r>
      <w:r w:rsidRPr="00DD2B98">
        <w:rPr>
          <w:rFonts w:ascii="Times New Roman" w:hAnsi="Times New Roman" w:cs="Times New Roman"/>
        </w:rPr>
        <w:t xml:space="preserve">to multinational </w:t>
      </w:r>
      <w:proofErr w:type="spellStart"/>
      <w:r w:rsidRPr="00DD2B98">
        <w:rPr>
          <w:rFonts w:ascii="Times New Roman" w:hAnsi="Times New Roman" w:cs="Times New Roman"/>
        </w:rPr>
        <w:t>organisations</w:t>
      </w:r>
      <w:proofErr w:type="spellEnd"/>
      <w:r w:rsidRPr="00DD2B98">
        <w:rPr>
          <w:rFonts w:ascii="Times New Roman" w:hAnsi="Times New Roman" w:cs="Times New Roman"/>
        </w:rPr>
        <w:t>. This report provides recommendations to top executives as to how to address the risks posed by AI with a particular focus on governance, regulation, ethical use</w:t>
      </w:r>
      <w:r w:rsidR="003C3231" w:rsidRPr="00DD2B98">
        <w:rPr>
          <w:rFonts w:ascii="Times New Roman" w:hAnsi="Times New Roman" w:cs="Times New Roman"/>
        </w:rPr>
        <w:t>,</w:t>
      </w:r>
      <w:r w:rsidRPr="00DD2B98">
        <w:rPr>
          <w:rFonts w:ascii="Times New Roman" w:hAnsi="Times New Roman" w:cs="Times New Roman"/>
        </w:rPr>
        <w:t xml:space="preserve"> and customer trust. It defines AI as an evil worldwide leadership issue that is influenced by political, economic, technological</w:t>
      </w:r>
      <w:r w:rsidR="003C3231" w:rsidRPr="00DD2B98">
        <w:rPr>
          <w:rFonts w:ascii="Times New Roman" w:hAnsi="Times New Roman" w:cs="Times New Roman"/>
        </w:rPr>
        <w:t>,</w:t>
      </w:r>
      <w:r w:rsidRPr="00DD2B98">
        <w:rPr>
          <w:rFonts w:ascii="Times New Roman" w:hAnsi="Times New Roman" w:cs="Times New Roman"/>
        </w:rPr>
        <w:t xml:space="preserve"> and regulatory pressures. Comparative study of the United Kingdom (UK) and the European Union (EU) shows that they have different regulatory styles, which have implications for organisational strategy and compliance. Despite the existence of ethical systems at the international level, there are gaps in practice. The report evaluates the current governance practice and gives a case study of Microsoft to elaborate on the practice. It has an elaborate implementation plan, which entails the action plan, schedules, and performance measures. The report states that organisations need to adopt dynamic, future-oriented governance to strike a balance between innovation and accountability to remain competitive.</w:t>
      </w:r>
    </w:p>
    <w:p w14:paraId="5C80FAC5" w14:textId="77777777" w:rsidR="009C4C8C" w:rsidRPr="00DD2B98" w:rsidRDefault="00E17469" w:rsidP="00542433">
      <w:pPr>
        <w:pStyle w:val="NoSpacing"/>
        <w:spacing w:line="480" w:lineRule="auto"/>
        <w:rPr>
          <w:rFonts w:ascii="Times New Roman" w:eastAsia="Times New Roman" w:hAnsi="Times New Roman" w:cs="Times New Roman"/>
          <w:b/>
          <w:bCs/>
        </w:rPr>
      </w:pPr>
      <w:bookmarkStart w:id="1" w:name="_Toc227149276"/>
      <w:r w:rsidRPr="00DD2B98">
        <w:rPr>
          <w:rFonts w:ascii="Times New Roman" w:eastAsia="Times New Roman" w:hAnsi="Times New Roman" w:cs="Times New Roman"/>
          <w:b/>
          <w:bCs/>
        </w:rPr>
        <w:t>1. Introduction</w:t>
      </w:r>
      <w:bookmarkEnd w:id="1"/>
    </w:p>
    <w:p w14:paraId="2B91DA60" w14:textId="565CDD8B" w:rsidR="009C4C8C" w:rsidRPr="00DD2B98" w:rsidRDefault="00E17469" w:rsidP="00542433">
      <w:pPr>
        <w:pStyle w:val="NoSpacing"/>
        <w:spacing w:line="480" w:lineRule="auto"/>
        <w:rPr>
          <w:rFonts w:ascii="Times New Roman" w:eastAsia="Times New Roman" w:hAnsi="Times New Roman" w:cs="Times New Roman"/>
          <w:b/>
          <w:bCs/>
          <w:kern w:val="0"/>
          <w14:ligatures w14:val="none"/>
        </w:rPr>
      </w:pPr>
      <w:r w:rsidRPr="00DD2B98">
        <w:rPr>
          <w:rFonts w:ascii="Times New Roman" w:hAnsi="Times New Roman" w:cs="Times New Roman"/>
        </w:rPr>
        <w:t>Artificial Intelligence (AI) is one of the most revolutionary technologies of the 21 st century that can be used in the field of innovation of such areas of life as healthcare, finance</w:t>
      </w:r>
      <w:r w:rsidR="003C3231" w:rsidRPr="00DD2B98">
        <w:rPr>
          <w:rFonts w:ascii="Times New Roman" w:hAnsi="Times New Roman" w:cs="Times New Roman"/>
        </w:rPr>
        <w:t>,</w:t>
      </w:r>
      <w:r w:rsidRPr="00DD2B98">
        <w:rPr>
          <w:rFonts w:ascii="Times New Roman" w:hAnsi="Times New Roman" w:cs="Times New Roman"/>
        </w:rPr>
        <w:t xml:space="preserve"> and governance. However, it also causes numerous ethical, regulatory</w:t>
      </w:r>
      <w:r w:rsidR="003C3231" w:rsidRPr="00DD2B98">
        <w:rPr>
          <w:rFonts w:ascii="Times New Roman" w:hAnsi="Times New Roman" w:cs="Times New Roman"/>
        </w:rPr>
        <w:t>,</w:t>
      </w:r>
      <w:r w:rsidRPr="00DD2B98">
        <w:rPr>
          <w:rFonts w:ascii="Times New Roman" w:hAnsi="Times New Roman" w:cs="Times New Roman"/>
        </w:rPr>
        <w:t xml:space="preserve"> and societal issues due to its rapid uptake in the world. The cross-border nature of AI systems facilitates these challenges; these systems are developed to work in a dissimilar legal and cultural environment. AI governance is a wicked problem that is characterised by complexity, uncertainty and inability to see clear-cut solutions. In order to overcome this, an individual must be technically competent and have good global leadership skills to juggle competing priorities and ethics. The critically examined paper on the issue of AI governance within the framework of the PESTLE analysis is based on academic and </w:t>
      </w:r>
      <w:r w:rsidRPr="00DD2B98">
        <w:rPr>
          <w:rFonts w:ascii="Times New Roman" w:hAnsi="Times New Roman" w:cs="Times New Roman"/>
        </w:rPr>
        <w:lastRenderedPageBreak/>
        <w:t xml:space="preserve">industry sources. This paper also discusses the implementation of the responsible AI practice by organisations such as Microsoft, which shows the constraints that exist. </w:t>
      </w:r>
    </w:p>
    <w:p w14:paraId="4BDEE27E" w14:textId="77777777" w:rsidR="009C4C8C" w:rsidRPr="00DD2B98" w:rsidRDefault="00E17469" w:rsidP="00542433">
      <w:pPr>
        <w:pStyle w:val="NoSpacing"/>
        <w:spacing w:line="480" w:lineRule="auto"/>
        <w:rPr>
          <w:rFonts w:ascii="Times New Roman" w:eastAsia="Times New Roman" w:hAnsi="Times New Roman" w:cs="Times New Roman"/>
          <w:b/>
          <w:bCs/>
        </w:rPr>
      </w:pPr>
      <w:bookmarkStart w:id="2" w:name="_Toc227149277"/>
      <w:r w:rsidRPr="00DD2B98">
        <w:rPr>
          <w:rFonts w:ascii="Times New Roman" w:eastAsia="Times New Roman" w:hAnsi="Times New Roman" w:cs="Times New Roman"/>
          <w:b/>
          <w:bCs/>
        </w:rPr>
        <w:t>2. AI as a Wicked Global Leadership Challenge</w:t>
      </w:r>
      <w:bookmarkEnd w:id="2"/>
    </w:p>
    <w:p w14:paraId="2BB91EAE" w14:textId="2CCB8F51" w:rsidR="00812AC6"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The dynamic and evolutionary nature of the wicked problem of AI governance, as well as its transnational nature, can be evidence of that. Wicked problems are not defined, and they are marked with stakeholders who have conflicting interests and hence cannot be solved easily or linearly. This is in correspondence with the complexity of the modern-day policy issues surrounding technology (Dwivedi et al., 2021</w:t>
      </w:r>
      <w:r w:rsidR="00514D91" w:rsidRPr="00DD2B98">
        <w:rPr>
          <w:rFonts w:ascii="Times New Roman" w:hAnsi="Times New Roman" w:cs="Times New Roman"/>
        </w:rPr>
        <w:t>;</w:t>
      </w:r>
      <w:r w:rsidR="00514D91" w:rsidRPr="00DD2B98">
        <w:rPr>
          <w:rFonts w:ascii="Times New Roman" w:hAnsi="Times New Roman" w:cs="Times New Roman"/>
          <w:color w:val="222222"/>
          <w:shd w:val="clear" w:color="auto" w:fill="FFFFFF"/>
        </w:rPr>
        <w:t xml:space="preserve"> Batool et al.,2025; Hussein et al.,2026</w:t>
      </w:r>
      <w:r w:rsidRPr="00DD2B98">
        <w:rPr>
          <w:rFonts w:ascii="Times New Roman" w:hAnsi="Times New Roman" w:cs="Times New Roman"/>
        </w:rPr>
        <w:t>). The rapid pace of AI development has outpaced the tempo of regulation development, and enormous loopholes have emerged in regulation. The OECD (2023) believes that the existing principles of AI are not ethical guidelines on a high level and are not binding, and therefore, their applicability to other jurisdictions and the importance of developing more common and harmonised AI governance systems across borders need to be established. Similarly, the World Economic Forum (2024) confirms that the world should collaborate in regulating AI, but acknowledges that the world is still divided; thus, the global leadership should find a balance between national self-determination and global responsibility. Ethics of AI on the planet is also more decentralised, as various frameworks are being created in various locations (Jobin</w:t>
      </w:r>
      <w:r w:rsidR="00514D91" w:rsidRPr="00DD2B98">
        <w:rPr>
          <w:rFonts w:ascii="Times New Roman" w:hAnsi="Times New Roman" w:cs="Times New Roman"/>
        </w:rPr>
        <w:t xml:space="preserve"> et al., </w:t>
      </w:r>
      <w:r w:rsidRPr="00DD2B98">
        <w:rPr>
          <w:rFonts w:ascii="Times New Roman" w:hAnsi="Times New Roman" w:cs="Times New Roman"/>
        </w:rPr>
        <w:t>2019; Cath et al., 2018</w:t>
      </w:r>
      <w:r w:rsidR="00514D91" w:rsidRPr="00DD2B98">
        <w:rPr>
          <w:rFonts w:ascii="Times New Roman" w:hAnsi="Times New Roman" w:cs="Times New Roman"/>
        </w:rPr>
        <w:t>;</w:t>
      </w:r>
      <w:r w:rsidR="00514D91" w:rsidRPr="00DD2B98">
        <w:rPr>
          <w:rFonts w:ascii="Times New Roman" w:hAnsi="Times New Roman" w:cs="Times New Roman"/>
          <w:color w:val="222222"/>
          <w:shd w:val="clear" w:color="auto" w:fill="FFFFFF"/>
        </w:rPr>
        <w:t xml:space="preserve"> </w:t>
      </w:r>
      <w:proofErr w:type="spellStart"/>
      <w:r w:rsidR="00514D91" w:rsidRPr="00DD2B98">
        <w:rPr>
          <w:rFonts w:ascii="Times New Roman" w:hAnsi="Times New Roman" w:cs="Times New Roman"/>
          <w:color w:val="222222"/>
          <w:shd w:val="clear" w:color="auto" w:fill="FFFFFF"/>
        </w:rPr>
        <w:t>Apandi</w:t>
      </w:r>
      <w:proofErr w:type="spellEnd"/>
      <w:r w:rsidR="00514D91" w:rsidRPr="00DD2B98">
        <w:rPr>
          <w:rFonts w:ascii="Times New Roman" w:hAnsi="Times New Roman" w:cs="Times New Roman"/>
          <w:color w:val="222222"/>
          <w:shd w:val="clear" w:color="auto" w:fill="FFFFFF"/>
        </w:rPr>
        <w:t xml:space="preserve"> &amp; Shariffuddin,2026; Ribeiro et al., 2025</w:t>
      </w:r>
      <w:r w:rsidRPr="00DD2B98">
        <w:rPr>
          <w:rFonts w:ascii="Times New Roman" w:hAnsi="Times New Roman" w:cs="Times New Roman"/>
        </w:rPr>
        <w:t>). The tension between innovation and regulation is one of the factors of this challenge.</w:t>
      </w:r>
    </w:p>
    <w:p w14:paraId="73D455DD" w14:textId="77777777" w:rsidR="00BE1C5B" w:rsidRPr="00DD2B98" w:rsidRDefault="00E17469" w:rsidP="00542433">
      <w:pPr>
        <w:pStyle w:val="NoSpacing"/>
        <w:spacing w:line="480" w:lineRule="auto"/>
        <w:rPr>
          <w:rFonts w:ascii="Times New Roman" w:eastAsia="Times New Roman" w:hAnsi="Times New Roman" w:cs="Times New Roman"/>
          <w:b/>
          <w:bCs/>
        </w:rPr>
      </w:pPr>
      <w:bookmarkStart w:id="3" w:name="_Toc227149278"/>
      <w:r w:rsidRPr="00DD2B98">
        <w:rPr>
          <w:rFonts w:ascii="Times New Roman" w:eastAsia="Times New Roman" w:hAnsi="Times New Roman" w:cs="Times New Roman"/>
          <w:b/>
          <w:bCs/>
        </w:rPr>
        <w:t>3. PESTLE Analysis of the Global AI Environment</w:t>
      </w:r>
      <w:bookmarkEnd w:id="3"/>
    </w:p>
    <w:p w14:paraId="33EF0509" w14:textId="7A7A0306" w:rsidR="00BE1C5B"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 xml:space="preserve">The PESTLE analysis is a systematic, holistic model </w:t>
      </w:r>
      <w:r w:rsidR="00BF50AD" w:rsidRPr="00DD2B98">
        <w:rPr>
          <w:rFonts w:ascii="Times New Roman" w:hAnsi="Times New Roman" w:cs="Times New Roman"/>
        </w:rPr>
        <w:t>that examines</w:t>
      </w:r>
      <w:r w:rsidRPr="00DD2B98">
        <w:rPr>
          <w:rFonts w:ascii="Times New Roman" w:hAnsi="Times New Roman" w:cs="Times New Roman"/>
        </w:rPr>
        <w:t xml:space="preserve"> the external macro-environmental factors that affect the governance and strategic application of artificial intelligence (AI). Since AI systems are complex and globally oriented, organisations should take into account </w:t>
      </w:r>
      <w:r w:rsidRPr="00DD2B98">
        <w:rPr>
          <w:rFonts w:ascii="Times New Roman" w:hAnsi="Times New Roman" w:cs="Times New Roman"/>
        </w:rPr>
        <w:lastRenderedPageBreak/>
        <w:t xml:space="preserve">the interaction of political, economic, social, technological, legal and environmental forces and provide the opportunity and the </w:t>
      </w:r>
      <w:r w:rsidR="00ED0B63" w:rsidRPr="00DD2B98">
        <w:rPr>
          <w:rFonts w:ascii="Times New Roman" w:hAnsi="Times New Roman" w:cs="Times New Roman"/>
        </w:rPr>
        <w:t>risk (</w:t>
      </w:r>
      <w:r w:rsidR="00ED0B63" w:rsidRPr="00DD2B98">
        <w:rPr>
          <w:rFonts w:ascii="Times New Roman" w:hAnsi="Times New Roman" w:cs="Times New Roman"/>
          <w:color w:val="222222"/>
          <w:shd w:val="clear" w:color="auto" w:fill="FFFFFF"/>
        </w:rPr>
        <w:t>Wang et al.,2023)</w:t>
      </w:r>
      <w:r w:rsidRPr="00DD2B98">
        <w:rPr>
          <w:rFonts w:ascii="Times New Roman" w:hAnsi="Times New Roman" w:cs="Times New Roman"/>
        </w:rPr>
        <w:t>. They are highly interdependent elements, which justify the need to have dynamic and progressive leadership.</w:t>
      </w:r>
    </w:p>
    <w:p w14:paraId="73A0E695" w14:textId="77777777" w:rsidR="00BE1C5B" w:rsidRPr="00DD2B98" w:rsidRDefault="00E17469" w:rsidP="00542433">
      <w:pPr>
        <w:pStyle w:val="NoSpacing"/>
        <w:spacing w:line="480" w:lineRule="auto"/>
        <w:rPr>
          <w:rFonts w:ascii="Times New Roman" w:hAnsi="Times New Roman" w:cs="Times New Roman"/>
          <w:b/>
          <w:bCs/>
        </w:rPr>
      </w:pPr>
      <w:bookmarkStart w:id="4" w:name="_Toc227149279"/>
      <w:r w:rsidRPr="00DD2B98">
        <w:rPr>
          <w:rFonts w:ascii="Times New Roman" w:hAnsi="Times New Roman" w:cs="Times New Roman"/>
          <w:b/>
          <w:bCs/>
        </w:rPr>
        <w:t>Political Factors</w:t>
      </w:r>
      <w:bookmarkEnd w:id="4"/>
    </w:p>
    <w:p w14:paraId="0EDDDC20" w14:textId="3A922981" w:rsidR="00812AC6" w:rsidRPr="00DD2B98" w:rsidRDefault="003C3231" w:rsidP="00542433">
      <w:pPr>
        <w:pStyle w:val="NoSpacing"/>
        <w:spacing w:line="480" w:lineRule="auto"/>
        <w:rPr>
          <w:rFonts w:ascii="Times New Roman" w:hAnsi="Times New Roman" w:cs="Times New Roman"/>
        </w:rPr>
      </w:pPr>
      <w:r w:rsidRPr="00DD2B98">
        <w:rPr>
          <w:rFonts w:ascii="Times New Roman" w:hAnsi="Times New Roman" w:cs="Times New Roman"/>
        </w:rPr>
        <w:t xml:space="preserve">Governments are one of the most crucial stakeholders in the AI policies, regulatory priorities, and direction. However, the geopolitical rivalry complicates the collaboration between the world's actors to a great extent. The national interests of different regions drive the AI and, consequently, fragmented practices of </w:t>
      </w:r>
      <w:r w:rsidR="00ED0B63" w:rsidRPr="00DD2B98">
        <w:rPr>
          <w:rFonts w:ascii="Times New Roman" w:hAnsi="Times New Roman" w:cs="Times New Roman"/>
        </w:rPr>
        <w:t>governance (</w:t>
      </w:r>
      <w:proofErr w:type="spellStart"/>
      <w:r w:rsidR="00ED0B63" w:rsidRPr="00DD2B98">
        <w:rPr>
          <w:rFonts w:ascii="Times New Roman" w:hAnsi="Times New Roman" w:cs="Times New Roman"/>
          <w:color w:val="222222"/>
          <w:shd w:val="clear" w:color="auto" w:fill="FFFFFF"/>
        </w:rPr>
        <w:t>Benbya</w:t>
      </w:r>
      <w:proofErr w:type="spellEnd"/>
      <w:r w:rsidR="00ED0B63" w:rsidRPr="00DD2B98">
        <w:rPr>
          <w:rFonts w:ascii="Times New Roman" w:hAnsi="Times New Roman" w:cs="Times New Roman"/>
          <w:color w:val="222222"/>
          <w:shd w:val="clear" w:color="auto" w:fill="FFFFFF"/>
        </w:rPr>
        <w:t xml:space="preserve"> et al.,2020; Fjeld et al.,2020)</w:t>
      </w:r>
      <w:r w:rsidRPr="00DD2B98">
        <w:rPr>
          <w:rFonts w:ascii="Times New Roman" w:hAnsi="Times New Roman" w:cs="Times New Roman"/>
        </w:rPr>
        <w:t>. The case in point is that some governments are inclined towards innovation and economic competitiveness, and some governments are interested in finding ways of minimising risks and ethical controls. There is a broad spectrum of implementation across jurisdictions; common principles of AI have been sought to be supported by international organisations, including the OECD (OECD, 2023</w:t>
      </w:r>
      <w:r w:rsidR="00ED0B63" w:rsidRPr="00DD2B98">
        <w:rPr>
          <w:rFonts w:ascii="Times New Roman" w:hAnsi="Times New Roman" w:cs="Times New Roman"/>
        </w:rPr>
        <w:t>;</w:t>
      </w:r>
      <w:r w:rsidR="00ED0B63" w:rsidRPr="00DD2B98">
        <w:rPr>
          <w:rFonts w:ascii="Times New Roman" w:hAnsi="Times New Roman" w:cs="Times New Roman"/>
          <w:shd w:val="clear" w:color="auto" w:fill="FFFFFF"/>
        </w:rPr>
        <w:t xml:space="preserve"> Morley et al.,2021;</w:t>
      </w:r>
      <w:r w:rsidRPr="00DD2B98">
        <w:rPr>
          <w:rFonts w:ascii="Times New Roman" w:hAnsi="Times New Roman" w:cs="Times New Roman"/>
        </w:rPr>
        <w:t>). Similarly, the World Economic Forum (2024) also stresses that coordinated governance is important, but also acknowledges that the issue of political divergence remains.</w:t>
      </w:r>
    </w:p>
    <w:p w14:paraId="0328C056" w14:textId="77777777" w:rsidR="00BE1C5B" w:rsidRPr="00DD2B98" w:rsidRDefault="00E17469" w:rsidP="00542433">
      <w:pPr>
        <w:pStyle w:val="NoSpacing"/>
        <w:spacing w:line="480" w:lineRule="auto"/>
        <w:rPr>
          <w:rFonts w:ascii="Times New Roman" w:eastAsia="Times New Roman" w:hAnsi="Times New Roman" w:cs="Times New Roman"/>
          <w:b/>
          <w:bCs/>
        </w:rPr>
      </w:pPr>
      <w:bookmarkStart w:id="5" w:name="_Toc227149280"/>
      <w:r w:rsidRPr="00DD2B98">
        <w:rPr>
          <w:rFonts w:ascii="Times New Roman" w:eastAsia="Times New Roman" w:hAnsi="Times New Roman" w:cs="Times New Roman"/>
          <w:b/>
          <w:bCs/>
        </w:rPr>
        <w:t>Economic Factors</w:t>
      </w:r>
      <w:bookmarkEnd w:id="5"/>
    </w:p>
    <w:p w14:paraId="105CC3AF" w14:textId="392F4C81" w:rsidR="00BE1C5B"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 xml:space="preserve">AI is causing a major shift in transforming the </w:t>
      </w:r>
      <w:r w:rsidR="00BF50AD" w:rsidRPr="00DD2B98">
        <w:rPr>
          <w:rFonts w:ascii="Times New Roman" w:hAnsi="Times New Roman" w:cs="Times New Roman"/>
        </w:rPr>
        <w:t>global economy</w:t>
      </w:r>
      <w:r w:rsidRPr="00DD2B98">
        <w:rPr>
          <w:rFonts w:ascii="Times New Roman" w:hAnsi="Times New Roman" w:cs="Times New Roman"/>
        </w:rPr>
        <w:t>, resulting in productivity, innovation, and competitive advantage. The AI technologies have been steadily growing their investment, and this signifies the strategic importance of the technologies to different industries (McKinsey &amp; Company, 2023</w:t>
      </w:r>
      <w:r w:rsidR="00ED0B63" w:rsidRPr="00DD2B98">
        <w:rPr>
          <w:rFonts w:ascii="Times New Roman" w:hAnsi="Times New Roman" w:cs="Times New Roman"/>
        </w:rPr>
        <w:t>;</w:t>
      </w:r>
      <w:r w:rsidR="00ED0B63" w:rsidRPr="00DD2B98">
        <w:rPr>
          <w:rFonts w:ascii="Times New Roman" w:hAnsi="Times New Roman" w:cs="Times New Roman"/>
          <w:color w:val="222222"/>
          <w:shd w:val="clear" w:color="auto" w:fill="FFFFFF"/>
        </w:rPr>
        <w:t xml:space="preserve"> Veale</w:t>
      </w:r>
      <w:r w:rsidR="00845DAC" w:rsidRPr="00DD2B98">
        <w:rPr>
          <w:rFonts w:ascii="Times New Roman" w:hAnsi="Times New Roman" w:cs="Times New Roman"/>
          <w:color w:val="222222"/>
          <w:shd w:val="clear" w:color="auto" w:fill="FFFFFF"/>
        </w:rPr>
        <w:t xml:space="preserve"> &amp; </w:t>
      </w:r>
      <w:proofErr w:type="spellStart"/>
      <w:r w:rsidR="00ED0B63" w:rsidRPr="00DD2B98">
        <w:rPr>
          <w:rFonts w:ascii="Times New Roman" w:hAnsi="Times New Roman" w:cs="Times New Roman"/>
          <w:color w:val="222222"/>
          <w:shd w:val="clear" w:color="auto" w:fill="FFFFFF"/>
        </w:rPr>
        <w:t>Borgesius</w:t>
      </w:r>
      <w:proofErr w:type="spellEnd"/>
      <w:r w:rsidR="00ED0B63" w:rsidRPr="00DD2B98">
        <w:rPr>
          <w:rFonts w:ascii="Times New Roman" w:hAnsi="Times New Roman" w:cs="Times New Roman"/>
          <w:color w:val="222222"/>
          <w:shd w:val="clear" w:color="auto" w:fill="FFFFFF"/>
        </w:rPr>
        <w:t>, 2021</w:t>
      </w:r>
      <w:r w:rsidRPr="00DD2B98">
        <w:rPr>
          <w:rFonts w:ascii="Times New Roman" w:hAnsi="Times New Roman" w:cs="Times New Roman"/>
        </w:rPr>
        <w:t>). Expanding AI markets also point to its economic role as its penetration in different industries, such as finance, healthcare, and manufacturing, has been growing faster (</w:t>
      </w:r>
      <w:proofErr w:type="spellStart"/>
      <w:r w:rsidRPr="00DD2B98">
        <w:rPr>
          <w:rFonts w:ascii="Times New Roman" w:hAnsi="Times New Roman" w:cs="Times New Roman"/>
        </w:rPr>
        <w:t>Vailshery</w:t>
      </w:r>
      <w:proofErr w:type="spellEnd"/>
      <w:r w:rsidRPr="00DD2B98">
        <w:rPr>
          <w:rFonts w:ascii="Times New Roman" w:hAnsi="Times New Roman" w:cs="Times New Roman"/>
        </w:rPr>
        <w:t>, 2026</w:t>
      </w:r>
      <w:r w:rsidR="00845DAC" w:rsidRPr="00DD2B98">
        <w:rPr>
          <w:rFonts w:ascii="Times New Roman" w:hAnsi="Times New Roman" w:cs="Times New Roman"/>
        </w:rPr>
        <w:t>;</w:t>
      </w:r>
      <w:r w:rsidR="00845DAC" w:rsidRPr="00DD2B98">
        <w:rPr>
          <w:rFonts w:ascii="Times New Roman" w:hAnsi="Times New Roman" w:cs="Times New Roman"/>
          <w:color w:val="222222"/>
          <w:shd w:val="clear" w:color="auto" w:fill="FFFFFF"/>
        </w:rPr>
        <w:t xml:space="preserve"> Edwards, 2021; Veale et al.,2023</w:t>
      </w:r>
      <w:r w:rsidRPr="00DD2B98">
        <w:rPr>
          <w:rFonts w:ascii="Times New Roman" w:hAnsi="Times New Roman" w:cs="Times New Roman"/>
        </w:rPr>
        <w:t xml:space="preserve">). The distribution of economic benefits is, however, not equal. It is more likely that the larger </w:t>
      </w:r>
      <w:r w:rsidRPr="00DD2B98">
        <w:rPr>
          <w:rFonts w:ascii="Times New Roman" w:hAnsi="Times New Roman" w:cs="Times New Roman"/>
        </w:rPr>
        <w:lastRenderedPageBreak/>
        <w:t xml:space="preserve">technological firms, and even developed economies, have the larger share of the pie, and the smaller firms, not to mention developing regions, are unlikely to compete. This sets up barriers to entry and enhances disparities in technological capability in the world. Additionally, the costs of adoption of AI, including the cost of infrastructure, staffing, and regulatory costs, should also be compared with the returns in the long run by </w:t>
      </w:r>
      <w:proofErr w:type="spellStart"/>
      <w:r w:rsidRPr="00DD2B98">
        <w:rPr>
          <w:rFonts w:ascii="Times New Roman" w:hAnsi="Times New Roman" w:cs="Times New Roman"/>
        </w:rPr>
        <w:t>organisations</w:t>
      </w:r>
      <w:proofErr w:type="spellEnd"/>
      <w:r w:rsidRPr="00DD2B98">
        <w:rPr>
          <w:rFonts w:ascii="Times New Roman" w:hAnsi="Times New Roman" w:cs="Times New Roman"/>
        </w:rPr>
        <w:t>.</w:t>
      </w:r>
    </w:p>
    <w:p w14:paraId="51CBD954" w14:textId="77777777" w:rsidR="00BE1C5B" w:rsidRPr="00DD2B98" w:rsidRDefault="00E17469" w:rsidP="00542433">
      <w:pPr>
        <w:pStyle w:val="NoSpacing"/>
        <w:spacing w:line="480" w:lineRule="auto"/>
        <w:rPr>
          <w:rFonts w:ascii="Times New Roman" w:hAnsi="Times New Roman" w:cs="Times New Roman"/>
          <w:b/>
          <w:bCs/>
        </w:rPr>
      </w:pPr>
      <w:bookmarkStart w:id="6" w:name="_Toc227149281"/>
      <w:r w:rsidRPr="00DD2B98">
        <w:rPr>
          <w:rFonts w:ascii="Times New Roman" w:hAnsi="Times New Roman" w:cs="Times New Roman"/>
          <w:b/>
          <w:bCs/>
        </w:rPr>
        <w:t>Social Factors</w:t>
      </w:r>
      <w:bookmarkEnd w:id="6"/>
    </w:p>
    <w:p w14:paraId="5B5F8D07" w14:textId="3E4AB6D6" w:rsidR="00BE1C5B"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 xml:space="preserve">The most important part of the successful </w:t>
      </w:r>
      <w:r w:rsidR="00BF50AD" w:rsidRPr="00DD2B98">
        <w:rPr>
          <w:rFonts w:ascii="Times New Roman" w:hAnsi="Times New Roman" w:cs="Times New Roman"/>
        </w:rPr>
        <w:t xml:space="preserve">adoption </w:t>
      </w:r>
      <w:r w:rsidRPr="00DD2B98">
        <w:rPr>
          <w:rFonts w:ascii="Times New Roman" w:hAnsi="Times New Roman" w:cs="Times New Roman"/>
        </w:rPr>
        <w:t>of AI is the social one, in particular, the degree of trust and acceptance in the population. Algorithm bias, data privacy, and job displacement are the issue of concern that impacts the perception of AI technologies in society (Siau &amp; Wang, 2020</w:t>
      </w:r>
      <w:r w:rsidR="00845DAC" w:rsidRPr="00DD2B98">
        <w:rPr>
          <w:rFonts w:ascii="Times New Roman" w:hAnsi="Times New Roman" w:cs="Times New Roman"/>
        </w:rPr>
        <w:t>;</w:t>
      </w:r>
      <w:r w:rsidR="00845DAC" w:rsidRPr="00DD2B98">
        <w:rPr>
          <w:rFonts w:ascii="Times New Roman" w:hAnsi="Times New Roman" w:cs="Times New Roman"/>
          <w:color w:val="222222"/>
          <w:shd w:val="clear" w:color="auto" w:fill="FFFFFF"/>
        </w:rPr>
        <w:t xml:space="preserve"> Nemitz, 2023</w:t>
      </w:r>
      <w:r w:rsidRPr="00DD2B98">
        <w:rPr>
          <w:rFonts w:ascii="Times New Roman" w:hAnsi="Times New Roman" w:cs="Times New Roman"/>
        </w:rPr>
        <w:t>). The presence of the high-profile cases of unethical use of AI boosts these problems, as it can ruin the organisational image and ruin consumer trust. Ethics have been designed to deal with these issues, but their efficacy is usually constrained by the lack of consistency in practice within organisations and geographical areas (Jobin</w:t>
      </w:r>
      <w:r w:rsidR="00845DAC" w:rsidRPr="00DD2B98">
        <w:rPr>
          <w:rFonts w:ascii="Times New Roman" w:hAnsi="Times New Roman" w:cs="Times New Roman"/>
        </w:rPr>
        <w:t xml:space="preserve"> et al., </w:t>
      </w:r>
      <w:r w:rsidRPr="00DD2B98">
        <w:rPr>
          <w:rFonts w:ascii="Times New Roman" w:hAnsi="Times New Roman" w:cs="Times New Roman"/>
        </w:rPr>
        <w:t>2019</w:t>
      </w:r>
      <w:r w:rsidR="00CE756E" w:rsidRPr="00DD2B98">
        <w:rPr>
          <w:rFonts w:ascii="Times New Roman" w:hAnsi="Times New Roman" w:cs="Times New Roman"/>
        </w:rPr>
        <w:t>;</w:t>
      </w:r>
      <w:r w:rsidR="00CE756E" w:rsidRPr="00DD2B98">
        <w:rPr>
          <w:rFonts w:ascii="Times New Roman" w:hAnsi="Times New Roman" w:cs="Times New Roman"/>
          <w:color w:val="222222"/>
          <w:shd w:val="clear" w:color="auto" w:fill="FFFFFF"/>
        </w:rPr>
        <w:t xml:space="preserve"> Schneider et al.,2023</w:t>
      </w:r>
      <w:r w:rsidRPr="00DD2B98">
        <w:rPr>
          <w:rFonts w:ascii="Times New Roman" w:hAnsi="Times New Roman" w:cs="Times New Roman"/>
        </w:rPr>
        <w:t xml:space="preserve">). In addition, the cultural disparities define how societies perceive and manage AI and pose an additional challenge to transnational </w:t>
      </w:r>
      <w:proofErr w:type="spellStart"/>
      <w:r w:rsidRPr="00DD2B98">
        <w:rPr>
          <w:rFonts w:ascii="Times New Roman" w:hAnsi="Times New Roman" w:cs="Times New Roman"/>
        </w:rPr>
        <w:t>organisations</w:t>
      </w:r>
      <w:proofErr w:type="spellEnd"/>
      <w:r w:rsidRPr="00DD2B98">
        <w:rPr>
          <w:rFonts w:ascii="Times New Roman" w:hAnsi="Times New Roman" w:cs="Times New Roman"/>
        </w:rPr>
        <w:t>.</w:t>
      </w:r>
    </w:p>
    <w:p w14:paraId="7BB23170" w14:textId="77777777" w:rsidR="00BE1C5B" w:rsidRPr="00DD2B98" w:rsidRDefault="00E17469" w:rsidP="00542433">
      <w:pPr>
        <w:pStyle w:val="NoSpacing"/>
        <w:spacing w:line="480" w:lineRule="auto"/>
        <w:rPr>
          <w:rFonts w:ascii="Times New Roman" w:eastAsia="Times New Roman" w:hAnsi="Times New Roman" w:cs="Times New Roman"/>
          <w:b/>
          <w:bCs/>
        </w:rPr>
      </w:pPr>
      <w:bookmarkStart w:id="7" w:name="_Toc227149282"/>
      <w:r w:rsidRPr="00DD2B98">
        <w:rPr>
          <w:rFonts w:ascii="Times New Roman" w:eastAsia="Times New Roman" w:hAnsi="Times New Roman" w:cs="Times New Roman"/>
          <w:b/>
          <w:bCs/>
        </w:rPr>
        <w:t>Technological Factors</w:t>
      </w:r>
      <w:bookmarkEnd w:id="7"/>
    </w:p>
    <w:p w14:paraId="1A423A8C" w14:textId="0D65AEFC" w:rsidR="00BE1C5B"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 xml:space="preserve">The high rate of technological change presents opportunities and governance issues of AI. Artificial intelligence systems are getting increasingly complicated and can be regarded as black boxes that have little transparency. This invincibility is a gigantic challenge and control </w:t>
      </w:r>
      <w:r w:rsidR="00CE756E" w:rsidRPr="00DD2B98">
        <w:rPr>
          <w:rFonts w:ascii="Times New Roman" w:hAnsi="Times New Roman" w:cs="Times New Roman"/>
        </w:rPr>
        <w:t>issue (</w:t>
      </w:r>
      <w:r w:rsidR="00CE756E" w:rsidRPr="00DD2B98">
        <w:rPr>
          <w:rFonts w:ascii="Times New Roman" w:hAnsi="Times New Roman" w:cs="Times New Roman"/>
          <w:color w:val="222222"/>
          <w:shd w:val="clear" w:color="auto" w:fill="FFFFFF"/>
        </w:rPr>
        <w:t>Reddy et al.,2020</w:t>
      </w:r>
      <w:r w:rsidRPr="00DD2B98">
        <w:rPr>
          <w:rFonts w:ascii="Times New Roman" w:hAnsi="Times New Roman" w:cs="Times New Roman"/>
        </w:rPr>
        <w:t xml:space="preserve">. To develop trust and make sure that AI is used responsibly, it is crucial to shift to more transparent and explainable AI models, as Rai (2020) suggests. Moreover, the incorporation of AI with other emerging technologies, including big data and cloud computing, also makes the system more complex. Organisations should constantly invest in innovation as </w:t>
      </w:r>
      <w:r w:rsidRPr="00DD2B98">
        <w:rPr>
          <w:rFonts w:ascii="Times New Roman" w:hAnsi="Times New Roman" w:cs="Times New Roman"/>
        </w:rPr>
        <w:lastRenderedPageBreak/>
        <w:t>well as make sure that technological development is in line with ethical and regulatory demands. This kind of two-sided pressure underscores the importance of strategic leadership in the process of effecting technological change in a manner that is efficient.</w:t>
      </w:r>
    </w:p>
    <w:p w14:paraId="79CCC953" w14:textId="77777777" w:rsidR="00BE1C5B" w:rsidRPr="00DD2B98" w:rsidRDefault="00E17469" w:rsidP="00542433">
      <w:pPr>
        <w:pStyle w:val="NoSpacing"/>
        <w:spacing w:line="480" w:lineRule="auto"/>
        <w:rPr>
          <w:rFonts w:ascii="Times New Roman" w:hAnsi="Times New Roman" w:cs="Times New Roman"/>
          <w:b/>
          <w:bCs/>
        </w:rPr>
      </w:pPr>
      <w:bookmarkStart w:id="8" w:name="_Toc227149283"/>
      <w:r w:rsidRPr="00DD2B98">
        <w:rPr>
          <w:rFonts w:ascii="Times New Roman" w:hAnsi="Times New Roman" w:cs="Times New Roman"/>
          <w:b/>
          <w:bCs/>
        </w:rPr>
        <w:t>Legal Factors</w:t>
      </w:r>
      <w:bookmarkEnd w:id="8"/>
    </w:p>
    <w:p w14:paraId="25EADEDD" w14:textId="037E22A4" w:rsidR="00812AC6"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 xml:space="preserve">The legal and regulatory </w:t>
      </w:r>
      <w:r w:rsidR="00BF50AD" w:rsidRPr="00DD2B98">
        <w:rPr>
          <w:rFonts w:ascii="Times New Roman" w:hAnsi="Times New Roman" w:cs="Times New Roman"/>
        </w:rPr>
        <w:t xml:space="preserve">frameworks </w:t>
      </w:r>
      <w:r w:rsidRPr="00DD2B98">
        <w:rPr>
          <w:rFonts w:ascii="Times New Roman" w:hAnsi="Times New Roman" w:cs="Times New Roman"/>
        </w:rPr>
        <w:t xml:space="preserve">of AI </w:t>
      </w:r>
      <w:r w:rsidR="00BF50AD" w:rsidRPr="00DD2B98">
        <w:rPr>
          <w:rFonts w:ascii="Times New Roman" w:hAnsi="Times New Roman" w:cs="Times New Roman"/>
        </w:rPr>
        <w:t>continue</w:t>
      </w:r>
      <w:r w:rsidRPr="00DD2B98">
        <w:rPr>
          <w:rFonts w:ascii="Times New Roman" w:hAnsi="Times New Roman" w:cs="Times New Roman"/>
        </w:rPr>
        <w:t xml:space="preserve"> to be unevenly distributed across jurisdictions and </w:t>
      </w:r>
      <w:r w:rsidR="00BF50AD" w:rsidRPr="00DD2B98">
        <w:rPr>
          <w:rFonts w:ascii="Times New Roman" w:hAnsi="Times New Roman" w:cs="Times New Roman"/>
        </w:rPr>
        <w:t>are</w:t>
      </w:r>
      <w:r w:rsidRPr="00DD2B98">
        <w:rPr>
          <w:rFonts w:ascii="Times New Roman" w:hAnsi="Times New Roman" w:cs="Times New Roman"/>
        </w:rPr>
        <w:t xml:space="preserve"> a serious compliance burden to multinational organisations. Although there are elaborate practices of regulation in some aspects, in others, they are anchored on voluntary standards or industry-specific policies. This makes cross-border operations easier and organisations vulnerable to legal risks. Harmonisation of standards is underway, and international standards are being enhanced by such organisations as OECD (OECD, 2023</w:t>
      </w:r>
      <w:r w:rsidR="00CE756E" w:rsidRPr="00DD2B98">
        <w:rPr>
          <w:rFonts w:ascii="Times New Roman" w:hAnsi="Times New Roman" w:cs="Times New Roman"/>
        </w:rPr>
        <w:t>;</w:t>
      </w:r>
      <w:r w:rsidR="00CE756E" w:rsidRPr="00DD2B98">
        <w:rPr>
          <w:rFonts w:ascii="Times New Roman" w:hAnsi="Times New Roman" w:cs="Times New Roman"/>
          <w:color w:val="222222"/>
          <w:shd w:val="clear" w:color="auto" w:fill="FFFFFF"/>
        </w:rPr>
        <w:t xml:space="preserve"> Raisch </w:t>
      </w:r>
      <w:r w:rsidR="00ED210A" w:rsidRPr="00DD2B98">
        <w:rPr>
          <w:rFonts w:ascii="Times New Roman" w:hAnsi="Times New Roman" w:cs="Times New Roman"/>
          <w:color w:val="222222"/>
          <w:shd w:val="clear" w:color="auto" w:fill="FFFFFF"/>
        </w:rPr>
        <w:t xml:space="preserve">&amp; Krakowski, </w:t>
      </w:r>
      <w:r w:rsidR="00CE756E" w:rsidRPr="00DD2B98">
        <w:rPr>
          <w:rFonts w:ascii="Times New Roman" w:hAnsi="Times New Roman" w:cs="Times New Roman"/>
          <w:color w:val="222222"/>
          <w:shd w:val="clear" w:color="auto" w:fill="FFFFFF"/>
        </w:rPr>
        <w:t>2021</w:t>
      </w:r>
      <w:r w:rsidRPr="00DD2B98">
        <w:rPr>
          <w:rFonts w:ascii="Times New Roman" w:hAnsi="Times New Roman" w:cs="Times New Roman"/>
        </w:rPr>
        <w:t xml:space="preserve">). However, principles cannot work unless they are applied in some way, as Mittelstadt (2019) </w:t>
      </w:r>
      <w:r w:rsidR="00CE756E" w:rsidRPr="00DD2B98">
        <w:rPr>
          <w:rFonts w:ascii="Times New Roman" w:hAnsi="Times New Roman" w:cs="Times New Roman"/>
        </w:rPr>
        <w:t>notes</w:t>
      </w:r>
      <w:r w:rsidRPr="00DD2B98">
        <w:rPr>
          <w:rFonts w:ascii="Times New Roman" w:hAnsi="Times New Roman" w:cs="Times New Roman"/>
        </w:rPr>
        <w:t>. Organisations are therefore obliged to embrace proactive compliance strategies that take into consideration the prevailing regulations as well as the future expectations.</w:t>
      </w:r>
    </w:p>
    <w:p w14:paraId="481D855A" w14:textId="77777777" w:rsidR="00BE1C5B" w:rsidRPr="00DD2B98" w:rsidRDefault="00E17469" w:rsidP="00542433">
      <w:pPr>
        <w:pStyle w:val="NoSpacing"/>
        <w:spacing w:line="480" w:lineRule="auto"/>
        <w:rPr>
          <w:rFonts w:ascii="Times New Roman" w:eastAsia="Times New Roman" w:hAnsi="Times New Roman" w:cs="Times New Roman"/>
          <w:b/>
          <w:bCs/>
        </w:rPr>
      </w:pPr>
      <w:bookmarkStart w:id="9" w:name="_Toc227149284"/>
      <w:r w:rsidRPr="00DD2B98">
        <w:rPr>
          <w:rFonts w:ascii="Times New Roman" w:eastAsia="Times New Roman" w:hAnsi="Times New Roman" w:cs="Times New Roman"/>
          <w:b/>
          <w:bCs/>
        </w:rPr>
        <w:t>Environmental Factors</w:t>
      </w:r>
      <w:bookmarkEnd w:id="9"/>
    </w:p>
    <w:p w14:paraId="04253545" w14:textId="738833F7" w:rsidR="00BE1C5B"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 xml:space="preserve">The environmental effect of AI is a more important issue to bring to the agenda of the world government. Artificial intelligence systems, especially those that have to process a significant volume of information and apply machine learning algorithms, are energy-intensive. This brings about a problem of sustainability and the carbon footprint of digital infrastructure. With the increased use of AI by organisations, organisations should take into account the environmental impacts of their technological </w:t>
      </w:r>
      <w:r w:rsidR="00ED210A" w:rsidRPr="00DD2B98">
        <w:rPr>
          <w:rFonts w:ascii="Times New Roman" w:hAnsi="Times New Roman" w:cs="Times New Roman"/>
        </w:rPr>
        <w:t>decisions (</w:t>
      </w:r>
      <w:proofErr w:type="spellStart"/>
      <w:r w:rsidR="00ED210A" w:rsidRPr="00DD2B98">
        <w:rPr>
          <w:rFonts w:ascii="Times New Roman" w:hAnsi="Times New Roman" w:cs="Times New Roman"/>
          <w:color w:val="222222"/>
          <w:shd w:val="clear" w:color="auto" w:fill="FFFFFF"/>
        </w:rPr>
        <w:t>Ghildiyal</w:t>
      </w:r>
      <w:proofErr w:type="spellEnd"/>
      <w:r w:rsidR="00ED210A" w:rsidRPr="00DD2B98">
        <w:rPr>
          <w:rFonts w:ascii="Times New Roman" w:hAnsi="Times New Roman" w:cs="Times New Roman"/>
          <w:color w:val="222222"/>
          <w:shd w:val="clear" w:color="auto" w:fill="FFFFFF"/>
        </w:rPr>
        <w:t xml:space="preserve"> et al., 2025; Guo, 2020).</w:t>
      </w:r>
      <w:r w:rsidRPr="00DD2B98">
        <w:rPr>
          <w:rFonts w:ascii="Times New Roman" w:hAnsi="Times New Roman" w:cs="Times New Roman"/>
        </w:rPr>
        <w:t xml:space="preserve"> The energy-consuming and green data centres algorithms are now taking a niche in the sustainable AI operations that have become a part of the governance. These thoughts are consistent with the </w:t>
      </w:r>
      <w:r w:rsidRPr="00DD2B98">
        <w:rPr>
          <w:rFonts w:ascii="Times New Roman" w:hAnsi="Times New Roman" w:cs="Times New Roman"/>
        </w:rPr>
        <w:lastRenderedPageBreak/>
        <w:t>bigger global sustainability goals and highlight the need for combined measures that would put in balance the advancement in technology and environmentally friendly activities.</w:t>
      </w:r>
    </w:p>
    <w:p w14:paraId="6FE90BCF" w14:textId="5A79513D" w:rsidR="00341CCA" w:rsidRPr="00DD2B98" w:rsidRDefault="00E17469" w:rsidP="00542433">
      <w:pPr>
        <w:pStyle w:val="NoSpacing"/>
        <w:spacing w:line="480" w:lineRule="auto"/>
        <w:rPr>
          <w:rFonts w:ascii="Times New Roman" w:hAnsi="Times New Roman" w:cs="Times New Roman"/>
          <w:b/>
          <w:bCs/>
        </w:rPr>
      </w:pPr>
      <w:bookmarkStart w:id="10" w:name="_Toc227149285"/>
      <w:r w:rsidRPr="00DD2B98">
        <w:rPr>
          <w:rFonts w:ascii="Times New Roman" w:hAnsi="Times New Roman" w:cs="Times New Roman"/>
          <w:b/>
          <w:bCs/>
        </w:rPr>
        <w:t>4. UK vs EU Comparative Analysis</w:t>
      </w:r>
      <w:bookmarkEnd w:id="10"/>
      <w:r w:rsidRPr="00DD2B98">
        <w:rPr>
          <w:rFonts w:ascii="Times New Roman" w:hAnsi="Times New Roman" w:cs="Times New Roman"/>
          <w:b/>
          <w:bCs/>
        </w:rPr>
        <w:t xml:space="preserve"> </w:t>
      </w:r>
    </w:p>
    <w:p w14:paraId="5A76EC46" w14:textId="56273918" w:rsidR="00341CCA"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 xml:space="preserve">One of the major issues that multinational organisations that work within the context of artificial intelligence (AI) will be forced to address is the difference in the regulatory framework and rules in the United Kingdom (UK) and the European Union (EU). The design, philosophy, and implementation of regulations in the two are vastly dissimilar despite the fact that the two jurisdictions appreciate the power of AI transformation and the risks of </w:t>
      </w:r>
      <w:r w:rsidR="00ED210A" w:rsidRPr="00DD2B98">
        <w:rPr>
          <w:rFonts w:ascii="Times New Roman" w:hAnsi="Times New Roman" w:cs="Times New Roman"/>
        </w:rPr>
        <w:t>AI (</w:t>
      </w:r>
      <w:proofErr w:type="spellStart"/>
      <w:r w:rsidR="00ED210A" w:rsidRPr="00DD2B98">
        <w:rPr>
          <w:rFonts w:ascii="Times New Roman" w:hAnsi="Times New Roman" w:cs="Times New Roman"/>
          <w:color w:val="222222"/>
          <w:shd w:val="clear" w:color="auto" w:fill="FFFFFF"/>
        </w:rPr>
        <w:t>Hagendorff</w:t>
      </w:r>
      <w:proofErr w:type="spellEnd"/>
      <w:r w:rsidR="00ED210A" w:rsidRPr="00DD2B98">
        <w:rPr>
          <w:rFonts w:ascii="Times New Roman" w:hAnsi="Times New Roman" w:cs="Times New Roman"/>
          <w:color w:val="222222"/>
          <w:shd w:val="clear" w:color="auto" w:fill="FFFFFF"/>
        </w:rPr>
        <w:t>, 2022)</w:t>
      </w:r>
      <w:r w:rsidRPr="00DD2B98">
        <w:rPr>
          <w:rFonts w:ascii="Times New Roman" w:hAnsi="Times New Roman" w:cs="Times New Roman"/>
        </w:rPr>
        <w:t xml:space="preserve">. Such differences pose opportunities and challenges to organisations that are interested in doing business in such regions, especially </w:t>
      </w:r>
      <w:r w:rsidR="003C3231" w:rsidRPr="00DD2B98">
        <w:rPr>
          <w:rFonts w:ascii="Times New Roman" w:hAnsi="Times New Roman" w:cs="Times New Roman"/>
        </w:rPr>
        <w:t>about</w:t>
      </w:r>
      <w:r w:rsidRPr="00DD2B98">
        <w:rPr>
          <w:rFonts w:ascii="Times New Roman" w:hAnsi="Times New Roman" w:cs="Times New Roman"/>
        </w:rPr>
        <w:t xml:space="preserve"> compliance, risk management and strategic decision-making.</w:t>
      </w:r>
    </w:p>
    <w:p w14:paraId="1F531ECF" w14:textId="77777777" w:rsidR="00341CCA" w:rsidRPr="00DD2B98" w:rsidRDefault="00E17469" w:rsidP="00542433">
      <w:pPr>
        <w:pStyle w:val="NoSpacing"/>
        <w:spacing w:line="480" w:lineRule="auto"/>
        <w:rPr>
          <w:rFonts w:ascii="Times New Roman" w:eastAsia="Times New Roman" w:hAnsi="Times New Roman" w:cs="Times New Roman"/>
          <w:b/>
          <w:bCs/>
        </w:rPr>
      </w:pPr>
      <w:bookmarkStart w:id="11" w:name="_Toc227149286"/>
      <w:r w:rsidRPr="00DD2B98">
        <w:rPr>
          <w:rFonts w:ascii="Times New Roman" w:eastAsia="Times New Roman" w:hAnsi="Times New Roman" w:cs="Times New Roman"/>
          <w:b/>
          <w:bCs/>
        </w:rPr>
        <w:t>Regulatory Approach</w:t>
      </w:r>
      <w:bookmarkEnd w:id="11"/>
    </w:p>
    <w:p w14:paraId="73A1C32C" w14:textId="5A8D8886" w:rsidR="00341CCA"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The European Union is a precautionary approach towards technological governance, which is mainly based on a centralised and risk-driven regulatory framework. The European Commission (2023) provides a systematised approach according to which AI systems may fall into the risk level, with the minimum risk being a low risk, and the maximum risk being a high-risk and unacceptable. System-critical systems (like infrastructure or policing) are also high-demand systems, and they involve both transparency and accountability as well as human supervision. The culture is indicative of the wider regulatory culture of the EU that values consumer protection, privacy of data</w:t>
      </w:r>
      <w:r w:rsidR="003C3231" w:rsidRPr="00DD2B98">
        <w:rPr>
          <w:rFonts w:ascii="Times New Roman" w:hAnsi="Times New Roman" w:cs="Times New Roman"/>
        </w:rPr>
        <w:t>,</w:t>
      </w:r>
      <w:r w:rsidRPr="00DD2B98">
        <w:rPr>
          <w:rFonts w:ascii="Times New Roman" w:hAnsi="Times New Roman" w:cs="Times New Roman"/>
        </w:rPr>
        <w:t xml:space="preserve"> and legal responsibility. Conversely, the UK has been following a principles-based and decentralised approach to AI </w:t>
      </w:r>
      <w:r w:rsidR="00106916" w:rsidRPr="00DD2B98">
        <w:rPr>
          <w:rFonts w:ascii="Times New Roman" w:hAnsi="Times New Roman" w:cs="Times New Roman"/>
        </w:rPr>
        <w:t>governance (</w:t>
      </w:r>
      <w:r w:rsidR="00106916" w:rsidRPr="00DD2B98">
        <w:rPr>
          <w:rFonts w:ascii="Times New Roman" w:hAnsi="Times New Roman" w:cs="Times New Roman"/>
          <w:color w:val="222222"/>
          <w:shd w:val="clear" w:color="auto" w:fill="FFFFFF"/>
        </w:rPr>
        <w:t>Kroll &amp; Berzins, 2022)</w:t>
      </w:r>
      <w:r w:rsidRPr="00DD2B98">
        <w:rPr>
          <w:rFonts w:ascii="Times New Roman" w:hAnsi="Times New Roman" w:cs="Times New Roman"/>
        </w:rPr>
        <w:t xml:space="preserve">. There is no single regulatory framework in the UK; instead, the UK has to be content with the current sector-specific regulators to rationalise and establish the general principles of fairness, </w:t>
      </w:r>
      <w:r w:rsidRPr="00DD2B98">
        <w:rPr>
          <w:rFonts w:ascii="Times New Roman" w:hAnsi="Times New Roman" w:cs="Times New Roman"/>
        </w:rPr>
        <w:lastRenderedPageBreak/>
        <w:t xml:space="preserve">accountability, and </w:t>
      </w:r>
      <w:r w:rsidR="00106916" w:rsidRPr="00DD2B98">
        <w:rPr>
          <w:rFonts w:ascii="Times New Roman" w:hAnsi="Times New Roman" w:cs="Times New Roman"/>
        </w:rPr>
        <w:t>transparency (</w:t>
      </w:r>
      <w:r w:rsidR="00106916" w:rsidRPr="00DD2B98">
        <w:rPr>
          <w:rFonts w:ascii="Times New Roman" w:hAnsi="Times New Roman" w:cs="Times New Roman"/>
          <w:shd w:val="clear" w:color="auto" w:fill="FFFFFF"/>
        </w:rPr>
        <w:t>Stark et al.,2020)</w:t>
      </w:r>
      <w:r w:rsidRPr="00DD2B98">
        <w:rPr>
          <w:rFonts w:ascii="Times New Roman" w:hAnsi="Times New Roman" w:cs="Times New Roman"/>
        </w:rPr>
        <w:t>. It is a more flexible model that is designed to encourage innovation, but not inflexibility that can be produced through highly prescriptive regulation. It has led to a more lenient regulatory climate under which organisations in the UK are functioning. However, it may also lead to inconsistency in the interpretation and application as well. These discrepancies in approaches are not a one-off international phenomenon in the sphere of AI regulation, and jurisdictions have to find a balance between the need to innovate and the need to decrease the risks (Dwivedi et al., 2021). The EU is more interested in defining boundaries that can be comprehended legally, whereas the UK is more focused on being flexible and agile to technological change.</w:t>
      </w:r>
    </w:p>
    <w:p w14:paraId="1FC95BDC" w14:textId="77777777" w:rsidR="00341CCA" w:rsidRPr="00DD2B98" w:rsidRDefault="00E17469" w:rsidP="00542433">
      <w:pPr>
        <w:pStyle w:val="NoSpacing"/>
        <w:spacing w:line="480" w:lineRule="auto"/>
        <w:rPr>
          <w:rFonts w:ascii="Times New Roman" w:hAnsi="Times New Roman" w:cs="Times New Roman"/>
          <w:b/>
          <w:bCs/>
        </w:rPr>
      </w:pPr>
      <w:bookmarkStart w:id="12" w:name="_Toc227149287"/>
      <w:r w:rsidRPr="00DD2B98">
        <w:rPr>
          <w:rFonts w:ascii="Times New Roman" w:hAnsi="Times New Roman" w:cs="Times New Roman"/>
          <w:b/>
          <w:bCs/>
        </w:rPr>
        <w:t>Governance Philosophy</w:t>
      </w:r>
      <w:bookmarkEnd w:id="12"/>
    </w:p>
    <w:p w14:paraId="53E77D1D" w14:textId="2747B5E2" w:rsidR="00341CCA"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 xml:space="preserve">These differences in regulation are due to the different philosophies of governance. The philosophy of the EU is precaution and risk mitigation, which aims at avoiding harm before it takes place. It is reflected in its focus on the notion of ethical AI, the basic rights, and the appropriate regulatory frameworks (European Commission, 2023). The EU approach is consistent with the global approach of formulating ethical standards on AI, with allusions to the initiatives of other paradigms, such as the proposals of Floridi et al. (2018) that revolve around such principles as beneficence, non-maleficence, and justice. In its turn, the UK is guided by an innovative and business-oriented philosophy since it is concerned with the development of the economy and technical prosperity. This is one of the manifestations of the notion that too much regulation may kill innovation and competition in the world. The UK seeks to ensure that the environment is supportive of experimentation and rapid development by allowing regulators of the sector to tailor the governance to unique </w:t>
      </w:r>
      <w:r w:rsidR="00106916" w:rsidRPr="00DD2B98">
        <w:rPr>
          <w:rFonts w:ascii="Times New Roman" w:hAnsi="Times New Roman" w:cs="Times New Roman"/>
        </w:rPr>
        <w:t>circumstances (</w:t>
      </w:r>
      <w:proofErr w:type="spellStart"/>
      <w:r w:rsidR="00106916" w:rsidRPr="00DD2B98">
        <w:rPr>
          <w:rFonts w:ascii="Times New Roman" w:hAnsi="Times New Roman" w:cs="Times New Roman"/>
          <w:color w:val="222222"/>
          <w:shd w:val="clear" w:color="auto" w:fill="FFFFFF"/>
        </w:rPr>
        <w:t>Hausenloy</w:t>
      </w:r>
      <w:proofErr w:type="spellEnd"/>
      <w:r w:rsidR="00106916" w:rsidRPr="00DD2B98">
        <w:rPr>
          <w:rFonts w:ascii="Times New Roman" w:hAnsi="Times New Roman" w:cs="Times New Roman"/>
          <w:color w:val="222222"/>
          <w:shd w:val="clear" w:color="auto" w:fill="FFFFFF"/>
        </w:rPr>
        <w:t xml:space="preserve"> et al.,2024; </w:t>
      </w:r>
      <w:proofErr w:type="spellStart"/>
      <w:r w:rsidR="00106916" w:rsidRPr="00DD2B98">
        <w:rPr>
          <w:rFonts w:ascii="Times New Roman" w:hAnsi="Times New Roman" w:cs="Times New Roman"/>
          <w:color w:val="222222"/>
          <w:shd w:val="clear" w:color="auto" w:fill="FFFFFF"/>
        </w:rPr>
        <w:t>Coeckelbergh</w:t>
      </w:r>
      <w:proofErr w:type="spellEnd"/>
      <w:r w:rsidR="00106916" w:rsidRPr="00DD2B98">
        <w:rPr>
          <w:rFonts w:ascii="Times New Roman" w:hAnsi="Times New Roman" w:cs="Times New Roman"/>
          <w:color w:val="222222"/>
          <w:shd w:val="clear" w:color="auto" w:fill="FFFFFF"/>
        </w:rPr>
        <w:t>, 2025)</w:t>
      </w:r>
      <w:r w:rsidRPr="00DD2B98">
        <w:rPr>
          <w:rFonts w:ascii="Times New Roman" w:hAnsi="Times New Roman" w:cs="Times New Roman"/>
        </w:rPr>
        <w:t xml:space="preserve">. Nonetheless, this method puts more of the burden on organisations to </w:t>
      </w:r>
      <w:r w:rsidRPr="00DD2B98">
        <w:rPr>
          <w:rFonts w:ascii="Times New Roman" w:hAnsi="Times New Roman" w:cs="Times New Roman"/>
        </w:rPr>
        <w:lastRenderedPageBreak/>
        <w:t xml:space="preserve">implement and interpret ethical principles in a more effective manner. The arguments of these philosophical divergences echo the broader argument of AI regulation between control and flexibility. The mechanisms of implementation are needed in themselves, even though high-level ethical principles are not sufficient in themselves, as Mittelstadt (2019) </w:t>
      </w:r>
      <w:r w:rsidR="00106916" w:rsidRPr="00DD2B98">
        <w:rPr>
          <w:rFonts w:ascii="Times New Roman" w:hAnsi="Times New Roman" w:cs="Times New Roman"/>
        </w:rPr>
        <w:t>argues</w:t>
      </w:r>
      <w:r w:rsidRPr="00DD2B98">
        <w:rPr>
          <w:rFonts w:ascii="Times New Roman" w:hAnsi="Times New Roman" w:cs="Times New Roman"/>
        </w:rPr>
        <w:t>.</w:t>
      </w:r>
    </w:p>
    <w:p w14:paraId="72B7A7E2" w14:textId="77777777" w:rsidR="00341CCA" w:rsidRPr="00DD2B98" w:rsidRDefault="00E17469" w:rsidP="00542433">
      <w:pPr>
        <w:pStyle w:val="NoSpacing"/>
        <w:spacing w:line="480" w:lineRule="auto"/>
        <w:rPr>
          <w:rFonts w:ascii="Times New Roman" w:eastAsia="Times New Roman" w:hAnsi="Times New Roman" w:cs="Times New Roman"/>
          <w:b/>
          <w:bCs/>
        </w:rPr>
      </w:pPr>
      <w:bookmarkStart w:id="13" w:name="_Toc227149288"/>
      <w:r w:rsidRPr="00DD2B98">
        <w:rPr>
          <w:rFonts w:ascii="Times New Roman" w:eastAsia="Times New Roman" w:hAnsi="Times New Roman" w:cs="Times New Roman"/>
          <w:b/>
          <w:bCs/>
        </w:rPr>
        <w:t>Business Impact</w:t>
      </w:r>
      <w:bookmarkEnd w:id="13"/>
    </w:p>
    <w:p w14:paraId="3C117635" w14:textId="173A8209" w:rsidR="00341CCA"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The impact of these differences in the UK and the EU strategies on multinational organisations is disastrous. The EU regulatory framework is indeed more certain in terms of legal framework, but it also creates more costs of compliance. Investments in a governance framework, documentation, and technical modifications should be made by organisations to address the regulatory requirements, especially where AI systems are high-</w:t>
      </w:r>
      <w:r w:rsidR="00571A13" w:rsidRPr="00DD2B98">
        <w:rPr>
          <w:rFonts w:ascii="Times New Roman" w:hAnsi="Times New Roman" w:cs="Times New Roman"/>
        </w:rPr>
        <w:t>risk (</w:t>
      </w:r>
      <w:r w:rsidR="00571A13" w:rsidRPr="00DD2B98">
        <w:rPr>
          <w:rFonts w:ascii="Times New Roman" w:hAnsi="Times New Roman" w:cs="Times New Roman"/>
          <w:shd w:val="clear" w:color="auto" w:fill="FFFFFF"/>
        </w:rPr>
        <w:t>Lee et al.,2021)</w:t>
      </w:r>
      <w:r w:rsidRPr="00DD2B98">
        <w:rPr>
          <w:rFonts w:ascii="Times New Roman" w:hAnsi="Times New Roman" w:cs="Times New Roman"/>
        </w:rPr>
        <w:t xml:space="preserve">. However, these expenses can typically be offset with an increased consumer confidence and a reduced reputational risk since compliance with AI use is a factor of responsible and ethical use. On the other hand, a flexible approach in the UK offers a greater deal of flexibility to operations, and organisations can design and redesign faster to respond to the changes in the market conditions. This will be in a position to provide them with a competitive edge, particularly in the fast-changing </w:t>
      </w:r>
      <w:r w:rsidR="00571A13" w:rsidRPr="00DD2B98">
        <w:rPr>
          <w:rFonts w:ascii="Times New Roman" w:hAnsi="Times New Roman" w:cs="Times New Roman"/>
        </w:rPr>
        <w:t>industries (</w:t>
      </w:r>
      <w:r w:rsidR="00571A13" w:rsidRPr="00DD2B98">
        <w:rPr>
          <w:rFonts w:ascii="Times New Roman" w:hAnsi="Times New Roman" w:cs="Times New Roman"/>
          <w:color w:val="222222"/>
          <w:shd w:val="clear" w:color="auto" w:fill="FFFFFF"/>
        </w:rPr>
        <w:t>Stahl, 2023; Kiden et al.,2024)</w:t>
      </w:r>
      <w:r w:rsidRPr="00DD2B98">
        <w:rPr>
          <w:rFonts w:ascii="Times New Roman" w:hAnsi="Times New Roman" w:cs="Times New Roman"/>
        </w:rPr>
        <w:t xml:space="preserve">. However, the lack of a detailed regulatory framework will result in a situation where organisations will be forced to deal with various regulatory authorities, as well as implement principles without definitively and uniformly applicable rules. These differences can be part of the further fragmentation of AI regulation on an international scale. According to the OECD (2023), although there are international principles, there is a wide range of implementation in different regions. The disparity makes the operations across borders difficult and encourages standard harmonisation. On the same note, the World </w:t>
      </w:r>
      <w:r w:rsidRPr="00DD2B98">
        <w:rPr>
          <w:rFonts w:ascii="Times New Roman" w:hAnsi="Times New Roman" w:cs="Times New Roman"/>
        </w:rPr>
        <w:lastRenderedPageBreak/>
        <w:t>Economic Forum (2024) highlights that regulatory dissimilarity may pose a hindrance to international cooperation and innovation.</w:t>
      </w:r>
    </w:p>
    <w:p w14:paraId="04F0B097" w14:textId="77777777" w:rsidR="00341CCA" w:rsidRPr="00DD2B98" w:rsidRDefault="00E17469" w:rsidP="00542433">
      <w:pPr>
        <w:pStyle w:val="NoSpacing"/>
        <w:spacing w:line="480" w:lineRule="auto"/>
        <w:rPr>
          <w:rFonts w:ascii="Times New Roman" w:hAnsi="Times New Roman" w:cs="Times New Roman"/>
          <w:b/>
          <w:bCs/>
        </w:rPr>
      </w:pPr>
      <w:bookmarkStart w:id="14" w:name="_Toc227149289"/>
      <w:r w:rsidRPr="00DD2B98">
        <w:rPr>
          <w:rFonts w:ascii="Times New Roman" w:hAnsi="Times New Roman" w:cs="Times New Roman"/>
          <w:b/>
          <w:bCs/>
        </w:rPr>
        <w:t>Strategic Implications for Multinational Organisations</w:t>
      </w:r>
      <w:bookmarkEnd w:id="14"/>
    </w:p>
    <w:p w14:paraId="02AB2432" w14:textId="08CAF122" w:rsidR="00341CCA"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 xml:space="preserve">Considering these differences, multinational organisations need to embrace </w:t>
      </w:r>
      <w:r w:rsidR="00BF50AD" w:rsidRPr="00DD2B98">
        <w:rPr>
          <w:rFonts w:ascii="Times New Roman" w:hAnsi="Times New Roman" w:cs="Times New Roman"/>
        </w:rPr>
        <w:t>a dual compliance</w:t>
      </w:r>
      <w:r w:rsidRPr="00DD2B98">
        <w:rPr>
          <w:rFonts w:ascii="Times New Roman" w:hAnsi="Times New Roman" w:cs="Times New Roman"/>
        </w:rPr>
        <w:t xml:space="preserve"> </w:t>
      </w:r>
      <w:r w:rsidR="00BF50AD" w:rsidRPr="00DD2B98">
        <w:rPr>
          <w:rFonts w:ascii="Times New Roman" w:hAnsi="Times New Roman" w:cs="Times New Roman"/>
        </w:rPr>
        <w:t>approach</w:t>
      </w:r>
      <w:r w:rsidRPr="00DD2B98">
        <w:rPr>
          <w:rFonts w:ascii="Times New Roman" w:hAnsi="Times New Roman" w:cs="Times New Roman"/>
        </w:rPr>
        <w:t xml:space="preserve"> to ensure they can work in each of the regions. This means adaptation to the increased requirements of the regulatory demands of the EU and the capability to compete in the UK </w:t>
      </w:r>
      <w:r w:rsidR="003B7410" w:rsidRPr="00DD2B98">
        <w:rPr>
          <w:rFonts w:ascii="Times New Roman" w:hAnsi="Times New Roman" w:cs="Times New Roman"/>
        </w:rPr>
        <w:t>market (</w:t>
      </w:r>
      <w:proofErr w:type="spellStart"/>
      <w:r w:rsidR="003B7410" w:rsidRPr="00DD2B98">
        <w:rPr>
          <w:rFonts w:ascii="Times New Roman" w:hAnsi="Times New Roman" w:cs="Times New Roman"/>
          <w:color w:val="222222"/>
          <w:shd w:val="clear" w:color="auto" w:fill="FFFFFF"/>
        </w:rPr>
        <w:t>Makridakis</w:t>
      </w:r>
      <w:proofErr w:type="spellEnd"/>
      <w:r w:rsidR="003B7410" w:rsidRPr="00DD2B98">
        <w:rPr>
          <w:rFonts w:ascii="Times New Roman" w:hAnsi="Times New Roman" w:cs="Times New Roman"/>
          <w:color w:val="222222"/>
          <w:shd w:val="clear" w:color="auto" w:fill="FFFFFF"/>
        </w:rPr>
        <w:t xml:space="preserve"> &amp; </w:t>
      </w:r>
      <w:proofErr w:type="spellStart"/>
      <w:r w:rsidR="003B7410" w:rsidRPr="00DD2B98">
        <w:rPr>
          <w:rFonts w:ascii="Times New Roman" w:hAnsi="Times New Roman" w:cs="Times New Roman"/>
          <w:color w:val="222222"/>
          <w:shd w:val="clear" w:color="auto" w:fill="FFFFFF"/>
        </w:rPr>
        <w:t>Michailides</w:t>
      </w:r>
      <w:proofErr w:type="spellEnd"/>
      <w:r w:rsidR="003B7410" w:rsidRPr="00DD2B98">
        <w:rPr>
          <w:rFonts w:ascii="Times New Roman" w:hAnsi="Times New Roman" w:cs="Times New Roman"/>
          <w:color w:val="222222"/>
          <w:shd w:val="clear" w:color="auto" w:fill="FFFFFF"/>
        </w:rPr>
        <w:t>, 2025)</w:t>
      </w:r>
      <w:r w:rsidRPr="00DD2B98">
        <w:rPr>
          <w:rFonts w:ascii="Times New Roman" w:hAnsi="Times New Roman" w:cs="Times New Roman"/>
        </w:rPr>
        <w:t>. The reality with most organisations is that there is a highest standard approach whereby organisations will refer to the EU regulations as far as international operations are concerned. This plan minimises the chances of non-compliance and eases governance procedures across jurisdictions. In the meantime, organisations need to be agile enough to capitalise on the more</w:t>
      </w:r>
      <w:r w:rsidR="00346FF1" w:rsidRPr="00DD2B98">
        <w:rPr>
          <w:rFonts w:ascii="Times New Roman" w:hAnsi="Times New Roman" w:cs="Times New Roman"/>
        </w:rPr>
        <w:t xml:space="preserve"> flexible </w:t>
      </w:r>
      <w:r w:rsidRPr="00DD2B98">
        <w:rPr>
          <w:rFonts w:ascii="Times New Roman" w:hAnsi="Times New Roman" w:cs="Times New Roman"/>
        </w:rPr>
        <w:t xml:space="preserve">environment in the </w:t>
      </w:r>
      <w:r w:rsidR="003B7410" w:rsidRPr="00DD2B98">
        <w:rPr>
          <w:rFonts w:ascii="Times New Roman" w:hAnsi="Times New Roman" w:cs="Times New Roman"/>
        </w:rPr>
        <w:t>UK (</w:t>
      </w:r>
      <w:proofErr w:type="spellStart"/>
      <w:r w:rsidR="003B7410" w:rsidRPr="00DD2B98">
        <w:rPr>
          <w:rFonts w:ascii="Times New Roman" w:hAnsi="Times New Roman" w:cs="Times New Roman"/>
          <w:color w:val="222222"/>
          <w:shd w:val="clear" w:color="auto" w:fill="FFFFFF"/>
        </w:rPr>
        <w:t>Benbya</w:t>
      </w:r>
      <w:proofErr w:type="spellEnd"/>
      <w:r w:rsidR="003B7410" w:rsidRPr="00DD2B98">
        <w:rPr>
          <w:rFonts w:ascii="Times New Roman" w:hAnsi="Times New Roman" w:cs="Times New Roman"/>
          <w:color w:val="222222"/>
          <w:shd w:val="clear" w:color="auto" w:fill="FFFFFF"/>
        </w:rPr>
        <w:t xml:space="preserve"> &amp; Melville, 2025)</w:t>
      </w:r>
      <w:r w:rsidRPr="00DD2B98">
        <w:rPr>
          <w:rFonts w:ascii="Times New Roman" w:hAnsi="Times New Roman" w:cs="Times New Roman"/>
        </w:rPr>
        <w:t xml:space="preserve">. This can include testing of new AI products in the UK and also expanding them to other markets </w:t>
      </w:r>
      <w:r w:rsidR="003C3231" w:rsidRPr="00DD2B98">
        <w:rPr>
          <w:rFonts w:ascii="Times New Roman" w:hAnsi="Times New Roman" w:cs="Times New Roman"/>
        </w:rPr>
        <w:t>that</w:t>
      </w:r>
      <w:r w:rsidRPr="00DD2B98">
        <w:rPr>
          <w:rFonts w:ascii="Times New Roman" w:hAnsi="Times New Roman" w:cs="Times New Roman"/>
        </w:rPr>
        <w:t xml:space="preserve"> are more regulated. This will assist organisations to strike the right balance between innovation and compliance by reaping the benefits of any regulatory system. It is highly important that leadership should be used in manoeuvring these complexities. The top management should also make sure that not only are the governance structures compliant, but also in line with the organisational objectives. This will involve the inclusion of law, ethics</w:t>
      </w:r>
      <w:r w:rsidR="003C3231" w:rsidRPr="00DD2B98">
        <w:rPr>
          <w:rFonts w:ascii="Times New Roman" w:hAnsi="Times New Roman" w:cs="Times New Roman"/>
        </w:rPr>
        <w:t>,</w:t>
      </w:r>
      <w:r w:rsidRPr="00DD2B98">
        <w:rPr>
          <w:rFonts w:ascii="Times New Roman" w:hAnsi="Times New Roman" w:cs="Times New Roman"/>
        </w:rPr>
        <w:t xml:space="preserve"> and technology in decision-making and the creation of a culture of accountability and </w:t>
      </w:r>
      <w:r w:rsidR="003B7410" w:rsidRPr="00DD2B98">
        <w:rPr>
          <w:rFonts w:ascii="Times New Roman" w:hAnsi="Times New Roman" w:cs="Times New Roman"/>
        </w:rPr>
        <w:t>openness (</w:t>
      </w:r>
      <w:r w:rsidR="003B7410" w:rsidRPr="00DD2B98">
        <w:rPr>
          <w:rFonts w:ascii="Times New Roman" w:hAnsi="Times New Roman" w:cs="Times New Roman"/>
          <w:color w:val="222222"/>
          <w:shd w:val="clear" w:color="auto" w:fill="FFFFFF"/>
        </w:rPr>
        <w:t>Connolly, 2026;</w:t>
      </w:r>
      <w:r w:rsidR="003B7410" w:rsidRPr="00DD2B98">
        <w:rPr>
          <w:rFonts w:ascii="Times New Roman" w:hAnsi="Times New Roman" w:cs="Times New Roman"/>
          <w:shd w:val="clear" w:color="auto" w:fill="FFFFFF"/>
        </w:rPr>
        <w:t xml:space="preserve"> Zekos, 2021</w:t>
      </w:r>
      <w:r w:rsidR="003B7410" w:rsidRPr="00DD2B98">
        <w:rPr>
          <w:rFonts w:ascii="Times New Roman" w:hAnsi="Times New Roman" w:cs="Times New Roman"/>
          <w:color w:val="222222"/>
          <w:shd w:val="clear" w:color="auto" w:fill="FFFFFF"/>
        </w:rPr>
        <w:t>)</w:t>
      </w:r>
      <w:r w:rsidRPr="00DD2B98">
        <w:rPr>
          <w:rFonts w:ascii="Times New Roman" w:hAnsi="Times New Roman" w:cs="Times New Roman"/>
        </w:rPr>
        <w:t>. Organisations should be able to look into the future and speculate on the future with regard to regulations. AI governance is a fast-developing area, and the UK and the EU will hone their methods as time passes. The involvement of policy makers, the association of industries and other international organisations can assist the organisations to stay ahead of the curve in terms of changes in regulation and shape the setting of standards.</w:t>
      </w:r>
    </w:p>
    <w:p w14:paraId="3A453B85" w14:textId="32C1C07A" w:rsidR="002B0EB1" w:rsidRPr="00DD2B98" w:rsidRDefault="00E17469" w:rsidP="00542433">
      <w:pPr>
        <w:pStyle w:val="NoSpacing"/>
        <w:spacing w:line="480" w:lineRule="auto"/>
        <w:rPr>
          <w:rFonts w:ascii="Times New Roman" w:eastAsia="Times New Roman" w:hAnsi="Times New Roman" w:cs="Times New Roman"/>
          <w:b/>
          <w:bCs/>
        </w:rPr>
      </w:pPr>
      <w:bookmarkStart w:id="15" w:name="_Toc227149290"/>
      <w:r w:rsidRPr="00DD2B98">
        <w:rPr>
          <w:rFonts w:ascii="Times New Roman" w:eastAsia="Times New Roman" w:hAnsi="Times New Roman" w:cs="Times New Roman"/>
          <w:b/>
          <w:bCs/>
        </w:rPr>
        <w:lastRenderedPageBreak/>
        <w:t>5. Governance Frameworks and Global Coordination</w:t>
      </w:r>
      <w:bookmarkEnd w:id="15"/>
    </w:p>
    <w:p w14:paraId="7DB26298" w14:textId="19A4A620" w:rsidR="008551C4"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The governance of artificial intelligence (AI) needs to be coordinated on national, regional, and global levels since no one jurisdiction can control its creation and use in a vacuum. The lack of boundaries of AI has resulted in the development of multiple international systems, yet they remain fragmented in their design and deployment, which impacts their effectiveness. At the global scale, organisations such as OECD have established high ethical standards to guide ethical AI-based development, which is geared towards transparency, accountability, fairness and human-</w:t>
      </w:r>
      <w:proofErr w:type="spellStart"/>
      <w:r w:rsidRPr="00DD2B98">
        <w:rPr>
          <w:rFonts w:ascii="Times New Roman" w:hAnsi="Times New Roman" w:cs="Times New Roman"/>
        </w:rPr>
        <w:t>centred</w:t>
      </w:r>
      <w:proofErr w:type="spellEnd"/>
      <w:r w:rsidRPr="00DD2B98">
        <w:rPr>
          <w:rFonts w:ascii="Times New Roman" w:hAnsi="Times New Roman" w:cs="Times New Roman"/>
        </w:rPr>
        <w:t xml:space="preserve"> </w:t>
      </w:r>
      <w:r w:rsidR="003B7410" w:rsidRPr="00DD2B98">
        <w:rPr>
          <w:rFonts w:ascii="Times New Roman" w:hAnsi="Times New Roman" w:cs="Times New Roman"/>
        </w:rPr>
        <w:t>design (</w:t>
      </w:r>
      <w:r w:rsidR="003B7410" w:rsidRPr="00DD2B98">
        <w:rPr>
          <w:rFonts w:ascii="Times New Roman" w:hAnsi="Times New Roman" w:cs="Times New Roman"/>
          <w:color w:val="222222"/>
          <w:shd w:val="clear" w:color="auto" w:fill="FFFFFF"/>
        </w:rPr>
        <w:t>Gill et al.,2020)</w:t>
      </w:r>
      <w:r w:rsidRPr="00DD2B98">
        <w:rPr>
          <w:rFonts w:ascii="Times New Roman" w:hAnsi="Times New Roman" w:cs="Times New Roman"/>
        </w:rPr>
        <w:t xml:space="preserve">. These principles, however, are largely normative but not legally binding; therefore, they reduce their impact on the real-world conditions, which are more complex due to the conflicting interests that must be balanced. Also, the World Economic Forum encourages a multi-stakeholder strategy with governments, players in the private sector, academia, and civil society. Even though this model admits the significance of collective responsibility, it can hardly be applied on a large scale without the presence of global standards. Another weakness of the principle-based governing system that Midstadt also mentions is that the ethical regulations can never be effective unless the punitive systems are </w:t>
      </w:r>
      <w:r w:rsidR="003B7410" w:rsidRPr="00DD2B98">
        <w:rPr>
          <w:rFonts w:ascii="Times New Roman" w:hAnsi="Times New Roman" w:cs="Times New Roman"/>
        </w:rPr>
        <w:t>established (Mittelstadt, 2019;</w:t>
      </w:r>
      <w:r w:rsidR="003B7410" w:rsidRPr="00DD2B98">
        <w:rPr>
          <w:rFonts w:ascii="Times New Roman" w:hAnsi="Times New Roman" w:cs="Times New Roman"/>
          <w:color w:val="222222"/>
          <w:shd w:val="clear" w:color="auto" w:fill="FFFFFF"/>
        </w:rPr>
        <w:t xml:space="preserve"> O’Shaughnessy et al.,2023)</w:t>
      </w:r>
      <w:r w:rsidRPr="00DD2B98">
        <w:rPr>
          <w:rFonts w:ascii="Times New Roman" w:hAnsi="Times New Roman" w:cs="Times New Roman"/>
        </w:rPr>
        <w:t>. Even though organisations are at liberty to embrace such principles, in most cases, lack of resources, poor supervision and conflicting commercial interests fail to enable such principles to be exercised and therefore a lack of fidelity between intention and action. The applications of AI4People are complete ethical frameworks based on beneficence, non-maleficence, autonomy</w:t>
      </w:r>
      <w:r w:rsidR="003C3231" w:rsidRPr="00DD2B98">
        <w:rPr>
          <w:rFonts w:ascii="Times New Roman" w:hAnsi="Times New Roman" w:cs="Times New Roman"/>
        </w:rPr>
        <w:t>,</w:t>
      </w:r>
      <w:r w:rsidRPr="00DD2B98">
        <w:rPr>
          <w:rFonts w:ascii="Times New Roman" w:hAnsi="Times New Roman" w:cs="Times New Roman"/>
        </w:rPr>
        <w:t xml:space="preserve"> and justice, but they have an uneven application.</w:t>
      </w:r>
    </w:p>
    <w:p w14:paraId="31BE77CC" w14:textId="77777777" w:rsidR="006C2960" w:rsidRDefault="006C2960" w:rsidP="00542433">
      <w:pPr>
        <w:pStyle w:val="NoSpacing"/>
        <w:spacing w:line="480" w:lineRule="auto"/>
        <w:rPr>
          <w:rFonts w:ascii="Times New Roman" w:hAnsi="Times New Roman" w:cs="Times New Roman"/>
        </w:rPr>
      </w:pPr>
    </w:p>
    <w:p w14:paraId="5FDB19FC" w14:textId="77777777" w:rsidR="006C2960" w:rsidRPr="00DD2B98" w:rsidRDefault="006C2960" w:rsidP="00542433">
      <w:pPr>
        <w:pStyle w:val="NoSpacing"/>
        <w:spacing w:line="480" w:lineRule="auto"/>
        <w:rPr>
          <w:rFonts w:ascii="Times New Roman" w:hAnsi="Times New Roman" w:cs="Times New Roman"/>
        </w:rPr>
      </w:pPr>
    </w:p>
    <w:p w14:paraId="11987C85" w14:textId="4BC12780" w:rsidR="008418FC" w:rsidRPr="00DD2B98" w:rsidRDefault="00E17469" w:rsidP="00542433">
      <w:pPr>
        <w:pStyle w:val="NoSpacing"/>
        <w:spacing w:line="480" w:lineRule="auto"/>
        <w:rPr>
          <w:rFonts w:ascii="Times New Roman" w:eastAsia="Times New Roman" w:hAnsi="Times New Roman" w:cs="Times New Roman"/>
          <w:b/>
          <w:bCs/>
        </w:rPr>
      </w:pPr>
      <w:bookmarkStart w:id="16" w:name="_Toc227149291"/>
      <w:r w:rsidRPr="00DD2B98">
        <w:rPr>
          <w:rFonts w:ascii="Times New Roman" w:eastAsia="Times New Roman" w:hAnsi="Times New Roman" w:cs="Times New Roman"/>
          <w:b/>
          <w:bCs/>
        </w:rPr>
        <w:lastRenderedPageBreak/>
        <w:t>6. The Role of Global Leadership</w:t>
      </w:r>
      <w:bookmarkEnd w:id="16"/>
    </w:p>
    <w:p w14:paraId="589BEE18" w14:textId="2FE698CA" w:rsidR="008418FC"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The concept of global leadership is instrumental in the solution of the multidimensional challenges that are related to artificial intelligence (AI) governance. As the current AI development is rapid across industries and borders, the leaders have to operate and manoeuvre in high levels of uncertainty, balance competing organisational and societal interests, and establish collaboration in the public, private and international space. This requires technical knowledge, but also a strategic perspective and moral consciousness (Dwivedi et al., 2021). Global leadership must have skills to harmonise innovation and ethical responsibility. As organisations strive to use AI to gain a competitive advantage, leaders need to make sure that its creation and use do not lack the concepts of fairness, accountability and transparency. This is through integration of ethical considerations in organisational culture and decision-making, as opposed to seeing it as a form of compliance. Leaders must also ensure that governance frameworks are incorporated in every organisational level, such as strategic planning and operational implementations, to reflect the need to transfer top-level ideals to the more practical use (Mittelstadt, 2019). Moreover, global leadership has to do with interaction with various stakeholder groups, such as regulators, customers, employees, and civil society. These views are inclusive, and they help the organisations to anticipate risks, build trust, and enhance the legitimacy of AI systems. It is particularly necessary in the global environment where cultural, legal, and ethical requirements may vary radically. Finally, but not least, the conflict between responsibility and competitiveness must also be solved by the leaders. The ability to respond to the evolving regulatory and technological landscape, a mix of reactive and proactive decision-making, and the ability to maintain a balance between the two are needed in order to achieve this balance.</w:t>
      </w:r>
    </w:p>
    <w:p w14:paraId="07699B74" w14:textId="629936B6" w:rsidR="00145A44" w:rsidRPr="00DD2B98" w:rsidRDefault="00E17469" w:rsidP="00542433">
      <w:pPr>
        <w:pStyle w:val="NoSpacing"/>
        <w:spacing w:line="480" w:lineRule="auto"/>
        <w:rPr>
          <w:rFonts w:ascii="Times New Roman" w:hAnsi="Times New Roman" w:cs="Times New Roman"/>
          <w:b/>
          <w:bCs/>
        </w:rPr>
      </w:pPr>
      <w:bookmarkStart w:id="17" w:name="_Toc227149292"/>
      <w:r w:rsidRPr="00DD2B98">
        <w:rPr>
          <w:rFonts w:ascii="Times New Roman" w:hAnsi="Times New Roman" w:cs="Times New Roman"/>
          <w:b/>
          <w:bCs/>
        </w:rPr>
        <w:lastRenderedPageBreak/>
        <w:t>7. Case Study: Microsoft and Responsible AI</w:t>
      </w:r>
      <w:bookmarkEnd w:id="17"/>
    </w:p>
    <w:p w14:paraId="6DA4859A" w14:textId="43BA88A5" w:rsidR="00B81B07"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 xml:space="preserve">An example of how governance of artificial intelligence (AI) may be applied within a big multinational organisation is given by Microsoft. With the increasing scale of AI technologies in industries, the company has created an organised Responsible AI framework that is founded on principles of fairness, accountability, transparency, inclusiveness, and reliability (Microsoft, 2025). The principles are incorporated in the product development processes that have shown how ethical commitments may be applied in the operational practices. One of the key areas of Microsoft's approach is the incorporation of governance processes across the AI lifecycle. This involves internal audit systems, risk assessment programs and control systems to make sure that it harmonises with the ethical principles. The practices ingrained in the workflows pull the company to the abstract principles of governance that can be actualised as the company comes to realise that good governance involves continuous monitoring and revisions. However, challenges still have to be surmounted, in particular, with regard to the uniformity in the world markets. Operating in diverse regulatory environments may present a challenge of uniformity of standards and compliance with local </w:t>
      </w:r>
      <w:r w:rsidR="006F0DFE" w:rsidRPr="00DD2B98">
        <w:rPr>
          <w:rFonts w:ascii="Times New Roman" w:hAnsi="Times New Roman" w:cs="Times New Roman"/>
        </w:rPr>
        <w:t>requirements (</w:t>
      </w:r>
      <w:r w:rsidR="006F0DFE" w:rsidRPr="00DD2B98">
        <w:rPr>
          <w:rFonts w:ascii="Times New Roman" w:hAnsi="Times New Roman" w:cs="Times New Roman"/>
          <w:color w:val="222222"/>
          <w:shd w:val="clear" w:color="auto" w:fill="FFFFFF"/>
        </w:rPr>
        <w:t>Knowles et al.,2023;</w:t>
      </w:r>
      <w:r w:rsidR="006F0DFE" w:rsidRPr="00DD2B98">
        <w:rPr>
          <w:rFonts w:ascii="Times New Roman" w:hAnsi="Times New Roman" w:cs="Times New Roman"/>
          <w:shd w:val="clear" w:color="auto" w:fill="FFFFFF"/>
        </w:rPr>
        <w:t xml:space="preserve"> Dignum, 2023</w:t>
      </w:r>
      <w:r w:rsidR="006F0DFE" w:rsidRPr="00DD2B98">
        <w:rPr>
          <w:rFonts w:ascii="Times New Roman" w:hAnsi="Times New Roman" w:cs="Times New Roman"/>
          <w:color w:val="222222"/>
          <w:shd w:val="clear" w:color="auto" w:fill="FFFFFF"/>
        </w:rPr>
        <w:t>)</w:t>
      </w:r>
      <w:r w:rsidRPr="00DD2B98">
        <w:rPr>
          <w:rFonts w:ascii="Times New Roman" w:hAnsi="Times New Roman" w:cs="Times New Roman"/>
        </w:rPr>
        <w:t>. The standardisation and flexibility could be exemplified by the need to adjust the approaches that are uniform in one country and to implement them in other countries to the more rigid regulations. The need for good governance is on the rise since the application of AI in different industries is also on the rise. McKinsey and Company (2023) underline the need to develop quickly and the applicability of dynamic systems of governance.</w:t>
      </w:r>
    </w:p>
    <w:p w14:paraId="1DEA5B9D" w14:textId="3E4EB443" w:rsidR="00E1755B" w:rsidRPr="00DD2B98" w:rsidRDefault="00E17469" w:rsidP="00542433">
      <w:pPr>
        <w:pStyle w:val="NoSpacing"/>
        <w:spacing w:line="480" w:lineRule="auto"/>
        <w:rPr>
          <w:rFonts w:ascii="Times New Roman" w:eastAsia="Times New Roman" w:hAnsi="Times New Roman" w:cs="Times New Roman"/>
          <w:b/>
          <w:bCs/>
        </w:rPr>
      </w:pPr>
      <w:bookmarkStart w:id="18" w:name="_Toc227149293"/>
      <w:r w:rsidRPr="00DD2B98">
        <w:rPr>
          <w:rFonts w:ascii="Times New Roman" w:eastAsia="Times New Roman" w:hAnsi="Times New Roman" w:cs="Times New Roman"/>
          <w:b/>
          <w:bCs/>
        </w:rPr>
        <w:t>8. Implementation Plan</w:t>
      </w:r>
      <w:bookmarkEnd w:id="18"/>
    </w:p>
    <w:p w14:paraId="42C96370" w14:textId="77E4790D" w:rsidR="00E1755B"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 xml:space="preserve">The effective governance of AI needs the guidance of clear principles as well as a plan of work that should be carefully designed and staged. The complex nature of AI regulation and </w:t>
      </w:r>
      <w:r w:rsidRPr="00DD2B98">
        <w:rPr>
          <w:rFonts w:ascii="Times New Roman" w:hAnsi="Times New Roman" w:cs="Times New Roman"/>
        </w:rPr>
        <w:lastRenderedPageBreak/>
        <w:t>organisational operations in the world means that the step-by-step approach enables organisations to build governance capacity and evolve as technology and regulations transform. This implementation plan is further categorised into short-term, medium-term and long-term, wherein short-term, medium-term, and long-term plans have clearly spelt out actions, stakeholders and performance indicators.</w:t>
      </w:r>
    </w:p>
    <w:p w14:paraId="42F88B84" w14:textId="77777777" w:rsidR="00E1755B" w:rsidRPr="00DD2B98" w:rsidRDefault="00E17469" w:rsidP="00542433">
      <w:pPr>
        <w:pStyle w:val="NoSpacing"/>
        <w:spacing w:line="480" w:lineRule="auto"/>
        <w:rPr>
          <w:rFonts w:ascii="Times New Roman" w:hAnsi="Times New Roman" w:cs="Times New Roman"/>
          <w:b/>
          <w:bCs/>
        </w:rPr>
      </w:pPr>
      <w:bookmarkStart w:id="19" w:name="_Toc227149294"/>
      <w:r w:rsidRPr="00DD2B98">
        <w:rPr>
          <w:rFonts w:ascii="Times New Roman" w:hAnsi="Times New Roman" w:cs="Times New Roman"/>
          <w:b/>
          <w:bCs/>
        </w:rPr>
        <w:t>Phase 1: Short-Term (0–6 Months)</w:t>
      </w:r>
      <w:bookmarkEnd w:id="19"/>
    </w:p>
    <w:p w14:paraId="4CEE2F9C" w14:textId="6E8074CE" w:rsidR="00263CF2"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The first step organisations need to take is to put in place the basic governance frameworks and determine the major risks relating to current AI systems. A complete AI risk audit is one of the first steps to be taken to examine the current systems, find the vulnerabilities</w:t>
      </w:r>
      <w:r w:rsidR="003C3231" w:rsidRPr="00DD2B98">
        <w:rPr>
          <w:rFonts w:ascii="Times New Roman" w:hAnsi="Times New Roman" w:cs="Times New Roman"/>
        </w:rPr>
        <w:t>,</w:t>
      </w:r>
      <w:r w:rsidRPr="00DD2B98">
        <w:rPr>
          <w:rFonts w:ascii="Times New Roman" w:hAnsi="Times New Roman" w:cs="Times New Roman"/>
        </w:rPr>
        <w:t xml:space="preserve"> and understand the gaps in meeting the regulatory requirements. The step is important in establishing an organisational exposure to ethical, legal and operational risks baseline. Simultaneously, it is recommended that organisations should form an AI governance committee, which would conduct policy formulation, risk management and compliance. The representatives of risk management, legal, and data governance functions should be included in this committee to make it multidisciplinary. There is also a need to align with regulatory systems, particularly the European Union and the United Kingdom, at an early level to prevent confusion in the legislation and encourage compliance (European Commission, 2023). The Chief Risk Officer, Data Governance Team, Legal, and Compliance teams are key stakeholders in this phase. They collectively apply their skills in such a way that there are realistic governing structures that are also compliant with the regulatory requirements. KPI that may be used to measure the performance in this stage are the percentage of AI systems audited and the extent to which the compliance gap is narrowed. These indicators are a tangible sign of enhancement, and they enable organisations to concentrate on those areas that they should improve.</w:t>
      </w:r>
    </w:p>
    <w:p w14:paraId="2C505B7B" w14:textId="77777777" w:rsidR="00E1755B" w:rsidRPr="00DD2B98" w:rsidRDefault="00E17469" w:rsidP="00542433">
      <w:pPr>
        <w:pStyle w:val="NoSpacing"/>
        <w:spacing w:line="480" w:lineRule="auto"/>
        <w:rPr>
          <w:rFonts w:ascii="Times New Roman" w:eastAsia="Times New Roman" w:hAnsi="Times New Roman" w:cs="Times New Roman"/>
          <w:b/>
          <w:bCs/>
        </w:rPr>
      </w:pPr>
      <w:bookmarkStart w:id="20" w:name="_Toc227149295"/>
      <w:r w:rsidRPr="00DD2B98">
        <w:rPr>
          <w:rFonts w:ascii="Times New Roman" w:eastAsia="Times New Roman" w:hAnsi="Times New Roman" w:cs="Times New Roman"/>
          <w:b/>
          <w:bCs/>
        </w:rPr>
        <w:lastRenderedPageBreak/>
        <w:t>Phase 2: Medium-Term (6–24 Months)</w:t>
      </w:r>
      <w:bookmarkEnd w:id="20"/>
    </w:p>
    <w:p w14:paraId="6779CED3" w14:textId="203B981B" w:rsidR="00456EEC"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 xml:space="preserve">The medium-term phase is designated to install governance within the organisational processes and improve the technical and ethical quality of AI systems. Another priority is to create explainable AI, which can improve the transparency and accountability as it allows stakeholders to comprehend the decision-making process (Rai, 2020). This is particularly acute in situations of high risk when the necessity to trust and to be in compliance with the regulations arises. Also significant is that organisations are using the available ethical frameworks throughout the lifecycle of AI development. Other frameworks (such as the one proposed by Floridi et al.) provide suggestions on such principles as fairness, accountability, and human control (Floridi et al., 2018). When implemented into system design, these principles can be embedded to make sure that ethics are considered as a fundamental part, not a by-product. Another important objective is conformity to international standards, which helps organisations remain consistent in all their international operations and be prepared to meet new regulations (OECD, 2023). The number of stakeholders in this phase rises to include AI developers, ethics boards, and the top leadership, thus governance becomes a component of technical and strategic governance. The primary indicators in the Key Performance Indicators are the transparency levels, </w:t>
      </w:r>
      <w:r w:rsidR="003C3231" w:rsidRPr="00DD2B98">
        <w:rPr>
          <w:rFonts w:ascii="Times New Roman" w:hAnsi="Times New Roman" w:cs="Times New Roman"/>
        </w:rPr>
        <w:t xml:space="preserve">the </w:t>
      </w:r>
      <w:r w:rsidRPr="00DD2B98">
        <w:rPr>
          <w:rFonts w:ascii="Times New Roman" w:hAnsi="Times New Roman" w:cs="Times New Roman"/>
        </w:rPr>
        <w:t>reduction of cases of bias</w:t>
      </w:r>
      <w:r w:rsidR="003C3231" w:rsidRPr="00DD2B98">
        <w:rPr>
          <w:rFonts w:ascii="Times New Roman" w:hAnsi="Times New Roman" w:cs="Times New Roman"/>
        </w:rPr>
        <w:t>,</w:t>
      </w:r>
      <w:r w:rsidRPr="00DD2B98">
        <w:rPr>
          <w:rFonts w:ascii="Times New Roman" w:hAnsi="Times New Roman" w:cs="Times New Roman"/>
        </w:rPr>
        <w:t xml:space="preserve"> and the customer trust rates. These measures help to assess the technical performance of AI systems and their social acceptability, which is increasingly important in terms of maintaining the organisational image and trust of stakeholders.</w:t>
      </w:r>
    </w:p>
    <w:p w14:paraId="4B3A7288" w14:textId="77777777" w:rsidR="00E1755B" w:rsidRPr="00DD2B98" w:rsidRDefault="00E17469" w:rsidP="00542433">
      <w:pPr>
        <w:pStyle w:val="NoSpacing"/>
        <w:spacing w:line="480" w:lineRule="auto"/>
        <w:rPr>
          <w:rFonts w:ascii="Times New Roman" w:eastAsia="Times New Roman" w:hAnsi="Times New Roman" w:cs="Times New Roman"/>
          <w:b/>
          <w:bCs/>
        </w:rPr>
      </w:pPr>
      <w:bookmarkStart w:id="21" w:name="_Toc227149296"/>
      <w:r w:rsidRPr="00DD2B98">
        <w:rPr>
          <w:rFonts w:ascii="Times New Roman" w:eastAsia="Times New Roman" w:hAnsi="Times New Roman" w:cs="Times New Roman"/>
          <w:b/>
          <w:bCs/>
        </w:rPr>
        <w:t>Phase 3: Long-Term (2–5 Years)</w:t>
      </w:r>
      <w:bookmarkEnd w:id="21"/>
    </w:p>
    <w:p w14:paraId="0A6E58BA" w14:textId="0AF3078A" w:rsidR="00263CF2"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The long-term phase is preoccupied with long-term sustainability, long-term scalability</w:t>
      </w:r>
      <w:r w:rsidR="003C3231" w:rsidRPr="00DD2B98">
        <w:rPr>
          <w:rFonts w:ascii="Times New Roman" w:hAnsi="Times New Roman" w:cs="Times New Roman"/>
        </w:rPr>
        <w:t>,</w:t>
      </w:r>
      <w:r w:rsidRPr="00DD2B98">
        <w:rPr>
          <w:rFonts w:ascii="Times New Roman" w:hAnsi="Times New Roman" w:cs="Times New Roman"/>
        </w:rPr>
        <w:t xml:space="preserve"> and long-term improvement. To monitor the performance of AI, find new risks and remain within the bounds of new laws, organisations are to establish continuous monitoring systems. The new form </w:t>
      </w:r>
      <w:r w:rsidRPr="00DD2B98">
        <w:rPr>
          <w:rFonts w:ascii="Times New Roman" w:hAnsi="Times New Roman" w:cs="Times New Roman"/>
        </w:rPr>
        <w:lastRenderedPageBreak/>
        <w:t xml:space="preserve">of governance has to be a dynamic process, which has to be in line with the changes in the technological field and external circumstances. The sustainable AI infrastructure is also a priority area to invest in. Given that AI systems use a considerable amount of computing power, organisations must take into account the utilisation of energy-saving technologies and methods to reduce the environmental </w:t>
      </w:r>
      <w:r w:rsidR="006F0DFE" w:rsidRPr="00DD2B98">
        <w:rPr>
          <w:rFonts w:ascii="Times New Roman" w:hAnsi="Times New Roman" w:cs="Times New Roman"/>
        </w:rPr>
        <w:t>impact (</w:t>
      </w:r>
      <w:proofErr w:type="spellStart"/>
      <w:r w:rsidR="006F0DFE" w:rsidRPr="00DD2B98">
        <w:rPr>
          <w:rFonts w:ascii="Times New Roman" w:hAnsi="Times New Roman" w:cs="Times New Roman"/>
          <w:color w:val="222222"/>
          <w:shd w:val="clear" w:color="auto" w:fill="FFFFFF"/>
        </w:rPr>
        <w:t>Uzuegbunam</w:t>
      </w:r>
      <w:proofErr w:type="spellEnd"/>
      <w:r w:rsidR="006F0DFE" w:rsidRPr="00DD2B98">
        <w:rPr>
          <w:rFonts w:ascii="Times New Roman" w:hAnsi="Times New Roman" w:cs="Times New Roman"/>
          <w:color w:val="222222"/>
          <w:shd w:val="clear" w:color="auto" w:fill="FFFFFF"/>
        </w:rPr>
        <w:t>, 2024)</w:t>
      </w:r>
      <w:r w:rsidRPr="00DD2B98">
        <w:rPr>
          <w:rFonts w:ascii="Times New Roman" w:hAnsi="Times New Roman" w:cs="Times New Roman"/>
        </w:rPr>
        <w:t>. This is in line with wider sustainability objectives and increases the long-term organisational resilience. The second significant move is to come up with a global regulatory alignment strategy. Since AI governance is rather decentralised, it is the duty of organisations to take the lead in addressing cross-jurisdictional differences to achieve high compliance. This can be in terms of the highest regulatory standards being used as a benchmark, but with some flexibility in terms of accommodating local needs (Mittelstadt, 2019). The executive leadership and international policy teams, as the strategic value of governance at the organisational level, are the stakeholders at this level. KPI in this stage is the regulatory compliance in all regions, market competitiveness, and sustainability.</w:t>
      </w:r>
    </w:p>
    <w:p w14:paraId="64725F48" w14:textId="77777777" w:rsidR="00E1755B" w:rsidRPr="00DD2B98" w:rsidRDefault="00E17469" w:rsidP="00542433">
      <w:pPr>
        <w:pStyle w:val="NoSpacing"/>
        <w:spacing w:line="480" w:lineRule="auto"/>
        <w:rPr>
          <w:rFonts w:ascii="Times New Roman" w:eastAsia="Times New Roman" w:hAnsi="Times New Roman" w:cs="Times New Roman"/>
          <w:b/>
          <w:bCs/>
        </w:rPr>
      </w:pPr>
      <w:bookmarkStart w:id="22" w:name="_Toc227149297"/>
      <w:r w:rsidRPr="00DD2B98">
        <w:rPr>
          <w:rFonts w:ascii="Times New Roman" w:eastAsia="Times New Roman" w:hAnsi="Times New Roman" w:cs="Times New Roman"/>
          <w:b/>
          <w:bCs/>
        </w:rPr>
        <w:t>Resource Considerations</w:t>
      </w:r>
      <w:bookmarkEnd w:id="22"/>
    </w:p>
    <w:p w14:paraId="2820C5D0" w14:textId="2AD0A49F" w:rsidR="00E1755B"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 xml:space="preserve">The AI governance would need a huge </w:t>
      </w:r>
      <w:proofErr w:type="gramStart"/>
      <w:r w:rsidRPr="00DD2B98">
        <w:rPr>
          <w:rFonts w:ascii="Times New Roman" w:hAnsi="Times New Roman" w:cs="Times New Roman"/>
        </w:rPr>
        <w:t>amount</w:t>
      </w:r>
      <w:proofErr w:type="gramEnd"/>
      <w:r w:rsidRPr="00DD2B98">
        <w:rPr>
          <w:rFonts w:ascii="Times New Roman" w:hAnsi="Times New Roman" w:cs="Times New Roman"/>
        </w:rPr>
        <w:t xml:space="preserve"> of resources to be invested to guarantee successful implementation. The organisations should invest in governance tools like the risk assessment tool, monitoring sites and compliance technologies. Training and development of the employees is another vital factor, and the employees must be equipped with the necessary skills which would enable them to use and manage AI responsibly. There is also a need to enhance legal and compliance infrastructure to deal with the intricacies of cross-border regulation. This is </w:t>
      </w:r>
      <w:r w:rsidR="003C3231" w:rsidRPr="00DD2B98">
        <w:rPr>
          <w:rFonts w:ascii="Times New Roman" w:hAnsi="Times New Roman" w:cs="Times New Roman"/>
        </w:rPr>
        <w:t xml:space="preserve">achieved </w:t>
      </w:r>
      <w:r w:rsidRPr="00DD2B98">
        <w:rPr>
          <w:rFonts w:ascii="Times New Roman" w:hAnsi="Times New Roman" w:cs="Times New Roman"/>
        </w:rPr>
        <w:t>by developing and defining internal policies, documentation procedures</w:t>
      </w:r>
      <w:r w:rsidR="003C3231" w:rsidRPr="00DD2B98">
        <w:rPr>
          <w:rFonts w:ascii="Times New Roman" w:hAnsi="Times New Roman" w:cs="Times New Roman"/>
        </w:rPr>
        <w:t>,</w:t>
      </w:r>
      <w:r w:rsidRPr="00DD2B98">
        <w:rPr>
          <w:rFonts w:ascii="Times New Roman" w:hAnsi="Times New Roman" w:cs="Times New Roman"/>
        </w:rPr>
        <w:t xml:space="preserve"> and reporting systems to support accountability and transparency.</w:t>
      </w:r>
    </w:p>
    <w:p w14:paraId="18425643" w14:textId="77777777" w:rsidR="006C2960" w:rsidRPr="00DD2B98" w:rsidRDefault="006C2960" w:rsidP="00542433">
      <w:pPr>
        <w:pStyle w:val="NoSpacing"/>
        <w:spacing w:line="480" w:lineRule="auto"/>
        <w:rPr>
          <w:rFonts w:ascii="Times New Roman" w:hAnsi="Times New Roman" w:cs="Times New Roman"/>
        </w:rPr>
      </w:pPr>
    </w:p>
    <w:p w14:paraId="0C518B17" w14:textId="77777777" w:rsidR="00E1755B" w:rsidRPr="00DD2B98" w:rsidRDefault="00E17469" w:rsidP="00542433">
      <w:pPr>
        <w:pStyle w:val="NoSpacing"/>
        <w:spacing w:line="480" w:lineRule="auto"/>
        <w:rPr>
          <w:rFonts w:ascii="Times New Roman" w:hAnsi="Times New Roman" w:cs="Times New Roman"/>
          <w:b/>
          <w:bCs/>
        </w:rPr>
      </w:pPr>
      <w:bookmarkStart w:id="23" w:name="_Toc227149298"/>
      <w:r w:rsidRPr="00DD2B98">
        <w:rPr>
          <w:rFonts w:ascii="Times New Roman" w:hAnsi="Times New Roman" w:cs="Times New Roman"/>
          <w:b/>
          <w:bCs/>
        </w:rPr>
        <w:lastRenderedPageBreak/>
        <w:t>Risk Controls</w:t>
      </w:r>
      <w:bookmarkEnd w:id="23"/>
    </w:p>
    <w:p w14:paraId="3C9A4060" w14:textId="1CFBD4D2" w:rsidR="00145A44"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 xml:space="preserve">One should have good risk control mechanisms to ensure the implementation plan is effective. Audits of compliance and what needs to be improved should be carried out on a regular basis. Accountability can be improved by an independent control, e.g., external review or an ethics board, to decrease the likelihood of bias or misconduct. Moreover, organisations need to put in place incident response systems to counter possible failures or ethical violations in AI systems.  </w:t>
      </w:r>
    </w:p>
    <w:p w14:paraId="37982665" w14:textId="2BB51555" w:rsidR="0006038F" w:rsidRPr="00DD2B98" w:rsidRDefault="00E17469" w:rsidP="00542433">
      <w:pPr>
        <w:pStyle w:val="NoSpacing"/>
        <w:spacing w:line="480" w:lineRule="auto"/>
        <w:rPr>
          <w:rFonts w:ascii="Times New Roman" w:hAnsi="Times New Roman" w:cs="Times New Roman"/>
          <w:b/>
          <w:bCs/>
        </w:rPr>
      </w:pPr>
      <w:bookmarkStart w:id="24" w:name="_Toc227149299"/>
      <w:r w:rsidRPr="00DD2B98">
        <w:rPr>
          <w:rFonts w:ascii="Times New Roman" w:hAnsi="Times New Roman" w:cs="Times New Roman"/>
          <w:b/>
          <w:bCs/>
        </w:rPr>
        <w:t>9. Critical Evaluation and Key Tensions</w:t>
      </w:r>
      <w:bookmarkEnd w:id="24"/>
    </w:p>
    <w:p w14:paraId="7C42F752" w14:textId="560531E4" w:rsidR="00F66CB0"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 xml:space="preserve">Although advancements have been made in artificial intelligence (AI) governance, there are still several challenges that hinder its performance. Among the issues is the fact that international regulations are not binding. Although there are global and regional structures in place, accountability is low and unsustainable, leading to a lack of accountability, especially in the case of public sector applications, where malpractice can be highly detrimental. Weak enforcement mechanisms end up frustrating the credibility and authenticity of governance initiatives. The other significant issue is the conflict between innovation and </w:t>
      </w:r>
      <w:r w:rsidR="006F0DFE" w:rsidRPr="00DD2B98">
        <w:rPr>
          <w:rFonts w:ascii="Times New Roman" w:hAnsi="Times New Roman" w:cs="Times New Roman"/>
        </w:rPr>
        <w:t>regulation (</w:t>
      </w:r>
      <w:r w:rsidR="006F0DFE" w:rsidRPr="00DD2B98">
        <w:rPr>
          <w:rFonts w:ascii="Times New Roman" w:hAnsi="Times New Roman" w:cs="Times New Roman"/>
          <w:color w:val="222222"/>
          <w:shd w:val="clear" w:color="auto" w:fill="FFFFFF"/>
        </w:rPr>
        <w:t xml:space="preserve">El Mimouni &amp; </w:t>
      </w:r>
      <w:proofErr w:type="spellStart"/>
      <w:r w:rsidR="006F0DFE" w:rsidRPr="00DD2B98">
        <w:rPr>
          <w:rFonts w:ascii="Times New Roman" w:hAnsi="Times New Roman" w:cs="Times New Roman"/>
          <w:color w:val="222222"/>
          <w:shd w:val="clear" w:color="auto" w:fill="FFFFFF"/>
        </w:rPr>
        <w:t>Bouhdadi</w:t>
      </w:r>
      <w:proofErr w:type="spellEnd"/>
      <w:r w:rsidR="006F0DFE" w:rsidRPr="00DD2B98">
        <w:rPr>
          <w:rFonts w:ascii="Times New Roman" w:hAnsi="Times New Roman" w:cs="Times New Roman"/>
          <w:color w:val="222222"/>
          <w:shd w:val="clear" w:color="auto" w:fill="FFFFFF"/>
        </w:rPr>
        <w:t>, 2026)</w:t>
      </w:r>
      <w:r w:rsidRPr="00DD2B98">
        <w:rPr>
          <w:rFonts w:ascii="Times New Roman" w:hAnsi="Times New Roman" w:cs="Times New Roman"/>
        </w:rPr>
        <w:t>. Even though the systems of governance are supposed to address the risks, such as prejudice, privacy invasion</w:t>
      </w:r>
      <w:r w:rsidR="003C3231" w:rsidRPr="00DD2B98">
        <w:rPr>
          <w:rFonts w:ascii="Times New Roman" w:hAnsi="Times New Roman" w:cs="Times New Roman"/>
        </w:rPr>
        <w:t>,</w:t>
      </w:r>
      <w:r w:rsidRPr="00DD2B98">
        <w:rPr>
          <w:rFonts w:ascii="Times New Roman" w:hAnsi="Times New Roman" w:cs="Times New Roman"/>
        </w:rPr>
        <w:t xml:space="preserve"> and insensitiveness, excessively strict regulations may stifle technological progress. Policymakers need to strike the proper balance; over-regulation can be a risk to society, and on the other hand, over-regulation will hinder innovation and competitiveness. It is a balance that is needed to offer compatibility between economic growth and ethical </w:t>
      </w:r>
      <w:r w:rsidR="006F0DFE" w:rsidRPr="00DD2B98">
        <w:rPr>
          <w:rFonts w:ascii="Times New Roman" w:hAnsi="Times New Roman" w:cs="Times New Roman"/>
        </w:rPr>
        <w:t>responsibility (</w:t>
      </w:r>
      <w:r w:rsidR="006F0DFE" w:rsidRPr="00DD2B98">
        <w:rPr>
          <w:rFonts w:ascii="Times New Roman" w:hAnsi="Times New Roman" w:cs="Times New Roman"/>
          <w:color w:val="222222"/>
          <w:shd w:val="clear" w:color="auto" w:fill="FFFFFF"/>
        </w:rPr>
        <w:t>Krause, 2024)</w:t>
      </w:r>
      <w:r w:rsidRPr="00DD2B98">
        <w:rPr>
          <w:rFonts w:ascii="Times New Roman" w:hAnsi="Times New Roman" w:cs="Times New Roman"/>
        </w:rPr>
        <w:t xml:space="preserve">. In addition, there will be restricted use of ethical guidelines. They can act as very helpful guidelines, but are not usually enforceable. Lack of institutional mechanisms to implement the practice will lead to organisations being shallow in their adoption of ethical values, a lack of commitment between the promises they make and </w:t>
      </w:r>
      <w:r w:rsidRPr="00DD2B98">
        <w:rPr>
          <w:rFonts w:ascii="Times New Roman" w:hAnsi="Times New Roman" w:cs="Times New Roman"/>
        </w:rPr>
        <w:lastRenderedPageBreak/>
        <w:t>actual actions. Lastly, there are power asymmetries that determine the results of governance. The impact of technologically advanced corporations and nations can marginalise smaller players, limiting their participation in an inclusive manner and contributing to global inequalities.</w:t>
      </w:r>
    </w:p>
    <w:p w14:paraId="5F329FF2" w14:textId="039AA216" w:rsidR="002C03DB" w:rsidRPr="00DD2B98" w:rsidRDefault="00E17469" w:rsidP="00542433">
      <w:pPr>
        <w:pStyle w:val="NoSpacing"/>
        <w:spacing w:line="480" w:lineRule="auto"/>
        <w:rPr>
          <w:rFonts w:ascii="Times New Roman" w:hAnsi="Times New Roman" w:cs="Times New Roman"/>
          <w:b/>
          <w:bCs/>
        </w:rPr>
      </w:pPr>
      <w:bookmarkStart w:id="25" w:name="_Toc227149300"/>
      <w:r w:rsidRPr="00DD2B98">
        <w:rPr>
          <w:rFonts w:ascii="Times New Roman" w:hAnsi="Times New Roman" w:cs="Times New Roman"/>
          <w:b/>
          <w:bCs/>
        </w:rPr>
        <w:t>10. Recommendations</w:t>
      </w:r>
      <w:bookmarkEnd w:id="25"/>
    </w:p>
    <w:p w14:paraId="30349BC7" w14:textId="77777777" w:rsidR="00F66CB0"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To balance the growing issues of artificial intelligence (AI) governance in the international arena, organisations must adopt a multidimensional and strategically synchronised management process that facilitates ethical rules, compliance with regulatory rules, and technological innovation. The subsequent suggestions present an order of action on how to reinforce the governance structures flexibly. To make sure that AI governance strategies are consistent across jurisdictions, first, organisations are to come up with globally aligned AI governance strategies. With the disjointed and constantly changing regulatory system, a single internal system will minimise compliance risk and enhance effectiveness. This involves setting up standardised policies, risk management procedures and supervision controls that can be left locally but have a coherent ethical base, especially in operations of multinational companies. Second, the improvements of transparency and explainability should become a priority. Elucidable artificial intelligence is critical in accountability and the trust of the stakeholders. In order to improve interpretability, organisations are proposed to invest in tools that improve interpretability, such as model documentation and audit trails and create a clear communication strategy to make the AI decisions understandable to non-technical stakeholders. This is even more in risky places where judgments in society have colossal impacts.</w:t>
      </w:r>
    </w:p>
    <w:p w14:paraId="69064291" w14:textId="46714099" w:rsidR="00F66CB0" w:rsidRPr="00DD2B98" w:rsidRDefault="00E17469" w:rsidP="00542433">
      <w:pPr>
        <w:pStyle w:val="NoSpacing"/>
        <w:spacing w:line="480" w:lineRule="auto"/>
        <w:rPr>
          <w:rFonts w:ascii="Times New Roman" w:hAnsi="Times New Roman" w:cs="Times New Roman"/>
        </w:rPr>
      </w:pPr>
      <w:r w:rsidRPr="00DD2B98">
        <w:rPr>
          <w:rFonts w:ascii="Times New Roman" w:hAnsi="Times New Roman" w:cs="Times New Roman"/>
        </w:rPr>
        <w:t xml:space="preserve">Third, ethical AI systems should be adopted and put into practice by organisations with the emphasis on fairness, accountability, transparency, and human oversight. Nonetheless, these principles ought to be incorporated into practice in order to work. This would require ethical </w:t>
      </w:r>
      <w:r w:rsidRPr="00DD2B98">
        <w:rPr>
          <w:rFonts w:ascii="Times New Roman" w:hAnsi="Times New Roman" w:cs="Times New Roman"/>
        </w:rPr>
        <w:lastRenderedPageBreak/>
        <w:t>concerns being taken into account throughout the AI lifecycle, such as in design and development, deployment, monitoring</w:t>
      </w:r>
      <w:r w:rsidR="003C3231" w:rsidRPr="00DD2B98">
        <w:rPr>
          <w:rFonts w:ascii="Times New Roman" w:hAnsi="Times New Roman" w:cs="Times New Roman"/>
        </w:rPr>
        <w:t>,</w:t>
      </w:r>
      <w:r w:rsidRPr="00DD2B98">
        <w:rPr>
          <w:rFonts w:ascii="Times New Roman" w:hAnsi="Times New Roman" w:cs="Times New Roman"/>
        </w:rPr>
        <w:t xml:space="preserve"> and continuous improvement. Fourth, it is essential to enhance international cooperation in the case of AI due to its international character. The multi-stakeholder schemes with government, industry, academia and civil society enable organisations to collaborate to develop common standards, exchange best practices, and keep abreast of developments in regulations.</w:t>
      </w:r>
    </w:p>
    <w:p w14:paraId="236F8271" w14:textId="2C07FF8D" w:rsidR="00F568B8" w:rsidRPr="00DD2B98" w:rsidRDefault="00E17469" w:rsidP="00542433">
      <w:pPr>
        <w:pStyle w:val="NoSpacing"/>
        <w:spacing w:line="480" w:lineRule="auto"/>
        <w:rPr>
          <w:rFonts w:ascii="Times New Roman" w:eastAsia="Times New Roman" w:hAnsi="Times New Roman" w:cs="Times New Roman"/>
          <w:b/>
          <w:bCs/>
        </w:rPr>
      </w:pPr>
      <w:bookmarkStart w:id="26" w:name="_Toc227149301"/>
      <w:r w:rsidRPr="00DD2B98">
        <w:rPr>
          <w:rFonts w:ascii="Times New Roman" w:eastAsia="Times New Roman" w:hAnsi="Times New Roman" w:cs="Times New Roman"/>
          <w:b/>
          <w:bCs/>
        </w:rPr>
        <w:t>1</w:t>
      </w:r>
      <w:r w:rsidR="008418FC" w:rsidRPr="00DD2B98">
        <w:rPr>
          <w:rFonts w:ascii="Times New Roman" w:eastAsia="Times New Roman" w:hAnsi="Times New Roman" w:cs="Times New Roman"/>
          <w:b/>
          <w:bCs/>
        </w:rPr>
        <w:t>1</w:t>
      </w:r>
      <w:r w:rsidRPr="00DD2B98">
        <w:rPr>
          <w:rFonts w:ascii="Times New Roman" w:eastAsia="Times New Roman" w:hAnsi="Times New Roman" w:cs="Times New Roman"/>
          <w:b/>
          <w:bCs/>
        </w:rPr>
        <w:t>. Conclusion</w:t>
      </w:r>
      <w:bookmarkEnd w:id="26"/>
    </w:p>
    <w:p w14:paraId="020FCF56" w14:textId="330F22AC" w:rsidR="00F568B8" w:rsidRPr="00DD2B98" w:rsidRDefault="00E17469" w:rsidP="00542433">
      <w:pPr>
        <w:pStyle w:val="NoSpacing"/>
        <w:spacing w:line="480" w:lineRule="auto"/>
        <w:rPr>
          <w:rFonts w:ascii="Times New Roman" w:eastAsia="Times New Roman" w:hAnsi="Times New Roman" w:cs="Times New Roman"/>
          <w:kern w:val="0"/>
          <w14:ligatures w14:val="none"/>
        </w:rPr>
      </w:pPr>
      <w:r w:rsidRPr="00DD2B98">
        <w:rPr>
          <w:rFonts w:ascii="Times New Roman" w:eastAsia="Times New Roman" w:hAnsi="Times New Roman" w:cs="Times New Roman"/>
          <w:kern w:val="0"/>
          <w14:ligatures w14:val="none"/>
        </w:rPr>
        <w:t xml:space="preserve">AI governance is a dynamic and complicated international leadership issue that necessitates organisations to be adaptive, strategic and visionary. This report has demonstrated that effective governance depends on the ability to achieve the appropriate level of balance between innovation and accountability, and also on handling the piecemeal and even disjointed regulatory landscape across jurisdictions. The comparative study of the UK and EU has brought to the fore the differing regulatory philosophies that require adaptable, although adhering, organisational strategies, especially among the multinational companies that can be found in both the UK and the EU. Moreover, the implementation plan offers a transparent and viable roadmap that can be used to transform the principles of governance into operational processes, and to make sure that ethical, legal, and operational concerns are enshrined in the AI lifecycle. </w:t>
      </w:r>
    </w:p>
    <w:p w14:paraId="26BF66F6" w14:textId="77777777" w:rsidR="00C879B9" w:rsidRPr="00DD2B98" w:rsidRDefault="00C879B9" w:rsidP="00542433">
      <w:pPr>
        <w:spacing w:before="100" w:beforeAutospacing="1" w:after="100" w:afterAutospacing="1" w:line="480" w:lineRule="auto"/>
        <w:rPr>
          <w:rFonts w:ascii="Times New Roman" w:eastAsia="Times New Roman" w:hAnsi="Times New Roman" w:cs="Times New Roman"/>
          <w:kern w:val="0"/>
          <w14:ligatures w14:val="none"/>
        </w:rPr>
      </w:pPr>
    </w:p>
    <w:p w14:paraId="56EBC0B9" w14:textId="5354FD84" w:rsidR="006F0DFE" w:rsidRDefault="006F0DFE" w:rsidP="000C5449">
      <w:pPr>
        <w:spacing w:before="100" w:beforeAutospacing="1" w:after="100" w:afterAutospacing="1" w:line="480" w:lineRule="auto"/>
        <w:rPr>
          <w:rFonts w:ascii="Times New Roman" w:eastAsia="Times New Roman" w:hAnsi="Times New Roman" w:cs="Times New Roman"/>
          <w:kern w:val="0"/>
          <w14:ligatures w14:val="none"/>
        </w:rPr>
      </w:pPr>
    </w:p>
    <w:p w14:paraId="7E8E9F9E" w14:textId="77777777" w:rsidR="00FF40F2" w:rsidRPr="00DD2B98" w:rsidRDefault="00FF40F2" w:rsidP="000C5449">
      <w:pPr>
        <w:spacing w:before="100" w:beforeAutospacing="1" w:after="100" w:afterAutospacing="1" w:line="480" w:lineRule="auto"/>
        <w:rPr>
          <w:rFonts w:ascii="Times New Roman" w:eastAsia="Times New Roman" w:hAnsi="Times New Roman" w:cs="Times New Roman"/>
          <w:kern w:val="0"/>
          <w14:ligatures w14:val="none"/>
        </w:rPr>
      </w:pPr>
    </w:p>
    <w:p w14:paraId="4000A2F7" w14:textId="50F38C4E" w:rsidR="00C610AA" w:rsidRPr="00DD2B98" w:rsidRDefault="00E17469" w:rsidP="000C5449">
      <w:pPr>
        <w:pStyle w:val="Heading1"/>
        <w:spacing w:line="480" w:lineRule="auto"/>
        <w:jc w:val="center"/>
        <w:rPr>
          <w:rFonts w:ascii="Times New Roman" w:eastAsia="Times New Roman" w:hAnsi="Times New Roman" w:cs="Times New Roman"/>
          <w:b/>
          <w:bCs/>
          <w:color w:val="auto"/>
          <w:sz w:val="24"/>
          <w:szCs w:val="24"/>
        </w:rPr>
      </w:pPr>
      <w:bookmarkStart w:id="27" w:name="_Toc227149302"/>
      <w:r w:rsidRPr="00DD2B98">
        <w:rPr>
          <w:rFonts w:ascii="Times New Roman" w:eastAsia="Times New Roman" w:hAnsi="Times New Roman" w:cs="Times New Roman"/>
          <w:b/>
          <w:bCs/>
          <w:color w:val="auto"/>
          <w:sz w:val="24"/>
          <w:szCs w:val="24"/>
        </w:rPr>
        <w:lastRenderedPageBreak/>
        <w:t>Reference List</w:t>
      </w:r>
      <w:bookmarkEnd w:id="27"/>
    </w:p>
    <w:p w14:paraId="01953873" w14:textId="77777777" w:rsidR="006F0DFE" w:rsidRPr="00DD2B98" w:rsidRDefault="006F0DFE" w:rsidP="006F0DFE">
      <w:pPr>
        <w:pStyle w:val="NormalWeb"/>
        <w:spacing w:before="0" w:beforeAutospacing="0" w:after="0" w:afterAutospacing="0" w:line="480" w:lineRule="auto"/>
        <w:ind w:left="720" w:hanging="720"/>
      </w:pPr>
      <w:proofErr w:type="spellStart"/>
      <w:r w:rsidRPr="00DD2B98">
        <w:t>Apandi</w:t>
      </w:r>
      <w:proofErr w:type="spellEnd"/>
      <w:r w:rsidRPr="00DD2B98">
        <w:t xml:space="preserve">, L.S.A. and </w:t>
      </w:r>
      <w:proofErr w:type="spellStart"/>
      <w:r w:rsidRPr="00DD2B98">
        <w:t>Shariffuddin</w:t>
      </w:r>
      <w:proofErr w:type="spellEnd"/>
      <w:r w:rsidRPr="00DD2B98">
        <w:t xml:space="preserve">, M.D.K. (2026) ‘Global artificial intelligence governance: a scoping review’, </w:t>
      </w:r>
      <w:r w:rsidRPr="00DD2B98">
        <w:rPr>
          <w:rStyle w:val="Emphasis"/>
          <w:rFonts w:eastAsiaTheme="majorEastAsia"/>
        </w:rPr>
        <w:t>Quantum Journal of Social Sciences and Humanities</w:t>
      </w:r>
      <w:r w:rsidRPr="00DD2B98">
        <w:t xml:space="preserve">, 7(1), pp. 233–242. Available at: </w:t>
      </w:r>
      <w:hyperlink r:id="rId8" w:tgtFrame="_new" w:history="1">
        <w:r w:rsidRPr="00DD2B98">
          <w:rPr>
            <w:rStyle w:val="Hyperlink"/>
            <w:rFonts w:eastAsiaTheme="majorEastAsia"/>
          </w:rPr>
          <w:t>https://doi.org/10.55197/qjssh.v7i1.974</w:t>
        </w:r>
      </w:hyperlink>
    </w:p>
    <w:p w14:paraId="54A34634" w14:textId="77777777" w:rsidR="006F0DFE" w:rsidRPr="00DD2B98" w:rsidRDefault="006F0DFE" w:rsidP="006F0DFE">
      <w:pPr>
        <w:pStyle w:val="NormalWeb"/>
        <w:spacing w:before="0" w:beforeAutospacing="0" w:after="0" w:afterAutospacing="0" w:line="480" w:lineRule="auto"/>
        <w:ind w:left="720" w:hanging="720"/>
      </w:pPr>
      <w:r w:rsidRPr="00DD2B98">
        <w:t xml:space="preserve">Batool, A., </w:t>
      </w:r>
      <w:proofErr w:type="spellStart"/>
      <w:r w:rsidRPr="00DD2B98">
        <w:t>Zowghi</w:t>
      </w:r>
      <w:proofErr w:type="spellEnd"/>
      <w:r w:rsidRPr="00DD2B98">
        <w:t xml:space="preserve">, D. and Bano, M. (2025) ‘AI governance: a systematic literature review’, </w:t>
      </w:r>
      <w:r w:rsidRPr="00DD2B98">
        <w:rPr>
          <w:rStyle w:val="Emphasis"/>
          <w:rFonts w:eastAsiaTheme="majorEastAsia"/>
        </w:rPr>
        <w:t>AI and Ethics</w:t>
      </w:r>
      <w:r w:rsidRPr="00DD2B98">
        <w:t xml:space="preserve">, 5(3), pp. 3265–3279. Available at: </w:t>
      </w:r>
      <w:hyperlink r:id="rId9" w:tgtFrame="_new" w:history="1">
        <w:r w:rsidRPr="00DD2B98">
          <w:rPr>
            <w:rStyle w:val="Hyperlink"/>
            <w:rFonts w:eastAsiaTheme="majorEastAsia"/>
          </w:rPr>
          <w:t>https://doi.org/10.1007/s43681-024-00653-w</w:t>
        </w:r>
      </w:hyperlink>
    </w:p>
    <w:p w14:paraId="16C91C1A" w14:textId="40695C24" w:rsidR="006F0DFE" w:rsidRPr="00DD2B98" w:rsidRDefault="006F0DFE" w:rsidP="006F0DFE">
      <w:pPr>
        <w:pStyle w:val="NormalWeb"/>
        <w:spacing w:before="0" w:beforeAutospacing="0" w:after="0" w:afterAutospacing="0" w:line="480" w:lineRule="auto"/>
        <w:ind w:left="720" w:hanging="720"/>
      </w:pPr>
      <w:proofErr w:type="spellStart"/>
      <w:r w:rsidRPr="00DD2B98">
        <w:t>Benbya</w:t>
      </w:r>
      <w:proofErr w:type="spellEnd"/>
      <w:r w:rsidRPr="00DD2B98">
        <w:t xml:space="preserve">, H., Davenport, T.H. and </w:t>
      </w:r>
      <w:proofErr w:type="spellStart"/>
      <w:r w:rsidRPr="00DD2B98">
        <w:t>Pachidi</w:t>
      </w:r>
      <w:proofErr w:type="spellEnd"/>
      <w:r w:rsidRPr="00DD2B98">
        <w:t xml:space="preserve">, S. (2020) ‘Artificial intelligence in organizations: current state and future opportunities’, </w:t>
      </w:r>
      <w:r w:rsidRPr="00DD2B98">
        <w:rPr>
          <w:rStyle w:val="Emphasis"/>
          <w:rFonts w:eastAsiaTheme="majorEastAsia"/>
        </w:rPr>
        <w:t>MIS Quarterly Executive</w:t>
      </w:r>
      <w:r w:rsidRPr="00DD2B98">
        <w:t>, 19(4). Available at:</w:t>
      </w:r>
      <w:r w:rsidR="00FF40F2">
        <w:t xml:space="preserve"> </w:t>
      </w:r>
      <w:hyperlink r:id="rId10" w:history="1">
        <w:r w:rsidR="00FF40F2" w:rsidRPr="00456082">
          <w:rPr>
            <w:rStyle w:val="Hyperlink"/>
            <w:rFonts w:eastAsiaTheme="majorEastAsia"/>
          </w:rPr>
          <w:t>https://papers.ssrn.com/sol3/papers.cfm?abstract_id=3741983</w:t>
        </w:r>
      </w:hyperlink>
    </w:p>
    <w:p w14:paraId="3C47BCE7" w14:textId="77777777" w:rsidR="006F0DFE" w:rsidRPr="00DD2B98" w:rsidRDefault="006F0DFE" w:rsidP="006F0DFE">
      <w:pPr>
        <w:pStyle w:val="NormalWeb"/>
        <w:spacing w:before="0" w:beforeAutospacing="0" w:after="0" w:afterAutospacing="0" w:line="480" w:lineRule="auto"/>
        <w:ind w:left="720" w:hanging="720"/>
      </w:pPr>
      <w:proofErr w:type="spellStart"/>
      <w:r w:rsidRPr="00DD2B98">
        <w:t>Benbya</w:t>
      </w:r>
      <w:proofErr w:type="spellEnd"/>
      <w:r w:rsidRPr="00DD2B98">
        <w:t xml:space="preserve">, H. and Melville, N.P. (2025) ‘Fueling the potential of artificial intelligence for societal impact’, </w:t>
      </w:r>
      <w:r w:rsidRPr="00DD2B98">
        <w:rPr>
          <w:rStyle w:val="Emphasis"/>
          <w:rFonts w:eastAsiaTheme="majorEastAsia"/>
        </w:rPr>
        <w:t>MIS Quarterly Executive</w:t>
      </w:r>
      <w:r w:rsidRPr="00DD2B98">
        <w:t xml:space="preserve">, 24(2). Available at: </w:t>
      </w:r>
      <w:hyperlink r:id="rId11" w:tgtFrame="_new" w:history="1">
        <w:r w:rsidRPr="00DD2B98">
          <w:rPr>
            <w:rStyle w:val="Hyperlink"/>
            <w:rFonts w:eastAsiaTheme="majorEastAsia"/>
          </w:rPr>
          <w:t>https://papers.ssrn.com/sol3/papers.cfm?abstract_id=5385245</w:t>
        </w:r>
      </w:hyperlink>
    </w:p>
    <w:p w14:paraId="2726D13F" w14:textId="77777777" w:rsidR="006F0DFE" w:rsidRPr="00DD2B98" w:rsidRDefault="006F0DFE" w:rsidP="006F0DFE">
      <w:pPr>
        <w:pStyle w:val="NormalWeb"/>
        <w:spacing w:before="0" w:beforeAutospacing="0" w:after="0" w:afterAutospacing="0" w:line="480" w:lineRule="auto"/>
        <w:ind w:left="720" w:hanging="720"/>
      </w:pPr>
      <w:r w:rsidRPr="00DD2B98">
        <w:t xml:space="preserve">Cath, C., Wachter, S., Mittelstadt, B., Taddeo, M. and </w:t>
      </w:r>
      <w:proofErr w:type="spellStart"/>
      <w:r w:rsidRPr="00DD2B98">
        <w:t>Floridi</w:t>
      </w:r>
      <w:proofErr w:type="spellEnd"/>
      <w:r w:rsidRPr="00DD2B98">
        <w:t xml:space="preserve">, L. (2018) ‘Artificial intelligence and the “good society”: the US, EU, and UK approach’, </w:t>
      </w:r>
      <w:r w:rsidRPr="00DD2B98">
        <w:rPr>
          <w:rStyle w:val="Emphasis"/>
          <w:rFonts w:eastAsiaTheme="majorEastAsia"/>
        </w:rPr>
        <w:t>Science and Engineering Ethics</w:t>
      </w:r>
      <w:r w:rsidRPr="00DD2B98">
        <w:t xml:space="preserve">, 24(2), pp. 505–528. Available at: </w:t>
      </w:r>
      <w:hyperlink r:id="rId12" w:tgtFrame="_new" w:history="1">
        <w:r w:rsidRPr="00DD2B98">
          <w:rPr>
            <w:rStyle w:val="Hyperlink"/>
            <w:rFonts w:eastAsiaTheme="majorEastAsia"/>
          </w:rPr>
          <w:t>https://doi.org/10.1007/s11948-017-9901-7</w:t>
        </w:r>
      </w:hyperlink>
    </w:p>
    <w:p w14:paraId="173623DF" w14:textId="77777777" w:rsidR="006F0DFE" w:rsidRPr="00DD2B98" w:rsidRDefault="006F0DFE" w:rsidP="006F0DFE">
      <w:pPr>
        <w:pStyle w:val="NormalWeb"/>
        <w:spacing w:before="0" w:beforeAutospacing="0" w:after="0" w:afterAutospacing="0" w:line="480" w:lineRule="auto"/>
        <w:ind w:left="720" w:hanging="720"/>
      </w:pPr>
      <w:proofErr w:type="spellStart"/>
      <w:r w:rsidRPr="00DD2B98">
        <w:t>Coeckelbergh</w:t>
      </w:r>
      <w:proofErr w:type="spellEnd"/>
      <w:r w:rsidRPr="00DD2B98">
        <w:t xml:space="preserve">, M. (2025) ‘Three challenges for a global AI ethics: towards a more relational normative vision’, </w:t>
      </w:r>
      <w:r w:rsidRPr="00DD2B98">
        <w:rPr>
          <w:rStyle w:val="Emphasis"/>
          <w:rFonts w:eastAsiaTheme="majorEastAsia"/>
        </w:rPr>
        <w:t>AI and Ethics</w:t>
      </w:r>
      <w:r w:rsidRPr="00DD2B98">
        <w:t xml:space="preserve">, 5(5), pp. 5527–5533. Available at: </w:t>
      </w:r>
      <w:hyperlink r:id="rId13" w:tgtFrame="_new" w:history="1">
        <w:r w:rsidRPr="00DD2B98">
          <w:rPr>
            <w:rStyle w:val="Hyperlink"/>
            <w:rFonts w:eastAsiaTheme="majorEastAsia"/>
          </w:rPr>
          <w:t>https://doi.org/10.1007/s43681-025-00791-9</w:t>
        </w:r>
      </w:hyperlink>
    </w:p>
    <w:p w14:paraId="130AEE84" w14:textId="77777777" w:rsidR="006F0DFE" w:rsidRPr="00DD2B98" w:rsidRDefault="006F0DFE" w:rsidP="006F0DFE">
      <w:pPr>
        <w:pStyle w:val="NormalWeb"/>
        <w:spacing w:before="0" w:beforeAutospacing="0" w:after="0" w:afterAutospacing="0" w:line="480" w:lineRule="auto"/>
        <w:ind w:left="720" w:hanging="720"/>
      </w:pPr>
      <w:r w:rsidRPr="00DD2B98">
        <w:t xml:space="preserve">Connolly, R. (2026) ‘Responsible information systems in the era of AI: introducing three special issues’, </w:t>
      </w:r>
      <w:r w:rsidRPr="00DD2B98">
        <w:rPr>
          <w:rStyle w:val="Emphasis"/>
          <w:rFonts w:eastAsiaTheme="majorEastAsia"/>
        </w:rPr>
        <w:t>Information Systems Management</w:t>
      </w:r>
      <w:r w:rsidRPr="00DD2B98">
        <w:t xml:space="preserve">, pp. 1–2. Available at: </w:t>
      </w:r>
      <w:hyperlink r:id="rId14" w:tgtFrame="_new" w:history="1">
        <w:r w:rsidRPr="00DD2B98">
          <w:rPr>
            <w:rStyle w:val="Hyperlink"/>
            <w:rFonts w:eastAsiaTheme="majorEastAsia"/>
          </w:rPr>
          <w:t>https://doi.org/10.1080/10580530.2026.2618452</w:t>
        </w:r>
      </w:hyperlink>
    </w:p>
    <w:p w14:paraId="256D02E4" w14:textId="77777777" w:rsidR="006F0DFE" w:rsidRPr="00DD2B98" w:rsidRDefault="006F0DFE" w:rsidP="006F0DFE">
      <w:pPr>
        <w:pStyle w:val="NormalWeb"/>
        <w:spacing w:before="0" w:beforeAutospacing="0" w:after="0" w:afterAutospacing="0" w:line="480" w:lineRule="auto"/>
        <w:ind w:left="720" w:hanging="720"/>
      </w:pPr>
      <w:r w:rsidRPr="00DD2B98">
        <w:lastRenderedPageBreak/>
        <w:t xml:space="preserve">Dignum, V. (2023) ‘Responsible artificial intelligence: recommendations and lessons learned’, in </w:t>
      </w:r>
      <w:r w:rsidRPr="00DD2B98">
        <w:rPr>
          <w:rStyle w:val="Emphasis"/>
          <w:rFonts w:eastAsiaTheme="majorEastAsia"/>
        </w:rPr>
        <w:t>Responsible AI in Africa: Challenges and Opportunities</w:t>
      </w:r>
      <w:r w:rsidRPr="00DD2B98">
        <w:t xml:space="preserve">. Cham: Springer. Available at: </w:t>
      </w:r>
      <w:hyperlink r:id="rId15" w:tgtFrame="_new" w:history="1">
        <w:r w:rsidRPr="00DD2B98">
          <w:rPr>
            <w:rStyle w:val="Hyperlink"/>
            <w:rFonts w:eastAsiaTheme="majorEastAsia"/>
          </w:rPr>
          <w:t>https://doi.org/10.1007/978-3-031-08215-3_9</w:t>
        </w:r>
      </w:hyperlink>
    </w:p>
    <w:p w14:paraId="62149C80" w14:textId="77777777" w:rsidR="006F0DFE" w:rsidRPr="00DD2B98" w:rsidRDefault="006F0DFE" w:rsidP="006F0DFE">
      <w:pPr>
        <w:pStyle w:val="NormalWeb"/>
        <w:spacing w:before="0" w:beforeAutospacing="0" w:after="0" w:afterAutospacing="0" w:line="480" w:lineRule="auto"/>
        <w:ind w:left="720" w:hanging="720"/>
      </w:pPr>
      <w:r w:rsidRPr="00DD2B98">
        <w:t xml:space="preserve">Dwivedi, Y.K. et al. (2021) ‘Artificial intelligence (AI): multidisciplinary perspectives on emerging challenges, opportunities, and agenda for research, practice, and policy’, </w:t>
      </w:r>
      <w:r w:rsidRPr="00DD2B98">
        <w:rPr>
          <w:rStyle w:val="Emphasis"/>
          <w:rFonts w:eastAsiaTheme="majorEastAsia"/>
        </w:rPr>
        <w:t>International Journal of Information Management</w:t>
      </w:r>
      <w:r w:rsidRPr="00DD2B98">
        <w:t xml:space="preserve">, 57, p. 101994. Available at: </w:t>
      </w:r>
      <w:hyperlink r:id="rId16" w:tgtFrame="_new" w:history="1">
        <w:r w:rsidRPr="00DD2B98">
          <w:rPr>
            <w:rStyle w:val="Hyperlink"/>
            <w:rFonts w:eastAsiaTheme="majorEastAsia"/>
          </w:rPr>
          <w:t>https://doi.org/10.1016/j.ijinfomgt.2019.08.002</w:t>
        </w:r>
      </w:hyperlink>
    </w:p>
    <w:p w14:paraId="4BC4B2C4" w14:textId="77777777" w:rsidR="006F0DFE" w:rsidRPr="00DD2B98" w:rsidRDefault="006F0DFE" w:rsidP="006F0DFE">
      <w:pPr>
        <w:pStyle w:val="NormalWeb"/>
        <w:spacing w:before="0" w:beforeAutospacing="0" w:after="0" w:afterAutospacing="0" w:line="480" w:lineRule="auto"/>
        <w:ind w:left="720" w:hanging="720"/>
      </w:pPr>
      <w:r w:rsidRPr="00DD2B98">
        <w:t xml:space="preserve">Edwards, L. (2021) ‘The EU AI Act: a summary of its significance and scope’. Available at: </w:t>
      </w:r>
      <w:hyperlink r:id="rId17" w:tgtFrame="_new" w:history="1">
        <w:r w:rsidRPr="00DD2B98">
          <w:rPr>
            <w:rStyle w:val="Hyperlink"/>
            <w:rFonts w:eastAsiaTheme="majorEastAsia"/>
          </w:rPr>
          <w:t>https://www.adalovelaceinstitute.org/wp-content/uploads/2022/04/Expert-explainer-The-EU-AI-Act-11-April-2022.pdf</w:t>
        </w:r>
      </w:hyperlink>
    </w:p>
    <w:p w14:paraId="540AE1FE" w14:textId="77777777" w:rsidR="006F0DFE" w:rsidRPr="00DD2B98" w:rsidRDefault="006F0DFE" w:rsidP="006F0DFE">
      <w:pPr>
        <w:pStyle w:val="NormalWeb"/>
        <w:spacing w:before="0" w:beforeAutospacing="0" w:after="0" w:afterAutospacing="0" w:line="480" w:lineRule="auto"/>
        <w:ind w:left="720" w:hanging="720"/>
      </w:pPr>
      <w:r w:rsidRPr="00DD2B98">
        <w:t xml:space="preserve">El Mimouni, S. and </w:t>
      </w:r>
      <w:proofErr w:type="spellStart"/>
      <w:r w:rsidRPr="00DD2B98">
        <w:t>Bouhdadi</w:t>
      </w:r>
      <w:proofErr w:type="spellEnd"/>
      <w:r w:rsidRPr="00DD2B98">
        <w:t xml:space="preserve">, M. (2026) ‘Fairness and bias in AI: a sociotechnical perspective’, </w:t>
      </w:r>
      <w:r w:rsidRPr="00DD2B98">
        <w:rPr>
          <w:rStyle w:val="Emphasis"/>
          <w:rFonts w:eastAsiaTheme="majorEastAsia"/>
        </w:rPr>
        <w:t>Journal of Information, Communication and Ethics in Society</w:t>
      </w:r>
      <w:r w:rsidRPr="00DD2B98">
        <w:t xml:space="preserve">, 24(1), pp. 77–94. Available at: </w:t>
      </w:r>
      <w:hyperlink r:id="rId18" w:tgtFrame="_new" w:history="1">
        <w:r w:rsidRPr="00DD2B98">
          <w:rPr>
            <w:rStyle w:val="Hyperlink"/>
            <w:rFonts w:eastAsiaTheme="majorEastAsia"/>
          </w:rPr>
          <w:t>https://doi.org/10.1108/JICES-12-2024-0182</w:t>
        </w:r>
      </w:hyperlink>
    </w:p>
    <w:p w14:paraId="408CB07B" w14:textId="77777777" w:rsidR="006F0DFE" w:rsidRPr="00DD2B98" w:rsidRDefault="006F0DFE" w:rsidP="006F0DFE">
      <w:pPr>
        <w:pStyle w:val="NormalWeb"/>
        <w:spacing w:before="0" w:beforeAutospacing="0" w:after="0" w:afterAutospacing="0" w:line="480" w:lineRule="auto"/>
        <w:ind w:left="720" w:hanging="720"/>
      </w:pPr>
      <w:r w:rsidRPr="00DD2B98">
        <w:t xml:space="preserve">European Commission (2023) ‘European approach to artificial intelligence: shaping Europe’s digital future’. Available at: </w:t>
      </w:r>
      <w:hyperlink r:id="rId19" w:tgtFrame="_new" w:history="1">
        <w:r w:rsidRPr="00DD2B98">
          <w:rPr>
            <w:rStyle w:val="Hyperlink"/>
            <w:rFonts w:eastAsiaTheme="majorEastAsia"/>
          </w:rPr>
          <w:t>https://digital-strategy.ec.europa.eu/en/policies/european-approach-artificial-intelligence</w:t>
        </w:r>
      </w:hyperlink>
    </w:p>
    <w:p w14:paraId="705B250A" w14:textId="0625A8BF" w:rsidR="006F0DFE" w:rsidRPr="00DD2B98" w:rsidRDefault="006F0DFE" w:rsidP="006F0DFE">
      <w:pPr>
        <w:pStyle w:val="NormalWeb"/>
        <w:spacing w:before="0" w:beforeAutospacing="0" w:after="0" w:afterAutospacing="0" w:line="480" w:lineRule="auto"/>
        <w:ind w:left="720" w:hanging="720"/>
      </w:pPr>
      <w:r w:rsidRPr="00DD2B98">
        <w:t>Fjeld, J. et al. (2020) ‘Principled artificial intelligence’. Berkman Klein Center. Available at:</w:t>
      </w:r>
      <w:r w:rsidR="00FF40F2">
        <w:t xml:space="preserve"> </w:t>
      </w:r>
      <w:hyperlink r:id="rId20" w:history="1">
        <w:r w:rsidR="00FF40F2" w:rsidRPr="00456082">
          <w:rPr>
            <w:rStyle w:val="Hyperlink"/>
            <w:rFonts w:eastAsiaTheme="majorEastAsia"/>
          </w:rPr>
          <w:t>http://nrs.harvard.edu/urn-3:HUL.InstRepos:42160420</w:t>
        </w:r>
      </w:hyperlink>
    </w:p>
    <w:p w14:paraId="73A8DFF9" w14:textId="77777777" w:rsidR="006F0DFE" w:rsidRPr="00DD2B98" w:rsidRDefault="006F0DFE" w:rsidP="006F0DFE">
      <w:pPr>
        <w:pStyle w:val="NormalWeb"/>
        <w:spacing w:before="0" w:beforeAutospacing="0" w:after="0" w:afterAutospacing="0" w:line="480" w:lineRule="auto"/>
        <w:ind w:left="720" w:hanging="720"/>
      </w:pPr>
      <w:proofErr w:type="spellStart"/>
      <w:r w:rsidRPr="00DD2B98">
        <w:t>Floridi</w:t>
      </w:r>
      <w:proofErr w:type="spellEnd"/>
      <w:r w:rsidRPr="00DD2B98">
        <w:t xml:space="preserve">, L. et al. (2018) ‘AI4People—An ethical framework for a good AI society: opportunities, risks, principles, and recommendations’, </w:t>
      </w:r>
      <w:r w:rsidRPr="00DD2B98">
        <w:rPr>
          <w:rStyle w:val="Emphasis"/>
          <w:rFonts w:eastAsiaTheme="majorEastAsia"/>
        </w:rPr>
        <w:t>Minds and Machines</w:t>
      </w:r>
      <w:r w:rsidRPr="00DD2B98">
        <w:t xml:space="preserve">, 28(4), pp. 689–707. Available at: </w:t>
      </w:r>
      <w:hyperlink r:id="rId21" w:tgtFrame="_new" w:history="1">
        <w:r w:rsidRPr="00DD2B98">
          <w:rPr>
            <w:rStyle w:val="Hyperlink"/>
            <w:rFonts w:eastAsiaTheme="majorEastAsia"/>
          </w:rPr>
          <w:t>https://doi.org/10.1007/s11023-018-9482-5</w:t>
        </w:r>
      </w:hyperlink>
    </w:p>
    <w:p w14:paraId="30A550AA" w14:textId="77777777" w:rsidR="006F0DFE" w:rsidRPr="00DD2B98" w:rsidRDefault="006F0DFE" w:rsidP="006F0DFE">
      <w:pPr>
        <w:pStyle w:val="NormalWeb"/>
        <w:spacing w:before="0" w:beforeAutospacing="0" w:after="0" w:afterAutospacing="0" w:line="480" w:lineRule="auto"/>
        <w:ind w:left="720" w:hanging="720"/>
      </w:pPr>
      <w:proofErr w:type="spellStart"/>
      <w:r w:rsidRPr="00DD2B98">
        <w:t>Ghildiyal</w:t>
      </w:r>
      <w:proofErr w:type="spellEnd"/>
      <w:r w:rsidRPr="00DD2B98">
        <w:t xml:space="preserve">, V. et al. (2025) ‘Explainable AI’, in </w:t>
      </w:r>
      <w:r w:rsidRPr="00DD2B98">
        <w:rPr>
          <w:rStyle w:val="Emphasis"/>
          <w:rFonts w:eastAsiaTheme="majorEastAsia"/>
        </w:rPr>
        <w:t>AI for Product Development</w:t>
      </w:r>
      <w:r w:rsidRPr="00DD2B98">
        <w:t xml:space="preserve">. CRC Press, pp. 146–165. Available at: </w:t>
      </w:r>
      <w:hyperlink r:id="rId22" w:tgtFrame="_new" w:history="1">
        <w:r w:rsidRPr="00DD2B98">
          <w:rPr>
            <w:rStyle w:val="Hyperlink"/>
            <w:rFonts w:eastAsiaTheme="majorEastAsia"/>
          </w:rPr>
          <w:t>https://www.taylorfrancis.com/chapters/edit/10.1201/9781003536901-8/explainable-ai-varnesh-ghildiyal-abhishek-danu-vibha-verma-aruna-bhat</w:t>
        </w:r>
      </w:hyperlink>
    </w:p>
    <w:p w14:paraId="51145150" w14:textId="77777777" w:rsidR="006F0DFE" w:rsidRPr="00DD2B98" w:rsidRDefault="006F0DFE" w:rsidP="006F0DFE">
      <w:pPr>
        <w:pStyle w:val="NormalWeb"/>
        <w:spacing w:before="0" w:beforeAutospacing="0" w:after="0" w:afterAutospacing="0" w:line="480" w:lineRule="auto"/>
        <w:ind w:left="720" w:hanging="720"/>
      </w:pPr>
      <w:r w:rsidRPr="00DD2B98">
        <w:t xml:space="preserve">Gill, N., Mathur, A. and Conde, M.V. (2022) ‘A brief overview of AI governance for responsible machine learning </w:t>
      </w:r>
      <w:proofErr w:type="gramStart"/>
      <w:r w:rsidRPr="00DD2B98">
        <w:t>systems’</w:t>
      </w:r>
      <w:proofErr w:type="gramEnd"/>
      <w:r w:rsidRPr="00DD2B98">
        <w:t xml:space="preserve">. Available at: </w:t>
      </w:r>
      <w:hyperlink r:id="rId23" w:tgtFrame="_new" w:history="1">
        <w:r w:rsidRPr="00DD2B98">
          <w:rPr>
            <w:rStyle w:val="Hyperlink"/>
            <w:rFonts w:eastAsiaTheme="majorEastAsia"/>
          </w:rPr>
          <w:t>https://doi.org/10.48550/arXiv.2211.13130</w:t>
        </w:r>
      </w:hyperlink>
    </w:p>
    <w:p w14:paraId="138055D0" w14:textId="77777777" w:rsidR="006F0DFE" w:rsidRPr="00DD2B98" w:rsidRDefault="006F0DFE" w:rsidP="006F0DFE">
      <w:pPr>
        <w:pStyle w:val="NormalWeb"/>
        <w:spacing w:before="0" w:beforeAutospacing="0" w:after="0" w:afterAutospacing="0" w:line="480" w:lineRule="auto"/>
        <w:ind w:left="720" w:hanging="720"/>
      </w:pPr>
      <w:r w:rsidRPr="00DD2B98">
        <w:t xml:space="preserve">Guo, W. (2020) ‘Explainable artificial intelligence for 6G: improving trust between human and machine’, </w:t>
      </w:r>
      <w:r w:rsidRPr="00DD2B98">
        <w:rPr>
          <w:rStyle w:val="Emphasis"/>
          <w:rFonts w:eastAsiaTheme="majorEastAsia"/>
        </w:rPr>
        <w:t>IEEE Communications Magazine</w:t>
      </w:r>
      <w:r w:rsidRPr="00DD2B98">
        <w:t xml:space="preserve">, 58(6), pp. 39–45. Available at: </w:t>
      </w:r>
      <w:hyperlink r:id="rId24" w:tgtFrame="_new" w:history="1">
        <w:r w:rsidRPr="00DD2B98">
          <w:rPr>
            <w:rStyle w:val="Hyperlink"/>
            <w:rFonts w:eastAsiaTheme="majorEastAsia"/>
          </w:rPr>
          <w:t>https://ieeexplore.ieee.org/abstract/document/9141213</w:t>
        </w:r>
      </w:hyperlink>
    </w:p>
    <w:p w14:paraId="3D68C7AE" w14:textId="77777777" w:rsidR="006F0DFE" w:rsidRPr="00DD2B98" w:rsidRDefault="006F0DFE" w:rsidP="006F0DFE">
      <w:pPr>
        <w:pStyle w:val="NormalWeb"/>
        <w:spacing w:before="0" w:beforeAutospacing="0" w:after="0" w:afterAutospacing="0" w:line="480" w:lineRule="auto"/>
        <w:ind w:left="720" w:hanging="720"/>
      </w:pPr>
      <w:proofErr w:type="spellStart"/>
      <w:r w:rsidRPr="00DD2B98">
        <w:t>Hagendorff</w:t>
      </w:r>
      <w:proofErr w:type="spellEnd"/>
      <w:r w:rsidRPr="00DD2B98">
        <w:t xml:space="preserve">, T. (2022) ‘A virtue-based framework to support putting AI ethics into practice’, </w:t>
      </w:r>
      <w:r w:rsidRPr="00DD2B98">
        <w:rPr>
          <w:rStyle w:val="Emphasis"/>
          <w:rFonts w:eastAsiaTheme="majorEastAsia"/>
        </w:rPr>
        <w:t>Philosophy &amp; Technology</w:t>
      </w:r>
      <w:r w:rsidRPr="00DD2B98">
        <w:t xml:space="preserve">, 35(3), p. 55. Available at: </w:t>
      </w:r>
      <w:hyperlink r:id="rId25" w:tgtFrame="_new" w:history="1">
        <w:r w:rsidRPr="00DD2B98">
          <w:rPr>
            <w:rStyle w:val="Hyperlink"/>
            <w:rFonts w:eastAsiaTheme="majorEastAsia"/>
          </w:rPr>
          <w:t>https://doi.org/10.1007/s13347-022-00553-z</w:t>
        </w:r>
      </w:hyperlink>
    </w:p>
    <w:p w14:paraId="77C1441C" w14:textId="77777777" w:rsidR="006F0DFE" w:rsidRPr="00DD2B98" w:rsidRDefault="006F0DFE" w:rsidP="006F0DFE">
      <w:pPr>
        <w:pStyle w:val="NormalWeb"/>
        <w:spacing w:before="0" w:beforeAutospacing="0" w:after="0" w:afterAutospacing="0" w:line="480" w:lineRule="auto"/>
        <w:ind w:left="720" w:hanging="720"/>
      </w:pPr>
      <w:proofErr w:type="spellStart"/>
      <w:r w:rsidRPr="00DD2B98">
        <w:t>Hausenloy</w:t>
      </w:r>
      <w:proofErr w:type="spellEnd"/>
      <w:r w:rsidRPr="00DD2B98">
        <w:t xml:space="preserve">, J. et al. (2024) ‘Towards data governance of frontier AI </w:t>
      </w:r>
      <w:proofErr w:type="gramStart"/>
      <w:r w:rsidRPr="00DD2B98">
        <w:t>models’</w:t>
      </w:r>
      <w:proofErr w:type="gramEnd"/>
      <w:r w:rsidRPr="00DD2B98">
        <w:t xml:space="preserve">. Available at: </w:t>
      </w:r>
      <w:hyperlink r:id="rId26" w:tgtFrame="_new" w:history="1">
        <w:r w:rsidRPr="00DD2B98">
          <w:rPr>
            <w:rStyle w:val="Hyperlink"/>
            <w:rFonts w:eastAsiaTheme="majorEastAsia"/>
          </w:rPr>
          <w:t>https://doi.org/10.48550/arXiv.2412.03824</w:t>
        </w:r>
      </w:hyperlink>
    </w:p>
    <w:p w14:paraId="4C5EE793" w14:textId="77777777" w:rsidR="006F0DFE" w:rsidRPr="00DD2B98" w:rsidRDefault="006F0DFE" w:rsidP="006F0DFE">
      <w:pPr>
        <w:pStyle w:val="NormalWeb"/>
        <w:spacing w:before="0" w:beforeAutospacing="0" w:after="0" w:afterAutospacing="0" w:line="480" w:lineRule="auto"/>
        <w:ind w:left="720" w:hanging="720"/>
      </w:pPr>
      <w:r w:rsidRPr="00DD2B98">
        <w:t xml:space="preserve">Hussein, R. et al. (2026) ‘Advancing healthcare AI governance through a comprehensive maturity model based on systematic review’, </w:t>
      </w:r>
      <w:proofErr w:type="spellStart"/>
      <w:r w:rsidRPr="00DD2B98">
        <w:rPr>
          <w:rStyle w:val="Emphasis"/>
          <w:rFonts w:eastAsiaTheme="majorEastAsia"/>
        </w:rPr>
        <w:t>npj</w:t>
      </w:r>
      <w:proofErr w:type="spellEnd"/>
      <w:r w:rsidRPr="00DD2B98">
        <w:rPr>
          <w:rStyle w:val="Emphasis"/>
          <w:rFonts w:eastAsiaTheme="majorEastAsia"/>
        </w:rPr>
        <w:t xml:space="preserve"> Digital Medicine</w:t>
      </w:r>
      <w:r w:rsidRPr="00DD2B98">
        <w:t xml:space="preserve">. Available at: </w:t>
      </w:r>
      <w:hyperlink r:id="rId27" w:tgtFrame="_new" w:history="1">
        <w:r w:rsidRPr="00DD2B98">
          <w:rPr>
            <w:rStyle w:val="Hyperlink"/>
            <w:rFonts w:eastAsiaTheme="majorEastAsia"/>
          </w:rPr>
          <w:t>https://doi.org/10.1038/s41746-026-02418-7</w:t>
        </w:r>
      </w:hyperlink>
    </w:p>
    <w:p w14:paraId="6FE6C08D" w14:textId="77777777" w:rsidR="006F0DFE" w:rsidRPr="00DD2B98" w:rsidRDefault="006F0DFE" w:rsidP="006F0DFE">
      <w:pPr>
        <w:pStyle w:val="NormalWeb"/>
        <w:spacing w:before="0" w:beforeAutospacing="0" w:after="0" w:afterAutospacing="0" w:line="480" w:lineRule="auto"/>
        <w:ind w:left="720" w:hanging="720"/>
      </w:pPr>
      <w:r w:rsidRPr="00DD2B98">
        <w:t xml:space="preserve">Jobin, A., Ienca, M. and </w:t>
      </w:r>
      <w:proofErr w:type="spellStart"/>
      <w:r w:rsidRPr="00DD2B98">
        <w:t>Vayena</w:t>
      </w:r>
      <w:proofErr w:type="spellEnd"/>
      <w:r w:rsidRPr="00DD2B98">
        <w:t xml:space="preserve">, E. (2019) ‘The global landscape of AI ethics guidelines’, </w:t>
      </w:r>
      <w:r w:rsidRPr="00DD2B98">
        <w:rPr>
          <w:rStyle w:val="Emphasis"/>
          <w:rFonts w:eastAsiaTheme="majorEastAsia"/>
        </w:rPr>
        <w:t>Nature Machine Intelligence</w:t>
      </w:r>
      <w:r w:rsidRPr="00DD2B98">
        <w:t xml:space="preserve">, 1(9), pp. 389–399. Available at: </w:t>
      </w:r>
      <w:hyperlink r:id="rId28" w:tgtFrame="_new" w:history="1">
        <w:r w:rsidRPr="00DD2B98">
          <w:rPr>
            <w:rStyle w:val="Hyperlink"/>
            <w:rFonts w:eastAsiaTheme="majorEastAsia"/>
          </w:rPr>
          <w:t>https://doi.org/10.1038/s42256-019-0088-2</w:t>
        </w:r>
      </w:hyperlink>
    </w:p>
    <w:p w14:paraId="0275CC60" w14:textId="77777777" w:rsidR="006F0DFE" w:rsidRPr="00DD2B98" w:rsidRDefault="006F0DFE" w:rsidP="006F0DFE">
      <w:pPr>
        <w:pStyle w:val="NormalWeb"/>
        <w:spacing w:before="0" w:beforeAutospacing="0" w:after="0" w:afterAutospacing="0" w:line="480" w:lineRule="auto"/>
        <w:ind w:left="720" w:hanging="720"/>
      </w:pPr>
      <w:r w:rsidRPr="00DD2B98">
        <w:t xml:space="preserve">Kiden, S. et al. (2024) ‘Responsible AI governance: a response to UN interim report on governing AI for humanity’. Available at: </w:t>
      </w:r>
      <w:hyperlink r:id="rId29" w:tgtFrame="_new" w:history="1">
        <w:r w:rsidRPr="00DD2B98">
          <w:rPr>
            <w:rStyle w:val="Hyperlink"/>
            <w:rFonts w:eastAsiaTheme="majorEastAsia"/>
          </w:rPr>
          <w:t>https://doi.org/10.48550/arXiv.2412.12108</w:t>
        </w:r>
      </w:hyperlink>
    </w:p>
    <w:p w14:paraId="7C2E28C2" w14:textId="0A642825" w:rsidR="006F0DFE" w:rsidRPr="00DD2B98" w:rsidRDefault="006F0DFE" w:rsidP="006F0DFE">
      <w:pPr>
        <w:pStyle w:val="NormalWeb"/>
        <w:spacing w:before="0" w:beforeAutospacing="0" w:after="0" w:afterAutospacing="0" w:line="480" w:lineRule="auto"/>
        <w:ind w:left="720" w:hanging="720"/>
      </w:pPr>
      <w:r w:rsidRPr="00DD2B98">
        <w:t xml:space="preserve">Knowles, B. et al. (2023) ‘Trustworthy AI and the logics of intersectional resistance’, in </w:t>
      </w:r>
      <w:r w:rsidRPr="00DD2B98">
        <w:rPr>
          <w:rStyle w:val="Emphasis"/>
          <w:rFonts w:eastAsiaTheme="majorEastAsia"/>
        </w:rPr>
        <w:t xml:space="preserve">Proceedings of the 2023 ACM Conference on Fairness, Accountability, and </w:t>
      </w:r>
      <w:r w:rsidRPr="00DD2B98">
        <w:rPr>
          <w:rStyle w:val="Emphasis"/>
          <w:rFonts w:eastAsiaTheme="majorEastAsia"/>
        </w:rPr>
        <w:lastRenderedPageBreak/>
        <w:t>Transparency</w:t>
      </w:r>
      <w:r w:rsidRPr="00DD2B98">
        <w:t>, pp. 172–182. Available at:</w:t>
      </w:r>
      <w:r w:rsidR="00FF40F2">
        <w:t xml:space="preserve"> </w:t>
      </w:r>
      <w:hyperlink r:id="rId30" w:history="1">
        <w:r w:rsidR="0035693D" w:rsidRPr="00456082">
          <w:rPr>
            <w:rStyle w:val="Hyperlink"/>
            <w:rFonts w:eastAsiaTheme="majorEastAsia"/>
          </w:rPr>
          <w:t>https://dl.acm.org/doi/abs/10.1145/3593013.3593986</w:t>
        </w:r>
      </w:hyperlink>
    </w:p>
    <w:p w14:paraId="11DE88ED" w14:textId="77777777" w:rsidR="006F0DFE" w:rsidRPr="00DD2B98" w:rsidRDefault="006F0DFE" w:rsidP="006F0DFE">
      <w:pPr>
        <w:pStyle w:val="NormalWeb"/>
        <w:spacing w:before="0" w:beforeAutospacing="0" w:after="0" w:afterAutospacing="0" w:line="480" w:lineRule="auto"/>
        <w:ind w:left="720" w:hanging="720"/>
      </w:pPr>
      <w:r w:rsidRPr="00DD2B98">
        <w:t xml:space="preserve">Krause, D. (2024) ‘Addressing the challenges of auditing and testing for AI bias: a comparative analysis of regulatory </w:t>
      </w:r>
      <w:proofErr w:type="gramStart"/>
      <w:r w:rsidRPr="00DD2B98">
        <w:t>frameworks’</w:t>
      </w:r>
      <w:proofErr w:type="gramEnd"/>
      <w:r w:rsidRPr="00DD2B98">
        <w:t xml:space="preserve">. Available at: </w:t>
      </w:r>
      <w:hyperlink r:id="rId31" w:tgtFrame="_new" w:history="1">
        <w:r w:rsidRPr="00DD2B98">
          <w:rPr>
            <w:rStyle w:val="Hyperlink"/>
            <w:rFonts w:eastAsiaTheme="majorEastAsia"/>
          </w:rPr>
          <w:t>https://papers.ssrn.com/sol3/papers.cfm?abstract_id=5050631</w:t>
        </w:r>
      </w:hyperlink>
    </w:p>
    <w:p w14:paraId="2137AC9D" w14:textId="77777777" w:rsidR="006F0DFE" w:rsidRPr="00DD2B98" w:rsidRDefault="006F0DFE" w:rsidP="006F0DFE">
      <w:pPr>
        <w:pStyle w:val="NormalWeb"/>
        <w:spacing w:before="0" w:beforeAutospacing="0" w:after="0" w:afterAutospacing="0" w:line="480" w:lineRule="auto"/>
        <w:ind w:left="720" w:hanging="720"/>
      </w:pPr>
      <w:r w:rsidRPr="00DD2B98">
        <w:t xml:space="preserve">Kroll, J. and Berzins, V. (2022) ‘Understanding, assessing, and mitigating safety risks in artificial intelligence </w:t>
      </w:r>
      <w:proofErr w:type="gramStart"/>
      <w:r w:rsidRPr="00DD2B98">
        <w:t>systems’</w:t>
      </w:r>
      <w:proofErr w:type="gramEnd"/>
      <w:r w:rsidRPr="00DD2B98">
        <w:t xml:space="preserve">. Available at: </w:t>
      </w:r>
      <w:hyperlink r:id="rId32" w:tgtFrame="_new" w:history="1">
        <w:r w:rsidRPr="00DD2B98">
          <w:rPr>
            <w:rStyle w:val="Hyperlink"/>
            <w:rFonts w:eastAsiaTheme="majorEastAsia"/>
          </w:rPr>
          <w:t>https://apps.dtic.mil/sti/html/trecms/AD1191920/</w:t>
        </w:r>
      </w:hyperlink>
    </w:p>
    <w:p w14:paraId="6FE5C592" w14:textId="77777777" w:rsidR="006F0DFE" w:rsidRPr="00DD2B98" w:rsidRDefault="006F0DFE" w:rsidP="006F0DFE">
      <w:pPr>
        <w:pStyle w:val="NormalWeb"/>
        <w:spacing w:before="0" w:beforeAutospacing="0" w:after="0" w:afterAutospacing="0" w:line="480" w:lineRule="auto"/>
        <w:ind w:left="720" w:hanging="720"/>
      </w:pPr>
      <w:r w:rsidRPr="00DD2B98">
        <w:t xml:space="preserve">Lee, M.S.A., </w:t>
      </w:r>
      <w:proofErr w:type="spellStart"/>
      <w:r w:rsidRPr="00DD2B98">
        <w:t>Floridi</w:t>
      </w:r>
      <w:proofErr w:type="spellEnd"/>
      <w:r w:rsidRPr="00DD2B98">
        <w:t xml:space="preserve">, L. and </w:t>
      </w:r>
      <w:proofErr w:type="spellStart"/>
      <w:r w:rsidRPr="00DD2B98">
        <w:t>Denev</w:t>
      </w:r>
      <w:proofErr w:type="spellEnd"/>
      <w:r w:rsidRPr="00DD2B98">
        <w:t xml:space="preserve">, A. (2021) ‘Innovating with confidence: embedding AI governance and fairness in a financial services risk management framework’, in </w:t>
      </w:r>
      <w:proofErr w:type="gramStart"/>
      <w:r w:rsidRPr="00DD2B98">
        <w:rPr>
          <w:rStyle w:val="Emphasis"/>
          <w:rFonts w:eastAsiaTheme="majorEastAsia"/>
        </w:rPr>
        <w:t>Ethics</w:t>
      </w:r>
      <w:proofErr w:type="gramEnd"/>
      <w:r w:rsidRPr="00DD2B98">
        <w:rPr>
          <w:rStyle w:val="Emphasis"/>
          <w:rFonts w:eastAsiaTheme="majorEastAsia"/>
        </w:rPr>
        <w:t>, governance, and policies in artificial intelligence</w:t>
      </w:r>
      <w:r w:rsidRPr="00DD2B98">
        <w:t xml:space="preserve">. Cham: Springer. Available at: </w:t>
      </w:r>
      <w:hyperlink r:id="rId33" w:tgtFrame="_new" w:history="1">
        <w:r w:rsidRPr="00DD2B98">
          <w:rPr>
            <w:rStyle w:val="Hyperlink"/>
            <w:rFonts w:eastAsiaTheme="majorEastAsia"/>
          </w:rPr>
          <w:t>https://doi.org/10.1007/978-3-030-81907-1_20</w:t>
        </w:r>
      </w:hyperlink>
    </w:p>
    <w:p w14:paraId="5CD95744" w14:textId="77777777" w:rsidR="006F0DFE" w:rsidRPr="00DD2B98" w:rsidRDefault="006F0DFE" w:rsidP="006F0DFE">
      <w:pPr>
        <w:pStyle w:val="NormalWeb"/>
        <w:spacing w:before="0" w:beforeAutospacing="0" w:after="0" w:afterAutospacing="0" w:line="480" w:lineRule="auto"/>
        <w:ind w:left="720" w:hanging="720"/>
      </w:pPr>
      <w:proofErr w:type="spellStart"/>
      <w:r w:rsidRPr="00DD2B98">
        <w:t>Makridakis</w:t>
      </w:r>
      <w:proofErr w:type="spellEnd"/>
      <w:r w:rsidRPr="00DD2B98">
        <w:t xml:space="preserve">, S. and </w:t>
      </w:r>
      <w:proofErr w:type="spellStart"/>
      <w:r w:rsidRPr="00DD2B98">
        <w:t>Michailides</w:t>
      </w:r>
      <w:proofErr w:type="spellEnd"/>
      <w:r w:rsidRPr="00DD2B98">
        <w:t xml:space="preserve">, M. (2025) ‘The forthcoming AGI revolution: its impact on society and firms’. Available at: </w:t>
      </w:r>
      <w:hyperlink r:id="rId34" w:tgtFrame="_new" w:history="1">
        <w:r w:rsidRPr="00DD2B98">
          <w:rPr>
            <w:rStyle w:val="Hyperlink"/>
            <w:rFonts w:eastAsiaTheme="majorEastAsia"/>
          </w:rPr>
          <w:t>https://www.preprints.org/frontend/manuscript/eb7d13f3cb267298544b2c207f45465d/download_pub</w:t>
        </w:r>
      </w:hyperlink>
    </w:p>
    <w:p w14:paraId="18F5B4D5" w14:textId="77777777" w:rsidR="006F0DFE" w:rsidRPr="00DD2B98" w:rsidRDefault="006F0DFE" w:rsidP="006F0DFE">
      <w:pPr>
        <w:pStyle w:val="NormalWeb"/>
        <w:spacing w:before="0" w:beforeAutospacing="0" w:after="0" w:afterAutospacing="0" w:line="480" w:lineRule="auto"/>
        <w:ind w:left="720" w:hanging="720"/>
      </w:pPr>
      <w:r w:rsidRPr="00DD2B98">
        <w:t xml:space="preserve">McKinsey &amp; Company (2023) ‘The state of AI in 2023: generative AI’s breakout year’. Available at: </w:t>
      </w:r>
      <w:hyperlink r:id="rId35" w:anchor="/" w:tgtFrame="_new" w:history="1">
        <w:r w:rsidRPr="00DD2B98">
          <w:rPr>
            <w:rStyle w:val="Hyperlink"/>
            <w:rFonts w:eastAsiaTheme="majorEastAsia"/>
          </w:rPr>
          <w:t>https://www.mckinsey.com/capabilities/quantumblack/our-insights/the-state-of-ai-in-2023-generative-ais-breakout-year#/</w:t>
        </w:r>
      </w:hyperlink>
    </w:p>
    <w:p w14:paraId="2526FCCA" w14:textId="77777777" w:rsidR="006F0DFE" w:rsidRPr="00DD2B98" w:rsidRDefault="006F0DFE" w:rsidP="006F0DFE">
      <w:pPr>
        <w:pStyle w:val="NormalWeb"/>
        <w:spacing w:before="0" w:beforeAutospacing="0" w:after="0" w:afterAutospacing="0" w:line="480" w:lineRule="auto"/>
        <w:ind w:left="720" w:hanging="720"/>
      </w:pPr>
      <w:r w:rsidRPr="00DD2B98">
        <w:t xml:space="preserve">Microsoft (2025) ‘Responsible AI transparency report: how we build, support our customers, and grow’. Available at: </w:t>
      </w:r>
      <w:hyperlink r:id="rId36" w:tgtFrame="_new" w:history="1">
        <w:r w:rsidRPr="00DD2B98">
          <w:rPr>
            <w:rStyle w:val="Hyperlink"/>
            <w:rFonts w:eastAsiaTheme="majorEastAsia"/>
          </w:rPr>
          <w:t>https://www.microsoft.com/en-us/ai/responsible-ai</w:t>
        </w:r>
      </w:hyperlink>
    </w:p>
    <w:p w14:paraId="63BC87B4" w14:textId="77777777" w:rsidR="006F0DFE" w:rsidRPr="00DD2B98" w:rsidRDefault="006F0DFE" w:rsidP="006F0DFE">
      <w:pPr>
        <w:pStyle w:val="NormalWeb"/>
        <w:spacing w:before="0" w:beforeAutospacing="0" w:after="0" w:afterAutospacing="0" w:line="480" w:lineRule="auto"/>
        <w:ind w:left="720" w:hanging="720"/>
      </w:pPr>
      <w:r w:rsidRPr="00DD2B98">
        <w:lastRenderedPageBreak/>
        <w:t xml:space="preserve">Mittelstadt, B. (2019) ‘Principles alone cannot guarantee ethical AI’, </w:t>
      </w:r>
      <w:r w:rsidRPr="00DD2B98">
        <w:rPr>
          <w:rStyle w:val="Emphasis"/>
          <w:rFonts w:eastAsiaTheme="majorEastAsia"/>
        </w:rPr>
        <w:t>Nature Machine Intelligence</w:t>
      </w:r>
      <w:r w:rsidRPr="00DD2B98">
        <w:t xml:space="preserve">, 1(11), pp. 501–507. Available at: </w:t>
      </w:r>
      <w:hyperlink r:id="rId37" w:tgtFrame="_new" w:history="1">
        <w:r w:rsidRPr="00DD2B98">
          <w:rPr>
            <w:rStyle w:val="Hyperlink"/>
            <w:rFonts w:eastAsiaTheme="majorEastAsia"/>
          </w:rPr>
          <w:t>https://doi.org/10.1038/s42256-019-0114-4</w:t>
        </w:r>
      </w:hyperlink>
    </w:p>
    <w:p w14:paraId="52AEF8AE" w14:textId="77777777" w:rsidR="006F0DFE" w:rsidRPr="00DD2B98" w:rsidRDefault="006F0DFE" w:rsidP="006F0DFE">
      <w:pPr>
        <w:pStyle w:val="NormalWeb"/>
        <w:spacing w:before="0" w:beforeAutospacing="0" w:after="0" w:afterAutospacing="0" w:line="480" w:lineRule="auto"/>
        <w:ind w:left="720" w:hanging="720"/>
      </w:pPr>
      <w:r w:rsidRPr="00DD2B98">
        <w:t xml:space="preserve">Morley, J. et al. (2021) ‘Ethics as a service: a pragmatic </w:t>
      </w:r>
      <w:proofErr w:type="spellStart"/>
      <w:r w:rsidRPr="00DD2B98">
        <w:t>operationalisation</w:t>
      </w:r>
      <w:proofErr w:type="spellEnd"/>
      <w:r w:rsidRPr="00DD2B98">
        <w:t xml:space="preserve"> of AI ethics’, </w:t>
      </w:r>
      <w:r w:rsidRPr="00DD2B98">
        <w:rPr>
          <w:rStyle w:val="Emphasis"/>
          <w:rFonts w:eastAsiaTheme="majorEastAsia"/>
        </w:rPr>
        <w:t>Minds and Machines</w:t>
      </w:r>
      <w:r w:rsidRPr="00DD2B98">
        <w:t xml:space="preserve">, 31(2), pp. 239–256. Available at: </w:t>
      </w:r>
      <w:hyperlink r:id="rId38" w:tgtFrame="_new" w:history="1">
        <w:r w:rsidRPr="00DD2B98">
          <w:rPr>
            <w:rStyle w:val="Hyperlink"/>
            <w:rFonts w:eastAsiaTheme="majorEastAsia"/>
          </w:rPr>
          <w:t>https://doi.org/10.1007/s11023-021-09563-w</w:t>
        </w:r>
      </w:hyperlink>
    </w:p>
    <w:p w14:paraId="1D870175" w14:textId="77777777" w:rsidR="006F0DFE" w:rsidRPr="00DD2B98" w:rsidRDefault="006F0DFE" w:rsidP="006F0DFE">
      <w:pPr>
        <w:pStyle w:val="NormalWeb"/>
        <w:spacing w:before="0" w:beforeAutospacing="0" w:after="0" w:afterAutospacing="0" w:line="480" w:lineRule="auto"/>
        <w:ind w:left="720" w:hanging="720"/>
      </w:pPr>
      <w:r w:rsidRPr="00DD2B98">
        <w:t xml:space="preserve">Nemitz, P. (2023) ‘Democracy through law: the transatlantic reflection group and its manifesto in </w:t>
      </w:r>
      <w:proofErr w:type="spellStart"/>
      <w:r w:rsidRPr="00DD2B98">
        <w:t>defence</w:t>
      </w:r>
      <w:proofErr w:type="spellEnd"/>
      <w:r w:rsidRPr="00DD2B98">
        <w:t xml:space="preserve"> of democracy and the rule of law in the age of artificial intelligence’, </w:t>
      </w:r>
      <w:r w:rsidRPr="00DD2B98">
        <w:rPr>
          <w:rStyle w:val="Emphasis"/>
          <w:rFonts w:eastAsiaTheme="majorEastAsia"/>
        </w:rPr>
        <w:t>European Law Journal</w:t>
      </w:r>
      <w:r w:rsidRPr="00DD2B98">
        <w:t>, 29, p. 237</w:t>
      </w:r>
    </w:p>
    <w:p w14:paraId="5F4F9B9A" w14:textId="77777777" w:rsidR="006F0DFE" w:rsidRPr="00DD2B98" w:rsidRDefault="006F0DFE" w:rsidP="006F0DFE">
      <w:pPr>
        <w:pStyle w:val="NormalWeb"/>
        <w:spacing w:before="0" w:beforeAutospacing="0" w:after="0" w:afterAutospacing="0" w:line="480" w:lineRule="auto"/>
        <w:ind w:left="720" w:hanging="720"/>
      </w:pPr>
      <w:r w:rsidRPr="00DD2B98">
        <w:t xml:space="preserve">OECD (2023) ‘The state of implementation of the OECD AI principles four years on’. Available at: </w:t>
      </w:r>
      <w:hyperlink r:id="rId39" w:tgtFrame="_new" w:history="1">
        <w:r w:rsidRPr="00DD2B98">
          <w:rPr>
            <w:rStyle w:val="Hyperlink"/>
            <w:rFonts w:eastAsiaTheme="majorEastAsia"/>
          </w:rPr>
          <w:t>https://www.oecd.org/en/publications/the-state-of-implementation-of-the-oecd-ai-principles-four-years-on_835641c9-en.html</w:t>
        </w:r>
      </w:hyperlink>
    </w:p>
    <w:p w14:paraId="0C114255" w14:textId="77777777" w:rsidR="006F0DFE" w:rsidRPr="00DD2B98" w:rsidRDefault="006F0DFE" w:rsidP="006F0DFE">
      <w:pPr>
        <w:pStyle w:val="NormalWeb"/>
        <w:spacing w:before="0" w:beforeAutospacing="0" w:after="0" w:afterAutospacing="0" w:line="480" w:lineRule="auto"/>
        <w:ind w:left="720" w:hanging="720"/>
      </w:pPr>
      <w:r w:rsidRPr="00DD2B98">
        <w:t xml:space="preserve">O’Shaughnessy, M.R. et al. (2023) ‘What governs attitudes toward artificial intelligence adoption and governance?’, </w:t>
      </w:r>
      <w:r w:rsidRPr="00DD2B98">
        <w:rPr>
          <w:rStyle w:val="Emphasis"/>
          <w:rFonts w:eastAsiaTheme="majorEastAsia"/>
        </w:rPr>
        <w:t>Science and Public Policy</w:t>
      </w:r>
      <w:r w:rsidRPr="00DD2B98">
        <w:t xml:space="preserve">, 50(2), pp. 161–176. Available at: </w:t>
      </w:r>
      <w:hyperlink r:id="rId40" w:tgtFrame="_new" w:history="1">
        <w:r w:rsidRPr="00DD2B98">
          <w:rPr>
            <w:rStyle w:val="Hyperlink"/>
            <w:rFonts w:eastAsiaTheme="majorEastAsia"/>
          </w:rPr>
          <w:t>https://doi.org/10.1093/scipol/scac056</w:t>
        </w:r>
      </w:hyperlink>
    </w:p>
    <w:p w14:paraId="0D2A7320" w14:textId="77777777" w:rsidR="006F0DFE" w:rsidRPr="00DD2B98" w:rsidRDefault="006F0DFE" w:rsidP="006F0DFE">
      <w:pPr>
        <w:pStyle w:val="NormalWeb"/>
        <w:spacing w:before="0" w:beforeAutospacing="0" w:after="0" w:afterAutospacing="0" w:line="480" w:lineRule="auto"/>
        <w:ind w:left="720" w:hanging="720"/>
      </w:pPr>
      <w:r w:rsidRPr="00DD2B98">
        <w:t xml:space="preserve">Rai, A. (2020) ‘Explainable AI: from black box to glass box’, </w:t>
      </w:r>
      <w:r w:rsidRPr="00DD2B98">
        <w:rPr>
          <w:rStyle w:val="Emphasis"/>
          <w:rFonts w:eastAsiaTheme="majorEastAsia"/>
        </w:rPr>
        <w:t>Journal of the Academy of Marketing Science</w:t>
      </w:r>
      <w:r w:rsidRPr="00DD2B98">
        <w:t xml:space="preserve">, 48(1), pp. 137–141. Available at: </w:t>
      </w:r>
      <w:hyperlink r:id="rId41" w:tgtFrame="_new" w:history="1">
        <w:r w:rsidRPr="00DD2B98">
          <w:rPr>
            <w:rStyle w:val="Hyperlink"/>
            <w:rFonts w:eastAsiaTheme="majorEastAsia"/>
          </w:rPr>
          <w:t>https://doi.org/10.1007/s11747-019-00710-5</w:t>
        </w:r>
      </w:hyperlink>
    </w:p>
    <w:p w14:paraId="308F479A" w14:textId="77777777" w:rsidR="006F0DFE" w:rsidRPr="00DD2B98" w:rsidRDefault="006F0DFE" w:rsidP="006F0DFE">
      <w:pPr>
        <w:pStyle w:val="NormalWeb"/>
        <w:spacing w:before="0" w:beforeAutospacing="0" w:after="0" w:afterAutospacing="0" w:line="480" w:lineRule="auto"/>
        <w:ind w:left="720" w:hanging="720"/>
      </w:pPr>
      <w:r w:rsidRPr="00DD2B98">
        <w:t xml:space="preserve">Raisch, S. and Krakowski, S. (2021) ‘Artificial intelligence and management: the automation–augmentation paradox’, </w:t>
      </w:r>
      <w:r w:rsidRPr="00DD2B98">
        <w:rPr>
          <w:rStyle w:val="Emphasis"/>
          <w:rFonts w:eastAsiaTheme="majorEastAsia"/>
        </w:rPr>
        <w:t>Academy of Management Review</w:t>
      </w:r>
      <w:r w:rsidRPr="00DD2B98">
        <w:t xml:space="preserve">, 46(1), pp. 192–210. Available at: </w:t>
      </w:r>
      <w:hyperlink r:id="rId42" w:tgtFrame="_new" w:history="1">
        <w:r w:rsidRPr="00DD2B98">
          <w:rPr>
            <w:rStyle w:val="Hyperlink"/>
            <w:rFonts w:eastAsiaTheme="majorEastAsia"/>
          </w:rPr>
          <w:t>https://doi.org/10.5465/amr.2018.0072</w:t>
        </w:r>
      </w:hyperlink>
    </w:p>
    <w:p w14:paraId="03BAA289" w14:textId="77777777" w:rsidR="006F0DFE" w:rsidRPr="00DD2B98" w:rsidRDefault="006F0DFE" w:rsidP="006F0DFE">
      <w:pPr>
        <w:pStyle w:val="NormalWeb"/>
        <w:spacing w:before="0" w:beforeAutospacing="0" w:after="0" w:afterAutospacing="0" w:line="480" w:lineRule="auto"/>
        <w:ind w:left="720" w:hanging="720"/>
      </w:pPr>
      <w:r w:rsidRPr="00DD2B98">
        <w:lastRenderedPageBreak/>
        <w:t xml:space="preserve">Reddy, S. et al. (2020) ‘A governance model for the application of AI in health care’, </w:t>
      </w:r>
      <w:r w:rsidRPr="00DD2B98">
        <w:rPr>
          <w:rStyle w:val="Emphasis"/>
          <w:rFonts w:eastAsiaTheme="majorEastAsia"/>
        </w:rPr>
        <w:t>Journal of the American Medical Informatics Association</w:t>
      </w:r>
      <w:r w:rsidRPr="00DD2B98">
        <w:t xml:space="preserve">, 27(3), pp. 491–497. Available at: </w:t>
      </w:r>
      <w:hyperlink r:id="rId43" w:tgtFrame="_new" w:history="1">
        <w:r w:rsidRPr="00DD2B98">
          <w:rPr>
            <w:rStyle w:val="Hyperlink"/>
            <w:rFonts w:eastAsiaTheme="majorEastAsia"/>
          </w:rPr>
          <w:t>https://doi.org/10.1093/jamia/ocz192</w:t>
        </w:r>
      </w:hyperlink>
    </w:p>
    <w:p w14:paraId="29FA0F1A" w14:textId="77777777" w:rsidR="006F0DFE" w:rsidRPr="00DD2B98" w:rsidRDefault="006F0DFE" w:rsidP="006F0DFE">
      <w:pPr>
        <w:pStyle w:val="NormalWeb"/>
        <w:spacing w:before="0" w:beforeAutospacing="0" w:after="0" w:afterAutospacing="0" w:line="480" w:lineRule="auto"/>
        <w:ind w:left="720" w:hanging="720"/>
      </w:pPr>
      <w:r w:rsidRPr="00DD2B98">
        <w:t xml:space="preserve">Ribeiro, D. et al. (2025) ‘Toward effective AI governance: a review of </w:t>
      </w:r>
      <w:proofErr w:type="gramStart"/>
      <w:r w:rsidRPr="00DD2B98">
        <w:t>principles’</w:t>
      </w:r>
      <w:proofErr w:type="gramEnd"/>
      <w:r w:rsidRPr="00DD2B98">
        <w:t xml:space="preserve">. Available at: </w:t>
      </w:r>
      <w:hyperlink r:id="rId44" w:tgtFrame="_new" w:history="1">
        <w:r w:rsidRPr="00DD2B98">
          <w:rPr>
            <w:rStyle w:val="Hyperlink"/>
            <w:rFonts w:eastAsiaTheme="majorEastAsia"/>
          </w:rPr>
          <w:t>https://doi.org/10.48550/arXiv.2505.23417</w:t>
        </w:r>
      </w:hyperlink>
    </w:p>
    <w:p w14:paraId="79222E29" w14:textId="77777777" w:rsidR="006F0DFE" w:rsidRPr="00DD2B98" w:rsidRDefault="006F0DFE" w:rsidP="006F0DFE">
      <w:pPr>
        <w:pStyle w:val="NormalWeb"/>
        <w:spacing w:before="0" w:beforeAutospacing="0" w:after="0" w:afterAutospacing="0" w:line="480" w:lineRule="auto"/>
        <w:ind w:left="720" w:hanging="720"/>
      </w:pPr>
      <w:r w:rsidRPr="00DD2B98">
        <w:t xml:space="preserve">Schneider, J. et al. (2023) ‘Artificial intelligence governance for businesses’, </w:t>
      </w:r>
      <w:r w:rsidRPr="00DD2B98">
        <w:rPr>
          <w:rStyle w:val="Emphasis"/>
          <w:rFonts w:eastAsiaTheme="majorEastAsia"/>
        </w:rPr>
        <w:t>Information Systems Management</w:t>
      </w:r>
      <w:r w:rsidRPr="00DD2B98">
        <w:t xml:space="preserve">, 40(3), pp. 229–249. Available at: </w:t>
      </w:r>
      <w:hyperlink r:id="rId45" w:tgtFrame="_new" w:history="1">
        <w:r w:rsidRPr="00DD2B98">
          <w:rPr>
            <w:rStyle w:val="Hyperlink"/>
            <w:rFonts w:eastAsiaTheme="majorEastAsia"/>
          </w:rPr>
          <w:t>https://doi.org/10.48550/arXiv.2011.10672</w:t>
        </w:r>
      </w:hyperlink>
    </w:p>
    <w:p w14:paraId="2F51D34E" w14:textId="77777777" w:rsidR="006F0DFE" w:rsidRPr="00DD2B98" w:rsidRDefault="006F0DFE" w:rsidP="006F0DFE">
      <w:pPr>
        <w:pStyle w:val="NormalWeb"/>
        <w:spacing w:before="0" w:beforeAutospacing="0" w:after="0" w:afterAutospacing="0" w:line="480" w:lineRule="auto"/>
        <w:ind w:left="720" w:hanging="720"/>
      </w:pPr>
      <w:r w:rsidRPr="00DD2B98">
        <w:t xml:space="preserve">Siau, K. and Wang, W. (2020) ‘Artificial intelligence (AI) ethics: ethics of AI and ethical AI’, </w:t>
      </w:r>
      <w:r w:rsidRPr="00DD2B98">
        <w:rPr>
          <w:rStyle w:val="Emphasis"/>
          <w:rFonts w:eastAsiaTheme="majorEastAsia"/>
        </w:rPr>
        <w:t>Journal of Database Management</w:t>
      </w:r>
      <w:r w:rsidRPr="00DD2B98">
        <w:t xml:space="preserve">, 31(2), pp. 74–87. Available at: </w:t>
      </w:r>
      <w:hyperlink r:id="rId46" w:tgtFrame="_new" w:history="1">
        <w:r w:rsidRPr="00DD2B98">
          <w:rPr>
            <w:rStyle w:val="Hyperlink"/>
            <w:rFonts w:eastAsiaTheme="majorEastAsia"/>
          </w:rPr>
          <w:t>https://www.igi-global.com/article/artificial-intelligence-ai-ethics/249172</w:t>
        </w:r>
      </w:hyperlink>
    </w:p>
    <w:p w14:paraId="71242D47" w14:textId="77777777" w:rsidR="006F0DFE" w:rsidRPr="00DD2B98" w:rsidRDefault="006F0DFE" w:rsidP="006F0DFE">
      <w:pPr>
        <w:pStyle w:val="NormalWeb"/>
        <w:spacing w:before="0" w:beforeAutospacing="0" w:after="0" w:afterAutospacing="0" w:line="480" w:lineRule="auto"/>
        <w:ind w:left="720" w:hanging="720"/>
      </w:pPr>
      <w:r w:rsidRPr="00DD2B98">
        <w:t xml:space="preserve">Stahl, B.C. (2023) ‘Embedding responsibility in intelligent systems: from AI ethics to responsible AI ecosystems’, </w:t>
      </w:r>
      <w:r w:rsidRPr="00DD2B98">
        <w:rPr>
          <w:rStyle w:val="Emphasis"/>
          <w:rFonts w:eastAsiaTheme="majorEastAsia"/>
        </w:rPr>
        <w:t>Scientific Reports</w:t>
      </w:r>
      <w:r w:rsidRPr="00DD2B98">
        <w:t xml:space="preserve">, 13(1), p. 7586. Available at: </w:t>
      </w:r>
      <w:hyperlink r:id="rId47" w:tgtFrame="_new" w:history="1">
        <w:r w:rsidRPr="00DD2B98">
          <w:rPr>
            <w:rStyle w:val="Hyperlink"/>
            <w:rFonts w:eastAsiaTheme="majorEastAsia"/>
          </w:rPr>
          <w:t>https://doi.org/10.1038/s41598-023-34622-w</w:t>
        </w:r>
      </w:hyperlink>
    </w:p>
    <w:p w14:paraId="13E9E3BF" w14:textId="77777777" w:rsidR="006F0DFE" w:rsidRPr="00DD2B98" w:rsidRDefault="006F0DFE" w:rsidP="006F0DFE">
      <w:pPr>
        <w:pStyle w:val="NormalWeb"/>
        <w:spacing w:before="0" w:beforeAutospacing="0" w:after="0" w:afterAutospacing="0" w:line="480" w:lineRule="auto"/>
        <w:ind w:left="720" w:hanging="720"/>
      </w:pPr>
      <w:r w:rsidRPr="00DD2B98">
        <w:t xml:space="preserve">Stark, L., Greene, D. and Hoffmann, A.L. (2020) ‘Critical perspectives on governance mechanisms for AI/ML systems’, in </w:t>
      </w:r>
      <w:r w:rsidRPr="00DD2B98">
        <w:rPr>
          <w:rStyle w:val="Emphasis"/>
          <w:rFonts w:eastAsiaTheme="majorEastAsia"/>
        </w:rPr>
        <w:t>The Cultural Life of Machine Learning</w:t>
      </w:r>
      <w:r w:rsidRPr="00DD2B98">
        <w:t xml:space="preserve">. Cham: Springer. Available at: </w:t>
      </w:r>
      <w:hyperlink r:id="rId48" w:tgtFrame="_new" w:history="1">
        <w:r w:rsidRPr="00DD2B98">
          <w:rPr>
            <w:rStyle w:val="Hyperlink"/>
            <w:rFonts w:eastAsiaTheme="majorEastAsia"/>
          </w:rPr>
          <w:t>https://doi.org/10.1007/978-3-030-56286-1_9</w:t>
        </w:r>
      </w:hyperlink>
    </w:p>
    <w:p w14:paraId="0ED2E00B" w14:textId="77777777" w:rsidR="006F0DFE" w:rsidRPr="00DD2B98" w:rsidRDefault="006F0DFE" w:rsidP="006F0DFE">
      <w:pPr>
        <w:pStyle w:val="NormalWeb"/>
        <w:spacing w:before="0" w:beforeAutospacing="0" w:after="0" w:afterAutospacing="0" w:line="480" w:lineRule="auto"/>
        <w:ind w:left="720" w:hanging="720"/>
      </w:pPr>
      <w:proofErr w:type="spellStart"/>
      <w:r w:rsidRPr="00DD2B98">
        <w:t>Uzuegbunam</w:t>
      </w:r>
      <w:proofErr w:type="spellEnd"/>
      <w:r w:rsidRPr="00DD2B98">
        <w:t xml:space="preserve">, C.E. (2024) ‘Mark </w:t>
      </w:r>
      <w:proofErr w:type="spellStart"/>
      <w:r w:rsidRPr="00DD2B98">
        <w:t>Coeckelbergh</w:t>
      </w:r>
      <w:proofErr w:type="spellEnd"/>
      <w:r w:rsidRPr="00DD2B98">
        <w:t xml:space="preserve">, political philosophy of AI: an introduction’, </w:t>
      </w:r>
      <w:r w:rsidRPr="00DD2B98">
        <w:rPr>
          <w:rStyle w:val="Emphasis"/>
          <w:rFonts w:eastAsiaTheme="majorEastAsia"/>
        </w:rPr>
        <w:t>International Journal of Communication</w:t>
      </w:r>
      <w:r w:rsidRPr="00DD2B98">
        <w:t xml:space="preserve">, 18, pp. 3–3. Available at: </w:t>
      </w:r>
      <w:hyperlink r:id="rId49" w:tgtFrame="_new" w:history="1">
        <w:r w:rsidRPr="00DD2B98">
          <w:rPr>
            <w:rStyle w:val="Hyperlink"/>
            <w:rFonts w:eastAsiaTheme="majorEastAsia"/>
          </w:rPr>
          <w:t>https://ijoc.org/index.php/ijoc/article/view/23118/4651</w:t>
        </w:r>
      </w:hyperlink>
    </w:p>
    <w:p w14:paraId="4AE9CEAD" w14:textId="77777777" w:rsidR="006F0DFE" w:rsidRPr="00DD2B98" w:rsidRDefault="006F0DFE" w:rsidP="006F0DFE">
      <w:pPr>
        <w:pStyle w:val="NormalWeb"/>
        <w:spacing w:before="0" w:beforeAutospacing="0" w:after="0" w:afterAutospacing="0" w:line="480" w:lineRule="auto"/>
        <w:ind w:left="720" w:hanging="720"/>
      </w:pPr>
      <w:proofErr w:type="spellStart"/>
      <w:r w:rsidRPr="00DD2B98">
        <w:t>Vailshery</w:t>
      </w:r>
      <w:proofErr w:type="spellEnd"/>
      <w:r w:rsidRPr="00DD2B98">
        <w:t xml:space="preserve">, L. (2026) ‘Artificial intelligence (AI) worldwide’. Available at: </w:t>
      </w:r>
      <w:hyperlink r:id="rId50" w:anchor="topicOverview" w:tgtFrame="_new" w:history="1">
        <w:r w:rsidRPr="00DD2B98">
          <w:rPr>
            <w:rStyle w:val="Hyperlink"/>
            <w:rFonts w:eastAsiaTheme="majorEastAsia"/>
          </w:rPr>
          <w:t>https://www.statista.com/topics/3104/artificial-intelligence-ai-worldwide/#topicOverview</w:t>
        </w:r>
      </w:hyperlink>
    </w:p>
    <w:p w14:paraId="06AAA409" w14:textId="77777777" w:rsidR="006F0DFE" w:rsidRPr="00DD2B98" w:rsidRDefault="006F0DFE" w:rsidP="006F0DFE">
      <w:pPr>
        <w:pStyle w:val="NormalWeb"/>
        <w:spacing w:before="0" w:beforeAutospacing="0" w:after="0" w:afterAutospacing="0" w:line="480" w:lineRule="auto"/>
        <w:ind w:left="720" w:hanging="720"/>
      </w:pPr>
      <w:r w:rsidRPr="00DD2B98">
        <w:lastRenderedPageBreak/>
        <w:t xml:space="preserve">Veale, M. and </w:t>
      </w:r>
      <w:proofErr w:type="spellStart"/>
      <w:r w:rsidRPr="00DD2B98">
        <w:t>Borgesius</w:t>
      </w:r>
      <w:proofErr w:type="spellEnd"/>
      <w:r w:rsidRPr="00DD2B98">
        <w:t xml:space="preserve">, F.Z. (2021) ‘Demystifying the draft EU artificial intelligence act’. Available at: </w:t>
      </w:r>
      <w:hyperlink r:id="rId51" w:tgtFrame="_new" w:history="1">
        <w:r w:rsidRPr="00DD2B98">
          <w:rPr>
            <w:rStyle w:val="Hyperlink"/>
            <w:rFonts w:eastAsiaTheme="majorEastAsia"/>
          </w:rPr>
          <w:t>https://doi.org/10.9785/cri-2021-220402</w:t>
        </w:r>
      </w:hyperlink>
    </w:p>
    <w:p w14:paraId="5B6390EF" w14:textId="77777777" w:rsidR="006F0DFE" w:rsidRPr="00DD2B98" w:rsidRDefault="006F0DFE" w:rsidP="006F0DFE">
      <w:pPr>
        <w:pStyle w:val="NormalWeb"/>
        <w:spacing w:before="0" w:beforeAutospacing="0" w:after="0" w:afterAutospacing="0" w:line="480" w:lineRule="auto"/>
        <w:ind w:left="720" w:hanging="720"/>
      </w:pPr>
      <w:r w:rsidRPr="00DD2B98">
        <w:t xml:space="preserve">Veale, M., Matus, K. and </w:t>
      </w:r>
      <w:proofErr w:type="spellStart"/>
      <w:r w:rsidRPr="00DD2B98">
        <w:t>Gorwa</w:t>
      </w:r>
      <w:proofErr w:type="spellEnd"/>
      <w:r w:rsidRPr="00DD2B98">
        <w:t xml:space="preserve">, R. (2023) ‘AI and global governance: modalities, rationales, tensions’, </w:t>
      </w:r>
      <w:r w:rsidRPr="00DD2B98">
        <w:rPr>
          <w:rStyle w:val="Emphasis"/>
          <w:rFonts w:eastAsiaTheme="majorEastAsia"/>
        </w:rPr>
        <w:t>Annual Review of Law and Social Science</w:t>
      </w:r>
      <w:r w:rsidRPr="00DD2B98">
        <w:t xml:space="preserve">, 19(1), pp. 255–275. Available at: </w:t>
      </w:r>
      <w:hyperlink r:id="rId52" w:tgtFrame="_new" w:history="1">
        <w:r w:rsidRPr="00DD2B98">
          <w:rPr>
            <w:rStyle w:val="Hyperlink"/>
            <w:rFonts w:eastAsiaTheme="majorEastAsia"/>
          </w:rPr>
          <w:t>https://doi.org/10.1146/annurev-lawsocsci-020223-040749</w:t>
        </w:r>
      </w:hyperlink>
    </w:p>
    <w:p w14:paraId="15BC0C59" w14:textId="77777777" w:rsidR="006F0DFE" w:rsidRPr="00DD2B98" w:rsidRDefault="006F0DFE" w:rsidP="006F0DFE">
      <w:pPr>
        <w:pStyle w:val="NormalWeb"/>
        <w:spacing w:before="0" w:beforeAutospacing="0" w:after="0" w:afterAutospacing="0" w:line="480" w:lineRule="auto"/>
        <w:ind w:left="720" w:hanging="720"/>
      </w:pPr>
      <w:r w:rsidRPr="00DD2B98">
        <w:t xml:space="preserve">Wang, X. et al. (2023) ‘Towards AI governance in psychosocial care: a systematic literature review analysis’, </w:t>
      </w:r>
      <w:r w:rsidRPr="00DD2B98">
        <w:rPr>
          <w:rStyle w:val="Emphasis"/>
          <w:rFonts w:eastAsiaTheme="majorEastAsia"/>
        </w:rPr>
        <w:t>Journal of Open Innovation</w:t>
      </w:r>
      <w:r w:rsidRPr="00DD2B98">
        <w:t xml:space="preserve">, 9(4), p. 100157. Available at: </w:t>
      </w:r>
      <w:hyperlink r:id="rId53" w:tgtFrame="_new" w:history="1">
        <w:r w:rsidRPr="00DD2B98">
          <w:rPr>
            <w:rStyle w:val="Hyperlink"/>
            <w:rFonts w:eastAsiaTheme="majorEastAsia"/>
          </w:rPr>
          <w:t>https://doi.org/10.1016/j.joitmc.2023.100157</w:t>
        </w:r>
      </w:hyperlink>
    </w:p>
    <w:p w14:paraId="6A327EE8" w14:textId="77777777" w:rsidR="006F0DFE" w:rsidRPr="00DD2B98" w:rsidRDefault="006F0DFE" w:rsidP="006F0DFE">
      <w:pPr>
        <w:pStyle w:val="NormalWeb"/>
        <w:spacing w:before="0" w:beforeAutospacing="0" w:after="0" w:afterAutospacing="0" w:line="480" w:lineRule="auto"/>
        <w:ind w:left="720" w:hanging="720"/>
      </w:pPr>
      <w:r w:rsidRPr="00DD2B98">
        <w:t xml:space="preserve">Wirtz, B.W. et al. (2020) ‘The dark sides of artificial intelligence: an integrated AI governance framework for public administration’, </w:t>
      </w:r>
      <w:r w:rsidRPr="00DD2B98">
        <w:rPr>
          <w:rStyle w:val="Emphasis"/>
          <w:rFonts w:eastAsiaTheme="majorEastAsia"/>
        </w:rPr>
        <w:t>International Journal of Public Administration</w:t>
      </w:r>
      <w:r w:rsidRPr="00DD2B98">
        <w:t xml:space="preserve">, 43(9), pp. 818–829. Available at: </w:t>
      </w:r>
      <w:hyperlink r:id="rId54" w:tgtFrame="_new" w:history="1">
        <w:r w:rsidRPr="00DD2B98">
          <w:rPr>
            <w:rStyle w:val="Hyperlink"/>
            <w:rFonts w:eastAsiaTheme="majorEastAsia"/>
          </w:rPr>
          <w:t>https://doi.org/10.1080/01900692.2020.1749851</w:t>
        </w:r>
      </w:hyperlink>
    </w:p>
    <w:p w14:paraId="2E3B7C8C" w14:textId="77777777" w:rsidR="006F0DFE" w:rsidRPr="00DD2B98" w:rsidRDefault="006F0DFE" w:rsidP="006F0DFE">
      <w:pPr>
        <w:pStyle w:val="NormalWeb"/>
        <w:spacing w:before="0" w:beforeAutospacing="0" w:after="0" w:afterAutospacing="0" w:line="480" w:lineRule="auto"/>
        <w:ind w:left="720" w:hanging="720"/>
      </w:pPr>
      <w:r w:rsidRPr="00DD2B98">
        <w:t xml:space="preserve">World Economic Forum (2024) ‘AI governance alliance briefing paper </w:t>
      </w:r>
      <w:proofErr w:type="gramStart"/>
      <w:r w:rsidRPr="00DD2B98">
        <w:t>series’</w:t>
      </w:r>
      <w:proofErr w:type="gramEnd"/>
      <w:r w:rsidRPr="00DD2B98">
        <w:t xml:space="preserve">. Available at: </w:t>
      </w:r>
      <w:hyperlink r:id="rId55" w:tgtFrame="_new" w:history="1">
        <w:r w:rsidRPr="00DD2B98">
          <w:rPr>
            <w:rStyle w:val="Hyperlink"/>
            <w:rFonts w:eastAsiaTheme="majorEastAsia"/>
          </w:rPr>
          <w:t>https://www.weforum.org/publications/ai-governance-alliance-briefing-paper-series/</w:t>
        </w:r>
      </w:hyperlink>
    </w:p>
    <w:p w14:paraId="3B25E0C6" w14:textId="77777777" w:rsidR="006F0DFE" w:rsidRPr="00DD2B98" w:rsidRDefault="006F0DFE" w:rsidP="006F0DFE">
      <w:pPr>
        <w:pStyle w:val="NormalWeb"/>
        <w:spacing w:before="0" w:beforeAutospacing="0" w:after="0" w:afterAutospacing="0" w:line="480" w:lineRule="auto"/>
        <w:ind w:left="720" w:hanging="720"/>
      </w:pPr>
      <w:r w:rsidRPr="00DD2B98">
        <w:t xml:space="preserve">Zekos, G.I. (2021) ‘AI risk management’, in </w:t>
      </w:r>
      <w:r w:rsidRPr="00DD2B98">
        <w:rPr>
          <w:rStyle w:val="Emphasis"/>
          <w:rFonts w:eastAsiaTheme="majorEastAsia"/>
        </w:rPr>
        <w:t>Economics and Law of Artificial Intelligence</w:t>
      </w:r>
      <w:r w:rsidRPr="00DD2B98">
        <w:t xml:space="preserve">. Cham: Springer. Available at: </w:t>
      </w:r>
      <w:hyperlink r:id="rId56" w:tgtFrame="_new" w:history="1">
        <w:r w:rsidRPr="00DD2B98">
          <w:rPr>
            <w:rStyle w:val="Hyperlink"/>
            <w:rFonts w:eastAsiaTheme="majorEastAsia"/>
          </w:rPr>
          <w:t>https://doi.org/10.1007/978-3-030-64254-9_6</w:t>
        </w:r>
      </w:hyperlink>
    </w:p>
    <w:p w14:paraId="2A5A7ED4" w14:textId="77777777" w:rsidR="006F0DFE" w:rsidRPr="00DD2B98" w:rsidRDefault="006F0DFE" w:rsidP="006F0DFE">
      <w:pPr>
        <w:spacing w:after="0" w:line="480" w:lineRule="auto"/>
        <w:ind w:left="720" w:hanging="720"/>
        <w:rPr>
          <w:rFonts w:ascii="Times New Roman" w:hAnsi="Times New Roman" w:cs="Times New Roman"/>
        </w:rPr>
      </w:pPr>
    </w:p>
    <w:sectPr w:rsidR="006F0DFE" w:rsidRPr="00DD2B98">
      <w:headerReference w:type="default" r:id="rId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111737" w14:textId="77777777" w:rsidR="003B1741" w:rsidRDefault="003B1741" w:rsidP="00F54A34">
      <w:pPr>
        <w:spacing w:after="0" w:line="240" w:lineRule="auto"/>
      </w:pPr>
      <w:r>
        <w:separator/>
      </w:r>
    </w:p>
  </w:endnote>
  <w:endnote w:type="continuationSeparator" w:id="0">
    <w:p w14:paraId="4DBF6749" w14:textId="77777777" w:rsidR="003B1741" w:rsidRDefault="003B1741" w:rsidP="00F54A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685FB8" w14:textId="77777777" w:rsidR="003B1741" w:rsidRDefault="003B1741" w:rsidP="00F54A34">
      <w:pPr>
        <w:spacing w:after="0" w:line="240" w:lineRule="auto"/>
      </w:pPr>
      <w:r>
        <w:separator/>
      </w:r>
    </w:p>
  </w:footnote>
  <w:footnote w:type="continuationSeparator" w:id="0">
    <w:p w14:paraId="635E64F8" w14:textId="77777777" w:rsidR="003B1741" w:rsidRDefault="003B1741" w:rsidP="00F54A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3217680"/>
      <w:docPartObj>
        <w:docPartGallery w:val="Page Numbers (Top of Page)"/>
        <w:docPartUnique/>
      </w:docPartObj>
    </w:sdtPr>
    <w:sdtEndPr>
      <w:rPr>
        <w:rFonts w:ascii="Times New Roman" w:hAnsi="Times New Roman" w:cs="Times New Roman"/>
        <w:noProof/>
      </w:rPr>
    </w:sdtEndPr>
    <w:sdtContent>
      <w:p w14:paraId="59C10B1B" w14:textId="28F6D7F0" w:rsidR="00F54A34" w:rsidRPr="00F54A34" w:rsidRDefault="00F54A34">
        <w:pPr>
          <w:pStyle w:val="Header"/>
          <w:jc w:val="right"/>
          <w:rPr>
            <w:rFonts w:ascii="Times New Roman" w:hAnsi="Times New Roman" w:cs="Times New Roman"/>
          </w:rPr>
        </w:pPr>
        <w:r w:rsidRPr="00F54A34">
          <w:rPr>
            <w:rFonts w:ascii="Times New Roman" w:hAnsi="Times New Roman" w:cs="Times New Roman"/>
          </w:rPr>
          <w:fldChar w:fldCharType="begin"/>
        </w:r>
        <w:r w:rsidRPr="00F54A34">
          <w:rPr>
            <w:rFonts w:ascii="Times New Roman" w:hAnsi="Times New Roman" w:cs="Times New Roman"/>
          </w:rPr>
          <w:instrText xml:space="preserve"> PAGE   \* MERGEFORMAT </w:instrText>
        </w:r>
        <w:r w:rsidRPr="00F54A34">
          <w:rPr>
            <w:rFonts w:ascii="Times New Roman" w:hAnsi="Times New Roman" w:cs="Times New Roman"/>
          </w:rPr>
          <w:fldChar w:fldCharType="separate"/>
        </w:r>
        <w:r w:rsidRPr="00F54A34">
          <w:rPr>
            <w:rFonts w:ascii="Times New Roman" w:hAnsi="Times New Roman" w:cs="Times New Roman"/>
            <w:noProof/>
          </w:rPr>
          <w:t>2</w:t>
        </w:r>
        <w:r w:rsidRPr="00F54A34">
          <w:rPr>
            <w:rFonts w:ascii="Times New Roman" w:hAnsi="Times New Roman" w:cs="Times New Roman"/>
            <w:noProof/>
          </w:rPr>
          <w:fldChar w:fldCharType="end"/>
        </w:r>
      </w:p>
    </w:sdtContent>
  </w:sdt>
  <w:p w14:paraId="3CCB53D7" w14:textId="77777777" w:rsidR="00F54A34" w:rsidRDefault="00F54A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0F7BD8"/>
    <w:multiLevelType w:val="hybridMultilevel"/>
    <w:tmpl w:val="E6C0EC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DB73416"/>
    <w:multiLevelType w:val="hybridMultilevel"/>
    <w:tmpl w:val="D03AB5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41783214">
    <w:abstractNumId w:val="0"/>
  </w:num>
  <w:num w:numId="2" w16cid:durableId="3369238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C8C"/>
    <w:rsid w:val="00050BD5"/>
    <w:rsid w:val="0006038F"/>
    <w:rsid w:val="000C5449"/>
    <w:rsid w:val="000E38EC"/>
    <w:rsid w:val="000F77D1"/>
    <w:rsid w:val="00106916"/>
    <w:rsid w:val="00145A44"/>
    <w:rsid w:val="001776BD"/>
    <w:rsid w:val="00191011"/>
    <w:rsid w:val="001C5B4E"/>
    <w:rsid w:val="00246D40"/>
    <w:rsid w:val="00263CF2"/>
    <w:rsid w:val="00294FE7"/>
    <w:rsid w:val="002B0EB1"/>
    <w:rsid w:val="002C03DB"/>
    <w:rsid w:val="002C3634"/>
    <w:rsid w:val="00341CCA"/>
    <w:rsid w:val="00346FF1"/>
    <w:rsid w:val="0035693D"/>
    <w:rsid w:val="003B1741"/>
    <w:rsid w:val="003B7410"/>
    <w:rsid w:val="003C3231"/>
    <w:rsid w:val="00403D56"/>
    <w:rsid w:val="00456EEC"/>
    <w:rsid w:val="004E4A26"/>
    <w:rsid w:val="00514D91"/>
    <w:rsid w:val="00542433"/>
    <w:rsid w:val="00571A13"/>
    <w:rsid w:val="005C22E6"/>
    <w:rsid w:val="00602CC9"/>
    <w:rsid w:val="00667586"/>
    <w:rsid w:val="006C2960"/>
    <w:rsid w:val="006D5DF5"/>
    <w:rsid w:val="006F0DFE"/>
    <w:rsid w:val="00794211"/>
    <w:rsid w:val="00812AC6"/>
    <w:rsid w:val="008418FC"/>
    <w:rsid w:val="00845DAC"/>
    <w:rsid w:val="008551C4"/>
    <w:rsid w:val="009C42E5"/>
    <w:rsid w:val="009C4C8C"/>
    <w:rsid w:val="00A30444"/>
    <w:rsid w:val="00A80BF6"/>
    <w:rsid w:val="00A8637F"/>
    <w:rsid w:val="00AC5CC2"/>
    <w:rsid w:val="00AE13FF"/>
    <w:rsid w:val="00B553D1"/>
    <w:rsid w:val="00B7398D"/>
    <w:rsid w:val="00B81B07"/>
    <w:rsid w:val="00BE1C5B"/>
    <w:rsid w:val="00BF50AD"/>
    <w:rsid w:val="00C610AA"/>
    <w:rsid w:val="00C879B9"/>
    <w:rsid w:val="00CD06D1"/>
    <w:rsid w:val="00CE756E"/>
    <w:rsid w:val="00DC62E7"/>
    <w:rsid w:val="00DD2B98"/>
    <w:rsid w:val="00E17469"/>
    <w:rsid w:val="00E1755B"/>
    <w:rsid w:val="00E53650"/>
    <w:rsid w:val="00EA5D75"/>
    <w:rsid w:val="00EC077D"/>
    <w:rsid w:val="00EC59C7"/>
    <w:rsid w:val="00ED0B63"/>
    <w:rsid w:val="00ED210A"/>
    <w:rsid w:val="00F54A34"/>
    <w:rsid w:val="00F568B8"/>
    <w:rsid w:val="00F65350"/>
    <w:rsid w:val="00F66CB0"/>
    <w:rsid w:val="00F818CB"/>
    <w:rsid w:val="00FB0BC0"/>
    <w:rsid w:val="00FF40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7E552"/>
  <w15:chartTrackingRefBased/>
  <w15:docId w15:val="{BEBE5EB3-8C4D-4269-BF97-F691F90AE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4C8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C4C8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C4C8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4C8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4C8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4C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4C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4C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4C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C8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C4C8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C4C8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C4C8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C4C8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C4C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4C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4C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4C8C"/>
    <w:rPr>
      <w:rFonts w:eastAsiaTheme="majorEastAsia" w:cstheme="majorBidi"/>
      <w:color w:val="272727" w:themeColor="text1" w:themeTint="D8"/>
    </w:rPr>
  </w:style>
  <w:style w:type="paragraph" w:styleId="Title">
    <w:name w:val="Title"/>
    <w:basedOn w:val="Normal"/>
    <w:next w:val="Normal"/>
    <w:link w:val="TitleChar"/>
    <w:uiPriority w:val="10"/>
    <w:qFormat/>
    <w:rsid w:val="009C4C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C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4C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4C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4C8C"/>
    <w:pPr>
      <w:spacing w:before="160"/>
      <w:jc w:val="center"/>
    </w:pPr>
    <w:rPr>
      <w:i/>
      <w:iCs/>
      <w:color w:val="404040" w:themeColor="text1" w:themeTint="BF"/>
    </w:rPr>
  </w:style>
  <w:style w:type="character" w:customStyle="1" w:styleId="QuoteChar">
    <w:name w:val="Quote Char"/>
    <w:basedOn w:val="DefaultParagraphFont"/>
    <w:link w:val="Quote"/>
    <w:uiPriority w:val="29"/>
    <w:rsid w:val="009C4C8C"/>
    <w:rPr>
      <w:i/>
      <w:iCs/>
      <w:color w:val="404040" w:themeColor="text1" w:themeTint="BF"/>
    </w:rPr>
  </w:style>
  <w:style w:type="paragraph" w:styleId="ListParagraph">
    <w:name w:val="List Paragraph"/>
    <w:basedOn w:val="Normal"/>
    <w:uiPriority w:val="34"/>
    <w:qFormat/>
    <w:rsid w:val="009C4C8C"/>
    <w:pPr>
      <w:ind w:left="720"/>
      <w:contextualSpacing/>
    </w:pPr>
  </w:style>
  <w:style w:type="character" w:styleId="IntenseEmphasis">
    <w:name w:val="Intense Emphasis"/>
    <w:basedOn w:val="DefaultParagraphFont"/>
    <w:uiPriority w:val="21"/>
    <w:qFormat/>
    <w:rsid w:val="009C4C8C"/>
    <w:rPr>
      <w:i/>
      <w:iCs/>
      <w:color w:val="2F5496" w:themeColor="accent1" w:themeShade="BF"/>
    </w:rPr>
  </w:style>
  <w:style w:type="paragraph" w:styleId="IntenseQuote">
    <w:name w:val="Intense Quote"/>
    <w:basedOn w:val="Normal"/>
    <w:next w:val="Normal"/>
    <w:link w:val="IntenseQuoteChar"/>
    <w:uiPriority w:val="30"/>
    <w:qFormat/>
    <w:rsid w:val="009C4C8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4C8C"/>
    <w:rPr>
      <w:i/>
      <w:iCs/>
      <w:color w:val="2F5496" w:themeColor="accent1" w:themeShade="BF"/>
    </w:rPr>
  </w:style>
  <w:style w:type="character" w:styleId="IntenseReference">
    <w:name w:val="Intense Reference"/>
    <w:basedOn w:val="DefaultParagraphFont"/>
    <w:uiPriority w:val="32"/>
    <w:qFormat/>
    <w:rsid w:val="009C4C8C"/>
    <w:rPr>
      <w:b/>
      <w:bCs/>
      <w:smallCaps/>
      <w:color w:val="2F5496" w:themeColor="accent1" w:themeShade="BF"/>
      <w:spacing w:val="5"/>
    </w:rPr>
  </w:style>
  <w:style w:type="character" w:styleId="Strong">
    <w:name w:val="Strong"/>
    <w:basedOn w:val="DefaultParagraphFont"/>
    <w:uiPriority w:val="22"/>
    <w:qFormat/>
    <w:rsid w:val="009C4C8C"/>
    <w:rPr>
      <w:b/>
      <w:bCs/>
    </w:rPr>
  </w:style>
  <w:style w:type="paragraph" w:styleId="NormalWeb">
    <w:name w:val="Normal (Web)"/>
    <w:basedOn w:val="Normal"/>
    <w:uiPriority w:val="99"/>
    <w:semiHidden/>
    <w:unhideWhenUsed/>
    <w:rsid w:val="009C4C8C"/>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whitespace-normal">
    <w:name w:val="whitespace-normal"/>
    <w:basedOn w:val="DefaultParagraphFont"/>
    <w:rsid w:val="009C4C8C"/>
  </w:style>
  <w:style w:type="paragraph" w:styleId="z-TopofForm">
    <w:name w:val="HTML Top of Form"/>
    <w:basedOn w:val="Normal"/>
    <w:next w:val="Normal"/>
    <w:link w:val="z-TopofFormChar"/>
    <w:hidden/>
    <w:uiPriority w:val="99"/>
    <w:semiHidden/>
    <w:unhideWhenUsed/>
    <w:rsid w:val="00145A44"/>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145A44"/>
    <w:rPr>
      <w:rFonts w:ascii="Arial" w:eastAsia="Times New Roman" w:hAnsi="Arial" w:cs="Arial"/>
      <w:vanish/>
      <w:kern w:val="0"/>
      <w:sz w:val="16"/>
      <w:szCs w:val="16"/>
      <w14:ligatures w14:val="none"/>
    </w:rPr>
  </w:style>
  <w:style w:type="paragraph" w:customStyle="1" w:styleId="placeholder">
    <w:name w:val="placeholder"/>
    <w:basedOn w:val="Normal"/>
    <w:rsid w:val="00145A44"/>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z-BottomofForm">
    <w:name w:val="HTML Bottom of Form"/>
    <w:basedOn w:val="Normal"/>
    <w:next w:val="Normal"/>
    <w:link w:val="z-BottomofFormChar"/>
    <w:hidden/>
    <w:uiPriority w:val="99"/>
    <w:semiHidden/>
    <w:unhideWhenUsed/>
    <w:rsid w:val="00145A44"/>
    <w:pPr>
      <w:pBdr>
        <w:top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145A44"/>
    <w:rPr>
      <w:rFonts w:ascii="Arial" w:eastAsia="Times New Roman" w:hAnsi="Arial" w:cs="Arial"/>
      <w:vanish/>
      <w:kern w:val="0"/>
      <w:sz w:val="16"/>
      <w:szCs w:val="16"/>
      <w14:ligatures w14:val="none"/>
    </w:rPr>
  </w:style>
  <w:style w:type="character" w:styleId="Emphasis">
    <w:name w:val="Emphasis"/>
    <w:basedOn w:val="DefaultParagraphFont"/>
    <w:uiPriority w:val="20"/>
    <w:qFormat/>
    <w:rsid w:val="00C610AA"/>
    <w:rPr>
      <w:i/>
      <w:iCs/>
    </w:rPr>
  </w:style>
  <w:style w:type="character" w:styleId="Hyperlink">
    <w:name w:val="Hyperlink"/>
    <w:basedOn w:val="DefaultParagraphFont"/>
    <w:uiPriority w:val="99"/>
    <w:unhideWhenUsed/>
    <w:rsid w:val="00C610AA"/>
    <w:rPr>
      <w:color w:val="0000FF"/>
      <w:u w:val="single"/>
    </w:rPr>
  </w:style>
  <w:style w:type="paragraph" w:styleId="NoSpacing">
    <w:name w:val="No Spacing"/>
    <w:uiPriority w:val="1"/>
    <w:qFormat/>
    <w:rsid w:val="00812AC6"/>
    <w:pPr>
      <w:spacing w:after="0" w:line="240" w:lineRule="auto"/>
    </w:pPr>
  </w:style>
  <w:style w:type="paragraph" w:styleId="Header">
    <w:name w:val="header"/>
    <w:basedOn w:val="Normal"/>
    <w:link w:val="HeaderChar"/>
    <w:uiPriority w:val="99"/>
    <w:unhideWhenUsed/>
    <w:rsid w:val="00F54A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4A34"/>
  </w:style>
  <w:style w:type="paragraph" w:styleId="Footer">
    <w:name w:val="footer"/>
    <w:basedOn w:val="Normal"/>
    <w:link w:val="FooterChar"/>
    <w:uiPriority w:val="99"/>
    <w:unhideWhenUsed/>
    <w:rsid w:val="00F54A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4A34"/>
  </w:style>
  <w:style w:type="paragraph" w:styleId="TOCHeading">
    <w:name w:val="TOC Heading"/>
    <w:basedOn w:val="Heading1"/>
    <w:next w:val="Normal"/>
    <w:uiPriority w:val="39"/>
    <w:unhideWhenUsed/>
    <w:qFormat/>
    <w:rsid w:val="0054243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42433"/>
    <w:pPr>
      <w:spacing w:after="100"/>
    </w:pPr>
  </w:style>
  <w:style w:type="character" w:styleId="UnresolvedMention">
    <w:name w:val="Unresolved Mention"/>
    <w:basedOn w:val="DefaultParagraphFont"/>
    <w:uiPriority w:val="99"/>
    <w:semiHidden/>
    <w:unhideWhenUsed/>
    <w:rsid w:val="00FF40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8715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43681-025-00791-9" TargetMode="External"/><Relationship Id="rId18" Type="http://schemas.openxmlformats.org/officeDocument/2006/relationships/hyperlink" Target="https://doi.org/10.1108/JICES-12-2024-0182" TargetMode="External"/><Relationship Id="rId26" Type="http://schemas.openxmlformats.org/officeDocument/2006/relationships/hyperlink" Target="https://doi.org/10.48550/arXiv.2412.03824" TargetMode="External"/><Relationship Id="rId39" Type="http://schemas.openxmlformats.org/officeDocument/2006/relationships/hyperlink" Target="https://www.oecd.org/en/publications/the-state-of-implementation-of-the-oecd-ai-principles-four-years-on_835641c9-en.html" TargetMode="External"/><Relationship Id="rId21" Type="http://schemas.openxmlformats.org/officeDocument/2006/relationships/hyperlink" Target="https://doi.org/10.1007/s11023-018-9482-5" TargetMode="External"/><Relationship Id="rId34" Type="http://schemas.openxmlformats.org/officeDocument/2006/relationships/hyperlink" Target="https://www.preprints.org/frontend/manuscript/eb7d13f3cb267298544b2c207f45465d/download_pub" TargetMode="External"/><Relationship Id="rId42" Type="http://schemas.openxmlformats.org/officeDocument/2006/relationships/hyperlink" Target="https://doi.org/10.5465/amr.2018.0072" TargetMode="External"/><Relationship Id="rId47" Type="http://schemas.openxmlformats.org/officeDocument/2006/relationships/hyperlink" Target="https://doi.org/10.1038/s41598-023-34622-w" TargetMode="External"/><Relationship Id="rId50" Type="http://schemas.openxmlformats.org/officeDocument/2006/relationships/hyperlink" Target="https://www.statista.com/topics/3104/artificial-intelligence-ai-worldwide/" TargetMode="External"/><Relationship Id="rId55" Type="http://schemas.openxmlformats.org/officeDocument/2006/relationships/hyperlink" Target="https://www.weforum.org/publications/ai-governance-alliance-briefing-paper-seri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ijinfomgt.2019.08.002" TargetMode="External"/><Relationship Id="rId29" Type="http://schemas.openxmlformats.org/officeDocument/2006/relationships/hyperlink" Target="https://doi.org/10.48550/arXiv.2412.12108" TargetMode="External"/><Relationship Id="rId11" Type="http://schemas.openxmlformats.org/officeDocument/2006/relationships/hyperlink" Target="https://papers.ssrn.com/sol3/papers.cfm?abstract_id=5385245" TargetMode="External"/><Relationship Id="rId24" Type="http://schemas.openxmlformats.org/officeDocument/2006/relationships/hyperlink" Target="https://ieeexplore.ieee.org/abstract/document/9141213" TargetMode="External"/><Relationship Id="rId32" Type="http://schemas.openxmlformats.org/officeDocument/2006/relationships/hyperlink" Target="https://apps.dtic.mil/sti/html/trecms/AD1191920/" TargetMode="External"/><Relationship Id="rId37" Type="http://schemas.openxmlformats.org/officeDocument/2006/relationships/hyperlink" Target="https://doi.org/10.1038/s42256-019-0114-4" TargetMode="External"/><Relationship Id="rId40" Type="http://schemas.openxmlformats.org/officeDocument/2006/relationships/hyperlink" Target="https://doi.org/10.1093/scipol/scac056" TargetMode="External"/><Relationship Id="rId45" Type="http://schemas.openxmlformats.org/officeDocument/2006/relationships/hyperlink" Target="https://doi.org/10.48550/arXiv.2011.10672" TargetMode="External"/><Relationship Id="rId53" Type="http://schemas.openxmlformats.org/officeDocument/2006/relationships/hyperlink" Target="https://doi.org/10.1016/j.joitmc.2023.100157"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digital-strategy.ec.europa.eu/en/policies/european-approach-artificial-intelligence" TargetMode="External"/><Relationship Id="rId4" Type="http://schemas.openxmlformats.org/officeDocument/2006/relationships/settings" Target="settings.xml"/><Relationship Id="rId9" Type="http://schemas.openxmlformats.org/officeDocument/2006/relationships/hyperlink" Target="https://doi.org/10.1007/s43681-024-00653-w" TargetMode="External"/><Relationship Id="rId14" Type="http://schemas.openxmlformats.org/officeDocument/2006/relationships/hyperlink" Target="https://doi.org/10.1080/10580530.2026.2618452" TargetMode="External"/><Relationship Id="rId22" Type="http://schemas.openxmlformats.org/officeDocument/2006/relationships/hyperlink" Target="https://www.taylorfrancis.com/chapters/edit/10.1201/9781003536901-8/explainable-ai-varnesh-ghildiyal-abhishek-danu-vibha-verma-aruna-bhat" TargetMode="External"/><Relationship Id="rId27" Type="http://schemas.openxmlformats.org/officeDocument/2006/relationships/hyperlink" Target="https://doi.org/10.1038/s41746-026-02418-7" TargetMode="External"/><Relationship Id="rId30" Type="http://schemas.openxmlformats.org/officeDocument/2006/relationships/hyperlink" Target="https://dl.acm.org/doi/abs/10.1145/3593013.3593986" TargetMode="External"/><Relationship Id="rId35" Type="http://schemas.openxmlformats.org/officeDocument/2006/relationships/hyperlink" Target="https://www.mckinsey.com/capabilities/quantumblack/our-insights/the-state-of-ai-in-2023-generative-ais-breakout-year" TargetMode="External"/><Relationship Id="rId43" Type="http://schemas.openxmlformats.org/officeDocument/2006/relationships/hyperlink" Target="https://doi.org/10.1093/jamia/ocz192" TargetMode="External"/><Relationship Id="rId48" Type="http://schemas.openxmlformats.org/officeDocument/2006/relationships/hyperlink" Target="https://doi.org/10.1007/978-3-030-56286-1_9" TargetMode="External"/><Relationship Id="rId56" Type="http://schemas.openxmlformats.org/officeDocument/2006/relationships/hyperlink" Target="https://doi.org/10.1007/978-3-030-64254-9_6" TargetMode="External"/><Relationship Id="rId8" Type="http://schemas.openxmlformats.org/officeDocument/2006/relationships/hyperlink" Target="https://doi.org/10.55197/qjssh.v7i1.974" TargetMode="External"/><Relationship Id="rId51" Type="http://schemas.openxmlformats.org/officeDocument/2006/relationships/hyperlink" Target="https://doi.org/10.9785/cri-2021-220402" TargetMode="External"/><Relationship Id="rId3" Type="http://schemas.openxmlformats.org/officeDocument/2006/relationships/styles" Target="styles.xml"/><Relationship Id="rId12" Type="http://schemas.openxmlformats.org/officeDocument/2006/relationships/hyperlink" Target="https://doi.org/10.1007/s11948-017-9901-7" TargetMode="External"/><Relationship Id="rId17" Type="http://schemas.openxmlformats.org/officeDocument/2006/relationships/hyperlink" Target="https://www.adalovelaceinstitute.org/wp-content/uploads/2022/04/Expert-explainer-The-EU-AI-Act-11-April-2022.pdf" TargetMode="External"/><Relationship Id="rId25" Type="http://schemas.openxmlformats.org/officeDocument/2006/relationships/hyperlink" Target="https://doi.org/10.1007/s13347-022-00553-z" TargetMode="External"/><Relationship Id="rId33" Type="http://schemas.openxmlformats.org/officeDocument/2006/relationships/hyperlink" Target="https://doi.org/10.1007/978-3-030-81907-1_20" TargetMode="External"/><Relationship Id="rId38" Type="http://schemas.openxmlformats.org/officeDocument/2006/relationships/hyperlink" Target="https://doi.org/10.1007/s11023-021-09563-w" TargetMode="External"/><Relationship Id="rId46" Type="http://schemas.openxmlformats.org/officeDocument/2006/relationships/hyperlink" Target="https://www.igi-global.com/article/artificial-intelligence-ai-ethics/249172" TargetMode="External"/><Relationship Id="rId59" Type="http://schemas.openxmlformats.org/officeDocument/2006/relationships/theme" Target="theme/theme1.xml"/><Relationship Id="rId20" Type="http://schemas.openxmlformats.org/officeDocument/2006/relationships/hyperlink" Target="http://nrs.harvard.edu/urn-3:HUL.InstRepos:42160420" TargetMode="External"/><Relationship Id="rId41" Type="http://schemas.openxmlformats.org/officeDocument/2006/relationships/hyperlink" Target="https://doi.org/10.1007/s11747-019-00710-5" TargetMode="External"/><Relationship Id="rId54" Type="http://schemas.openxmlformats.org/officeDocument/2006/relationships/hyperlink" Target="https://doi.org/10.1080/01900692.2020.174985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07/978-3-031-08215-3_9" TargetMode="External"/><Relationship Id="rId23" Type="http://schemas.openxmlformats.org/officeDocument/2006/relationships/hyperlink" Target="https://doi.org/10.48550/arXiv.2211.13130" TargetMode="External"/><Relationship Id="rId28" Type="http://schemas.openxmlformats.org/officeDocument/2006/relationships/hyperlink" Target="https://doi.org/10.1038/s42256-019-0088-2" TargetMode="External"/><Relationship Id="rId36" Type="http://schemas.openxmlformats.org/officeDocument/2006/relationships/hyperlink" Target="https://www.microsoft.com/en-us/ai/responsible-ai" TargetMode="External"/><Relationship Id="rId49" Type="http://schemas.openxmlformats.org/officeDocument/2006/relationships/hyperlink" Target="https://ijoc.org/index.php/ijoc/article/view/23118/4651" TargetMode="External"/><Relationship Id="rId57" Type="http://schemas.openxmlformats.org/officeDocument/2006/relationships/header" Target="header1.xml"/><Relationship Id="rId10" Type="http://schemas.openxmlformats.org/officeDocument/2006/relationships/hyperlink" Target="https://papers.ssrn.com/sol3/papers.cfm?abstract_id=3741983" TargetMode="External"/><Relationship Id="rId31" Type="http://schemas.openxmlformats.org/officeDocument/2006/relationships/hyperlink" Target="https://papers.ssrn.com/sol3/papers.cfm?abstract_id=5050631" TargetMode="External"/><Relationship Id="rId44" Type="http://schemas.openxmlformats.org/officeDocument/2006/relationships/hyperlink" Target="https://doi.org/10.48550/arXiv.2505.23417" TargetMode="External"/><Relationship Id="rId52" Type="http://schemas.openxmlformats.org/officeDocument/2006/relationships/hyperlink" Target="https://doi.org/10.1146/annurev-lawsocsci-020223-0407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F5FD80-98E6-4BF3-8107-64445AA403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TotalTime>
  <Pages>27</Pages>
  <Words>7821</Words>
  <Characters>44580</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Muhammad Shaheryar (2507012)</cp:lastModifiedBy>
  <cp:revision>31</cp:revision>
  <dcterms:created xsi:type="dcterms:W3CDTF">2026-04-14T22:33:00Z</dcterms:created>
  <dcterms:modified xsi:type="dcterms:W3CDTF">2026-04-24T00:51:00Z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cd923235-7c54-4da1-9373-b020953fbe74</vt:lpwstr>
  </property>
</Properties>
</file>