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3D71631D" w:rsidR="00063B4C" w:rsidRPr="00DD375D" w:rsidRDefault="00803EF7" w:rsidP="0021131B">
      <w:pPr>
        <w:ind w:right="1229"/>
        <w:jc w:val="center"/>
        <w:rPr>
          <w:rFonts w:cs="Arial"/>
          <w:b/>
          <w:bCs/>
          <w:sz w:val="44"/>
          <w:szCs w:val="44"/>
        </w:rPr>
      </w:pPr>
      <w:r>
        <w:rPr>
          <w:rFonts w:cs="Arial"/>
          <w:b/>
          <w:bCs/>
          <w:sz w:val="44"/>
          <w:szCs w:val="44"/>
        </w:rPr>
        <w:t xml:space="preserve">    </w:t>
      </w:r>
      <w:r w:rsidR="00DD375D" w:rsidRPr="00DD375D">
        <w:rPr>
          <w:rFonts w:cs="Arial"/>
          <w:b/>
          <w:bCs/>
          <w:sz w:val="44"/>
          <w:szCs w:val="44"/>
        </w:rPr>
        <w:t>INSTITUTE OF INNER-CITY LEARNING BIRMINGHAM CAMPUS</w:t>
      </w:r>
    </w:p>
    <w:p w14:paraId="7F58ECA1" w14:textId="77777777" w:rsidR="00063B4C" w:rsidRPr="00DD375D" w:rsidRDefault="00063B4C" w:rsidP="0021131B">
      <w:pPr>
        <w:pStyle w:val="BodyText"/>
        <w:jc w:val="center"/>
        <w:rPr>
          <w:rFonts w:ascii="Aptos" w:hAnsi="Aptos" w:cs="Arial"/>
          <w:b/>
          <w:bCs/>
          <w:sz w:val="44"/>
          <w:szCs w:val="44"/>
        </w:rPr>
      </w:pPr>
    </w:p>
    <w:p w14:paraId="3009F44A" w14:textId="7042FBA2" w:rsidR="00063B4C" w:rsidRPr="00DD375D" w:rsidRDefault="00DD375D" w:rsidP="0021131B">
      <w:pPr>
        <w:spacing w:line="813" w:lineRule="exact"/>
        <w:jc w:val="center"/>
        <w:rPr>
          <w:rFonts w:cs="Arial"/>
          <w:b/>
          <w:bCs/>
          <w:sz w:val="44"/>
          <w:szCs w:val="44"/>
        </w:rPr>
      </w:pPr>
      <w:r w:rsidRPr="00DD375D">
        <w:rPr>
          <w:rFonts w:cs="Arial"/>
          <w:b/>
          <w:bCs/>
          <w:sz w:val="44"/>
          <w:szCs w:val="44"/>
        </w:rPr>
        <w:t>BSC (HONS) HEALTH AND SOCIAL CARE</w:t>
      </w:r>
      <w:r w:rsidRPr="00DD375D">
        <w:rPr>
          <w:rFonts w:cs="Arial"/>
          <w:b/>
          <w:bCs/>
          <w:sz w:val="44"/>
          <w:szCs w:val="44"/>
        </w:rPr>
        <w:br/>
      </w:r>
    </w:p>
    <w:p w14:paraId="5B270734" w14:textId="55782988" w:rsidR="00063B4C" w:rsidRDefault="00063B4C"/>
    <w:p w14:paraId="3AB3CD4B" w14:textId="77777777" w:rsidR="00DD375D" w:rsidRDefault="00DD375D"/>
    <w:p w14:paraId="4EC80D47" w14:textId="77777777" w:rsidR="00DD375D" w:rsidRDefault="00DD375D"/>
    <w:p w14:paraId="2CFB2CA4" w14:textId="77777777" w:rsidR="00DD375D" w:rsidRDefault="00DD375D"/>
    <w:p w14:paraId="50474968" w14:textId="77777777" w:rsidR="00DD375D" w:rsidRDefault="00DD375D"/>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93214A8" w:rsidR="00604A87" w:rsidRPr="00DD375D" w:rsidRDefault="00063B4C" w:rsidP="00995444">
      <w:pPr>
        <w:spacing w:before="62"/>
        <w:ind w:right="96"/>
        <w:rPr>
          <w:rFonts w:cs="Arial"/>
          <w:sz w:val="24"/>
          <w:szCs w:val="24"/>
        </w:rPr>
      </w:pPr>
      <w:r w:rsidRPr="00DD375D">
        <w:rPr>
          <w:rFonts w:cs="Arial"/>
          <w:sz w:val="24"/>
          <w:szCs w:val="24"/>
        </w:rPr>
        <w:t xml:space="preserve">This document was correct at the time of publication. The Module Coordinator reserves the right to modify any </w:t>
      </w:r>
      <w:r w:rsidR="00782DEE" w:rsidRPr="00DD375D">
        <w:rPr>
          <w:rFonts w:cs="Arial"/>
          <w:sz w:val="24"/>
          <w:szCs w:val="24"/>
        </w:rPr>
        <w:t>statement,</w:t>
      </w:r>
      <w:r w:rsidRPr="00DD375D">
        <w:rPr>
          <w:rFonts w:cs="Arial"/>
          <w:sz w:val="24"/>
          <w:szCs w:val="24"/>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D37DA8C" w:rsidR="00604A87" w:rsidRPr="00604A87" w:rsidRDefault="00604A87" w:rsidP="00604A87">
      <w:pPr>
        <w:rPr>
          <w:rFonts w:eastAsia="Times New Roman" w:cs="Arial"/>
        </w:rPr>
      </w:pPr>
      <w:r w:rsidRPr="00604A87">
        <w:rPr>
          <w:rFonts w:eastAsia="Times New Roman" w:cs="Arial"/>
        </w:rPr>
        <w:t>Signed……</w:t>
      </w:r>
      <w:r w:rsidR="0021131B">
        <w:rPr>
          <w:rFonts w:eastAsia="Times New Roman" w:cs="Arial"/>
        </w:rPr>
        <w:t>Harwinder Kaur</w:t>
      </w:r>
      <w:r w:rsidRPr="00604A87">
        <w:rPr>
          <w:rFonts w:eastAsia="Times New Roman" w:cs="Arial"/>
        </w:rPr>
        <w:t>……</w:t>
      </w:r>
    </w:p>
    <w:p w14:paraId="16B6CB34" w14:textId="17E4A870" w:rsidR="00604A87" w:rsidRPr="00604A87" w:rsidRDefault="00604A87" w:rsidP="00604A87">
      <w:pPr>
        <w:rPr>
          <w:rFonts w:eastAsia="Times New Roman" w:cs="Arial"/>
        </w:rPr>
      </w:pPr>
      <w:r w:rsidRPr="00604A87">
        <w:rPr>
          <w:rFonts w:eastAsia="Times New Roman" w:cs="Arial"/>
        </w:rPr>
        <w:t>Date…</w:t>
      </w:r>
      <w:r w:rsidR="00803EF7">
        <w:rPr>
          <w:rFonts w:eastAsia="Times New Roman" w:cs="Arial"/>
        </w:rPr>
        <w:t>08 April</w:t>
      </w:r>
      <w:r w:rsidR="0021131B">
        <w:rPr>
          <w:rFonts w:eastAsia="Times New Roman" w:cs="Arial"/>
        </w:rPr>
        <w:t xml:space="preserve"> 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46E2B741" w:rsidR="00604A87" w:rsidRPr="00604A87" w:rsidRDefault="00604A87" w:rsidP="00604A87">
      <w:pPr>
        <w:rPr>
          <w:rFonts w:eastAsia="Times New Roman" w:cs="Arial"/>
        </w:rPr>
      </w:pPr>
      <w:r w:rsidRPr="00604A87">
        <w:rPr>
          <w:rFonts w:eastAsia="Times New Roman" w:cs="Arial"/>
        </w:rPr>
        <w:t>Signed……</w:t>
      </w:r>
      <w:r w:rsidR="0021131B">
        <w:rPr>
          <w:rFonts w:eastAsia="Times New Roman" w:cs="Arial"/>
        </w:rPr>
        <w:t>Harwinder Kaur</w:t>
      </w:r>
      <w:r w:rsidRPr="00604A87">
        <w:rPr>
          <w:rFonts w:eastAsia="Times New Roman" w:cs="Arial"/>
        </w:rPr>
        <w:t>……</w:t>
      </w:r>
    </w:p>
    <w:p w14:paraId="17481119" w14:textId="777E807E" w:rsidR="0021131B" w:rsidRDefault="00604A87" w:rsidP="00604A87">
      <w:pPr>
        <w:rPr>
          <w:rFonts w:eastAsia="Times New Roman" w:cs="Arial"/>
        </w:rPr>
      </w:pPr>
      <w:r w:rsidRPr="00604A87">
        <w:rPr>
          <w:rFonts w:eastAsia="Times New Roman" w:cs="Arial"/>
        </w:rPr>
        <w:t>Date……</w:t>
      </w:r>
      <w:r w:rsidR="00803EF7">
        <w:rPr>
          <w:rFonts w:eastAsia="Times New Roman" w:cs="Arial"/>
        </w:rPr>
        <w:t>08 April</w:t>
      </w:r>
      <w:r w:rsidR="0021131B">
        <w:rPr>
          <w:rFonts w:eastAsia="Times New Roman" w:cs="Arial"/>
        </w:rPr>
        <w:t xml:space="preserve"> 2026</w:t>
      </w:r>
      <w:r w:rsidRPr="00604A87">
        <w:rPr>
          <w:rFonts w:eastAsia="Times New Roman" w:cs="Arial"/>
        </w:rPr>
        <w:t>…</w:t>
      </w:r>
    </w:p>
    <w:p w14:paraId="713B64B9" w14:textId="2ABFB323"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08067EC7" w:rsidR="00604A87" w:rsidRPr="00604A87" w:rsidRDefault="00604A87" w:rsidP="00604A87">
      <w:pPr>
        <w:rPr>
          <w:rFonts w:eastAsia="Times New Roman" w:cs="Arial"/>
        </w:rPr>
      </w:pPr>
      <w:r w:rsidRPr="00604A87">
        <w:rPr>
          <w:rFonts w:eastAsia="Times New Roman" w:cs="Arial"/>
        </w:rPr>
        <w:t>Signed……</w:t>
      </w:r>
      <w:r w:rsidR="0021131B">
        <w:rPr>
          <w:rFonts w:eastAsia="Times New Roman" w:cs="Arial"/>
        </w:rPr>
        <w:t>Harwinder Kaur</w:t>
      </w:r>
      <w:r w:rsidRPr="00604A87">
        <w:rPr>
          <w:rFonts w:eastAsia="Times New Roman" w:cs="Arial"/>
        </w:rPr>
        <w:t>…………</w:t>
      </w:r>
    </w:p>
    <w:p w14:paraId="3E47E7FC" w14:textId="2BA141E8" w:rsidR="0021131B" w:rsidRDefault="00604A87" w:rsidP="00604A87">
      <w:pPr>
        <w:rPr>
          <w:rFonts w:eastAsia="Times New Roman" w:cs="Arial"/>
        </w:rPr>
      </w:pPr>
      <w:r w:rsidRPr="00604A87">
        <w:rPr>
          <w:rFonts w:eastAsia="Times New Roman" w:cs="Arial"/>
        </w:rPr>
        <w:t>Date……</w:t>
      </w:r>
      <w:r w:rsidR="00803EF7">
        <w:rPr>
          <w:rFonts w:eastAsia="Times New Roman" w:cs="Arial"/>
        </w:rPr>
        <w:t>08 April</w:t>
      </w:r>
      <w:r w:rsidR="0021131B">
        <w:rPr>
          <w:rFonts w:eastAsia="Times New Roman" w:cs="Arial"/>
        </w:rPr>
        <w:t xml:space="preserve"> 2026</w:t>
      </w:r>
      <w:r w:rsidRPr="00604A87">
        <w:rPr>
          <w:rFonts w:eastAsia="Times New Roman" w:cs="Arial"/>
        </w:rPr>
        <w:t>……</w:t>
      </w:r>
    </w:p>
    <w:p w14:paraId="42D5D0C6" w14:textId="0F6F5CCD"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069E3231" w:rsidR="00604A87" w:rsidRPr="00604A87" w:rsidRDefault="00604A87" w:rsidP="00604A87">
      <w:pPr>
        <w:rPr>
          <w:rFonts w:eastAsia="Times New Roman" w:cs="Arial"/>
        </w:rPr>
      </w:pPr>
      <w:r w:rsidRPr="00604A87">
        <w:rPr>
          <w:rFonts w:eastAsia="Times New Roman" w:cs="Arial"/>
        </w:rPr>
        <w:t>Signed……</w:t>
      </w:r>
      <w:r w:rsidR="0021131B">
        <w:rPr>
          <w:rFonts w:eastAsia="Times New Roman" w:cs="Arial"/>
        </w:rPr>
        <w:t>Harwinder Kaur</w:t>
      </w:r>
      <w:r w:rsidRPr="00604A87">
        <w:rPr>
          <w:rFonts w:eastAsia="Times New Roman" w:cs="Arial"/>
        </w:rPr>
        <w:t>………</w:t>
      </w:r>
    </w:p>
    <w:p w14:paraId="021196D1" w14:textId="679353F9"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803EF7">
        <w:rPr>
          <w:rFonts w:eastAsia="Times New Roman" w:cs="Arial"/>
        </w:rPr>
        <w:t>08 April</w:t>
      </w:r>
      <w:r w:rsidR="0021131B">
        <w:rPr>
          <w:rFonts w:eastAsia="Times New Roman" w:cs="Arial"/>
        </w:rPr>
        <w:t xml:space="preserve"> 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1E495FF6" w:rsidR="00604A87" w:rsidRPr="00604A87" w:rsidRDefault="00604A87" w:rsidP="00604A87">
      <w:pPr>
        <w:rPr>
          <w:rFonts w:eastAsia="Times New Roman" w:cs="Arial"/>
        </w:rPr>
      </w:pPr>
      <w:r w:rsidRPr="00604A87">
        <w:rPr>
          <w:rFonts w:eastAsia="Times New Roman" w:cs="Arial"/>
        </w:rPr>
        <w:t>Signed……</w:t>
      </w:r>
      <w:r w:rsidR="0021131B">
        <w:rPr>
          <w:rFonts w:eastAsia="Times New Roman" w:cs="Arial"/>
        </w:rPr>
        <w:t>Harwinder Kaur</w:t>
      </w:r>
      <w:r w:rsidRPr="00604A87">
        <w:rPr>
          <w:rFonts w:eastAsia="Times New Roman" w:cs="Arial"/>
        </w:rPr>
        <w:t>………</w:t>
      </w:r>
    </w:p>
    <w:p w14:paraId="2BDDE109" w14:textId="37A5CBA2"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803EF7">
        <w:rPr>
          <w:rFonts w:eastAsia="Times New Roman" w:cs="Arial"/>
        </w:rPr>
        <w:t>08 April</w:t>
      </w:r>
      <w:r w:rsidR="0021131B">
        <w:rPr>
          <w:rFonts w:eastAsia="Times New Roman" w:cs="Arial"/>
        </w:rPr>
        <w:t xml:space="preserve"> 2026</w:t>
      </w:r>
      <w:r w:rsidRPr="00604A87">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FC75915" w14:textId="087D8ED2" w:rsidR="00995444" w:rsidRPr="004600FC" w:rsidRDefault="00DD375D" w:rsidP="004600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40"/>
          <w:szCs w:val="40"/>
        </w:rPr>
      </w:pPr>
      <w:r w:rsidRPr="004600FC">
        <w:rPr>
          <w:rFonts w:ascii="Arial" w:eastAsia="Arial Unicode MS" w:hAnsi="Arial" w:cs="Arial"/>
          <w:b/>
          <w:sz w:val="40"/>
          <w:szCs w:val="40"/>
        </w:rPr>
        <w:t>The Impact of Social Isolation on the Mental</w:t>
      </w:r>
      <w:r w:rsidR="004600FC" w:rsidRPr="004600FC">
        <w:rPr>
          <w:rFonts w:ascii="Arial" w:eastAsia="Arial Unicode MS" w:hAnsi="Arial" w:cs="Arial"/>
          <w:b/>
          <w:sz w:val="40"/>
          <w:szCs w:val="40"/>
        </w:rPr>
        <w:t xml:space="preserve"> </w:t>
      </w:r>
      <w:r w:rsidRPr="004600FC">
        <w:rPr>
          <w:rFonts w:ascii="Arial" w:eastAsia="Arial Unicode MS" w:hAnsi="Arial" w:cs="Arial"/>
          <w:b/>
          <w:sz w:val="40"/>
          <w:szCs w:val="40"/>
        </w:rPr>
        <w:t>Health of Older Adults in the UK: A Review of Community</w:t>
      </w:r>
      <w:r w:rsidR="00803EF7">
        <w:rPr>
          <w:rFonts w:ascii="Arial" w:eastAsia="Arial Unicode MS" w:hAnsi="Arial" w:cs="Arial"/>
          <w:b/>
          <w:sz w:val="40"/>
          <w:szCs w:val="40"/>
        </w:rPr>
        <w:t>-</w:t>
      </w:r>
      <w:r w:rsidR="00D2424E">
        <w:rPr>
          <w:rFonts w:ascii="Arial" w:eastAsia="Arial Unicode MS" w:hAnsi="Arial" w:cs="Arial"/>
          <w:b/>
          <w:sz w:val="40"/>
          <w:szCs w:val="40"/>
        </w:rPr>
        <w:t xml:space="preserve"> </w:t>
      </w:r>
      <w:r w:rsidRPr="004600FC">
        <w:rPr>
          <w:rFonts w:ascii="Arial" w:eastAsia="Arial Unicode MS" w:hAnsi="Arial" w:cs="Arial"/>
          <w:b/>
          <w:sz w:val="40"/>
          <w:szCs w:val="40"/>
        </w:rPr>
        <w:t>Based</w:t>
      </w:r>
      <w:r w:rsidR="004600FC" w:rsidRPr="004600FC">
        <w:rPr>
          <w:rFonts w:ascii="Arial" w:eastAsia="Arial Unicode MS" w:hAnsi="Arial" w:cs="Arial"/>
          <w:b/>
          <w:sz w:val="40"/>
          <w:szCs w:val="40"/>
        </w:rPr>
        <w:t xml:space="preserve"> </w:t>
      </w:r>
      <w:r w:rsidRPr="004600FC">
        <w:rPr>
          <w:rFonts w:ascii="Arial" w:eastAsia="Arial Unicode MS" w:hAnsi="Arial" w:cs="Arial"/>
          <w:b/>
          <w:sz w:val="40"/>
          <w:szCs w:val="40"/>
        </w:rPr>
        <w:t>Interventions.</w:t>
      </w:r>
    </w:p>
    <w:p w14:paraId="76AD56B1" w14:textId="77777777" w:rsidR="001E37BF" w:rsidRPr="004600FC" w:rsidRDefault="001E37B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44"/>
          <w:szCs w:val="44"/>
        </w:rPr>
      </w:pPr>
    </w:p>
    <w:p w14:paraId="68917126" w14:textId="77777777" w:rsidR="001E37BF" w:rsidRPr="004600FC" w:rsidRDefault="001E37B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6DB122B7" w14:textId="18C5C899" w:rsidR="00995444" w:rsidRPr="004600FC" w:rsidRDefault="00DD375D"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4600FC">
        <w:rPr>
          <w:rFonts w:ascii="Arial" w:eastAsia="Arial Unicode MS" w:hAnsi="Arial" w:cs="Arial"/>
          <w:b/>
          <w:sz w:val="56"/>
          <w:szCs w:val="56"/>
        </w:rPr>
        <w:t>HARWINDER KAUR</w:t>
      </w:r>
    </w:p>
    <w:p w14:paraId="7237C8E9" w14:textId="3EF8CCA8" w:rsidR="00DD375D" w:rsidRPr="004600FC" w:rsidRDefault="00DD375D"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4600FC">
        <w:rPr>
          <w:rFonts w:ascii="Arial" w:eastAsia="Arial Unicode MS" w:hAnsi="Arial" w:cs="Arial"/>
          <w:b/>
          <w:sz w:val="56"/>
          <w:szCs w:val="56"/>
        </w:rPr>
        <w:t>2245630</w:t>
      </w:r>
    </w:p>
    <w:p w14:paraId="5860ECF7" w14:textId="77777777" w:rsidR="001E37BF" w:rsidRPr="004600FC" w:rsidRDefault="001E37B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56"/>
          <w:szCs w:val="56"/>
        </w:rPr>
      </w:pPr>
    </w:p>
    <w:p w14:paraId="3F8DA723" w14:textId="77777777" w:rsidR="00995444" w:rsidRPr="004600FC"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18"/>
          <w:szCs w:val="18"/>
        </w:rPr>
      </w:pPr>
    </w:p>
    <w:p w14:paraId="65358A57" w14:textId="00A6BAE5" w:rsidR="00995444" w:rsidRDefault="00995444" w:rsidP="001E37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sz w:val="40"/>
          <w:szCs w:val="40"/>
        </w:rPr>
      </w:pPr>
      <w:r w:rsidRPr="004600FC">
        <w:rPr>
          <w:rFonts w:ascii="Arial" w:eastAsia="Arial Unicode MS" w:hAnsi="Arial" w:cs="Arial"/>
          <w:b/>
          <w:bCs/>
          <w:sz w:val="40"/>
          <w:szCs w:val="40"/>
        </w:rPr>
        <w:t>Dissertation submitted as part of the requirements for the award BSc (Hons) Health and Social Care</w:t>
      </w:r>
    </w:p>
    <w:p w14:paraId="362F4F55" w14:textId="77777777" w:rsidR="004600FC" w:rsidRPr="004600FC" w:rsidRDefault="004600FC" w:rsidP="001E37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rPr>
      </w:pPr>
    </w:p>
    <w:p w14:paraId="0F4A849F" w14:textId="7736EB0B" w:rsidR="00995444" w:rsidRPr="004600F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r w:rsidRPr="004600FC">
        <w:rPr>
          <w:rFonts w:ascii="Arial" w:eastAsia="Arial Unicode MS" w:hAnsi="Arial" w:cs="Arial"/>
          <w:b/>
          <w:sz w:val="28"/>
          <w:szCs w:val="28"/>
        </w:rPr>
        <w:lastRenderedPageBreak/>
        <w:t>ACKNOWLEDGEMENTS</w:t>
      </w:r>
      <w:r w:rsidRPr="004600FC">
        <w:rPr>
          <w:rFonts w:ascii="Arial" w:eastAsia="Arial Unicode MS" w:hAnsi="Arial" w:cs="Arial"/>
          <w:b/>
        </w:rPr>
        <w:t xml:space="preserve"> </w:t>
      </w:r>
    </w:p>
    <w:p w14:paraId="52F6735C" w14:textId="77777777" w:rsidR="001E37BF" w:rsidRPr="004600FC" w:rsidRDefault="001E37BF"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6E7AD10A" w14:textId="77777777" w:rsidR="00AA0C9C" w:rsidRPr="00AA0C9C" w:rsidRDefault="00AA0C9C" w:rsidP="00AA0C9C">
      <w:pPr>
        <w:rPr>
          <w:rFonts w:ascii="Arial" w:eastAsia="Times New Roman" w:hAnsi="Arial" w:cs="Arial"/>
          <w:color w:val="000000" w:themeColor="text1"/>
          <w:kern w:val="0"/>
          <w:lang w:eastAsia="en-GB"/>
          <w14:ligatures w14:val="none"/>
        </w:rPr>
      </w:pPr>
      <w:r w:rsidRPr="00AA0C9C">
        <w:rPr>
          <w:rFonts w:ascii="Arial" w:eastAsia="Times New Roman" w:hAnsi="Arial" w:cs="Arial"/>
          <w:color w:val="000000" w:themeColor="text1"/>
          <w:kern w:val="0"/>
          <w:lang w:eastAsia="en-GB"/>
          <w14:ligatures w14:val="none"/>
        </w:rPr>
        <w:t xml:space="preserve">I would like to express my sincere gratitude to </w:t>
      </w:r>
      <w:r w:rsidRPr="00AA0C9C">
        <w:rPr>
          <w:rFonts w:ascii="Arial" w:eastAsia="Times New Roman" w:hAnsi="Arial" w:cs="Arial"/>
          <w:b/>
          <w:bCs/>
          <w:i/>
          <w:iCs/>
          <w:color w:val="000000" w:themeColor="text1"/>
          <w:kern w:val="0"/>
          <w:lang w:eastAsia="en-GB"/>
          <w14:ligatures w14:val="none"/>
        </w:rPr>
        <w:t>Danni Dunne</w:t>
      </w:r>
      <w:r w:rsidRPr="00AA0C9C">
        <w:rPr>
          <w:rFonts w:ascii="Arial" w:eastAsia="Times New Roman" w:hAnsi="Arial" w:cs="Arial"/>
          <w:color w:val="000000" w:themeColor="text1"/>
          <w:kern w:val="0"/>
          <w:lang w:eastAsia="en-GB"/>
          <w14:ligatures w14:val="none"/>
        </w:rPr>
        <w:t xml:space="preserve"> for their guidance, support, and valuable feedback throughout this dissertation. Their insight and encouragement were instrumental in shaping the direction and development of this research.</w:t>
      </w:r>
    </w:p>
    <w:p w14:paraId="78B266B0" w14:textId="77777777" w:rsidR="00AA0C9C" w:rsidRPr="00AA0C9C" w:rsidRDefault="00AA0C9C" w:rsidP="00AA0C9C">
      <w:pPr>
        <w:rPr>
          <w:rFonts w:ascii="Arial" w:eastAsia="Times New Roman" w:hAnsi="Arial" w:cs="Arial"/>
          <w:color w:val="000000" w:themeColor="text1"/>
          <w:kern w:val="0"/>
          <w:lang w:eastAsia="en-GB"/>
          <w14:ligatures w14:val="none"/>
        </w:rPr>
      </w:pPr>
    </w:p>
    <w:p w14:paraId="6F1A6A17" w14:textId="77777777" w:rsidR="00AA0C9C" w:rsidRPr="00AA0C9C" w:rsidRDefault="00AA0C9C" w:rsidP="00AA0C9C">
      <w:pPr>
        <w:rPr>
          <w:rFonts w:ascii="Arial" w:eastAsia="Times New Roman" w:hAnsi="Arial" w:cs="Arial"/>
          <w:color w:val="000000" w:themeColor="text1"/>
          <w:kern w:val="0"/>
          <w:lang w:eastAsia="en-GB"/>
          <w14:ligatures w14:val="none"/>
        </w:rPr>
      </w:pPr>
      <w:r w:rsidRPr="00AA0C9C">
        <w:rPr>
          <w:rFonts w:ascii="Arial" w:eastAsia="Times New Roman" w:hAnsi="Arial" w:cs="Arial"/>
          <w:color w:val="000000" w:themeColor="text1"/>
          <w:kern w:val="0"/>
          <w:lang w:eastAsia="en-GB"/>
          <w14:ligatures w14:val="none"/>
        </w:rPr>
        <w:t xml:space="preserve">I am also grateful to </w:t>
      </w:r>
      <w:r w:rsidRPr="00AA0C9C">
        <w:rPr>
          <w:rFonts w:ascii="Arial" w:eastAsia="Times New Roman" w:hAnsi="Arial" w:cs="Arial"/>
          <w:b/>
          <w:bCs/>
          <w:i/>
          <w:iCs/>
          <w:color w:val="000000" w:themeColor="text1"/>
          <w:kern w:val="0"/>
          <w:lang w:eastAsia="en-GB"/>
          <w14:ligatures w14:val="none"/>
        </w:rPr>
        <w:t>Chloe Harries</w:t>
      </w:r>
      <w:r w:rsidRPr="00AA0C9C">
        <w:rPr>
          <w:rFonts w:ascii="Arial" w:eastAsia="Times New Roman" w:hAnsi="Arial" w:cs="Arial"/>
          <w:color w:val="000000" w:themeColor="text1"/>
          <w:kern w:val="0"/>
          <w:lang w:eastAsia="en-GB"/>
          <w14:ligatures w14:val="none"/>
        </w:rPr>
        <w:t xml:space="preserve"> for the constructive feedback provided on my Academic Methods Poster. The recommendations on incorporating source-tracking and results-summary tables strengthened the transparency and methodological rigour of this study and supported the development of the final research design. I also appreciate the encouragement and feedback from my peers throughout the research process.</w:t>
      </w:r>
    </w:p>
    <w:p w14:paraId="6364F3CF" w14:textId="77777777" w:rsidR="00AA0C9C" w:rsidRPr="00AA0C9C" w:rsidRDefault="00AA0C9C" w:rsidP="00AA0C9C">
      <w:pPr>
        <w:rPr>
          <w:rFonts w:ascii="Arial" w:eastAsia="Times New Roman" w:hAnsi="Arial" w:cs="Arial"/>
          <w:color w:val="000000" w:themeColor="text1"/>
          <w:kern w:val="0"/>
          <w:lang w:eastAsia="en-GB"/>
          <w14:ligatures w14:val="none"/>
        </w:rPr>
      </w:pPr>
    </w:p>
    <w:p w14:paraId="6A8FCE15" w14:textId="7F1453A0" w:rsidR="0073280B" w:rsidRPr="004600FC" w:rsidRDefault="00AA0C9C" w:rsidP="00AA0C9C">
      <w:pPr>
        <w:rPr>
          <w:rFonts w:ascii="Arial" w:hAnsi="Arial" w:cs="Arial"/>
        </w:rPr>
      </w:pPr>
      <w:r w:rsidRPr="00AA0C9C">
        <w:rPr>
          <w:rFonts w:ascii="Arial" w:eastAsia="Times New Roman" w:hAnsi="Arial" w:cs="Arial"/>
          <w:color w:val="000000" w:themeColor="text1"/>
          <w:kern w:val="0"/>
          <w:lang w:eastAsia="en-GB"/>
          <w14:ligatures w14:val="none"/>
        </w:rPr>
        <w:t>Finally, I would like to acknowledge the authors and organisations whose work informed this dissertation, including NHS England</w:t>
      </w:r>
      <w:r w:rsidR="00D62608">
        <w:rPr>
          <w:rFonts w:ascii="Arial" w:eastAsia="Times New Roman" w:hAnsi="Arial" w:cs="Arial"/>
          <w:color w:val="000000" w:themeColor="text1"/>
          <w:kern w:val="0"/>
          <w:lang w:eastAsia="en-GB"/>
          <w14:ligatures w14:val="none"/>
        </w:rPr>
        <w:t xml:space="preserve"> (2021b)</w:t>
      </w:r>
      <w:r w:rsidRPr="00AA0C9C">
        <w:rPr>
          <w:rFonts w:ascii="Arial" w:eastAsia="Times New Roman" w:hAnsi="Arial" w:cs="Arial"/>
          <w:color w:val="000000" w:themeColor="text1"/>
          <w:kern w:val="0"/>
          <w:lang w:eastAsia="en-GB"/>
          <w14:ligatures w14:val="none"/>
        </w:rPr>
        <w:t>, Age UK, and the Office for National Statistics. Their research provided essential insights into social isolation and community-based interventions, forming a strong foundation for this study.</w:t>
      </w:r>
    </w:p>
    <w:p w14:paraId="5B45260B" w14:textId="77777777" w:rsidR="0073280B" w:rsidRPr="004600FC" w:rsidRDefault="0073280B">
      <w:pPr>
        <w:rPr>
          <w:rFonts w:ascii="Arial" w:hAnsi="Arial" w:cs="Arial"/>
        </w:rPr>
      </w:pPr>
    </w:p>
    <w:p w14:paraId="29F99602" w14:textId="77777777" w:rsidR="0073280B" w:rsidRPr="004600FC" w:rsidRDefault="0073280B">
      <w:pPr>
        <w:rPr>
          <w:rFonts w:ascii="Arial" w:hAnsi="Arial" w:cs="Arial"/>
        </w:rPr>
      </w:pPr>
    </w:p>
    <w:p w14:paraId="7FFDFCFF" w14:textId="77777777" w:rsidR="0073280B" w:rsidRPr="004600FC" w:rsidRDefault="0073280B">
      <w:pPr>
        <w:rPr>
          <w:rFonts w:ascii="Arial" w:hAnsi="Arial" w:cs="Arial"/>
        </w:rPr>
      </w:pPr>
    </w:p>
    <w:p w14:paraId="1E61CB56" w14:textId="77777777" w:rsidR="0073280B" w:rsidRPr="004600FC" w:rsidRDefault="0073280B">
      <w:pPr>
        <w:rPr>
          <w:rFonts w:ascii="Arial" w:hAnsi="Arial" w:cs="Arial"/>
        </w:rPr>
      </w:pPr>
    </w:p>
    <w:p w14:paraId="4650381F" w14:textId="77777777" w:rsidR="0073280B" w:rsidRPr="004600FC" w:rsidRDefault="0073280B">
      <w:pPr>
        <w:rPr>
          <w:rFonts w:ascii="Arial" w:hAnsi="Arial" w:cs="Arial"/>
        </w:rPr>
      </w:pPr>
    </w:p>
    <w:p w14:paraId="413A9F5D" w14:textId="77777777" w:rsidR="0073280B" w:rsidRPr="004600FC" w:rsidRDefault="0073280B">
      <w:pPr>
        <w:rPr>
          <w:rFonts w:ascii="Arial" w:hAnsi="Arial" w:cs="Arial"/>
        </w:rPr>
      </w:pPr>
    </w:p>
    <w:p w14:paraId="0F7E2C83" w14:textId="77777777" w:rsidR="0073280B" w:rsidRPr="004600FC" w:rsidRDefault="0073280B">
      <w:pPr>
        <w:rPr>
          <w:rFonts w:ascii="Arial" w:hAnsi="Arial" w:cs="Arial"/>
        </w:rPr>
      </w:pPr>
    </w:p>
    <w:p w14:paraId="68D32102" w14:textId="77777777" w:rsidR="0073280B" w:rsidRPr="004600FC" w:rsidRDefault="0073280B">
      <w:pPr>
        <w:rPr>
          <w:rFonts w:ascii="Arial" w:hAnsi="Arial" w:cs="Arial"/>
        </w:rPr>
      </w:pPr>
    </w:p>
    <w:p w14:paraId="3269986A" w14:textId="77777777" w:rsidR="0073280B" w:rsidRPr="004600FC" w:rsidRDefault="0073280B">
      <w:pPr>
        <w:rPr>
          <w:rFonts w:ascii="Arial" w:hAnsi="Arial" w:cs="Arial"/>
        </w:rPr>
      </w:pPr>
    </w:p>
    <w:p w14:paraId="0D38083A" w14:textId="77777777" w:rsidR="001E37BF" w:rsidRPr="004600FC" w:rsidRDefault="001E37BF" w:rsidP="00B215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3B13F08" w14:textId="77777777" w:rsidR="001E37BF" w:rsidRDefault="001E37BF" w:rsidP="00B215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95E0242" w14:textId="77777777" w:rsidR="00AA0C9C" w:rsidRPr="004600FC" w:rsidRDefault="00AA0C9C" w:rsidP="00B215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03E5EB79" w14:textId="12928B4E" w:rsidR="00485A99" w:rsidRDefault="0073280B" w:rsidP="00B215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r w:rsidRPr="006E2537">
        <w:rPr>
          <w:rFonts w:ascii="Arial" w:eastAsia="Arial Unicode MS" w:hAnsi="Arial" w:cs="Arial"/>
          <w:b/>
          <w:sz w:val="32"/>
          <w:szCs w:val="32"/>
        </w:rPr>
        <w:lastRenderedPageBreak/>
        <w:t>ABSTRACT</w:t>
      </w:r>
    </w:p>
    <w:p w14:paraId="5661551E" w14:textId="77777777" w:rsidR="00803EF7" w:rsidRDefault="00803EF7" w:rsidP="00B215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rPr>
      </w:pPr>
    </w:p>
    <w:p w14:paraId="29032126" w14:textId="77777777" w:rsidR="00E573C4" w:rsidRPr="00E573C4" w:rsidRDefault="00E573C4" w:rsidP="00E573C4">
      <w:pPr>
        <w:pStyle w:val="Heading1"/>
        <w:spacing w:line="360" w:lineRule="auto"/>
        <w:ind w:left="0"/>
        <w:jc w:val="both"/>
        <w:rPr>
          <w:rFonts w:eastAsia="Arial Unicode MS" w:cs="Arial"/>
          <w:b w:val="0"/>
          <w:kern w:val="2"/>
          <w:sz w:val="22"/>
          <w:szCs w:val="22"/>
          <w:lang w:eastAsia="zh-CN" w:bidi="ar-SA"/>
          <w14:ligatures w14:val="standardContextual"/>
        </w:rPr>
      </w:pPr>
      <w:r w:rsidRPr="00E573C4">
        <w:rPr>
          <w:rFonts w:eastAsia="Arial Unicode MS" w:cs="Arial"/>
          <w:b w:val="0"/>
          <w:kern w:val="2"/>
          <w:sz w:val="22"/>
          <w:szCs w:val="22"/>
          <w:lang w:eastAsia="zh-CN" w:bidi="ar-SA"/>
          <w14:ligatures w14:val="standardContextual"/>
        </w:rPr>
        <w:t>This dissertation explores the impact of social isolation on the mental health of older adults in the United Kingdom and evaluates the effectiveness of community-based interventions aimed at reducing loneliness. Social isolation is a growing public health concern, associated with depression, anxiety, cognitive decline, and reduced quality of life. The issue is particularly significant within health and social care systems, as an ageing population and post-pandemic challenges increase demand for effective and sustainable support strategies.</w:t>
      </w:r>
    </w:p>
    <w:p w14:paraId="781B777B" w14:textId="77777777" w:rsidR="00E573C4" w:rsidRPr="00E573C4" w:rsidRDefault="00E573C4" w:rsidP="00E573C4">
      <w:pPr>
        <w:pStyle w:val="Heading1"/>
        <w:spacing w:line="360" w:lineRule="auto"/>
        <w:jc w:val="both"/>
        <w:rPr>
          <w:rFonts w:eastAsia="Arial Unicode MS" w:cs="Arial"/>
          <w:b w:val="0"/>
          <w:kern w:val="2"/>
          <w:sz w:val="22"/>
          <w:szCs w:val="22"/>
          <w:lang w:eastAsia="zh-CN" w:bidi="ar-SA"/>
          <w14:ligatures w14:val="standardContextual"/>
        </w:rPr>
      </w:pPr>
    </w:p>
    <w:p w14:paraId="50C3B13A" w14:textId="77777777" w:rsidR="00E573C4" w:rsidRPr="00E573C4" w:rsidRDefault="00E573C4" w:rsidP="00E573C4">
      <w:pPr>
        <w:pStyle w:val="Heading1"/>
        <w:spacing w:line="360" w:lineRule="auto"/>
        <w:ind w:left="0"/>
        <w:jc w:val="both"/>
        <w:rPr>
          <w:rFonts w:eastAsia="Arial Unicode MS" w:cs="Arial"/>
          <w:b w:val="0"/>
          <w:kern w:val="2"/>
          <w:sz w:val="22"/>
          <w:szCs w:val="22"/>
          <w:lang w:eastAsia="zh-CN" w:bidi="ar-SA"/>
          <w14:ligatures w14:val="standardContextual"/>
        </w:rPr>
      </w:pPr>
      <w:r w:rsidRPr="00E573C4">
        <w:rPr>
          <w:rFonts w:eastAsia="Arial Unicode MS" w:cs="Arial"/>
          <w:b w:val="0"/>
          <w:kern w:val="2"/>
          <w:sz w:val="22"/>
          <w:szCs w:val="22"/>
          <w:lang w:eastAsia="zh-CN" w:bidi="ar-SA"/>
          <w14:ligatures w14:val="standardContextual"/>
        </w:rPr>
        <w:t>A secondary, desk-based research design was adopted, using a systematic literature review of peer-reviewed studies, government reports, and policy documents. The data were analysed using thematic analysis to identify key patterns across the literature. Four main themes were identified: mental health impacts of social isolation, effectiveness of community-based interventions, barriers to participation, and digital exclusion.</w:t>
      </w:r>
    </w:p>
    <w:p w14:paraId="7E72EE89" w14:textId="77777777" w:rsidR="00E573C4" w:rsidRPr="00E573C4" w:rsidRDefault="00E573C4" w:rsidP="00E573C4">
      <w:pPr>
        <w:pStyle w:val="Heading1"/>
        <w:spacing w:line="360" w:lineRule="auto"/>
        <w:jc w:val="both"/>
        <w:rPr>
          <w:rFonts w:eastAsia="Arial Unicode MS" w:cs="Arial"/>
          <w:b w:val="0"/>
          <w:kern w:val="2"/>
          <w:sz w:val="22"/>
          <w:szCs w:val="22"/>
          <w:lang w:eastAsia="zh-CN" w:bidi="ar-SA"/>
          <w14:ligatures w14:val="standardContextual"/>
        </w:rPr>
      </w:pPr>
    </w:p>
    <w:p w14:paraId="1A35F043" w14:textId="77777777" w:rsidR="00E573C4" w:rsidRPr="00E573C4" w:rsidRDefault="00E573C4" w:rsidP="00E573C4">
      <w:pPr>
        <w:pStyle w:val="Heading1"/>
        <w:spacing w:line="360" w:lineRule="auto"/>
        <w:ind w:left="0"/>
        <w:jc w:val="both"/>
        <w:rPr>
          <w:rFonts w:eastAsia="Arial Unicode MS" w:cs="Arial"/>
          <w:b w:val="0"/>
          <w:kern w:val="2"/>
          <w:sz w:val="22"/>
          <w:szCs w:val="22"/>
          <w:lang w:eastAsia="zh-CN" w:bidi="ar-SA"/>
          <w14:ligatures w14:val="standardContextual"/>
        </w:rPr>
      </w:pPr>
      <w:r w:rsidRPr="00E573C4">
        <w:rPr>
          <w:rFonts w:eastAsia="Arial Unicode MS" w:cs="Arial"/>
          <w:b w:val="0"/>
          <w:kern w:val="2"/>
          <w:sz w:val="22"/>
          <w:szCs w:val="22"/>
          <w:lang w:eastAsia="zh-CN" w:bidi="ar-SA"/>
          <w14:ligatures w14:val="standardContextual"/>
        </w:rPr>
        <w:t>The findings demonstrate that social isolation has a significant negative impact on mental health, with loneliness acting as a key predictor of depression, anxiety, and cognitive decline. Community-based interventions, including social prescribing, befriending programmes, group activities, and digital approaches, show consistent but variable positive outcomes, particularly when they are person-centred, culturally responsive, and sustainably delivered. However, their effectiveness is often limited by barriers such as mobility issues, transport limitations, digital exclusion, and inequalities in access.</w:t>
      </w:r>
    </w:p>
    <w:p w14:paraId="224F02CC" w14:textId="77777777" w:rsidR="00E573C4" w:rsidRPr="00E573C4" w:rsidRDefault="00E573C4" w:rsidP="00E573C4">
      <w:pPr>
        <w:pStyle w:val="Heading1"/>
        <w:spacing w:line="360" w:lineRule="auto"/>
        <w:jc w:val="both"/>
        <w:rPr>
          <w:rFonts w:eastAsia="Arial Unicode MS" w:cs="Arial"/>
          <w:b w:val="0"/>
          <w:kern w:val="2"/>
          <w:sz w:val="22"/>
          <w:szCs w:val="22"/>
          <w:lang w:eastAsia="zh-CN" w:bidi="ar-SA"/>
          <w14:ligatures w14:val="standardContextual"/>
        </w:rPr>
      </w:pPr>
    </w:p>
    <w:p w14:paraId="4C2B1863" w14:textId="77777777" w:rsidR="00E573C4" w:rsidRPr="00E573C4" w:rsidRDefault="00E573C4" w:rsidP="00E573C4">
      <w:pPr>
        <w:pStyle w:val="Heading1"/>
        <w:spacing w:line="360" w:lineRule="auto"/>
        <w:ind w:left="0"/>
        <w:jc w:val="both"/>
        <w:rPr>
          <w:rFonts w:eastAsia="Arial Unicode MS" w:cs="Arial"/>
          <w:b w:val="0"/>
          <w:kern w:val="2"/>
          <w:sz w:val="22"/>
          <w:szCs w:val="22"/>
          <w:lang w:eastAsia="zh-CN" w:bidi="ar-SA"/>
          <w14:ligatures w14:val="standardContextual"/>
        </w:rPr>
      </w:pPr>
      <w:r w:rsidRPr="00E573C4">
        <w:rPr>
          <w:rFonts w:eastAsia="Arial Unicode MS" w:cs="Arial"/>
          <w:b w:val="0"/>
          <w:kern w:val="2"/>
          <w:sz w:val="22"/>
          <w:szCs w:val="22"/>
          <w:lang w:eastAsia="zh-CN" w:bidi="ar-SA"/>
          <w14:ligatures w14:val="standardContextual"/>
        </w:rPr>
        <w:t>The study recommends strengthening integration across health, social care, and community services; improving accessibility and digital inclusion; ensuring sustainable funding; and developing culturally inclusive interventions. While community-based approaches show clear benefits, their long-term effectiveness depends on addressing structural inequalities and ensuring consistent implementation.</w:t>
      </w:r>
    </w:p>
    <w:p w14:paraId="2C53645C" w14:textId="77777777" w:rsidR="00E573C4" w:rsidRPr="00E573C4" w:rsidRDefault="00E573C4" w:rsidP="00E573C4">
      <w:pPr>
        <w:pStyle w:val="Heading1"/>
        <w:spacing w:line="360" w:lineRule="auto"/>
        <w:jc w:val="both"/>
        <w:rPr>
          <w:rFonts w:eastAsia="Arial Unicode MS" w:cs="Arial"/>
          <w:b w:val="0"/>
          <w:kern w:val="2"/>
          <w:sz w:val="22"/>
          <w:szCs w:val="22"/>
          <w:lang w:eastAsia="zh-CN" w:bidi="ar-SA"/>
          <w14:ligatures w14:val="standardContextual"/>
        </w:rPr>
      </w:pPr>
    </w:p>
    <w:p w14:paraId="69BB6C96" w14:textId="163DE176" w:rsidR="00AA0C9C" w:rsidRPr="004600FC" w:rsidRDefault="00E573C4" w:rsidP="00E573C4">
      <w:pPr>
        <w:pStyle w:val="Heading1"/>
        <w:spacing w:line="360" w:lineRule="auto"/>
        <w:ind w:left="0"/>
        <w:jc w:val="both"/>
        <w:rPr>
          <w:rFonts w:eastAsia="Arial Unicode MS" w:cs="Arial"/>
          <w:b w:val="0"/>
          <w:i/>
          <w:kern w:val="2"/>
          <w:sz w:val="28"/>
          <w:szCs w:val="28"/>
          <w:u w:val="single"/>
          <w:lang w:eastAsia="zh-CN" w:bidi="ar-SA"/>
          <w14:ligatures w14:val="standardContextual"/>
        </w:rPr>
      </w:pPr>
      <w:r w:rsidRPr="00E573C4">
        <w:rPr>
          <w:rFonts w:eastAsia="Arial Unicode MS" w:cs="Arial"/>
          <w:b w:val="0"/>
          <w:kern w:val="2"/>
          <w:sz w:val="22"/>
          <w:szCs w:val="22"/>
          <w:lang w:eastAsia="zh-CN" w:bidi="ar-SA"/>
          <w14:ligatures w14:val="standardContextual"/>
        </w:rPr>
        <w:t>Overall, this research contributes to health and social care knowledge by providing evidence-informed insights for policy and practice, highlighting the need for coordinated and inclusive strategies to reduce loneliness and improve mental well-being among older adults.</w:t>
      </w:r>
    </w:p>
    <w:p w14:paraId="2815EEAC" w14:textId="77777777" w:rsidR="00E573C4" w:rsidRDefault="00E573C4" w:rsidP="007240DE">
      <w:pPr>
        <w:pStyle w:val="Heading1"/>
        <w:spacing w:line="360" w:lineRule="auto"/>
        <w:ind w:left="0"/>
        <w:jc w:val="center"/>
        <w:rPr>
          <w:rFonts w:cs="Arial"/>
          <w:u w:val="single"/>
        </w:rPr>
      </w:pPr>
    </w:p>
    <w:p w14:paraId="6F09A53F" w14:textId="77777777" w:rsidR="00E573C4" w:rsidRDefault="00E573C4" w:rsidP="007240DE">
      <w:pPr>
        <w:pStyle w:val="Heading1"/>
        <w:spacing w:line="360" w:lineRule="auto"/>
        <w:ind w:left="0"/>
        <w:jc w:val="center"/>
        <w:rPr>
          <w:rFonts w:cs="Arial"/>
          <w:u w:val="single"/>
        </w:rPr>
      </w:pPr>
    </w:p>
    <w:p w14:paraId="15BFA27A" w14:textId="2CA5C880" w:rsidR="00804B94" w:rsidRPr="006E2537" w:rsidRDefault="00804B94" w:rsidP="007240DE">
      <w:pPr>
        <w:pStyle w:val="Heading1"/>
        <w:spacing w:line="360" w:lineRule="auto"/>
        <w:ind w:left="0"/>
        <w:jc w:val="center"/>
        <w:rPr>
          <w:rFonts w:cs="Arial"/>
          <w:u w:val="single"/>
        </w:rPr>
      </w:pPr>
      <w:r w:rsidRPr="006E2537">
        <w:rPr>
          <w:rFonts w:cs="Arial"/>
          <w:u w:val="single"/>
        </w:rPr>
        <w:lastRenderedPageBreak/>
        <w:t>Table of Contents</w:t>
      </w:r>
    </w:p>
    <w:p w14:paraId="031E88F6" w14:textId="77777777" w:rsidR="00715E00" w:rsidRPr="004600FC" w:rsidRDefault="00715E00" w:rsidP="007240DE">
      <w:pPr>
        <w:pStyle w:val="Heading1"/>
        <w:spacing w:line="360" w:lineRule="auto"/>
        <w:ind w:left="0"/>
        <w:jc w:val="center"/>
        <w:rPr>
          <w:rFonts w:cs="Arial"/>
          <w:sz w:val="22"/>
          <w:szCs w:val="22"/>
        </w:rPr>
      </w:pPr>
    </w:p>
    <w:p w14:paraId="6BFB63F6" w14:textId="022D3030" w:rsidR="00AA0C9C" w:rsidRPr="00AA0C9C" w:rsidRDefault="00AA0C9C" w:rsidP="00AA0C9C">
      <w:pPr>
        <w:pStyle w:val="Heading1"/>
        <w:rPr>
          <w:rStyle w:val="Strong"/>
          <w:rFonts w:cs="Arial"/>
          <w:b/>
          <w:sz w:val="28"/>
          <w:szCs w:val="28"/>
          <w:lang w:bidi="ar-SA"/>
        </w:rPr>
      </w:pPr>
      <w:r w:rsidRPr="00AA0C9C">
        <w:rPr>
          <w:rStyle w:val="Strong"/>
          <w:rFonts w:cs="Arial"/>
          <w:b/>
          <w:sz w:val="28"/>
          <w:szCs w:val="28"/>
          <w:lang w:bidi="ar-SA"/>
        </w:rPr>
        <w:t xml:space="preserve">Chapter 1 </w:t>
      </w:r>
      <w:r>
        <w:rPr>
          <w:rStyle w:val="Strong"/>
          <w:rFonts w:cs="Arial"/>
          <w:b/>
          <w:sz w:val="28"/>
          <w:szCs w:val="28"/>
          <w:lang w:bidi="ar-SA"/>
        </w:rPr>
        <w:t>-</w:t>
      </w:r>
      <w:r w:rsidRPr="00AA0C9C">
        <w:rPr>
          <w:rStyle w:val="Strong"/>
          <w:rFonts w:cs="Arial"/>
          <w:b/>
          <w:sz w:val="28"/>
          <w:szCs w:val="28"/>
          <w:lang w:bidi="ar-SA"/>
        </w:rPr>
        <w:t xml:space="preserve"> Introduction</w:t>
      </w:r>
    </w:p>
    <w:p w14:paraId="2636B6FA"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1.1 Introduction</w:t>
      </w:r>
    </w:p>
    <w:p w14:paraId="1C1649CC"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1.2 Definitions and Terminology</w:t>
      </w:r>
    </w:p>
    <w:p w14:paraId="1E19DAB2"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1.3 Rationale</w:t>
      </w:r>
    </w:p>
    <w:p w14:paraId="76D10C85" w14:textId="77777777" w:rsidR="00C66F75" w:rsidRPr="00C66F75" w:rsidRDefault="00C66F75" w:rsidP="00C66F75">
      <w:pPr>
        <w:pStyle w:val="Heading1"/>
        <w:spacing w:line="276" w:lineRule="auto"/>
        <w:rPr>
          <w:rStyle w:val="Strong"/>
          <w:rFonts w:cs="Arial"/>
          <w:bCs w:val="0"/>
          <w:sz w:val="22"/>
          <w:szCs w:val="22"/>
          <w:lang w:bidi="ar-SA"/>
        </w:rPr>
      </w:pPr>
      <w:r w:rsidRPr="00C66F75">
        <w:rPr>
          <w:rStyle w:val="Strong"/>
          <w:rFonts w:cs="Arial"/>
          <w:bCs w:val="0"/>
          <w:sz w:val="22"/>
          <w:szCs w:val="22"/>
          <w:lang w:bidi="ar-SA"/>
        </w:rPr>
        <w:t>1.4 Aim, Objectives and Research Questions</w:t>
      </w:r>
    </w:p>
    <w:p w14:paraId="4CDA3B28" w14:textId="77777777" w:rsidR="00C66F75" w:rsidRPr="00C66F75" w:rsidRDefault="00C66F75" w:rsidP="00C66F75">
      <w:pPr>
        <w:pStyle w:val="Heading1"/>
        <w:spacing w:line="276" w:lineRule="auto"/>
        <w:rPr>
          <w:rStyle w:val="Strong"/>
          <w:rFonts w:cs="Arial"/>
          <w:bCs w:val="0"/>
          <w:sz w:val="22"/>
          <w:szCs w:val="22"/>
          <w:lang w:bidi="ar-SA"/>
        </w:rPr>
      </w:pPr>
      <w:r w:rsidRPr="00C66F75">
        <w:rPr>
          <w:rStyle w:val="Strong"/>
          <w:rFonts w:cs="Arial"/>
          <w:bCs w:val="0"/>
          <w:sz w:val="22"/>
          <w:szCs w:val="22"/>
          <w:lang w:bidi="ar-SA"/>
        </w:rPr>
        <w:t>1.5 Scope of the Study</w:t>
      </w:r>
    </w:p>
    <w:p w14:paraId="6B1C5CA6" w14:textId="77777777" w:rsidR="00C66F75" w:rsidRPr="00C66F75" w:rsidRDefault="00C66F75" w:rsidP="00C66F75">
      <w:pPr>
        <w:pStyle w:val="Heading1"/>
        <w:spacing w:line="276" w:lineRule="auto"/>
        <w:rPr>
          <w:rStyle w:val="Strong"/>
          <w:rFonts w:cs="Arial"/>
          <w:bCs w:val="0"/>
          <w:sz w:val="22"/>
          <w:szCs w:val="22"/>
          <w:lang w:bidi="ar-SA"/>
        </w:rPr>
      </w:pPr>
      <w:r w:rsidRPr="00C66F75">
        <w:rPr>
          <w:rStyle w:val="Strong"/>
          <w:rFonts w:cs="Arial"/>
          <w:bCs w:val="0"/>
          <w:sz w:val="22"/>
          <w:szCs w:val="22"/>
          <w:lang w:bidi="ar-SA"/>
        </w:rPr>
        <w:t>1.6 Structure of the Dissertation</w:t>
      </w:r>
    </w:p>
    <w:p w14:paraId="41D8DAC2" w14:textId="5749AD42" w:rsidR="00AA0C9C" w:rsidRPr="00AA0C9C" w:rsidRDefault="00C66F75" w:rsidP="00897F20">
      <w:pPr>
        <w:pStyle w:val="Heading1"/>
        <w:spacing w:line="276" w:lineRule="auto"/>
        <w:rPr>
          <w:rStyle w:val="Strong"/>
          <w:rFonts w:cs="Arial"/>
          <w:bCs w:val="0"/>
          <w:sz w:val="22"/>
          <w:szCs w:val="22"/>
          <w:lang w:bidi="ar-SA"/>
        </w:rPr>
      </w:pPr>
      <w:r w:rsidRPr="00C66F75">
        <w:rPr>
          <w:rStyle w:val="Strong"/>
          <w:rFonts w:cs="Arial"/>
          <w:bCs w:val="0"/>
          <w:sz w:val="22"/>
          <w:szCs w:val="22"/>
          <w:lang w:bidi="ar-SA"/>
        </w:rPr>
        <w:t>1.7 Chapter Conclusion</w:t>
      </w:r>
    </w:p>
    <w:p w14:paraId="374D121A" w14:textId="77777777" w:rsidR="00AA0C9C" w:rsidRPr="00AA0C9C" w:rsidRDefault="00AA0C9C" w:rsidP="00E573C4">
      <w:pPr>
        <w:pStyle w:val="Heading1"/>
        <w:spacing w:line="276" w:lineRule="auto"/>
        <w:rPr>
          <w:rStyle w:val="Strong"/>
          <w:rFonts w:cs="Arial"/>
          <w:bCs w:val="0"/>
          <w:sz w:val="22"/>
          <w:szCs w:val="22"/>
          <w:lang w:bidi="ar-SA"/>
        </w:rPr>
      </w:pPr>
    </w:p>
    <w:p w14:paraId="22BC502E" w14:textId="7FB18B05" w:rsidR="00AA0C9C" w:rsidRPr="00AA0C9C" w:rsidRDefault="00AA0C9C" w:rsidP="00AA0C9C">
      <w:pPr>
        <w:pStyle w:val="Heading1"/>
        <w:rPr>
          <w:rStyle w:val="Strong"/>
          <w:rFonts w:cs="Arial"/>
          <w:b/>
          <w:sz w:val="28"/>
          <w:szCs w:val="28"/>
          <w:lang w:bidi="ar-SA"/>
        </w:rPr>
      </w:pPr>
      <w:r w:rsidRPr="00AA0C9C">
        <w:rPr>
          <w:rStyle w:val="Strong"/>
          <w:rFonts w:cs="Arial"/>
          <w:b/>
          <w:sz w:val="28"/>
          <w:szCs w:val="28"/>
          <w:lang w:bidi="ar-SA"/>
        </w:rPr>
        <w:t xml:space="preserve">Chapter 2 </w:t>
      </w:r>
      <w:r>
        <w:rPr>
          <w:rStyle w:val="Strong"/>
          <w:rFonts w:cs="Arial"/>
          <w:b/>
          <w:sz w:val="28"/>
          <w:szCs w:val="28"/>
          <w:lang w:bidi="ar-SA"/>
        </w:rPr>
        <w:t>-</w:t>
      </w:r>
      <w:r w:rsidRPr="00AA0C9C">
        <w:rPr>
          <w:rStyle w:val="Strong"/>
          <w:rFonts w:cs="Arial"/>
          <w:b/>
          <w:sz w:val="28"/>
          <w:szCs w:val="28"/>
          <w:lang w:bidi="ar-SA"/>
        </w:rPr>
        <w:t xml:space="preserve"> Background Information and Analysis</w:t>
      </w:r>
    </w:p>
    <w:p w14:paraId="2D5CBB4B"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2.1 Introduction</w:t>
      </w:r>
    </w:p>
    <w:p w14:paraId="598A0A21"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2.2 Historical Background</w:t>
      </w:r>
    </w:p>
    <w:p w14:paraId="1FB384AF"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2.3 Theoretical Background</w:t>
      </w:r>
    </w:p>
    <w:p w14:paraId="44F5E83E"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2.4 International Context</w:t>
      </w:r>
    </w:p>
    <w:p w14:paraId="28DB74FB"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2.5 UK Context</w:t>
      </w:r>
    </w:p>
    <w:p w14:paraId="06238E97"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2.6 Community-Based Interventions in the UK</w:t>
      </w:r>
    </w:p>
    <w:p w14:paraId="1D21DC52"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2.7 Effectiveness of Interventions: Evidence and Gaps</w:t>
      </w:r>
    </w:p>
    <w:p w14:paraId="370E08BC"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2.8 Barriers and Challenges for Older Adults</w:t>
      </w:r>
    </w:p>
    <w:p w14:paraId="3071F10F" w14:textId="77777777" w:rsidR="00AA0C9C" w:rsidRPr="00AA0C9C" w:rsidRDefault="00AA0C9C" w:rsidP="00E573C4">
      <w:pPr>
        <w:pStyle w:val="Heading1"/>
        <w:spacing w:line="276" w:lineRule="auto"/>
        <w:rPr>
          <w:rStyle w:val="Strong"/>
          <w:rFonts w:cs="Arial"/>
          <w:b/>
          <w:sz w:val="22"/>
          <w:szCs w:val="22"/>
          <w:lang w:bidi="ar-SA"/>
        </w:rPr>
      </w:pPr>
      <w:r w:rsidRPr="00AA0C9C">
        <w:rPr>
          <w:rStyle w:val="Strong"/>
          <w:rFonts w:cs="Arial"/>
          <w:bCs w:val="0"/>
          <w:sz w:val="22"/>
          <w:szCs w:val="22"/>
          <w:lang w:bidi="ar-SA"/>
        </w:rPr>
        <w:t>2.9 Summary of Key Themes</w:t>
      </w:r>
    </w:p>
    <w:p w14:paraId="1E39A158" w14:textId="77777777" w:rsidR="00AA0C9C" w:rsidRPr="00AA0C9C" w:rsidRDefault="00AA0C9C" w:rsidP="00AA0C9C">
      <w:pPr>
        <w:pStyle w:val="Heading1"/>
        <w:rPr>
          <w:rStyle w:val="Strong"/>
          <w:rFonts w:cs="Arial"/>
          <w:b/>
          <w:sz w:val="28"/>
          <w:szCs w:val="28"/>
          <w:lang w:bidi="ar-SA"/>
        </w:rPr>
      </w:pPr>
    </w:p>
    <w:p w14:paraId="23EF7F18" w14:textId="233EE1E8" w:rsidR="00AA0C9C" w:rsidRPr="00AA0C9C" w:rsidRDefault="00AA0C9C" w:rsidP="00AA0C9C">
      <w:pPr>
        <w:pStyle w:val="Heading1"/>
        <w:rPr>
          <w:rStyle w:val="Strong"/>
          <w:rFonts w:cs="Arial"/>
          <w:b/>
          <w:sz w:val="28"/>
          <w:szCs w:val="28"/>
          <w:lang w:bidi="ar-SA"/>
        </w:rPr>
      </w:pPr>
      <w:r w:rsidRPr="00AA0C9C">
        <w:rPr>
          <w:rStyle w:val="Strong"/>
          <w:rFonts w:cs="Arial"/>
          <w:b/>
          <w:sz w:val="28"/>
          <w:szCs w:val="28"/>
          <w:lang w:bidi="ar-SA"/>
        </w:rPr>
        <w:t xml:space="preserve">Chapter 3 </w:t>
      </w:r>
      <w:r>
        <w:rPr>
          <w:rStyle w:val="Strong"/>
          <w:rFonts w:cs="Arial"/>
          <w:b/>
          <w:sz w:val="28"/>
          <w:szCs w:val="28"/>
          <w:lang w:bidi="ar-SA"/>
        </w:rPr>
        <w:t>-</w:t>
      </w:r>
      <w:r w:rsidRPr="00AA0C9C">
        <w:rPr>
          <w:rStyle w:val="Strong"/>
          <w:rFonts w:cs="Arial"/>
          <w:b/>
          <w:sz w:val="28"/>
          <w:szCs w:val="28"/>
          <w:lang w:bidi="ar-SA"/>
        </w:rPr>
        <w:t xml:space="preserve"> Methods and Search Strategy</w:t>
      </w:r>
    </w:p>
    <w:p w14:paraId="35EB7231"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3.1 Introduction</w:t>
      </w:r>
    </w:p>
    <w:p w14:paraId="24889DAA"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3.2 Research Design</w:t>
      </w:r>
    </w:p>
    <w:p w14:paraId="281550C3"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3.3 Search Strategy</w:t>
      </w:r>
    </w:p>
    <w:p w14:paraId="54C7FFB0"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  3.3.1 Developing Keywords</w:t>
      </w:r>
    </w:p>
    <w:p w14:paraId="17A8DB48"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  3.3.2 Boolean Operators</w:t>
      </w:r>
    </w:p>
    <w:p w14:paraId="43F1128D"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3.4 Searching for Information</w:t>
      </w:r>
    </w:p>
    <w:p w14:paraId="12618A4F"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3.5 Inclusion and Exclusion Criteria</w:t>
      </w:r>
    </w:p>
    <w:p w14:paraId="4303BF6F"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3.6 Research Validation</w:t>
      </w:r>
    </w:p>
    <w:p w14:paraId="01D3CAC9"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3.7 Data Extraction and Management</w:t>
      </w:r>
    </w:p>
    <w:p w14:paraId="3517431B"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3.8 Data Analysis: Thematic Analysis</w:t>
      </w:r>
    </w:p>
    <w:p w14:paraId="58764497"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3.9 Ethical Considerations</w:t>
      </w:r>
    </w:p>
    <w:p w14:paraId="4C324745"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3.10 Summary</w:t>
      </w:r>
    </w:p>
    <w:p w14:paraId="3FE509EB" w14:textId="77777777" w:rsidR="00AA0C9C" w:rsidRPr="00AA0C9C" w:rsidRDefault="00AA0C9C" w:rsidP="00AA0C9C">
      <w:pPr>
        <w:pStyle w:val="Heading1"/>
        <w:rPr>
          <w:rStyle w:val="Strong"/>
          <w:rFonts w:cs="Arial"/>
          <w:b/>
          <w:sz w:val="28"/>
          <w:szCs w:val="28"/>
          <w:lang w:bidi="ar-SA"/>
        </w:rPr>
      </w:pPr>
    </w:p>
    <w:p w14:paraId="50BA4CC5" w14:textId="01688EE2" w:rsidR="00AA0C9C" w:rsidRPr="00AA0C9C" w:rsidRDefault="00AA0C9C" w:rsidP="00AA0C9C">
      <w:pPr>
        <w:pStyle w:val="Heading1"/>
        <w:rPr>
          <w:rStyle w:val="Strong"/>
          <w:rFonts w:cs="Arial"/>
          <w:b/>
          <w:sz w:val="28"/>
          <w:szCs w:val="28"/>
          <w:lang w:bidi="ar-SA"/>
        </w:rPr>
      </w:pPr>
      <w:r w:rsidRPr="00AA0C9C">
        <w:rPr>
          <w:rStyle w:val="Strong"/>
          <w:rFonts w:cs="Arial"/>
          <w:b/>
          <w:sz w:val="28"/>
          <w:szCs w:val="28"/>
          <w:lang w:bidi="ar-SA"/>
        </w:rPr>
        <w:t xml:space="preserve">Chapter 4 </w:t>
      </w:r>
      <w:r>
        <w:rPr>
          <w:rStyle w:val="Strong"/>
          <w:rFonts w:cs="Arial"/>
          <w:b/>
          <w:sz w:val="28"/>
          <w:szCs w:val="28"/>
          <w:lang w:bidi="ar-SA"/>
        </w:rPr>
        <w:t>-</w:t>
      </w:r>
      <w:r w:rsidRPr="00AA0C9C">
        <w:rPr>
          <w:rStyle w:val="Strong"/>
          <w:rFonts w:cs="Arial"/>
          <w:b/>
          <w:sz w:val="28"/>
          <w:szCs w:val="28"/>
          <w:lang w:bidi="ar-SA"/>
        </w:rPr>
        <w:t xml:space="preserve"> Findings and Discussion</w:t>
      </w:r>
    </w:p>
    <w:p w14:paraId="161FF796"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4.1 Introduction</w:t>
      </w:r>
    </w:p>
    <w:p w14:paraId="6369FD0C"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4.2 Thematic Analysis</w:t>
      </w:r>
    </w:p>
    <w:p w14:paraId="741DA11A"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4.3 Theme 1: Mental Health Impacts</w:t>
      </w:r>
    </w:p>
    <w:p w14:paraId="2FBA6A4B"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4.4 Theme 2: Effectiveness of Community Interventions</w:t>
      </w:r>
    </w:p>
    <w:p w14:paraId="1D8C7EDD"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4.5 Theme 3: Barriers to Participation</w:t>
      </w:r>
    </w:p>
    <w:p w14:paraId="31EB9FEE" w14:textId="77777777" w:rsid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4.6 Theme 4: Digital Exclusion and Technology Engagement</w:t>
      </w:r>
    </w:p>
    <w:p w14:paraId="5627FDE7" w14:textId="77777777" w:rsidR="00897F20" w:rsidRDefault="00897F20" w:rsidP="00E573C4">
      <w:pPr>
        <w:pStyle w:val="Heading1"/>
        <w:spacing w:line="276" w:lineRule="auto"/>
        <w:rPr>
          <w:rStyle w:val="Strong"/>
          <w:rFonts w:cs="Arial"/>
          <w:bCs w:val="0"/>
          <w:sz w:val="22"/>
          <w:szCs w:val="22"/>
          <w:lang w:bidi="ar-SA"/>
        </w:rPr>
      </w:pPr>
    </w:p>
    <w:p w14:paraId="41A4312C" w14:textId="77777777" w:rsidR="00E573C4" w:rsidRPr="00AA0C9C" w:rsidRDefault="00E573C4" w:rsidP="00E573C4">
      <w:pPr>
        <w:pStyle w:val="Heading1"/>
        <w:spacing w:line="276" w:lineRule="auto"/>
        <w:rPr>
          <w:rStyle w:val="Strong"/>
          <w:rFonts w:cs="Arial"/>
          <w:bCs w:val="0"/>
          <w:sz w:val="22"/>
          <w:szCs w:val="22"/>
          <w:lang w:bidi="ar-SA"/>
        </w:rPr>
      </w:pPr>
    </w:p>
    <w:p w14:paraId="3763376A" w14:textId="77777777" w:rsidR="00AA0C9C" w:rsidRPr="00AA0C9C" w:rsidRDefault="00AA0C9C" w:rsidP="00AA0C9C">
      <w:pPr>
        <w:pStyle w:val="Heading1"/>
        <w:rPr>
          <w:rStyle w:val="Strong"/>
          <w:rFonts w:cs="Arial"/>
          <w:bCs w:val="0"/>
          <w:sz w:val="22"/>
          <w:szCs w:val="22"/>
          <w:lang w:bidi="ar-SA"/>
        </w:rPr>
      </w:pPr>
    </w:p>
    <w:p w14:paraId="7451C20F" w14:textId="13D8FD8C" w:rsidR="00AA0C9C" w:rsidRPr="00AA0C9C" w:rsidRDefault="00AA0C9C" w:rsidP="00AA0C9C">
      <w:pPr>
        <w:pStyle w:val="Heading1"/>
        <w:rPr>
          <w:rStyle w:val="Strong"/>
          <w:rFonts w:cs="Arial"/>
          <w:b/>
          <w:sz w:val="28"/>
          <w:szCs w:val="28"/>
          <w:lang w:bidi="ar-SA"/>
        </w:rPr>
      </w:pPr>
      <w:r w:rsidRPr="00AA0C9C">
        <w:rPr>
          <w:rStyle w:val="Strong"/>
          <w:rFonts w:cs="Arial"/>
          <w:b/>
          <w:sz w:val="28"/>
          <w:szCs w:val="28"/>
          <w:lang w:bidi="ar-SA"/>
        </w:rPr>
        <w:lastRenderedPageBreak/>
        <w:t xml:space="preserve">Chapter 5 </w:t>
      </w:r>
      <w:r>
        <w:rPr>
          <w:rStyle w:val="Strong"/>
          <w:rFonts w:cs="Arial"/>
          <w:b/>
          <w:sz w:val="28"/>
          <w:szCs w:val="28"/>
          <w:lang w:bidi="ar-SA"/>
        </w:rPr>
        <w:t>-</w:t>
      </w:r>
      <w:r w:rsidRPr="00AA0C9C">
        <w:rPr>
          <w:rStyle w:val="Strong"/>
          <w:rFonts w:cs="Arial"/>
          <w:b/>
          <w:sz w:val="28"/>
          <w:szCs w:val="28"/>
          <w:lang w:bidi="ar-SA"/>
        </w:rPr>
        <w:t xml:space="preserve"> Conclusion and Recommendations</w:t>
      </w:r>
    </w:p>
    <w:p w14:paraId="7F8EB082"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5.1 Overall Conclusion</w:t>
      </w:r>
    </w:p>
    <w:p w14:paraId="20165D32"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5.2 Recommendations</w:t>
      </w:r>
    </w:p>
    <w:p w14:paraId="15020548"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  5.2.1 Strengthen Mental Health Support and Person-Centred Approaches</w:t>
      </w:r>
    </w:p>
    <w:p w14:paraId="099164E4"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  5.2.2 Reduce Barriers to Participation Through Accessibility, Transport, and Digital Inclusion</w:t>
      </w:r>
    </w:p>
    <w:p w14:paraId="29D8281E" w14:textId="7777777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  5.2.3 Enhance Sustainability, Coordination, and Cultural Inclusivity</w:t>
      </w:r>
    </w:p>
    <w:p w14:paraId="260F3DE2" w14:textId="77777777" w:rsidR="00897F20" w:rsidRDefault="00897F20" w:rsidP="00AA0C9C">
      <w:pPr>
        <w:pStyle w:val="Heading1"/>
        <w:rPr>
          <w:rStyle w:val="Strong"/>
          <w:rFonts w:cs="Arial"/>
          <w:bCs w:val="0"/>
          <w:sz w:val="22"/>
          <w:szCs w:val="22"/>
          <w:lang w:bidi="ar-SA"/>
        </w:rPr>
      </w:pPr>
    </w:p>
    <w:p w14:paraId="6C728B8C" w14:textId="35F8D4FA" w:rsidR="00AA0C9C" w:rsidRPr="00AA0C9C" w:rsidRDefault="00AA0C9C" w:rsidP="00AA0C9C">
      <w:pPr>
        <w:pStyle w:val="Heading1"/>
        <w:rPr>
          <w:rStyle w:val="Strong"/>
          <w:rFonts w:cs="Arial"/>
          <w:b/>
          <w:sz w:val="28"/>
          <w:szCs w:val="28"/>
          <w:lang w:bidi="ar-SA"/>
        </w:rPr>
      </w:pPr>
      <w:r w:rsidRPr="00AA0C9C">
        <w:rPr>
          <w:rStyle w:val="Strong"/>
          <w:rFonts w:cs="Arial"/>
          <w:b/>
          <w:sz w:val="28"/>
          <w:szCs w:val="28"/>
          <w:lang w:bidi="ar-SA"/>
        </w:rPr>
        <w:t>References</w:t>
      </w:r>
    </w:p>
    <w:p w14:paraId="01605833" w14:textId="77777777" w:rsidR="00AA0C9C" w:rsidRPr="00AA0C9C" w:rsidRDefault="00AA0C9C" w:rsidP="00AA0C9C">
      <w:pPr>
        <w:pStyle w:val="Heading1"/>
        <w:rPr>
          <w:rStyle w:val="Strong"/>
          <w:rFonts w:cs="Arial"/>
          <w:b/>
          <w:sz w:val="28"/>
          <w:szCs w:val="28"/>
          <w:lang w:bidi="ar-SA"/>
        </w:rPr>
      </w:pPr>
    </w:p>
    <w:p w14:paraId="68244403" w14:textId="77777777" w:rsidR="00AA0C9C" w:rsidRPr="00AA0C9C" w:rsidRDefault="00AA0C9C" w:rsidP="00AA0C9C">
      <w:pPr>
        <w:pStyle w:val="Heading1"/>
        <w:rPr>
          <w:rStyle w:val="Strong"/>
          <w:rFonts w:cs="Arial"/>
          <w:b/>
          <w:sz w:val="28"/>
          <w:szCs w:val="28"/>
          <w:lang w:bidi="ar-SA"/>
        </w:rPr>
      </w:pPr>
      <w:r w:rsidRPr="00AA0C9C">
        <w:rPr>
          <w:rStyle w:val="Strong"/>
          <w:rFonts w:cs="Arial"/>
          <w:b/>
          <w:sz w:val="28"/>
          <w:szCs w:val="28"/>
          <w:lang w:bidi="ar-SA"/>
        </w:rPr>
        <w:t>Appendices</w:t>
      </w:r>
    </w:p>
    <w:p w14:paraId="52521CBA" w14:textId="3A7D4B1D"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xml:space="preserve">Appendix A </w:t>
      </w:r>
      <w:r w:rsidR="00E573C4">
        <w:rPr>
          <w:rStyle w:val="Strong"/>
          <w:rFonts w:cs="Arial"/>
          <w:bCs w:val="0"/>
          <w:sz w:val="22"/>
          <w:szCs w:val="22"/>
          <w:lang w:bidi="ar-SA"/>
        </w:rPr>
        <w:t>-</w:t>
      </w:r>
      <w:r w:rsidRPr="00AA0C9C">
        <w:rPr>
          <w:rStyle w:val="Strong"/>
          <w:rFonts w:cs="Arial"/>
          <w:bCs w:val="0"/>
          <w:sz w:val="22"/>
          <w:szCs w:val="22"/>
          <w:lang w:bidi="ar-SA"/>
        </w:rPr>
        <w:t xml:space="preserve"> PRISMA Flow Diagram</w:t>
      </w:r>
    </w:p>
    <w:p w14:paraId="3324F79E" w14:textId="5BF8EA6A"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xml:space="preserve">Appendix B </w:t>
      </w:r>
      <w:r w:rsidR="00E573C4">
        <w:rPr>
          <w:rStyle w:val="Strong"/>
          <w:rFonts w:cs="Arial"/>
          <w:bCs w:val="0"/>
          <w:sz w:val="22"/>
          <w:szCs w:val="22"/>
          <w:lang w:bidi="ar-SA"/>
        </w:rPr>
        <w:t>-</w:t>
      </w:r>
      <w:r w:rsidRPr="00AA0C9C">
        <w:rPr>
          <w:rStyle w:val="Strong"/>
          <w:rFonts w:cs="Arial"/>
          <w:bCs w:val="0"/>
          <w:sz w:val="22"/>
          <w:szCs w:val="22"/>
          <w:lang w:bidi="ar-SA"/>
        </w:rPr>
        <w:t xml:space="preserve"> Conceptual Framework</w:t>
      </w:r>
    </w:p>
    <w:p w14:paraId="2C3C3F64" w14:textId="49483224"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xml:space="preserve">Appendix C </w:t>
      </w:r>
      <w:r w:rsidR="00E573C4">
        <w:rPr>
          <w:rStyle w:val="Strong"/>
          <w:rFonts w:cs="Arial"/>
          <w:bCs w:val="0"/>
          <w:sz w:val="22"/>
          <w:szCs w:val="22"/>
          <w:lang w:bidi="ar-SA"/>
        </w:rPr>
        <w:t>-</w:t>
      </w:r>
      <w:r w:rsidRPr="00AA0C9C">
        <w:rPr>
          <w:rStyle w:val="Strong"/>
          <w:rFonts w:cs="Arial"/>
          <w:bCs w:val="0"/>
          <w:sz w:val="22"/>
          <w:szCs w:val="22"/>
          <w:lang w:bidi="ar-SA"/>
        </w:rPr>
        <w:t xml:space="preserve"> Search Strategy Log</w:t>
      </w:r>
    </w:p>
    <w:p w14:paraId="1E58B4C0" w14:textId="4D163497" w:rsidR="00AA0C9C" w:rsidRPr="00AA0C9C" w:rsidRDefault="00AA0C9C" w:rsidP="00E573C4">
      <w:pPr>
        <w:pStyle w:val="Heading1"/>
        <w:spacing w:line="276" w:lineRule="auto"/>
        <w:rPr>
          <w:rStyle w:val="Strong"/>
          <w:rFonts w:cs="Arial"/>
          <w:bCs w:val="0"/>
          <w:sz w:val="22"/>
          <w:szCs w:val="22"/>
          <w:lang w:bidi="ar-SA"/>
        </w:rPr>
      </w:pPr>
      <w:r w:rsidRPr="00AA0C9C">
        <w:rPr>
          <w:rStyle w:val="Strong"/>
          <w:rFonts w:cs="Arial"/>
          <w:bCs w:val="0"/>
          <w:sz w:val="22"/>
          <w:szCs w:val="22"/>
          <w:lang w:bidi="ar-SA"/>
        </w:rPr>
        <w:t xml:space="preserve">Appendix D </w:t>
      </w:r>
      <w:r w:rsidR="00E573C4">
        <w:rPr>
          <w:rStyle w:val="Strong"/>
          <w:rFonts w:cs="Arial"/>
          <w:bCs w:val="0"/>
          <w:sz w:val="22"/>
          <w:szCs w:val="22"/>
          <w:lang w:bidi="ar-SA"/>
        </w:rPr>
        <w:t>-</w:t>
      </w:r>
      <w:r w:rsidRPr="00AA0C9C">
        <w:rPr>
          <w:rStyle w:val="Strong"/>
          <w:rFonts w:cs="Arial"/>
          <w:bCs w:val="0"/>
          <w:sz w:val="22"/>
          <w:szCs w:val="22"/>
          <w:lang w:bidi="ar-SA"/>
        </w:rPr>
        <w:t xml:space="preserve"> Source Table</w:t>
      </w:r>
    </w:p>
    <w:p w14:paraId="5900643A" w14:textId="53BE6C83" w:rsidR="00485A99" w:rsidRPr="00AA0C9C" w:rsidRDefault="00AA0C9C" w:rsidP="00E573C4">
      <w:pPr>
        <w:pStyle w:val="Heading1"/>
        <w:spacing w:line="276" w:lineRule="auto"/>
        <w:ind w:left="0"/>
        <w:rPr>
          <w:rFonts w:cs="Arial"/>
          <w:sz w:val="22"/>
          <w:szCs w:val="22"/>
        </w:rPr>
      </w:pPr>
      <w:r>
        <w:rPr>
          <w:rStyle w:val="Strong"/>
          <w:rFonts w:cs="Arial"/>
          <w:bCs w:val="0"/>
          <w:sz w:val="22"/>
          <w:szCs w:val="22"/>
          <w:lang w:bidi="ar-SA"/>
        </w:rPr>
        <w:t xml:space="preserve">   </w:t>
      </w:r>
      <w:r w:rsidR="00E573C4">
        <w:rPr>
          <w:rStyle w:val="Strong"/>
          <w:rFonts w:cs="Arial"/>
          <w:bCs w:val="0"/>
          <w:sz w:val="22"/>
          <w:szCs w:val="22"/>
          <w:lang w:bidi="ar-SA"/>
        </w:rPr>
        <w:t xml:space="preserve"> </w:t>
      </w:r>
      <w:r w:rsidRPr="00AA0C9C">
        <w:rPr>
          <w:rStyle w:val="Strong"/>
          <w:rFonts w:cs="Arial"/>
          <w:bCs w:val="0"/>
          <w:sz w:val="22"/>
          <w:szCs w:val="22"/>
          <w:lang w:bidi="ar-SA"/>
        </w:rPr>
        <w:t xml:space="preserve">Appendix E </w:t>
      </w:r>
      <w:r w:rsidR="00E573C4">
        <w:rPr>
          <w:rStyle w:val="Strong"/>
          <w:rFonts w:cs="Arial"/>
          <w:bCs w:val="0"/>
          <w:sz w:val="22"/>
          <w:szCs w:val="22"/>
          <w:lang w:bidi="ar-SA"/>
        </w:rPr>
        <w:t>-</w:t>
      </w:r>
      <w:r w:rsidRPr="00AA0C9C">
        <w:rPr>
          <w:rStyle w:val="Strong"/>
          <w:rFonts w:cs="Arial"/>
          <w:bCs w:val="0"/>
          <w:sz w:val="22"/>
          <w:szCs w:val="22"/>
          <w:lang w:bidi="ar-SA"/>
        </w:rPr>
        <w:t xml:space="preserve"> Results Summary Table</w:t>
      </w:r>
    </w:p>
    <w:p w14:paraId="756C3EE0" w14:textId="77777777" w:rsidR="00804B94" w:rsidRPr="00AA0C9C" w:rsidRDefault="00804B94">
      <w:pPr>
        <w:rPr>
          <w:rFonts w:ascii="Arial" w:hAnsi="Arial" w:cs="Arial"/>
        </w:rPr>
      </w:pPr>
    </w:p>
    <w:p w14:paraId="3EF52184" w14:textId="77777777" w:rsidR="00804B94" w:rsidRPr="004600FC" w:rsidRDefault="00804B94">
      <w:pPr>
        <w:rPr>
          <w:rFonts w:ascii="Arial" w:hAnsi="Arial" w:cs="Arial"/>
        </w:rPr>
      </w:pPr>
    </w:p>
    <w:p w14:paraId="52F0D83D" w14:textId="77777777" w:rsidR="00804B94" w:rsidRPr="004600FC" w:rsidRDefault="00804B94">
      <w:pPr>
        <w:rPr>
          <w:rFonts w:ascii="Arial" w:hAnsi="Arial" w:cs="Arial"/>
        </w:rPr>
      </w:pPr>
    </w:p>
    <w:p w14:paraId="4DF07CEB" w14:textId="77777777" w:rsidR="00804B94" w:rsidRPr="004600FC" w:rsidRDefault="00804B94">
      <w:pPr>
        <w:rPr>
          <w:rFonts w:ascii="Arial" w:hAnsi="Arial" w:cs="Arial"/>
        </w:rPr>
      </w:pPr>
    </w:p>
    <w:p w14:paraId="61CFD6DF" w14:textId="77777777" w:rsidR="00804B94" w:rsidRPr="004600FC" w:rsidRDefault="00804B94">
      <w:pPr>
        <w:rPr>
          <w:rFonts w:ascii="Arial" w:hAnsi="Arial" w:cs="Arial"/>
        </w:rPr>
      </w:pPr>
    </w:p>
    <w:p w14:paraId="417D68A4" w14:textId="77777777" w:rsidR="00804B94" w:rsidRPr="004600FC" w:rsidRDefault="00804B94">
      <w:pPr>
        <w:rPr>
          <w:rFonts w:ascii="Arial" w:hAnsi="Arial" w:cs="Arial"/>
        </w:rPr>
      </w:pPr>
    </w:p>
    <w:p w14:paraId="201F102A" w14:textId="77777777" w:rsidR="00804B94" w:rsidRPr="004600FC" w:rsidRDefault="00804B94">
      <w:pPr>
        <w:rPr>
          <w:rFonts w:ascii="Arial" w:hAnsi="Arial" w:cs="Arial"/>
        </w:rPr>
      </w:pPr>
    </w:p>
    <w:p w14:paraId="5D0A8789" w14:textId="77777777" w:rsidR="00804B94" w:rsidRPr="004600FC" w:rsidRDefault="00804B94">
      <w:pPr>
        <w:rPr>
          <w:rFonts w:ascii="Arial" w:hAnsi="Arial" w:cs="Arial"/>
        </w:rPr>
      </w:pPr>
    </w:p>
    <w:p w14:paraId="786DF943" w14:textId="77777777" w:rsidR="00804B94" w:rsidRPr="004600FC" w:rsidRDefault="00804B94">
      <w:pPr>
        <w:rPr>
          <w:rFonts w:ascii="Arial" w:hAnsi="Arial" w:cs="Arial"/>
        </w:rPr>
      </w:pPr>
    </w:p>
    <w:p w14:paraId="612D2BA4" w14:textId="77777777" w:rsidR="00804B94" w:rsidRPr="004600FC" w:rsidRDefault="00804B94">
      <w:pPr>
        <w:rPr>
          <w:rFonts w:ascii="Arial" w:hAnsi="Arial" w:cs="Arial"/>
        </w:rPr>
      </w:pPr>
    </w:p>
    <w:p w14:paraId="70EE4511" w14:textId="77777777" w:rsidR="00804B94" w:rsidRDefault="00804B94">
      <w:pPr>
        <w:rPr>
          <w:rFonts w:ascii="Arial" w:hAnsi="Arial" w:cs="Arial"/>
        </w:rPr>
      </w:pPr>
    </w:p>
    <w:p w14:paraId="3DBA0D4A" w14:textId="77777777" w:rsidR="005974E6" w:rsidRDefault="005974E6">
      <w:pPr>
        <w:rPr>
          <w:rFonts w:ascii="Arial" w:hAnsi="Arial" w:cs="Arial"/>
        </w:rPr>
      </w:pPr>
    </w:p>
    <w:p w14:paraId="53336AEF" w14:textId="77777777" w:rsidR="00082728" w:rsidRDefault="00082728">
      <w:pPr>
        <w:rPr>
          <w:rFonts w:ascii="Arial" w:hAnsi="Arial" w:cs="Arial"/>
        </w:rPr>
      </w:pPr>
    </w:p>
    <w:p w14:paraId="2FE10CF8" w14:textId="77777777" w:rsidR="008A2E23" w:rsidRPr="004600FC" w:rsidRDefault="008A2E23" w:rsidP="006E2537">
      <w:pPr>
        <w:suppressAutoHyphens/>
        <w:autoSpaceDN w:val="0"/>
        <w:rPr>
          <w:rFonts w:ascii="Arial" w:eastAsia="Aptos" w:hAnsi="Arial" w:cs="Arial"/>
          <w:b/>
          <w:bCs/>
          <w:kern w:val="3"/>
          <w:sz w:val="28"/>
          <w:szCs w:val="28"/>
          <w:u w:val="single"/>
          <w:lang w:eastAsia="en-US"/>
          <w14:ligatures w14:val="none"/>
        </w:rPr>
      </w:pPr>
    </w:p>
    <w:p w14:paraId="4C28807C" w14:textId="77777777" w:rsidR="00E573C4" w:rsidRDefault="00E573C4" w:rsidP="00893AE3">
      <w:pPr>
        <w:suppressAutoHyphens/>
        <w:autoSpaceDN w:val="0"/>
        <w:jc w:val="center"/>
        <w:rPr>
          <w:rFonts w:ascii="Arial" w:eastAsia="Aptos" w:hAnsi="Arial" w:cs="Arial"/>
          <w:b/>
          <w:bCs/>
          <w:kern w:val="3"/>
          <w:sz w:val="32"/>
          <w:szCs w:val="32"/>
          <w:u w:val="single"/>
          <w:lang w:eastAsia="en-US"/>
          <w14:ligatures w14:val="none"/>
        </w:rPr>
      </w:pPr>
    </w:p>
    <w:p w14:paraId="53318104" w14:textId="77777777" w:rsidR="00E573C4" w:rsidRDefault="00E573C4" w:rsidP="00893AE3">
      <w:pPr>
        <w:suppressAutoHyphens/>
        <w:autoSpaceDN w:val="0"/>
        <w:jc w:val="center"/>
        <w:rPr>
          <w:rFonts w:ascii="Arial" w:eastAsia="Aptos" w:hAnsi="Arial" w:cs="Arial"/>
          <w:b/>
          <w:bCs/>
          <w:kern w:val="3"/>
          <w:sz w:val="32"/>
          <w:szCs w:val="32"/>
          <w:u w:val="single"/>
          <w:lang w:eastAsia="en-US"/>
          <w14:ligatures w14:val="none"/>
        </w:rPr>
      </w:pPr>
    </w:p>
    <w:p w14:paraId="37D3093E" w14:textId="40C7F635" w:rsidR="00A200C6" w:rsidRPr="000E1B76" w:rsidRDefault="00893AE3" w:rsidP="00A200C6">
      <w:pPr>
        <w:suppressAutoHyphens/>
        <w:autoSpaceDN w:val="0"/>
        <w:jc w:val="center"/>
        <w:rPr>
          <w:rFonts w:ascii="Arial" w:eastAsia="Aptos" w:hAnsi="Arial" w:cs="Arial"/>
          <w:b/>
          <w:bCs/>
          <w:kern w:val="3"/>
          <w:sz w:val="32"/>
          <w:szCs w:val="32"/>
          <w:u w:val="single"/>
          <w:lang w:eastAsia="en-US"/>
          <w14:ligatures w14:val="none"/>
        </w:rPr>
      </w:pPr>
      <w:r w:rsidRPr="000E1B76">
        <w:rPr>
          <w:rFonts w:ascii="Arial" w:eastAsia="Aptos" w:hAnsi="Arial" w:cs="Arial"/>
          <w:b/>
          <w:bCs/>
          <w:kern w:val="3"/>
          <w:sz w:val="32"/>
          <w:szCs w:val="32"/>
          <w:u w:val="single"/>
          <w:lang w:eastAsia="en-US"/>
          <w14:ligatures w14:val="none"/>
        </w:rPr>
        <w:lastRenderedPageBreak/>
        <w:t xml:space="preserve">CHAPTER 1 </w:t>
      </w:r>
      <w:r w:rsidR="00A200C6">
        <w:rPr>
          <w:rFonts w:ascii="Arial" w:eastAsia="Aptos" w:hAnsi="Arial" w:cs="Arial"/>
          <w:b/>
          <w:bCs/>
          <w:kern w:val="3"/>
          <w:sz w:val="32"/>
          <w:szCs w:val="32"/>
          <w:u w:val="single"/>
          <w:lang w:eastAsia="en-US"/>
          <w14:ligatures w14:val="none"/>
        </w:rPr>
        <w:t>-</w:t>
      </w:r>
      <w:r w:rsidRPr="000E1B76">
        <w:rPr>
          <w:rFonts w:ascii="Arial" w:eastAsia="Aptos" w:hAnsi="Arial" w:cs="Arial"/>
          <w:b/>
          <w:bCs/>
          <w:kern w:val="3"/>
          <w:sz w:val="32"/>
          <w:szCs w:val="32"/>
          <w:u w:val="single"/>
          <w:lang w:eastAsia="en-US"/>
          <w14:ligatures w14:val="none"/>
        </w:rPr>
        <w:t xml:space="preserve"> INTRODUCTION</w:t>
      </w:r>
    </w:p>
    <w:p w14:paraId="3E3C84B9" w14:textId="77777777" w:rsidR="00893AE3" w:rsidRPr="000E1B76" w:rsidRDefault="00893AE3" w:rsidP="00893AE3">
      <w:pPr>
        <w:rPr>
          <w:rFonts w:ascii="Arial" w:eastAsia="Aptos" w:hAnsi="Arial" w:cs="Arial"/>
          <w:sz w:val="24"/>
          <w:szCs w:val="24"/>
          <w:lang w:eastAsia="en-US"/>
        </w:rPr>
      </w:pPr>
    </w:p>
    <w:p w14:paraId="32BC937C" w14:textId="77777777"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1.1 Introduction</w:t>
      </w:r>
    </w:p>
    <w:p w14:paraId="5B2B1B25" w14:textId="17EC376B" w:rsidR="00893AE3" w:rsidRDefault="00E004BC" w:rsidP="00893AE3">
      <w:pPr>
        <w:rPr>
          <w:rFonts w:ascii="Arial" w:eastAsia="Aptos" w:hAnsi="Arial" w:cs="Arial"/>
          <w:lang w:eastAsia="en-US"/>
        </w:rPr>
      </w:pPr>
      <w:r>
        <w:rPr>
          <w:rFonts w:ascii="Arial" w:eastAsia="Aptos" w:hAnsi="Arial" w:cs="Arial"/>
          <w:lang w:eastAsia="en-US"/>
        </w:rPr>
        <w:t>Social isolation and loneliness represent urgent public health challenges that have a profound effect on older adults in the United Kingdom. These issues critically undermine mental health, overall well-being, and the healthcare system at large. Loneliness is not just a source of emotional distress; it is a vital social determinant of health that significantly influences physical, psychological, and cognitive well-being (Holt-Lunstad, 2021; World Health Organisation, 2021).</w:t>
      </w:r>
      <w:r w:rsidR="00893AE3" w:rsidRPr="000E1B76">
        <w:rPr>
          <w:rFonts w:ascii="Arial" w:eastAsia="Aptos" w:hAnsi="Arial" w:cs="Arial"/>
          <w:lang w:eastAsia="en-US"/>
        </w:rPr>
        <w:t xml:space="preserve"> According to Age UK (202</w:t>
      </w:r>
      <w:r w:rsidR="00520400">
        <w:rPr>
          <w:rFonts w:ascii="Arial" w:eastAsia="Aptos" w:hAnsi="Arial" w:cs="Arial"/>
          <w:lang w:eastAsia="en-US"/>
        </w:rPr>
        <w:t>4</w:t>
      </w:r>
      <w:r w:rsidR="00893AE3" w:rsidRPr="000E1B76">
        <w:rPr>
          <w:rFonts w:ascii="Arial" w:eastAsia="Aptos" w:hAnsi="Arial" w:cs="Arial"/>
          <w:lang w:eastAsia="en-US"/>
        </w:rPr>
        <w:t>), more than 1 million older adults experience severe or persistent loneliness, and this number is expected to rise as the population continues to age. The Office for National Statistics (2022</w:t>
      </w:r>
      <w:r w:rsidR="00087BB1">
        <w:rPr>
          <w:rFonts w:ascii="Arial" w:eastAsia="Aptos" w:hAnsi="Arial" w:cs="Arial"/>
          <w:lang w:eastAsia="en-US"/>
        </w:rPr>
        <w:t>b</w:t>
      </w:r>
      <w:r w:rsidR="00893AE3" w:rsidRPr="000E1B76">
        <w:rPr>
          <w:rFonts w:ascii="Arial" w:eastAsia="Aptos" w:hAnsi="Arial" w:cs="Arial"/>
          <w:lang w:eastAsia="en-US"/>
        </w:rPr>
        <w:t xml:space="preserve">) underscores that by 2035, individuals aged 65 and over will account for nearly a quarter of the UK population. </w:t>
      </w:r>
      <w:r w:rsidR="00B73CD9" w:rsidRPr="00B73CD9">
        <w:rPr>
          <w:rFonts w:ascii="Arial" w:eastAsia="Aptos" w:hAnsi="Arial" w:cs="Arial"/>
          <w:lang w:eastAsia="en-US"/>
        </w:rPr>
        <w:t>This considerable demographic shift will undoubtedly heighten the pressures on health and social care systems.</w:t>
      </w:r>
      <w:r w:rsidR="00893AE3" w:rsidRPr="000E1B76">
        <w:rPr>
          <w:rFonts w:ascii="Arial" w:eastAsia="Aptos" w:hAnsi="Arial" w:cs="Arial"/>
          <w:lang w:eastAsia="en-US"/>
        </w:rPr>
        <w:t xml:space="preserve"> In addition, around 3.3 million adults aged 65 and over currently live alone, which may increase the risk of social isolation and reduced social engagement (Office for National Statistics, 2023).</w:t>
      </w:r>
    </w:p>
    <w:p w14:paraId="49D2210B" w14:textId="77777777" w:rsidR="00E573C4" w:rsidRPr="000E1B76" w:rsidRDefault="00E573C4" w:rsidP="00893AE3">
      <w:pPr>
        <w:rPr>
          <w:rFonts w:ascii="Arial" w:eastAsia="Aptos" w:hAnsi="Arial" w:cs="Arial"/>
          <w:lang w:eastAsia="en-US"/>
        </w:rPr>
      </w:pPr>
    </w:p>
    <w:p w14:paraId="29841B72" w14:textId="0E70330D" w:rsidR="00D8034C" w:rsidRDefault="00436158" w:rsidP="00893AE3">
      <w:pPr>
        <w:rPr>
          <w:rFonts w:ascii="Arial" w:eastAsia="Aptos" w:hAnsi="Arial" w:cs="Arial"/>
          <w:lang w:eastAsia="en-US"/>
        </w:rPr>
      </w:pPr>
      <w:r w:rsidRPr="00436158">
        <w:rPr>
          <w:rFonts w:ascii="Arial" w:eastAsia="Aptos" w:hAnsi="Arial" w:cs="Arial"/>
          <w:lang w:eastAsia="en-US"/>
        </w:rPr>
        <w:t xml:space="preserve">Research shows that loneliness and social isolation are strongly associated with poorer mental health outcomes, including depression, anxiety, and cognitive decline </w:t>
      </w:r>
      <w:r w:rsidR="00893AE3" w:rsidRPr="000E1B76">
        <w:rPr>
          <w:rFonts w:ascii="Arial" w:eastAsia="Aptos" w:hAnsi="Arial" w:cs="Arial"/>
          <w:lang w:eastAsia="en-US"/>
        </w:rPr>
        <w:t xml:space="preserve">(Fakoya, McCorry </w:t>
      </w:r>
      <w:r w:rsidR="00307BBD">
        <w:rPr>
          <w:rFonts w:ascii="Arial" w:eastAsia="Aptos" w:hAnsi="Arial" w:cs="Arial"/>
          <w:lang w:eastAsia="en-US"/>
        </w:rPr>
        <w:t>and</w:t>
      </w:r>
      <w:r w:rsidR="00893AE3" w:rsidRPr="000E1B76">
        <w:rPr>
          <w:rFonts w:ascii="Arial" w:eastAsia="Aptos" w:hAnsi="Arial" w:cs="Arial"/>
          <w:lang w:eastAsia="en-US"/>
        </w:rPr>
        <w:t xml:space="preserve"> Donnelly, 2020; Steptoe et al., 2013; Valtorta et al., 2016). The biological and psychological processes associated with loneliness, including stress responses, reduced social interaction, and behavioural changes, have also been connected to reduced mobility, weakened immune function, and poorer self-rated health in later life (Cudjoe </w:t>
      </w:r>
      <w:r w:rsidR="00307BBD">
        <w:rPr>
          <w:rFonts w:ascii="Arial" w:eastAsia="Aptos" w:hAnsi="Arial" w:cs="Arial"/>
          <w:lang w:eastAsia="en-US"/>
        </w:rPr>
        <w:t>and</w:t>
      </w:r>
      <w:r w:rsidR="00893AE3" w:rsidRPr="000E1B76">
        <w:rPr>
          <w:rFonts w:ascii="Arial" w:eastAsia="Aptos" w:hAnsi="Arial" w:cs="Arial"/>
          <w:lang w:eastAsia="en-US"/>
        </w:rPr>
        <w:t xml:space="preserve"> Kotwal, 2020; Leigh-Hunt et al., 2017).</w:t>
      </w:r>
      <w:r w:rsidR="00D8034C">
        <w:rPr>
          <w:rFonts w:ascii="Arial" w:eastAsia="Aptos" w:hAnsi="Arial" w:cs="Arial"/>
          <w:lang w:eastAsia="en-US"/>
        </w:rPr>
        <w:t xml:space="preserve"> </w:t>
      </w:r>
    </w:p>
    <w:p w14:paraId="3544E7C9" w14:textId="77777777" w:rsidR="00E573C4" w:rsidRDefault="00E573C4" w:rsidP="00893AE3">
      <w:pPr>
        <w:rPr>
          <w:rFonts w:ascii="Arial" w:eastAsia="Aptos" w:hAnsi="Arial" w:cs="Arial"/>
          <w:lang w:eastAsia="en-US"/>
        </w:rPr>
      </w:pPr>
    </w:p>
    <w:p w14:paraId="09516B58" w14:textId="77777777" w:rsidR="00D8034C" w:rsidRDefault="00893AE3" w:rsidP="00893AE3">
      <w:pPr>
        <w:rPr>
          <w:rFonts w:ascii="Arial" w:eastAsia="Aptos" w:hAnsi="Arial" w:cs="Arial"/>
          <w:lang w:eastAsia="en-US"/>
        </w:rPr>
      </w:pPr>
      <w:r w:rsidRPr="000E1B76">
        <w:rPr>
          <w:rFonts w:ascii="Arial" w:eastAsia="Aptos" w:hAnsi="Arial" w:cs="Arial"/>
          <w:lang w:eastAsia="en-US"/>
        </w:rPr>
        <w:t>Although loneliness and social isolation are often used interchangeably, they refer to different concepts. Social isolation refers to the objective lack or limited frequency of social contact, whereas loneliness is a subjective feeling that arises from a gap between desired and actual social relationships (Holt-Lunstad, 2021). This distinction is important in health and social care, as increasing social contact does not always address the emotional experience of loneliness.</w:t>
      </w:r>
    </w:p>
    <w:p w14:paraId="0EE0ED0B" w14:textId="77777777" w:rsidR="00D8034C" w:rsidRDefault="00D8034C" w:rsidP="00893AE3">
      <w:pPr>
        <w:rPr>
          <w:rFonts w:ascii="Arial" w:eastAsia="Aptos" w:hAnsi="Arial" w:cs="Arial"/>
          <w:lang w:eastAsia="en-US"/>
        </w:rPr>
      </w:pPr>
    </w:p>
    <w:p w14:paraId="56A6920E" w14:textId="12CABA61" w:rsidR="00893AE3" w:rsidRPr="000E1B76" w:rsidRDefault="00893AE3" w:rsidP="00893AE3">
      <w:pPr>
        <w:rPr>
          <w:rFonts w:ascii="Arial" w:eastAsia="Aptos" w:hAnsi="Arial" w:cs="Arial"/>
          <w:lang w:eastAsia="en-US"/>
        </w:rPr>
      </w:pPr>
      <w:r w:rsidRPr="000E1B76">
        <w:rPr>
          <w:rFonts w:ascii="Arial" w:eastAsia="Aptos" w:hAnsi="Arial" w:cs="Arial"/>
          <w:lang w:eastAsia="en-US"/>
        </w:rPr>
        <w:t xml:space="preserve">The impact of loneliness became more pronounced during the COVID-19 pandemic. Measures such as shielding, social distancing, and the closure of community services had a </w:t>
      </w:r>
      <w:r w:rsidRPr="000E1B76">
        <w:rPr>
          <w:rFonts w:ascii="Arial" w:eastAsia="Aptos" w:hAnsi="Arial" w:cs="Arial"/>
          <w:lang w:eastAsia="en-US"/>
        </w:rPr>
        <w:lastRenderedPageBreak/>
        <w:t xml:space="preserve">significant effect on older adults, particularly those with existing health conditions or limited mobility. Studies by Steptoe and Di Gessa (2021) and Giebel et al. (2021) found that disruptions to social networks and daily routines increased feelings of disconnection and psychological distress. Older adults with limited access to digital technologies were also disadvantaged, reflecting wider inequalities in digital inclusion (Seifert, Cotten </w:t>
      </w:r>
      <w:r w:rsidR="004406A6">
        <w:rPr>
          <w:rFonts w:ascii="Arial" w:eastAsia="Aptos" w:hAnsi="Arial" w:cs="Arial"/>
          <w:lang w:eastAsia="en-US"/>
        </w:rPr>
        <w:t>and</w:t>
      </w:r>
      <w:r w:rsidRPr="000E1B76">
        <w:rPr>
          <w:rFonts w:ascii="Arial" w:eastAsia="Aptos" w:hAnsi="Arial" w:cs="Arial"/>
          <w:lang w:eastAsia="en-US"/>
        </w:rPr>
        <w:t xml:space="preserve"> Xie, 2021; Barbosa Neves et al., 2019). These findings highlight the links between loneliness, socioeconomic inequality, and structural barriers.</w:t>
      </w:r>
    </w:p>
    <w:p w14:paraId="4F3E16A0" w14:textId="77777777" w:rsidR="00893AE3" w:rsidRPr="000E1B76" w:rsidRDefault="00893AE3" w:rsidP="00893AE3">
      <w:pPr>
        <w:rPr>
          <w:rFonts w:ascii="Arial" w:eastAsia="Aptos" w:hAnsi="Arial" w:cs="Arial"/>
          <w:lang w:eastAsia="en-US"/>
        </w:rPr>
      </w:pPr>
    </w:p>
    <w:p w14:paraId="5494A807" w14:textId="1BE35A91" w:rsidR="00893AE3" w:rsidRDefault="00893AE3" w:rsidP="00893AE3">
      <w:pPr>
        <w:rPr>
          <w:rFonts w:ascii="Arial" w:eastAsia="Aptos" w:hAnsi="Arial" w:cs="Arial"/>
          <w:lang w:eastAsia="en-US"/>
        </w:rPr>
      </w:pPr>
      <w:r w:rsidRPr="000E1B76">
        <w:rPr>
          <w:rFonts w:ascii="Arial" w:eastAsia="Aptos" w:hAnsi="Arial" w:cs="Arial"/>
          <w:lang w:eastAsia="en-US"/>
        </w:rPr>
        <w:t xml:space="preserve">In response, a range of community-based interventions has been developed across the UK. These include social prescribing schemes (NHS England, 2023), befriending programmes (Windle, Francis </w:t>
      </w:r>
      <w:r w:rsidR="00307BBD">
        <w:rPr>
          <w:rFonts w:ascii="Arial" w:eastAsia="Aptos" w:hAnsi="Arial" w:cs="Arial"/>
          <w:lang w:eastAsia="en-US"/>
        </w:rPr>
        <w:t>and</w:t>
      </w:r>
      <w:r w:rsidRPr="000E1B76">
        <w:rPr>
          <w:rFonts w:ascii="Arial" w:eastAsia="Aptos" w:hAnsi="Arial" w:cs="Arial"/>
          <w:lang w:eastAsia="en-US"/>
        </w:rPr>
        <w:t xml:space="preserve"> Coomber, 2011), intergenerational initiatives (Cattan et al., 20</w:t>
      </w:r>
      <w:r w:rsidR="004406A6">
        <w:rPr>
          <w:rFonts w:ascii="Arial" w:eastAsia="Aptos" w:hAnsi="Arial" w:cs="Arial"/>
          <w:lang w:eastAsia="en-US"/>
        </w:rPr>
        <w:t>05</w:t>
      </w:r>
      <w:r w:rsidRPr="000E1B76">
        <w:rPr>
          <w:rFonts w:ascii="Arial" w:eastAsia="Aptos" w:hAnsi="Arial" w:cs="Arial"/>
          <w:lang w:eastAsia="en-US"/>
        </w:rPr>
        <w:t>), and community activity groups (Victor et al., 2018), alongside support from organisations such as Age UK</w:t>
      </w:r>
      <w:r w:rsidR="00002A4D">
        <w:rPr>
          <w:rFonts w:ascii="Arial" w:eastAsia="Aptos" w:hAnsi="Arial" w:cs="Arial"/>
          <w:lang w:eastAsia="en-US"/>
        </w:rPr>
        <w:t xml:space="preserve"> (2019)</w:t>
      </w:r>
      <w:r w:rsidRPr="000E1B76">
        <w:rPr>
          <w:rFonts w:ascii="Arial" w:eastAsia="Aptos" w:hAnsi="Arial" w:cs="Arial"/>
          <w:lang w:eastAsia="en-US"/>
        </w:rPr>
        <w:t xml:space="preserve"> and Independent Age. While these interventions show promise, evidence on their long-term sustainability, accessibility, and effectiveness remains mixed (Lee et al., 2021; Gardiner, Geldenhuys </w:t>
      </w:r>
      <w:r w:rsidR="00307BBD">
        <w:rPr>
          <w:rFonts w:ascii="Arial" w:eastAsia="Aptos" w:hAnsi="Arial" w:cs="Arial"/>
          <w:lang w:eastAsia="en-US"/>
        </w:rPr>
        <w:t>and</w:t>
      </w:r>
      <w:r w:rsidRPr="000E1B76">
        <w:rPr>
          <w:rFonts w:ascii="Arial" w:eastAsia="Aptos" w:hAnsi="Arial" w:cs="Arial"/>
          <w:lang w:eastAsia="en-US"/>
        </w:rPr>
        <w:t xml:space="preserve"> Gott, 2018). Variations in programme design, funding, and evaluation methods have contributed to </w:t>
      </w:r>
      <w:r w:rsidR="00436158" w:rsidRPr="00436158">
        <w:rPr>
          <w:rFonts w:ascii="Arial" w:eastAsia="Aptos" w:hAnsi="Arial" w:cs="Arial"/>
          <w:lang w:eastAsia="en-US"/>
        </w:rPr>
        <w:t>inconsistencies</w:t>
      </w:r>
      <w:r w:rsidR="00E004BC" w:rsidRPr="00E004BC">
        <w:rPr>
          <w:rFonts w:ascii="Arial" w:eastAsia="Aptos" w:hAnsi="Arial" w:cs="Arial"/>
          <w:lang w:eastAsia="en-US"/>
        </w:rPr>
        <w:t xml:space="preserve"> in the evidence base</w:t>
      </w:r>
      <w:r w:rsidR="00E004BC">
        <w:rPr>
          <w:rFonts w:ascii="Arial" w:eastAsia="Aptos" w:hAnsi="Arial" w:cs="Arial"/>
          <w:lang w:eastAsia="en-US"/>
        </w:rPr>
        <w:t xml:space="preserve"> </w:t>
      </w:r>
      <w:r w:rsidRPr="000E1B76">
        <w:rPr>
          <w:rFonts w:ascii="Arial" w:eastAsia="Aptos" w:hAnsi="Arial" w:cs="Arial"/>
          <w:lang w:eastAsia="en-US"/>
        </w:rPr>
        <w:t xml:space="preserve">(Bickerdike et al., 2017; Masi et al., 2011). </w:t>
      </w:r>
    </w:p>
    <w:p w14:paraId="29618A0F" w14:textId="77777777" w:rsidR="00436158" w:rsidRPr="000E1B76" w:rsidRDefault="00436158" w:rsidP="00893AE3">
      <w:pPr>
        <w:rPr>
          <w:rFonts w:ascii="Arial" w:eastAsia="Aptos" w:hAnsi="Arial" w:cs="Arial"/>
          <w:lang w:eastAsia="en-US"/>
        </w:rPr>
      </w:pPr>
    </w:p>
    <w:p w14:paraId="6765FC74" w14:textId="09C9FF98" w:rsidR="00893AE3" w:rsidRPr="000E1B76" w:rsidRDefault="00893AE3" w:rsidP="00893AE3">
      <w:pPr>
        <w:rPr>
          <w:rFonts w:ascii="Arial" w:eastAsia="Aptos" w:hAnsi="Arial" w:cs="Arial"/>
          <w:lang w:eastAsia="en-US"/>
        </w:rPr>
      </w:pPr>
      <w:r w:rsidRPr="000E1B76">
        <w:rPr>
          <w:rFonts w:ascii="Arial" w:eastAsia="Aptos" w:hAnsi="Arial" w:cs="Arial"/>
          <w:lang w:eastAsia="en-US"/>
        </w:rPr>
        <w:t xml:space="preserve">These inconsistencies raise concerns about fair resource allocation and the scalability of interventions within UK health and social care systems. They also highlight uncertainty around what works best in practice. Therefore, it is important to evaluate how these interventions operate across different communities to ensure that support is meaningful, sustainable, and person-centred. The study selection process is illustrated in the PRISMA flow diagram </w:t>
      </w:r>
      <w:r w:rsidR="00F40EB5">
        <w:rPr>
          <w:rFonts w:ascii="Arial" w:eastAsia="Aptos" w:hAnsi="Arial" w:cs="Arial"/>
          <w:lang w:eastAsia="en-US"/>
        </w:rPr>
        <w:t>(</w:t>
      </w:r>
      <w:r w:rsidRPr="005B7F66">
        <w:rPr>
          <w:rFonts w:ascii="Arial" w:eastAsia="Aptos" w:hAnsi="Arial" w:cs="Arial"/>
          <w:b/>
          <w:bCs/>
          <w:lang w:eastAsia="en-US"/>
        </w:rPr>
        <w:t>Appendix A</w:t>
      </w:r>
      <w:r w:rsidR="00F40EB5">
        <w:rPr>
          <w:rFonts w:ascii="Arial" w:eastAsia="Aptos" w:hAnsi="Arial" w:cs="Arial"/>
          <w:b/>
          <w:bCs/>
          <w:lang w:eastAsia="en-US"/>
        </w:rPr>
        <w:t>)</w:t>
      </w:r>
      <w:r w:rsidRPr="005B7F66">
        <w:rPr>
          <w:rFonts w:ascii="Arial" w:eastAsia="Aptos" w:hAnsi="Arial" w:cs="Arial"/>
          <w:b/>
          <w:bCs/>
          <w:lang w:eastAsia="en-US"/>
        </w:rPr>
        <w:t>,</w:t>
      </w:r>
      <w:r w:rsidRPr="000E1B76">
        <w:rPr>
          <w:rFonts w:ascii="Arial" w:eastAsia="Aptos" w:hAnsi="Arial" w:cs="Arial"/>
          <w:lang w:eastAsia="en-US"/>
        </w:rPr>
        <w:t xml:space="preserve"> </w:t>
      </w:r>
      <w:r w:rsidR="00F40EB5">
        <w:rPr>
          <w:rFonts w:ascii="Arial" w:eastAsia="Aptos" w:hAnsi="Arial" w:cs="Arial"/>
          <w:lang w:eastAsia="en-US"/>
        </w:rPr>
        <w:t>outlining</w:t>
      </w:r>
      <w:r w:rsidRPr="000E1B76">
        <w:rPr>
          <w:rFonts w:ascii="Arial" w:eastAsia="Aptos" w:hAnsi="Arial" w:cs="Arial"/>
          <w:lang w:eastAsia="en-US"/>
        </w:rPr>
        <w:t xml:space="preserve"> the records identified, screened, excluded, and included.</w:t>
      </w:r>
    </w:p>
    <w:p w14:paraId="4E92C9C7" w14:textId="77777777" w:rsidR="00893AE3" w:rsidRPr="000E1B76" w:rsidRDefault="00893AE3" w:rsidP="00893AE3">
      <w:pPr>
        <w:rPr>
          <w:rFonts w:ascii="Arial" w:eastAsia="Aptos" w:hAnsi="Arial" w:cs="Arial"/>
          <w:lang w:eastAsia="en-US"/>
        </w:rPr>
      </w:pPr>
    </w:p>
    <w:p w14:paraId="7053B6C0" w14:textId="77777777"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1.2 Definitions and Terminology</w:t>
      </w:r>
    </w:p>
    <w:p w14:paraId="2E88DF3F" w14:textId="523D1E4D" w:rsidR="006A22B1" w:rsidRPr="00893AE3" w:rsidRDefault="00893AE3" w:rsidP="00893AE3">
      <w:pPr>
        <w:rPr>
          <w:rFonts w:ascii="Arial" w:eastAsia="Aptos" w:hAnsi="Arial" w:cs="Arial"/>
          <w:lang w:eastAsia="en-US"/>
        </w:rPr>
      </w:pPr>
      <w:r w:rsidRPr="00C33BBF">
        <w:rPr>
          <w:rFonts w:ascii="Arial" w:eastAsia="Aptos" w:hAnsi="Arial" w:cs="Arial"/>
          <w:lang w:eastAsia="en-US"/>
        </w:rPr>
        <w:t>Social isolation refers to the objective absence or limited frequency of social contact or relationships, whereas loneliness is a subjective emotional experience that arises when there is a mismatch between desired and actual social connections (Holt-Lunstad, 2021). Although closely related, these concepts are distinct and may not always occur together. Loneliness is increasingly recognised as a social determinant of health, influencing both physical and mental wellbeing (World Health Organisation, 2021). Understanding these terms is essential for interpreting research and designing effective interventions for older adults.</w:t>
      </w:r>
    </w:p>
    <w:p w14:paraId="45921C05" w14:textId="77777777"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lastRenderedPageBreak/>
        <w:t>1.3 Rationale</w:t>
      </w:r>
    </w:p>
    <w:p w14:paraId="69F3A021" w14:textId="2AD5B987" w:rsidR="00BC450B" w:rsidRPr="00BC450B" w:rsidRDefault="00BC450B" w:rsidP="00BC450B">
      <w:pPr>
        <w:rPr>
          <w:rFonts w:ascii="Arial" w:eastAsia="Aptos" w:hAnsi="Arial" w:cs="Arial"/>
          <w:lang w:eastAsia="en-US"/>
        </w:rPr>
      </w:pPr>
      <w:r w:rsidRPr="00BC450B">
        <w:rPr>
          <w:rFonts w:ascii="Arial" w:eastAsia="Aptos" w:hAnsi="Arial" w:cs="Arial"/>
          <w:lang w:eastAsia="en-US"/>
        </w:rPr>
        <w:t>This research addresses a major public health issue in an ageing UK population. Helping older adults access effective, inclusive, and person-centred services is a key policy focus. This is evident in the Government's Loneliness Strategy</w:t>
      </w:r>
      <w:r w:rsidR="004A3F8B">
        <w:rPr>
          <w:rFonts w:ascii="Arial" w:eastAsia="Aptos" w:hAnsi="Arial" w:cs="Arial"/>
          <w:lang w:eastAsia="en-US"/>
        </w:rPr>
        <w:t xml:space="preserve"> </w:t>
      </w:r>
      <w:r w:rsidRPr="00BC450B">
        <w:rPr>
          <w:rFonts w:ascii="Arial" w:eastAsia="Aptos" w:hAnsi="Arial" w:cs="Arial"/>
          <w:lang w:eastAsia="en-US"/>
        </w:rPr>
        <w:t>and NHS England's personalised care approaches (2023). There is also a growing expectation for health and social care professionals to use community-based methods that promote wellbeing, independence, and social participation (Local Government Association, 2020).</w:t>
      </w:r>
    </w:p>
    <w:p w14:paraId="4252F857" w14:textId="77777777" w:rsidR="00BC450B" w:rsidRPr="00BC450B" w:rsidRDefault="00BC450B" w:rsidP="00BC450B">
      <w:pPr>
        <w:rPr>
          <w:rFonts w:ascii="Arial" w:eastAsia="Aptos" w:hAnsi="Arial" w:cs="Arial"/>
          <w:lang w:eastAsia="en-US"/>
        </w:rPr>
      </w:pPr>
    </w:p>
    <w:p w14:paraId="040E0018" w14:textId="44DB6AD5" w:rsidR="00BC450B" w:rsidRPr="00BC450B" w:rsidRDefault="00BC450B" w:rsidP="00BC450B">
      <w:pPr>
        <w:rPr>
          <w:rFonts w:ascii="Arial" w:eastAsia="Aptos" w:hAnsi="Arial" w:cs="Arial"/>
          <w:lang w:eastAsia="en-US"/>
        </w:rPr>
      </w:pPr>
      <w:r w:rsidRPr="00BC450B">
        <w:rPr>
          <w:rFonts w:ascii="Arial" w:eastAsia="Aptos" w:hAnsi="Arial" w:cs="Arial"/>
          <w:lang w:eastAsia="en-US"/>
        </w:rPr>
        <w:t xml:space="preserve">Despite increased attention to loneliness, important gaps remain in understanding the effectiveness of community-based interventions in practice. While some research has </w:t>
      </w:r>
      <w:r>
        <w:rPr>
          <w:rFonts w:ascii="Arial" w:eastAsia="Aptos" w:hAnsi="Arial" w:cs="Arial"/>
          <w:lang w:eastAsia="en-US"/>
        </w:rPr>
        <w:t>examined the general effects of loneliness (Hawkley and Cacioppo, 2010; Lim et al., 2020), there is limited UK evidence comparing different intervention models across diverse</w:t>
      </w:r>
      <w:r w:rsidRPr="00BC450B">
        <w:rPr>
          <w:rFonts w:ascii="Arial" w:eastAsia="Aptos" w:hAnsi="Arial" w:cs="Arial"/>
          <w:lang w:eastAsia="en-US"/>
        </w:rPr>
        <w:t xml:space="preserve"> socioeconomic and cultural settings. Studies indicate differences in program design, outcome measures, duration, and participant groups. This variation makes it hard to determine what works and for whom (Bagnall et al., 2019; Dickens et al., 2011).</w:t>
      </w:r>
    </w:p>
    <w:p w14:paraId="28264E12" w14:textId="77777777" w:rsidR="00BC450B" w:rsidRPr="00BC450B" w:rsidRDefault="00BC450B" w:rsidP="00BC450B">
      <w:pPr>
        <w:rPr>
          <w:rFonts w:ascii="Arial" w:eastAsia="Aptos" w:hAnsi="Arial" w:cs="Arial"/>
          <w:lang w:eastAsia="en-US"/>
        </w:rPr>
      </w:pPr>
    </w:p>
    <w:p w14:paraId="08B05F3A" w14:textId="4906CF14" w:rsidR="00BC450B" w:rsidRDefault="00BC450B" w:rsidP="00BC450B">
      <w:pPr>
        <w:rPr>
          <w:rFonts w:ascii="Arial" w:eastAsia="Aptos" w:hAnsi="Arial" w:cs="Arial"/>
          <w:lang w:eastAsia="en-US"/>
        </w:rPr>
      </w:pPr>
      <w:r w:rsidRPr="00BC450B">
        <w:rPr>
          <w:rFonts w:ascii="Arial" w:eastAsia="Aptos" w:hAnsi="Arial" w:cs="Arial"/>
          <w:lang w:eastAsia="en-US"/>
        </w:rPr>
        <w:t>Older adults are not all the same, and their experiences of loneliness vary based on factors like socioeconomic status, ethnicity, health conditions, bereavement, rural location, and access to technology (Newall and Menec, 2019; Victor and Pikhartova, 2020). Interventions that overlook this diversity risk deepening inequalities and failing to reach those who need. These challenges emphasise the need for a focused UK-based study that evaluates intervention outcomes in their broader structural and contextual contexts. Without this, services may remain scattered and ineffective (Durcan and Bell, 2020).</w:t>
      </w:r>
      <w:r w:rsidR="0049540F">
        <w:rPr>
          <w:rFonts w:ascii="Arial" w:eastAsia="Aptos" w:hAnsi="Arial" w:cs="Arial"/>
          <w:lang w:eastAsia="en-US"/>
        </w:rPr>
        <w:t xml:space="preserve"> </w:t>
      </w:r>
      <w:r w:rsidRPr="00BC450B">
        <w:rPr>
          <w:rFonts w:ascii="Arial" w:eastAsia="Aptos" w:hAnsi="Arial" w:cs="Arial"/>
          <w:lang w:eastAsia="en-US"/>
        </w:rPr>
        <w:t>This study adopts a social determinant of health approach, recognising that loneliness is influenced by both individual and structural factors. This perspective aims to promote fairer and more effective practices.</w:t>
      </w:r>
    </w:p>
    <w:p w14:paraId="68502FF8" w14:textId="77777777" w:rsidR="00BC450B" w:rsidRDefault="00BC450B" w:rsidP="00BC450B">
      <w:pPr>
        <w:rPr>
          <w:rFonts w:ascii="Arial" w:eastAsia="Aptos" w:hAnsi="Arial" w:cs="Arial"/>
          <w:lang w:eastAsia="en-US"/>
        </w:rPr>
      </w:pPr>
    </w:p>
    <w:p w14:paraId="7FD69512" w14:textId="40965CD9"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1.4 Aim</w:t>
      </w:r>
      <w:r w:rsidR="00C74843">
        <w:rPr>
          <w:rFonts w:ascii="Arial" w:eastAsia="Aptos" w:hAnsi="Arial" w:cs="Arial"/>
          <w:b/>
          <w:bCs/>
          <w:sz w:val="28"/>
          <w:szCs w:val="28"/>
          <w:lang w:eastAsia="en-US"/>
        </w:rPr>
        <w:t xml:space="preserve">, </w:t>
      </w:r>
      <w:r w:rsidRPr="006E2537">
        <w:rPr>
          <w:rFonts w:ascii="Arial" w:eastAsia="Aptos" w:hAnsi="Arial" w:cs="Arial"/>
          <w:b/>
          <w:bCs/>
          <w:sz w:val="28"/>
          <w:szCs w:val="28"/>
          <w:lang w:eastAsia="en-US"/>
        </w:rPr>
        <w:t>Objectives</w:t>
      </w:r>
      <w:r w:rsidR="00C74843">
        <w:rPr>
          <w:rFonts w:ascii="Arial" w:eastAsia="Aptos" w:hAnsi="Arial" w:cs="Arial"/>
          <w:b/>
          <w:bCs/>
          <w:sz w:val="28"/>
          <w:szCs w:val="28"/>
          <w:lang w:eastAsia="en-US"/>
        </w:rPr>
        <w:t xml:space="preserve"> and </w:t>
      </w:r>
      <w:r w:rsidR="00C74843" w:rsidRPr="006E2537">
        <w:rPr>
          <w:rFonts w:ascii="Arial" w:eastAsia="Aptos" w:hAnsi="Arial" w:cs="Arial"/>
          <w:b/>
          <w:bCs/>
          <w:sz w:val="28"/>
          <w:szCs w:val="28"/>
          <w:lang w:eastAsia="en-US"/>
        </w:rPr>
        <w:t>Research Questions</w:t>
      </w:r>
    </w:p>
    <w:p w14:paraId="6621C115" w14:textId="77777777" w:rsidR="00893AE3" w:rsidRPr="00C74843" w:rsidRDefault="00893AE3" w:rsidP="00893AE3">
      <w:pPr>
        <w:rPr>
          <w:rFonts w:ascii="Arial" w:eastAsia="Aptos" w:hAnsi="Arial" w:cs="Arial"/>
          <w:b/>
          <w:bCs/>
          <w:sz w:val="28"/>
          <w:szCs w:val="28"/>
          <w:lang w:eastAsia="en-US"/>
        </w:rPr>
      </w:pPr>
      <w:r w:rsidRPr="00C74843">
        <w:rPr>
          <w:rFonts w:ascii="Arial" w:eastAsia="Aptos" w:hAnsi="Arial" w:cs="Arial"/>
          <w:b/>
          <w:bCs/>
          <w:sz w:val="28"/>
          <w:szCs w:val="28"/>
          <w:lang w:eastAsia="en-US"/>
        </w:rPr>
        <w:t>Aim</w:t>
      </w:r>
    </w:p>
    <w:p w14:paraId="37F9320C" w14:textId="77777777" w:rsidR="00893AE3" w:rsidRPr="000E1B76" w:rsidRDefault="00893AE3" w:rsidP="00A67317">
      <w:pPr>
        <w:rPr>
          <w:rFonts w:ascii="Arial" w:eastAsia="Aptos" w:hAnsi="Arial" w:cs="Arial"/>
          <w:lang w:eastAsia="en-US"/>
        </w:rPr>
      </w:pPr>
      <w:r w:rsidRPr="000E1B76">
        <w:rPr>
          <w:rFonts w:ascii="Arial" w:eastAsia="Aptos" w:hAnsi="Arial" w:cs="Arial"/>
          <w:lang w:eastAsia="en-US"/>
        </w:rPr>
        <w:t>The aim of this dissertation is to explore how social isolation affects the mental health of older adults in the United Kingdom and to evaluate the effectiveness of community-based interventions in reducing loneliness and improving overall well-being.</w:t>
      </w:r>
    </w:p>
    <w:p w14:paraId="6E01D404" w14:textId="77777777" w:rsidR="00893AE3" w:rsidRPr="00C74843" w:rsidRDefault="00893AE3" w:rsidP="00893AE3">
      <w:pPr>
        <w:rPr>
          <w:rFonts w:ascii="Arial" w:eastAsia="Aptos" w:hAnsi="Arial" w:cs="Arial"/>
          <w:b/>
          <w:bCs/>
          <w:sz w:val="28"/>
          <w:szCs w:val="28"/>
          <w:lang w:eastAsia="en-US"/>
        </w:rPr>
      </w:pPr>
      <w:r w:rsidRPr="00C74843">
        <w:rPr>
          <w:rFonts w:ascii="Arial" w:eastAsia="Aptos" w:hAnsi="Arial" w:cs="Arial"/>
          <w:b/>
          <w:bCs/>
          <w:sz w:val="28"/>
          <w:szCs w:val="28"/>
          <w:lang w:eastAsia="en-US"/>
        </w:rPr>
        <w:lastRenderedPageBreak/>
        <w:t>Objectives</w:t>
      </w:r>
    </w:p>
    <w:p w14:paraId="572F9F9A" w14:textId="77777777" w:rsidR="00893AE3" w:rsidRPr="000E1B76" w:rsidRDefault="00893AE3" w:rsidP="00A67317">
      <w:pPr>
        <w:numPr>
          <w:ilvl w:val="0"/>
          <w:numId w:val="11"/>
        </w:numPr>
        <w:contextualSpacing/>
        <w:rPr>
          <w:rFonts w:ascii="Arial" w:eastAsia="Aptos" w:hAnsi="Arial" w:cs="Arial"/>
          <w:lang w:eastAsia="en-US"/>
        </w:rPr>
      </w:pPr>
      <w:r w:rsidRPr="000E1B76">
        <w:rPr>
          <w:rFonts w:ascii="Arial" w:eastAsia="Aptos" w:hAnsi="Arial" w:cs="Arial"/>
          <w:lang w:eastAsia="en-US"/>
        </w:rPr>
        <w:t xml:space="preserve">Investigate the relationship between social isolation and mental health among older adults in the UK </w:t>
      </w:r>
    </w:p>
    <w:p w14:paraId="590AC46A" w14:textId="77777777" w:rsidR="00893AE3" w:rsidRPr="000E1B76" w:rsidRDefault="00893AE3" w:rsidP="00A67317">
      <w:pPr>
        <w:numPr>
          <w:ilvl w:val="0"/>
          <w:numId w:val="11"/>
        </w:numPr>
        <w:contextualSpacing/>
        <w:rPr>
          <w:rFonts w:ascii="Arial" w:eastAsia="Aptos" w:hAnsi="Arial" w:cs="Arial"/>
          <w:lang w:eastAsia="en-US"/>
        </w:rPr>
      </w:pPr>
      <w:r w:rsidRPr="000E1B76">
        <w:rPr>
          <w:rFonts w:ascii="Arial" w:eastAsia="Aptos" w:hAnsi="Arial" w:cs="Arial"/>
          <w:lang w:eastAsia="en-US"/>
        </w:rPr>
        <w:t xml:space="preserve">Assess the effectiveness of community-based programmes in reducing loneliness </w:t>
      </w:r>
    </w:p>
    <w:p w14:paraId="0D1DFED0" w14:textId="77777777" w:rsidR="00893AE3" w:rsidRPr="000E1B76" w:rsidRDefault="00893AE3" w:rsidP="00A67317">
      <w:pPr>
        <w:numPr>
          <w:ilvl w:val="0"/>
          <w:numId w:val="11"/>
        </w:numPr>
        <w:contextualSpacing/>
        <w:rPr>
          <w:rFonts w:ascii="Arial" w:eastAsia="Aptos" w:hAnsi="Arial" w:cs="Arial"/>
          <w:lang w:eastAsia="en-US"/>
        </w:rPr>
      </w:pPr>
      <w:r w:rsidRPr="000E1B76">
        <w:rPr>
          <w:rFonts w:ascii="Arial" w:eastAsia="Aptos" w:hAnsi="Arial" w:cs="Arial"/>
          <w:lang w:eastAsia="en-US"/>
        </w:rPr>
        <w:t xml:space="preserve">Critically evaluate UK-based evidence from academic and policy sources </w:t>
      </w:r>
    </w:p>
    <w:p w14:paraId="52C51F0B" w14:textId="77777777" w:rsidR="00893AE3" w:rsidRDefault="00893AE3" w:rsidP="00A67317">
      <w:pPr>
        <w:numPr>
          <w:ilvl w:val="0"/>
          <w:numId w:val="11"/>
        </w:numPr>
        <w:contextualSpacing/>
        <w:rPr>
          <w:rFonts w:ascii="Arial" w:eastAsia="Aptos" w:hAnsi="Arial" w:cs="Arial"/>
          <w:lang w:eastAsia="en-US"/>
        </w:rPr>
      </w:pPr>
      <w:r w:rsidRPr="000E1B76">
        <w:rPr>
          <w:rFonts w:ascii="Arial" w:eastAsia="Aptos" w:hAnsi="Arial" w:cs="Arial"/>
          <w:lang w:eastAsia="en-US"/>
        </w:rPr>
        <w:t xml:space="preserve">Develop evidence-based recommendations to improve practice and community engagement </w:t>
      </w:r>
    </w:p>
    <w:p w14:paraId="5BC5FCE4" w14:textId="77777777" w:rsidR="00C74843" w:rsidRPr="000E1B76" w:rsidRDefault="00C74843" w:rsidP="00A67317">
      <w:pPr>
        <w:ind w:left="720"/>
        <w:contextualSpacing/>
        <w:rPr>
          <w:rFonts w:ascii="Arial" w:eastAsia="Aptos" w:hAnsi="Arial" w:cs="Arial"/>
          <w:lang w:eastAsia="en-US"/>
        </w:rPr>
      </w:pPr>
    </w:p>
    <w:p w14:paraId="6F44CCA6" w14:textId="1364A2E5" w:rsidR="00893AE3" w:rsidRPr="000E1B76" w:rsidRDefault="00C74843" w:rsidP="00893AE3">
      <w:pPr>
        <w:rPr>
          <w:rFonts w:ascii="Arial" w:eastAsia="Aptos" w:hAnsi="Arial" w:cs="Arial"/>
          <w:sz w:val="24"/>
          <w:szCs w:val="24"/>
          <w:lang w:eastAsia="en-US"/>
        </w:rPr>
      </w:pPr>
      <w:r w:rsidRPr="006E2537">
        <w:rPr>
          <w:rFonts w:ascii="Arial" w:eastAsia="Aptos" w:hAnsi="Arial" w:cs="Arial"/>
          <w:b/>
          <w:bCs/>
          <w:sz w:val="28"/>
          <w:szCs w:val="28"/>
          <w:lang w:eastAsia="en-US"/>
        </w:rPr>
        <w:t>Research Questions</w:t>
      </w:r>
    </w:p>
    <w:p w14:paraId="705BB4A5" w14:textId="77777777" w:rsidR="00893AE3" w:rsidRPr="000E1B76" w:rsidRDefault="00893AE3" w:rsidP="00A67317">
      <w:pPr>
        <w:numPr>
          <w:ilvl w:val="0"/>
          <w:numId w:val="8"/>
        </w:numPr>
        <w:contextualSpacing/>
        <w:rPr>
          <w:rFonts w:ascii="Arial" w:eastAsia="Aptos" w:hAnsi="Arial" w:cs="Arial"/>
          <w:lang w:eastAsia="en-US"/>
        </w:rPr>
      </w:pPr>
      <w:r w:rsidRPr="000E1B76">
        <w:rPr>
          <w:rFonts w:ascii="Arial" w:eastAsia="Aptos" w:hAnsi="Arial" w:cs="Arial"/>
          <w:lang w:eastAsia="en-US"/>
        </w:rPr>
        <w:t xml:space="preserve">How does social isolation impact the mental health of older adults in the UK? </w:t>
      </w:r>
    </w:p>
    <w:p w14:paraId="092E2437" w14:textId="77777777" w:rsidR="00893AE3" w:rsidRPr="000E1B76" w:rsidRDefault="00893AE3" w:rsidP="00A67317">
      <w:pPr>
        <w:numPr>
          <w:ilvl w:val="0"/>
          <w:numId w:val="8"/>
        </w:numPr>
        <w:contextualSpacing/>
        <w:rPr>
          <w:rFonts w:ascii="Arial" w:eastAsia="Aptos" w:hAnsi="Arial" w:cs="Arial"/>
          <w:lang w:eastAsia="en-US"/>
        </w:rPr>
      </w:pPr>
      <w:r w:rsidRPr="000E1B76">
        <w:rPr>
          <w:rFonts w:ascii="Arial" w:eastAsia="Aptos" w:hAnsi="Arial" w:cs="Arial"/>
          <w:lang w:eastAsia="en-US"/>
        </w:rPr>
        <w:t xml:space="preserve">What types of community-based interventions currently exist to address loneliness? </w:t>
      </w:r>
    </w:p>
    <w:p w14:paraId="4A3018A3" w14:textId="77777777" w:rsidR="00893AE3" w:rsidRPr="000E1B76" w:rsidRDefault="00893AE3" w:rsidP="00A67317">
      <w:pPr>
        <w:numPr>
          <w:ilvl w:val="0"/>
          <w:numId w:val="8"/>
        </w:numPr>
        <w:contextualSpacing/>
        <w:rPr>
          <w:rFonts w:ascii="Arial" w:eastAsia="Aptos" w:hAnsi="Arial" w:cs="Arial"/>
          <w:lang w:eastAsia="en-US"/>
        </w:rPr>
      </w:pPr>
      <w:r w:rsidRPr="000E1B76">
        <w:rPr>
          <w:rFonts w:ascii="Arial" w:eastAsia="Aptos" w:hAnsi="Arial" w:cs="Arial"/>
          <w:lang w:eastAsia="en-US"/>
        </w:rPr>
        <w:t xml:space="preserve">How effective are these interventions in improving mental health and well-being outcomes? </w:t>
      </w:r>
    </w:p>
    <w:p w14:paraId="322E0A12" w14:textId="77777777" w:rsidR="00893AE3" w:rsidRPr="000E1B76" w:rsidRDefault="00893AE3" w:rsidP="00A67317">
      <w:pPr>
        <w:numPr>
          <w:ilvl w:val="0"/>
          <w:numId w:val="8"/>
        </w:numPr>
        <w:contextualSpacing/>
        <w:rPr>
          <w:rFonts w:ascii="Arial" w:eastAsia="Aptos" w:hAnsi="Arial" w:cs="Arial"/>
          <w:lang w:eastAsia="en-US"/>
        </w:rPr>
      </w:pPr>
      <w:r w:rsidRPr="000E1B76">
        <w:rPr>
          <w:rFonts w:ascii="Arial" w:eastAsia="Aptos" w:hAnsi="Arial" w:cs="Arial"/>
          <w:lang w:eastAsia="en-US"/>
        </w:rPr>
        <w:t xml:space="preserve">What gaps or limitations exist in current research and practice? </w:t>
      </w:r>
    </w:p>
    <w:p w14:paraId="2B451AC0" w14:textId="77777777" w:rsidR="00893AE3" w:rsidRDefault="00893AE3" w:rsidP="00A67317">
      <w:pPr>
        <w:numPr>
          <w:ilvl w:val="0"/>
          <w:numId w:val="8"/>
        </w:numPr>
        <w:contextualSpacing/>
        <w:rPr>
          <w:rFonts w:ascii="Arial" w:eastAsia="Aptos" w:hAnsi="Arial" w:cs="Arial"/>
          <w:lang w:eastAsia="en-US"/>
        </w:rPr>
      </w:pPr>
      <w:r w:rsidRPr="000E1B76">
        <w:rPr>
          <w:rFonts w:ascii="Arial" w:eastAsia="Aptos" w:hAnsi="Arial" w:cs="Arial"/>
          <w:lang w:eastAsia="en-US"/>
        </w:rPr>
        <w:t xml:space="preserve">What recommendations can strengthen future interventions and support strategies? </w:t>
      </w:r>
    </w:p>
    <w:p w14:paraId="151FF2CC" w14:textId="77777777" w:rsidR="00893AE3" w:rsidRPr="000E1B76" w:rsidRDefault="00893AE3" w:rsidP="00893AE3">
      <w:pPr>
        <w:spacing w:line="278" w:lineRule="auto"/>
        <w:ind w:left="720"/>
        <w:contextualSpacing/>
        <w:rPr>
          <w:rFonts w:ascii="Arial" w:eastAsia="Aptos" w:hAnsi="Arial" w:cs="Arial"/>
          <w:lang w:eastAsia="en-US"/>
        </w:rPr>
      </w:pPr>
    </w:p>
    <w:p w14:paraId="05B234AF" w14:textId="77777777" w:rsidR="00893AE3" w:rsidRPr="000E1B76" w:rsidRDefault="00893AE3" w:rsidP="00893AE3">
      <w:pPr>
        <w:rPr>
          <w:rFonts w:ascii="Arial" w:eastAsia="Aptos" w:hAnsi="Arial" w:cs="Arial"/>
          <w:sz w:val="24"/>
          <w:szCs w:val="24"/>
          <w:lang w:eastAsia="en-US"/>
        </w:rPr>
      </w:pPr>
    </w:p>
    <w:p w14:paraId="209BD65F" w14:textId="3706571E"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1.</w:t>
      </w:r>
      <w:r w:rsidR="00C74843">
        <w:rPr>
          <w:rFonts w:ascii="Arial" w:eastAsia="Aptos" w:hAnsi="Arial" w:cs="Arial"/>
          <w:b/>
          <w:bCs/>
          <w:sz w:val="28"/>
          <w:szCs w:val="28"/>
          <w:lang w:eastAsia="en-US"/>
        </w:rPr>
        <w:t>5</w:t>
      </w:r>
      <w:r w:rsidRPr="006E2537">
        <w:rPr>
          <w:rFonts w:ascii="Arial" w:eastAsia="Aptos" w:hAnsi="Arial" w:cs="Arial"/>
          <w:b/>
          <w:bCs/>
          <w:sz w:val="28"/>
          <w:szCs w:val="28"/>
          <w:lang w:eastAsia="en-US"/>
        </w:rPr>
        <w:t xml:space="preserve"> Scope of the Study</w:t>
      </w:r>
    </w:p>
    <w:p w14:paraId="017EB4A4" w14:textId="464BCE4A" w:rsidR="00A67317" w:rsidRDefault="00C74843" w:rsidP="00893AE3">
      <w:pPr>
        <w:rPr>
          <w:rFonts w:ascii="Arial" w:eastAsia="Aptos" w:hAnsi="Arial" w:cs="Arial"/>
          <w:lang w:eastAsia="en-US"/>
        </w:rPr>
      </w:pPr>
      <w:r w:rsidRPr="00C74843">
        <w:rPr>
          <w:rFonts w:ascii="Arial" w:eastAsia="Aptos" w:hAnsi="Arial" w:cs="Arial"/>
          <w:lang w:eastAsia="en-US"/>
        </w:rPr>
        <w:t>This dissertation focuses on older adults aged 65+ in the United Kingdom and uses secondary research based on peer-reviewed studies, policy documents, and organisational reports. It examines community-based interventions such as social prescribing, befriending, and group activities. International literature is included where relevant for contextual insight.</w:t>
      </w:r>
    </w:p>
    <w:p w14:paraId="08C11065" w14:textId="77777777" w:rsidR="00AF029F" w:rsidRPr="000E1B76" w:rsidRDefault="00AF029F" w:rsidP="00893AE3">
      <w:pPr>
        <w:rPr>
          <w:rFonts w:ascii="Arial" w:eastAsia="Aptos" w:hAnsi="Arial" w:cs="Arial"/>
          <w:lang w:eastAsia="en-US"/>
        </w:rPr>
      </w:pPr>
    </w:p>
    <w:p w14:paraId="086BB741" w14:textId="4C1509DA"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1.</w:t>
      </w:r>
      <w:r w:rsidR="00C74843">
        <w:rPr>
          <w:rFonts w:ascii="Arial" w:eastAsia="Aptos" w:hAnsi="Arial" w:cs="Arial"/>
          <w:b/>
          <w:bCs/>
          <w:sz w:val="28"/>
          <w:szCs w:val="28"/>
          <w:lang w:eastAsia="en-US"/>
        </w:rPr>
        <w:t>6</w:t>
      </w:r>
      <w:r w:rsidRPr="006E2537">
        <w:rPr>
          <w:rFonts w:ascii="Arial" w:eastAsia="Aptos" w:hAnsi="Arial" w:cs="Arial"/>
          <w:b/>
          <w:bCs/>
          <w:sz w:val="28"/>
          <w:szCs w:val="28"/>
          <w:lang w:eastAsia="en-US"/>
        </w:rPr>
        <w:t xml:space="preserve"> Structure of the Dissertation</w:t>
      </w:r>
    </w:p>
    <w:p w14:paraId="2761F083" w14:textId="0517DF8A" w:rsidR="00893AE3" w:rsidRPr="000E1B76" w:rsidRDefault="00893AE3" w:rsidP="00A67317">
      <w:pPr>
        <w:numPr>
          <w:ilvl w:val="0"/>
          <w:numId w:val="9"/>
        </w:numPr>
        <w:contextualSpacing/>
        <w:rPr>
          <w:rFonts w:ascii="Arial" w:eastAsia="Aptos" w:hAnsi="Arial" w:cs="Arial"/>
          <w:lang w:eastAsia="en-US"/>
        </w:rPr>
      </w:pPr>
      <w:r w:rsidRPr="000E1B76">
        <w:rPr>
          <w:rFonts w:ascii="Arial" w:eastAsia="Aptos" w:hAnsi="Arial" w:cs="Arial"/>
          <w:lang w:eastAsia="en-US"/>
        </w:rPr>
        <w:t xml:space="preserve">Chapter 1: </w:t>
      </w:r>
      <w:r w:rsidR="00436158" w:rsidRPr="00436158">
        <w:rPr>
          <w:rFonts w:ascii="Arial" w:eastAsia="Aptos" w:hAnsi="Arial" w:cs="Arial"/>
          <w:lang w:eastAsia="en-US"/>
        </w:rPr>
        <w:t>Introduces the topic and research aims</w:t>
      </w:r>
      <w:r w:rsidR="00436158">
        <w:rPr>
          <w:rFonts w:ascii="Arial" w:eastAsia="Aptos" w:hAnsi="Arial" w:cs="Arial"/>
          <w:lang w:eastAsia="en-US"/>
        </w:rPr>
        <w:t>.</w:t>
      </w:r>
    </w:p>
    <w:p w14:paraId="73549865" w14:textId="77777777" w:rsidR="00893AE3" w:rsidRPr="000E1B76" w:rsidRDefault="00893AE3" w:rsidP="00A67317">
      <w:pPr>
        <w:numPr>
          <w:ilvl w:val="0"/>
          <w:numId w:val="9"/>
        </w:numPr>
        <w:contextualSpacing/>
        <w:rPr>
          <w:rFonts w:ascii="Arial" w:eastAsia="Aptos" w:hAnsi="Arial" w:cs="Arial"/>
          <w:lang w:eastAsia="en-US"/>
        </w:rPr>
      </w:pPr>
      <w:r w:rsidRPr="000E1B76">
        <w:rPr>
          <w:rFonts w:ascii="Arial" w:eastAsia="Aptos" w:hAnsi="Arial" w:cs="Arial"/>
          <w:lang w:eastAsia="en-US"/>
        </w:rPr>
        <w:t>Chapter 2: Reviews literature on social isolation, mental health, and community interventions.</w:t>
      </w:r>
    </w:p>
    <w:p w14:paraId="0F674D7C" w14:textId="77777777" w:rsidR="00893AE3" w:rsidRPr="000E1B76" w:rsidRDefault="00893AE3" w:rsidP="00A67317">
      <w:pPr>
        <w:numPr>
          <w:ilvl w:val="0"/>
          <w:numId w:val="9"/>
        </w:numPr>
        <w:contextualSpacing/>
        <w:rPr>
          <w:rFonts w:ascii="Arial" w:eastAsia="Aptos" w:hAnsi="Arial" w:cs="Arial"/>
          <w:lang w:eastAsia="en-US"/>
        </w:rPr>
      </w:pPr>
      <w:r w:rsidRPr="000E1B76">
        <w:rPr>
          <w:rFonts w:ascii="Arial" w:eastAsia="Aptos" w:hAnsi="Arial" w:cs="Arial"/>
          <w:lang w:eastAsia="en-US"/>
        </w:rPr>
        <w:t>Chapter 3: Outlines the methodology, including search strategy, criteria, and analysis.</w:t>
      </w:r>
    </w:p>
    <w:p w14:paraId="09144C04" w14:textId="77777777" w:rsidR="00893AE3" w:rsidRPr="000E1B76" w:rsidRDefault="00893AE3" w:rsidP="00A67317">
      <w:pPr>
        <w:numPr>
          <w:ilvl w:val="0"/>
          <w:numId w:val="9"/>
        </w:numPr>
        <w:contextualSpacing/>
        <w:rPr>
          <w:rFonts w:ascii="Arial" w:eastAsia="Aptos" w:hAnsi="Arial" w:cs="Arial"/>
          <w:lang w:eastAsia="en-US"/>
        </w:rPr>
      </w:pPr>
      <w:r w:rsidRPr="000E1B76">
        <w:rPr>
          <w:rFonts w:ascii="Arial" w:eastAsia="Aptos" w:hAnsi="Arial" w:cs="Arial"/>
          <w:lang w:eastAsia="en-US"/>
        </w:rPr>
        <w:t>Chapter 4: Presents the findings and discussion.</w:t>
      </w:r>
    </w:p>
    <w:p w14:paraId="6DF10F9A" w14:textId="3FF5921D" w:rsidR="00893AE3" w:rsidRDefault="00893AE3" w:rsidP="00A67317">
      <w:pPr>
        <w:numPr>
          <w:ilvl w:val="0"/>
          <w:numId w:val="9"/>
        </w:numPr>
        <w:contextualSpacing/>
        <w:rPr>
          <w:rFonts w:ascii="Arial" w:eastAsia="Aptos" w:hAnsi="Arial" w:cs="Arial"/>
          <w:lang w:eastAsia="en-US"/>
        </w:rPr>
      </w:pPr>
      <w:r w:rsidRPr="000E1B76">
        <w:rPr>
          <w:rFonts w:ascii="Arial" w:eastAsia="Aptos" w:hAnsi="Arial" w:cs="Arial"/>
          <w:lang w:eastAsia="en-US"/>
        </w:rPr>
        <w:t>Chapter 5: Provides recommendations and conclusions.</w:t>
      </w:r>
    </w:p>
    <w:p w14:paraId="014143C2" w14:textId="77777777" w:rsidR="00A67317" w:rsidRDefault="00A67317" w:rsidP="00A67317">
      <w:pPr>
        <w:contextualSpacing/>
        <w:rPr>
          <w:rFonts w:ascii="Arial" w:eastAsia="Aptos" w:hAnsi="Arial" w:cs="Arial"/>
          <w:lang w:eastAsia="en-US"/>
        </w:rPr>
      </w:pPr>
    </w:p>
    <w:p w14:paraId="53A41613" w14:textId="77777777" w:rsidR="00A67317" w:rsidRPr="00A200C6" w:rsidRDefault="00A67317" w:rsidP="00A67317">
      <w:pPr>
        <w:contextualSpacing/>
        <w:rPr>
          <w:rFonts w:ascii="Arial" w:eastAsia="Aptos" w:hAnsi="Arial" w:cs="Arial"/>
          <w:lang w:eastAsia="en-US"/>
        </w:rPr>
      </w:pPr>
    </w:p>
    <w:p w14:paraId="53F07EC1" w14:textId="3972B670"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lastRenderedPageBreak/>
        <w:t>1.</w:t>
      </w:r>
      <w:r w:rsidR="00C74843">
        <w:rPr>
          <w:rFonts w:ascii="Arial" w:eastAsia="Aptos" w:hAnsi="Arial" w:cs="Arial"/>
          <w:b/>
          <w:bCs/>
          <w:sz w:val="28"/>
          <w:szCs w:val="28"/>
          <w:lang w:eastAsia="en-US"/>
        </w:rPr>
        <w:t>7</w:t>
      </w:r>
      <w:r w:rsidRPr="006E2537">
        <w:rPr>
          <w:rFonts w:ascii="Arial" w:eastAsia="Aptos" w:hAnsi="Arial" w:cs="Arial"/>
          <w:b/>
          <w:bCs/>
          <w:sz w:val="28"/>
          <w:szCs w:val="28"/>
          <w:lang w:eastAsia="en-US"/>
        </w:rPr>
        <w:t xml:space="preserve"> Chapter Conclusion</w:t>
      </w:r>
    </w:p>
    <w:p w14:paraId="4C3B9D09" w14:textId="10800F9B" w:rsidR="00893AE3" w:rsidRPr="000E1B76" w:rsidRDefault="00077FBE" w:rsidP="00893AE3">
      <w:pPr>
        <w:rPr>
          <w:rFonts w:ascii="Arial" w:eastAsia="Aptos" w:hAnsi="Arial" w:cs="Arial"/>
          <w:lang w:eastAsia="en-US"/>
        </w:rPr>
      </w:pPr>
      <w:r w:rsidRPr="00077FBE">
        <w:rPr>
          <w:rFonts w:ascii="Arial" w:eastAsia="Aptos" w:hAnsi="Arial" w:cs="Arial"/>
          <w:lang w:eastAsia="en-US"/>
        </w:rPr>
        <w:t>This chapter has outlined social isolation and loneliness as key public health concerns affecting older adults in the UK. It has clarified key concepts, distinguished between social isolation and loneliness, and highlighted their impact on mental health outcomes. The chapter also identified important gaps in current research and emphasised the need for more consistent and context-sensitive evaluation of community-based interventions.</w:t>
      </w:r>
      <w:r>
        <w:rPr>
          <w:rFonts w:ascii="Arial" w:eastAsia="Aptos" w:hAnsi="Arial" w:cs="Arial"/>
          <w:lang w:eastAsia="en-US"/>
        </w:rPr>
        <w:t xml:space="preserve"> </w:t>
      </w:r>
      <w:r w:rsidR="00893AE3" w:rsidRPr="000E1B76">
        <w:rPr>
          <w:rFonts w:ascii="Arial" w:eastAsia="Aptos" w:hAnsi="Arial" w:cs="Arial"/>
          <w:lang w:eastAsia="en-US"/>
        </w:rPr>
        <w:t>The research aims and objectives were clearly defined to guide the study.</w:t>
      </w:r>
    </w:p>
    <w:p w14:paraId="260443D4" w14:textId="77777777" w:rsidR="00893AE3" w:rsidRPr="000E1B76" w:rsidRDefault="00893AE3" w:rsidP="00893AE3">
      <w:pPr>
        <w:rPr>
          <w:rFonts w:ascii="Arial" w:eastAsia="Aptos" w:hAnsi="Arial" w:cs="Arial"/>
          <w:lang w:eastAsia="en-US"/>
        </w:rPr>
      </w:pPr>
    </w:p>
    <w:p w14:paraId="0CAAE287" w14:textId="77777777" w:rsidR="00893AE3" w:rsidRPr="000E1B76" w:rsidRDefault="00893AE3" w:rsidP="00893AE3">
      <w:pPr>
        <w:rPr>
          <w:rFonts w:ascii="Arial" w:eastAsia="Aptos" w:hAnsi="Arial" w:cs="Arial"/>
          <w:lang w:eastAsia="en-US"/>
        </w:rPr>
      </w:pPr>
      <w:r w:rsidRPr="000E1B76">
        <w:rPr>
          <w:rFonts w:ascii="Arial" w:eastAsia="Aptos" w:hAnsi="Arial" w:cs="Arial"/>
          <w:lang w:eastAsia="en-US"/>
        </w:rPr>
        <w:t>By establishing the demographic, policy, and theoretical context, this chapter provides a foundation for the rest of the dissertation. The following chapter will explore the existing literature in greater detail, focusing on theoretical frameworks, prior research findings, and the broader national and international context of loneliness and community-based interventions.</w:t>
      </w:r>
    </w:p>
    <w:p w14:paraId="12C10599" w14:textId="77777777" w:rsidR="00893AE3" w:rsidRPr="000E1B76" w:rsidRDefault="00893AE3" w:rsidP="00893AE3">
      <w:pPr>
        <w:rPr>
          <w:rFonts w:ascii="Arial" w:eastAsia="Aptos" w:hAnsi="Arial" w:cs="Arial"/>
          <w:lang w:eastAsia="en-US"/>
        </w:rPr>
      </w:pPr>
    </w:p>
    <w:p w14:paraId="12008D09" w14:textId="77777777" w:rsidR="00893AE3" w:rsidRDefault="00893AE3" w:rsidP="00893AE3"/>
    <w:p w14:paraId="3A2F4C90" w14:textId="77777777" w:rsidR="00893AE3" w:rsidRDefault="00893AE3" w:rsidP="00893AE3"/>
    <w:p w14:paraId="4399164A" w14:textId="77777777" w:rsidR="00893AE3" w:rsidRDefault="00893AE3" w:rsidP="00893AE3"/>
    <w:p w14:paraId="62F8F6E3" w14:textId="77777777" w:rsidR="00893AE3" w:rsidRDefault="00893AE3" w:rsidP="00893AE3"/>
    <w:p w14:paraId="23DA0CB3" w14:textId="77777777" w:rsidR="00A200C6" w:rsidRDefault="00A200C6" w:rsidP="00893AE3"/>
    <w:p w14:paraId="7CD26C69" w14:textId="77777777" w:rsidR="00A67317" w:rsidRDefault="00A67317" w:rsidP="00893AE3"/>
    <w:p w14:paraId="1834397C" w14:textId="77777777" w:rsidR="0049540F" w:rsidRDefault="0049540F" w:rsidP="00893AE3"/>
    <w:p w14:paraId="30329021" w14:textId="77777777" w:rsidR="0049540F" w:rsidRDefault="0049540F" w:rsidP="00893AE3"/>
    <w:p w14:paraId="2EABFE01" w14:textId="77777777" w:rsidR="0049540F" w:rsidRDefault="0049540F" w:rsidP="00893AE3"/>
    <w:p w14:paraId="79AC809E" w14:textId="77777777" w:rsidR="0049540F" w:rsidRDefault="0049540F" w:rsidP="00893AE3"/>
    <w:p w14:paraId="4B7445EF" w14:textId="77777777" w:rsidR="0049540F" w:rsidRDefault="0049540F" w:rsidP="00893AE3"/>
    <w:p w14:paraId="6FC6A0DE" w14:textId="77777777" w:rsidR="00AF029F" w:rsidRDefault="00AF029F" w:rsidP="00893AE3"/>
    <w:p w14:paraId="5A8F8CD8" w14:textId="77777777" w:rsidR="00893AE3" w:rsidRDefault="00893AE3" w:rsidP="00893AE3"/>
    <w:p w14:paraId="63895440" w14:textId="77777777" w:rsidR="00E573C4" w:rsidRDefault="00E573C4" w:rsidP="00893AE3"/>
    <w:p w14:paraId="501B2803" w14:textId="1CB89913" w:rsidR="00893AE3" w:rsidRDefault="00893AE3" w:rsidP="006A22B1">
      <w:pPr>
        <w:jc w:val="center"/>
        <w:rPr>
          <w:rFonts w:ascii="Arial" w:hAnsi="Arial" w:cs="Arial"/>
          <w:b/>
          <w:bCs/>
          <w:sz w:val="32"/>
          <w:szCs w:val="32"/>
          <w:u w:val="single"/>
        </w:rPr>
      </w:pPr>
      <w:r w:rsidRPr="004F3555">
        <w:rPr>
          <w:rFonts w:ascii="Arial" w:hAnsi="Arial" w:cs="Arial"/>
          <w:b/>
          <w:bCs/>
          <w:sz w:val="32"/>
          <w:szCs w:val="32"/>
          <w:u w:val="single"/>
        </w:rPr>
        <w:lastRenderedPageBreak/>
        <w:t xml:space="preserve">CHAPTER 2 </w:t>
      </w:r>
      <w:r w:rsidR="00803EF7">
        <w:rPr>
          <w:rFonts w:ascii="Arial" w:hAnsi="Arial" w:cs="Arial"/>
          <w:b/>
          <w:bCs/>
          <w:sz w:val="32"/>
          <w:szCs w:val="32"/>
          <w:u w:val="single"/>
        </w:rPr>
        <w:t>-</w:t>
      </w:r>
      <w:r w:rsidRPr="004F3555">
        <w:rPr>
          <w:rFonts w:ascii="Arial" w:hAnsi="Arial" w:cs="Arial"/>
          <w:b/>
          <w:bCs/>
          <w:sz w:val="32"/>
          <w:szCs w:val="32"/>
          <w:u w:val="single"/>
        </w:rPr>
        <w:t xml:space="preserve"> Background Information and Analysis</w:t>
      </w:r>
    </w:p>
    <w:p w14:paraId="3CDAEA5C" w14:textId="77777777" w:rsidR="00893AE3" w:rsidRPr="004F3555" w:rsidRDefault="00893AE3" w:rsidP="00893AE3">
      <w:pPr>
        <w:rPr>
          <w:rFonts w:ascii="Arial" w:eastAsia="Aptos" w:hAnsi="Arial" w:cs="Arial"/>
          <w:b/>
          <w:bCs/>
          <w:sz w:val="32"/>
          <w:szCs w:val="32"/>
          <w:u w:val="single"/>
          <w:lang w:eastAsia="en-US"/>
        </w:rPr>
      </w:pPr>
    </w:p>
    <w:p w14:paraId="355D9B26" w14:textId="77777777"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 xml:space="preserve">2.1 Introduction </w:t>
      </w:r>
    </w:p>
    <w:p w14:paraId="6315BE78" w14:textId="411E54F1" w:rsidR="00893AE3" w:rsidRDefault="00893AE3" w:rsidP="00893AE3">
      <w:pPr>
        <w:rPr>
          <w:rFonts w:ascii="Arial" w:eastAsia="Aptos" w:hAnsi="Arial" w:cs="Arial"/>
          <w:lang w:eastAsia="en-US"/>
        </w:rPr>
      </w:pPr>
      <w:r w:rsidRPr="004F3555">
        <w:rPr>
          <w:rFonts w:ascii="Arial" w:eastAsia="Aptos" w:hAnsi="Arial" w:cs="Arial"/>
          <w:lang w:eastAsia="en-US"/>
        </w:rPr>
        <w:t xml:space="preserve">This chapter reviews literature on social isolation, loneliness, mental health, and community-based interventions among older adults in the United Kingdom. </w:t>
      </w:r>
      <w:r w:rsidR="00A67317" w:rsidRPr="00A67317">
        <w:rPr>
          <w:rFonts w:ascii="Arial" w:eastAsia="Aptos" w:hAnsi="Arial" w:cs="Arial"/>
          <w:lang w:eastAsia="en-US"/>
        </w:rPr>
        <w:t xml:space="preserve">This chapter provides </w:t>
      </w:r>
      <w:r w:rsidR="00A67317">
        <w:rPr>
          <w:rFonts w:ascii="Arial" w:eastAsia="Aptos" w:hAnsi="Arial" w:cs="Arial"/>
          <w:lang w:eastAsia="en-US"/>
        </w:rPr>
        <w:t>only contextual background</w:t>
      </w:r>
      <w:r w:rsidR="00A67317" w:rsidRPr="00A67317">
        <w:rPr>
          <w:rFonts w:ascii="Arial" w:eastAsia="Aptos" w:hAnsi="Arial" w:cs="Arial"/>
          <w:lang w:eastAsia="en-US"/>
        </w:rPr>
        <w:t>; detailed thematic analysis is presented in Chapter 4.</w:t>
      </w:r>
      <w:r w:rsidR="00A67317">
        <w:rPr>
          <w:rFonts w:ascii="Arial" w:eastAsia="Aptos" w:hAnsi="Arial" w:cs="Arial"/>
          <w:lang w:eastAsia="en-US"/>
        </w:rPr>
        <w:t xml:space="preserve"> </w:t>
      </w:r>
      <w:r w:rsidRPr="004F3555">
        <w:rPr>
          <w:rFonts w:ascii="Arial" w:eastAsia="Aptos" w:hAnsi="Arial" w:cs="Arial"/>
          <w:lang w:eastAsia="en-US"/>
        </w:rPr>
        <w:t xml:space="preserve">It builds on Chapter 1 by examining key concepts, theoretical perspectives, and the wider social and policy context that shape older adults’ well-being. The chapter outlines definitions and risk factors, as well as the psychological and physical impacts of loneliness (Victor </w:t>
      </w:r>
      <w:r w:rsidR="00F40EB5">
        <w:rPr>
          <w:rFonts w:ascii="Arial" w:eastAsia="Aptos" w:hAnsi="Arial" w:cs="Arial"/>
          <w:lang w:eastAsia="en-US"/>
        </w:rPr>
        <w:t>and</w:t>
      </w:r>
      <w:r w:rsidRPr="004F3555">
        <w:rPr>
          <w:rFonts w:ascii="Arial" w:eastAsia="Aptos" w:hAnsi="Arial" w:cs="Arial"/>
          <w:lang w:eastAsia="en-US"/>
        </w:rPr>
        <w:t xml:space="preserve"> Bowling, 2012; Age UK, 2022).</w:t>
      </w:r>
    </w:p>
    <w:p w14:paraId="02ED02A7" w14:textId="77777777" w:rsidR="00871F45" w:rsidRPr="004F3555" w:rsidRDefault="00871F45" w:rsidP="00893AE3">
      <w:pPr>
        <w:rPr>
          <w:rFonts w:ascii="Arial" w:eastAsia="Aptos" w:hAnsi="Arial" w:cs="Arial"/>
          <w:lang w:eastAsia="en-US"/>
        </w:rPr>
      </w:pPr>
    </w:p>
    <w:p w14:paraId="5438EE3D" w14:textId="22602D7E" w:rsidR="00893AE3" w:rsidRPr="004F3555" w:rsidRDefault="00893AE3" w:rsidP="00893AE3">
      <w:pPr>
        <w:rPr>
          <w:rFonts w:ascii="Arial" w:eastAsia="Aptos" w:hAnsi="Arial" w:cs="Arial"/>
          <w:lang w:eastAsia="en-US"/>
        </w:rPr>
      </w:pPr>
      <w:r w:rsidRPr="004F3555">
        <w:rPr>
          <w:rFonts w:ascii="Arial" w:eastAsia="Aptos" w:hAnsi="Arial" w:cs="Arial"/>
          <w:lang w:eastAsia="en-US"/>
        </w:rPr>
        <w:t>In the UK, around 3.3 million adults aged 65+ live alone, which increases their vulnerability to isolation (Office for National Statistics, 2021). The chapter also considers policy responses, including the UK loneliness strategy and NHS social prescribing (DCMS, 2018; NHS England, 2021</w:t>
      </w:r>
      <w:r w:rsidR="00D62608">
        <w:rPr>
          <w:rFonts w:ascii="Arial" w:eastAsia="Aptos" w:hAnsi="Arial" w:cs="Arial"/>
          <w:lang w:eastAsia="en-US"/>
        </w:rPr>
        <w:t>b</w:t>
      </w:r>
      <w:r w:rsidRPr="004F3555">
        <w:rPr>
          <w:rFonts w:ascii="Arial" w:eastAsia="Aptos" w:hAnsi="Arial" w:cs="Arial"/>
          <w:lang w:eastAsia="en-US"/>
        </w:rPr>
        <w:t>), before evaluating the effectiveness of interventions and identifying gaps in the current evidence base (Cattan et al., 2005; Gardiner et al., 2018).</w:t>
      </w:r>
    </w:p>
    <w:p w14:paraId="2718828A" w14:textId="77777777" w:rsidR="00893AE3" w:rsidRPr="004F3555" w:rsidRDefault="00893AE3" w:rsidP="00893AE3">
      <w:pPr>
        <w:rPr>
          <w:rFonts w:ascii="Arial" w:eastAsia="Aptos" w:hAnsi="Arial" w:cs="Arial"/>
          <w:lang w:eastAsia="en-US"/>
        </w:rPr>
      </w:pPr>
    </w:p>
    <w:p w14:paraId="72549C94" w14:textId="77777777"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2.2 Historical Background</w:t>
      </w:r>
    </w:p>
    <w:p w14:paraId="501C4703" w14:textId="3EBA8B6B" w:rsidR="00893AE3" w:rsidRDefault="00893AE3" w:rsidP="00893AE3">
      <w:pPr>
        <w:rPr>
          <w:rFonts w:ascii="Arial" w:eastAsia="Aptos" w:hAnsi="Arial" w:cs="Arial"/>
          <w:lang w:eastAsia="en-US"/>
        </w:rPr>
      </w:pPr>
      <w:r w:rsidRPr="004F3555">
        <w:rPr>
          <w:rFonts w:ascii="Arial" w:eastAsia="Aptos" w:hAnsi="Arial" w:cs="Arial"/>
          <w:lang w:eastAsia="en-US"/>
        </w:rPr>
        <w:t xml:space="preserve">Historically, loneliness was largely understood as an individual psychological experience, with early research focusing on personal relationships and emotional well-being (Perlman </w:t>
      </w:r>
      <w:r w:rsidR="00F40EB5">
        <w:rPr>
          <w:rFonts w:ascii="Arial" w:eastAsia="Aptos" w:hAnsi="Arial" w:cs="Arial"/>
          <w:lang w:eastAsia="en-US"/>
        </w:rPr>
        <w:t>and</w:t>
      </w:r>
      <w:r w:rsidRPr="004F3555">
        <w:rPr>
          <w:rFonts w:ascii="Arial" w:eastAsia="Aptos" w:hAnsi="Arial" w:cs="Arial"/>
          <w:lang w:eastAsia="en-US"/>
        </w:rPr>
        <w:t xml:space="preserve"> Peplau, 1981). During this period, loneliness was often viewed as a private issue rather than a wider societal concern.</w:t>
      </w:r>
      <w:r w:rsidR="00D8034C">
        <w:rPr>
          <w:rFonts w:ascii="Arial" w:eastAsia="Aptos" w:hAnsi="Arial" w:cs="Arial"/>
          <w:lang w:eastAsia="en-US"/>
        </w:rPr>
        <w:t xml:space="preserve"> </w:t>
      </w:r>
      <w:r w:rsidRPr="004F3555">
        <w:rPr>
          <w:rFonts w:ascii="Arial" w:eastAsia="Aptos" w:hAnsi="Arial" w:cs="Arial"/>
          <w:lang w:eastAsia="en-US"/>
        </w:rPr>
        <w:t xml:space="preserve">Over time, this perspective shifted. From the early 2000s onwards, research began to highlight the broader health implications of loneliness, linking it to outcomes such as physical illness, cognitive decline, and mortality (Hawkley </w:t>
      </w:r>
      <w:r w:rsidR="00F40EB5">
        <w:rPr>
          <w:rFonts w:ascii="Arial" w:eastAsia="Aptos" w:hAnsi="Arial" w:cs="Arial"/>
          <w:lang w:eastAsia="en-US"/>
        </w:rPr>
        <w:t>and</w:t>
      </w:r>
      <w:r w:rsidRPr="004F3555">
        <w:rPr>
          <w:rFonts w:ascii="Arial" w:eastAsia="Aptos" w:hAnsi="Arial" w:cs="Arial"/>
          <w:lang w:eastAsia="en-US"/>
        </w:rPr>
        <w:t xml:space="preserve"> Cacioppo, 2010). This marked an important transition in how loneliness was understood, moving from an individual-level issue to a recognised public health concern.</w:t>
      </w:r>
    </w:p>
    <w:p w14:paraId="49B81C9A" w14:textId="77777777" w:rsidR="00871F45" w:rsidRPr="004F3555" w:rsidRDefault="00871F45" w:rsidP="00893AE3">
      <w:pPr>
        <w:rPr>
          <w:rFonts w:ascii="Arial" w:eastAsia="Aptos" w:hAnsi="Arial" w:cs="Arial"/>
          <w:lang w:eastAsia="en-US"/>
        </w:rPr>
      </w:pPr>
    </w:p>
    <w:p w14:paraId="27F476BF" w14:textId="2779D00C" w:rsidR="00893AE3" w:rsidRPr="004F3555" w:rsidRDefault="00893AE3" w:rsidP="00893AE3">
      <w:pPr>
        <w:rPr>
          <w:rFonts w:ascii="Arial" w:eastAsia="Aptos" w:hAnsi="Arial" w:cs="Arial"/>
          <w:lang w:eastAsia="en-US"/>
        </w:rPr>
      </w:pPr>
      <w:r w:rsidRPr="004F3555">
        <w:rPr>
          <w:rFonts w:ascii="Arial" w:eastAsia="Aptos" w:hAnsi="Arial" w:cs="Arial"/>
          <w:lang w:eastAsia="en-US"/>
        </w:rPr>
        <w:t xml:space="preserve">In the UK, awareness increased alongside demographic changes associated with an ageing population. Rising numbers of older adults living alone, combined with changing family structures and reduced community cohesion, contributed to growing concern about social isolation (Victor </w:t>
      </w:r>
      <w:r w:rsidR="00F40EB5">
        <w:rPr>
          <w:rFonts w:ascii="Arial" w:eastAsia="Aptos" w:hAnsi="Arial" w:cs="Arial"/>
          <w:lang w:eastAsia="en-US"/>
        </w:rPr>
        <w:t>and</w:t>
      </w:r>
      <w:r w:rsidRPr="004F3555">
        <w:rPr>
          <w:rFonts w:ascii="Arial" w:eastAsia="Aptos" w:hAnsi="Arial" w:cs="Arial"/>
          <w:lang w:eastAsia="en-US"/>
        </w:rPr>
        <w:t xml:space="preserve"> Bowling, 2012). The COVID-19 pandemic further intensified this issue, </w:t>
      </w:r>
      <w:r w:rsidRPr="004F3555">
        <w:rPr>
          <w:rFonts w:ascii="Arial" w:eastAsia="Aptos" w:hAnsi="Arial" w:cs="Arial"/>
          <w:lang w:eastAsia="en-US"/>
        </w:rPr>
        <w:lastRenderedPageBreak/>
        <w:t>highlighting the vulnerability of older adults to prolonged periods of social disconnection.</w:t>
      </w:r>
      <w:r w:rsidR="00D8034C">
        <w:rPr>
          <w:rFonts w:ascii="Arial" w:eastAsia="Aptos" w:hAnsi="Arial" w:cs="Arial"/>
          <w:lang w:eastAsia="en-US"/>
        </w:rPr>
        <w:t xml:space="preserve"> </w:t>
      </w:r>
      <w:r w:rsidRPr="004F3555">
        <w:rPr>
          <w:rFonts w:ascii="Arial" w:eastAsia="Aptos" w:hAnsi="Arial" w:cs="Arial"/>
          <w:lang w:eastAsia="en-US"/>
        </w:rPr>
        <w:t>More recently, loneliness has been reframed within a social determinant of health perspective. This approach recognises that experiences of loneliness are shaped not only by individual factors but also by broader structural influences such as socioeconomic status, housing conditions, and access to services. This shift has influenced both policy and practice, encouraging more preventative and community-based approaches to addressing loneliness.</w:t>
      </w:r>
    </w:p>
    <w:p w14:paraId="687C4A69" w14:textId="77777777" w:rsidR="00893AE3" w:rsidRPr="004F3555" w:rsidRDefault="00893AE3" w:rsidP="00893AE3">
      <w:pPr>
        <w:rPr>
          <w:rFonts w:ascii="Arial" w:eastAsia="Aptos" w:hAnsi="Arial" w:cs="Arial"/>
          <w:lang w:eastAsia="en-US"/>
        </w:rPr>
      </w:pPr>
    </w:p>
    <w:p w14:paraId="033F93DC" w14:textId="77777777"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2.3 Theoretical Background</w:t>
      </w:r>
    </w:p>
    <w:p w14:paraId="3918201C" w14:textId="2AC9DF1E" w:rsidR="00893AE3" w:rsidRDefault="00893AE3" w:rsidP="00893AE3">
      <w:pPr>
        <w:rPr>
          <w:rFonts w:ascii="Arial" w:eastAsia="Aptos" w:hAnsi="Arial" w:cs="Arial"/>
          <w:lang w:eastAsia="en-US"/>
        </w:rPr>
      </w:pPr>
      <w:r w:rsidRPr="004F3555">
        <w:rPr>
          <w:rFonts w:ascii="Arial" w:eastAsia="Aptos" w:hAnsi="Arial" w:cs="Arial"/>
          <w:lang w:eastAsia="en-US"/>
        </w:rPr>
        <w:t xml:space="preserve">This section explores the key theoretical perspectives and concepts that underpin the understanding of social isolation and loneliness in later life. Although these terms are often used interchangeably, they describe distinct experiences. Social isolation refers to the objective lack or limited frequency of social contact or meaningful relationships (Cornwell </w:t>
      </w:r>
      <w:r w:rsidR="00F40EB5">
        <w:rPr>
          <w:rFonts w:ascii="Arial" w:eastAsia="Aptos" w:hAnsi="Arial" w:cs="Arial"/>
          <w:lang w:eastAsia="en-US"/>
        </w:rPr>
        <w:t>and</w:t>
      </w:r>
      <w:r w:rsidRPr="004F3555">
        <w:rPr>
          <w:rFonts w:ascii="Arial" w:eastAsia="Aptos" w:hAnsi="Arial" w:cs="Arial"/>
          <w:lang w:eastAsia="en-US"/>
        </w:rPr>
        <w:t xml:space="preserve"> Waite, 2009), whereas loneliness is a subjective emotional experience arising from a perceived gap between desired and actual social relationships (Perlman </w:t>
      </w:r>
      <w:r w:rsidR="00F40EB5">
        <w:rPr>
          <w:rFonts w:ascii="Arial" w:eastAsia="Aptos" w:hAnsi="Arial" w:cs="Arial"/>
          <w:lang w:eastAsia="en-US"/>
        </w:rPr>
        <w:t>and</w:t>
      </w:r>
      <w:r w:rsidRPr="004F3555">
        <w:rPr>
          <w:rFonts w:ascii="Arial" w:eastAsia="Aptos" w:hAnsi="Arial" w:cs="Arial"/>
          <w:lang w:eastAsia="en-US"/>
        </w:rPr>
        <w:t xml:space="preserve"> Peplau, 1981; Hughes et al., 2004). Consequently, individuals may experience social isolation without feeling lonely, or loneliness despite having regular social contact (Victor et al., 2005).</w:t>
      </w:r>
    </w:p>
    <w:p w14:paraId="0719E363" w14:textId="77777777" w:rsidR="00871F45" w:rsidRPr="004F3555" w:rsidRDefault="00871F45" w:rsidP="00893AE3">
      <w:pPr>
        <w:rPr>
          <w:rFonts w:ascii="Arial" w:eastAsia="Aptos" w:hAnsi="Arial" w:cs="Arial"/>
          <w:lang w:eastAsia="en-US"/>
        </w:rPr>
      </w:pPr>
    </w:p>
    <w:p w14:paraId="6D94AD0F" w14:textId="4AF3DD3B" w:rsidR="00893AE3" w:rsidRDefault="00893AE3" w:rsidP="00893AE3">
      <w:pPr>
        <w:rPr>
          <w:rFonts w:ascii="Arial" w:eastAsia="Aptos" w:hAnsi="Arial" w:cs="Arial"/>
          <w:lang w:eastAsia="en-US"/>
        </w:rPr>
      </w:pPr>
      <w:r w:rsidRPr="004F3555">
        <w:rPr>
          <w:rFonts w:ascii="Arial" w:eastAsia="Aptos" w:hAnsi="Arial" w:cs="Arial"/>
          <w:lang w:eastAsia="en-US"/>
        </w:rPr>
        <w:t xml:space="preserve">Loneliness in later life is shaped by a range of interconnected factors. Life events such as bereavement, retirement, declining physical health, and reduced mobility can limit opportunities for social interaction (Courtin </w:t>
      </w:r>
      <w:r w:rsidR="00F40EB5">
        <w:rPr>
          <w:rFonts w:ascii="Arial" w:eastAsia="Aptos" w:hAnsi="Arial" w:cs="Arial"/>
          <w:lang w:eastAsia="en-US"/>
        </w:rPr>
        <w:t>and</w:t>
      </w:r>
      <w:r w:rsidRPr="004F3555">
        <w:rPr>
          <w:rFonts w:ascii="Arial" w:eastAsia="Aptos" w:hAnsi="Arial" w:cs="Arial"/>
          <w:lang w:eastAsia="en-US"/>
        </w:rPr>
        <w:t xml:space="preserve"> Knapp, 2017). Sensory impairments, including hearing and vision loss, may further contribute to social withdrawal (Shukla et al., 2020). In addition, broader social factors such as geographic separation from family, reduced community participation, and socioeconomic disadvantage can increase vulnerability (</w:t>
      </w:r>
      <w:r w:rsidR="00F022A7" w:rsidRPr="00F022A7">
        <w:rPr>
          <w:rFonts w:ascii="Arial" w:eastAsia="Aptos" w:hAnsi="Arial" w:cs="Arial"/>
          <w:lang w:eastAsia="en-US"/>
        </w:rPr>
        <w:t>Office for National Statistics, 2021</w:t>
      </w:r>
      <w:r w:rsidRPr="004F3555">
        <w:rPr>
          <w:rFonts w:ascii="Arial" w:eastAsia="Aptos" w:hAnsi="Arial" w:cs="Arial"/>
          <w:lang w:eastAsia="en-US"/>
        </w:rPr>
        <w:t>; Age UK, 2021</w:t>
      </w:r>
      <w:r w:rsidR="00F1357B">
        <w:rPr>
          <w:rFonts w:ascii="Arial" w:eastAsia="Aptos" w:hAnsi="Arial" w:cs="Arial"/>
          <w:lang w:eastAsia="en-US"/>
        </w:rPr>
        <w:t>b</w:t>
      </w:r>
      <w:r w:rsidRPr="004F3555">
        <w:rPr>
          <w:rFonts w:ascii="Arial" w:eastAsia="Aptos" w:hAnsi="Arial" w:cs="Arial"/>
          <w:lang w:eastAsia="en-US"/>
        </w:rPr>
        <w:t>).</w:t>
      </w:r>
    </w:p>
    <w:p w14:paraId="1978488B" w14:textId="77777777" w:rsidR="00871F45" w:rsidRPr="004F3555" w:rsidRDefault="00871F45" w:rsidP="00893AE3">
      <w:pPr>
        <w:rPr>
          <w:rFonts w:ascii="Arial" w:eastAsia="Aptos" w:hAnsi="Arial" w:cs="Arial"/>
          <w:lang w:eastAsia="en-US"/>
        </w:rPr>
      </w:pPr>
    </w:p>
    <w:p w14:paraId="74701BB9" w14:textId="04048204" w:rsidR="00871F45" w:rsidRDefault="00893AE3" w:rsidP="00893AE3">
      <w:pPr>
        <w:rPr>
          <w:rFonts w:ascii="Arial" w:eastAsia="Aptos" w:hAnsi="Arial" w:cs="Arial"/>
          <w:lang w:eastAsia="en-US"/>
        </w:rPr>
      </w:pPr>
      <w:r w:rsidRPr="004F3555">
        <w:rPr>
          <w:rFonts w:ascii="Arial" w:eastAsia="Aptos" w:hAnsi="Arial" w:cs="Arial"/>
          <w:lang w:eastAsia="en-US"/>
        </w:rPr>
        <w:t>Several theoretical frameworks provide insight into how loneliness develops. Socioemotional Selectivity Theory suggests that older adults prioritise emotionally meaningful relationships, which can increase vulnerability when these connections are disrupted (Carstensen et al., 1999</w:t>
      </w:r>
      <w:r w:rsidR="002220FF">
        <w:rPr>
          <w:rFonts w:ascii="Arial" w:eastAsia="Aptos" w:hAnsi="Arial" w:cs="Arial"/>
          <w:lang w:eastAsia="en-US"/>
        </w:rPr>
        <w:t>b</w:t>
      </w:r>
      <w:r w:rsidRPr="004F3555">
        <w:rPr>
          <w:rFonts w:ascii="Arial" w:eastAsia="Aptos" w:hAnsi="Arial" w:cs="Arial"/>
          <w:lang w:eastAsia="en-US"/>
        </w:rPr>
        <w:t xml:space="preserve">). Similarly, cognitive discrepancy theory proposes that loneliness arises when there is a mismatch between expected and actual social relationships (Perlman </w:t>
      </w:r>
      <w:r w:rsidR="00F40EB5">
        <w:rPr>
          <w:rFonts w:ascii="Arial" w:eastAsia="Aptos" w:hAnsi="Arial" w:cs="Arial"/>
          <w:lang w:eastAsia="en-US"/>
        </w:rPr>
        <w:t>and</w:t>
      </w:r>
      <w:r w:rsidRPr="004F3555">
        <w:rPr>
          <w:rFonts w:ascii="Arial" w:eastAsia="Aptos" w:hAnsi="Arial" w:cs="Arial"/>
          <w:lang w:eastAsia="en-US"/>
        </w:rPr>
        <w:t xml:space="preserve"> Peplau, 1981). These theories have been widely applied in research to explain how changes in social roles and expectations influence loneliness in later life.</w:t>
      </w:r>
    </w:p>
    <w:p w14:paraId="359B88FB" w14:textId="77777777" w:rsidR="003309A6" w:rsidRPr="004F3555" w:rsidRDefault="003309A6" w:rsidP="00893AE3">
      <w:pPr>
        <w:rPr>
          <w:rFonts w:ascii="Arial" w:eastAsia="Aptos" w:hAnsi="Arial" w:cs="Arial"/>
          <w:lang w:eastAsia="en-US"/>
        </w:rPr>
      </w:pPr>
    </w:p>
    <w:p w14:paraId="13171513" w14:textId="77777777" w:rsidR="00893AE3" w:rsidRPr="004F3555" w:rsidRDefault="00893AE3" w:rsidP="00893AE3">
      <w:pPr>
        <w:rPr>
          <w:rFonts w:ascii="Arial" w:eastAsia="Aptos" w:hAnsi="Arial" w:cs="Arial"/>
          <w:lang w:eastAsia="en-US"/>
        </w:rPr>
      </w:pPr>
      <w:r w:rsidRPr="004F3555">
        <w:rPr>
          <w:rFonts w:ascii="Arial" w:eastAsia="Aptos" w:hAnsi="Arial" w:cs="Arial"/>
          <w:lang w:eastAsia="en-US"/>
        </w:rPr>
        <w:lastRenderedPageBreak/>
        <w:t>However, these approaches have been criticised for focusing primarily on individual-level processes while overlooking structural determinants such as poverty, housing inequality, and access to community resources. As a result, loneliness is increasingly examined through a social determinant of health framework, which recognises the influence of wider social and environmental factors. This perspective highlights a key limitation of interventions that focus solely on individual behaviour, as they may fail to address underlying structural inequalities.</w:t>
      </w:r>
    </w:p>
    <w:p w14:paraId="77902EE0" w14:textId="77777777" w:rsidR="00893AE3" w:rsidRPr="004F3555" w:rsidRDefault="00893AE3" w:rsidP="00893AE3">
      <w:pPr>
        <w:rPr>
          <w:rFonts w:ascii="Arial" w:eastAsia="Aptos" w:hAnsi="Arial" w:cs="Arial"/>
          <w:lang w:eastAsia="en-US"/>
        </w:rPr>
      </w:pPr>
    </w:p>
    <w:p w14:paraId="71633152" w14:textId="12BF0C40" w:rsidR="00893AE3" w:rsidRDefault="00893AE3" w:rsidP="00893AE3">
      <w:pPr>
        <w:rPr>
          <w:rFonts w:ascii="Arial" w:eastAsia="Aptos" w:hAnsi="Arial" w:cs="Arial"/>
          <w:lang w:eastAsia="en-US"/>
        </w:rPr>
      </w:pPr>
      <w:r w:rsidRPr="004F3555">
        <w:rPr>
          <w:rFonts w:ascii="Arial" w:eastAsia="Aptos" w:hAnsi="Arial" w:cs="Arial"/>
          <w:lang w:eastAsia="en-US"/>
        </w:rPr>
        <w:t xml:space="preserve">A substantial body of research links loneliness to poor mental health outcomes. It has been associated with increased depression, anxiety, sleep disturbances, low self-esteem, and heightened stress (Hawkley </w:t>
      </w:r>
      <w:r w:rsidR="00F40EB5">
        <w:rPr>
          <w:rFonts w:ascii="Arial" w:eastAsia="Aptos" w:hAnsi="Arial" w:cs="Arial"/>
          <w:lang w:eastAsia="en-US"/>
        </w:rPr>
        <w:t>and</w:t>
      </w:r>
      <w:r w:rsidRPr="004F3555">
        <w:rPr>
          <w:rFonts w:ascii="Arial" w:eastAsia="Aptos" w:hAnsi="Arial" w:cs="Arial"/>
          <w:lang w:eastAsia="en-US"/>
        </w:rPr>
        <w:t xml:space="preserve"> Cacioppo, 2010; Ge et al., 2021). Physiological evidence suggests that chronic loneliness activates stress-related biological processes, including elevated cortisol levels and inflammation, which may contribute to cognitive decline (Cacioppo et al., 2015; Donovan et al., 2017). Loneliness has also been linked to an increased risk of dementia (Kuiper et al., 2015). However, much of this evidence is correlational, suggesting that the relationship between loneliness and mental health is likely to be bidirectional.</w:t>
      </w:r>
    </w:p>
    <w:p w14:paraId="56413945" w14:textId="77777777" w:rsidR="00871F45" w:rsidRPr="004F3555" w:rsidRDefault="00871F45" w:rsidP="00893AE3">
      <w:pPr>
        <w:rPr>
          <w:rFonts w:ascii="Arial" w:eastAsia="Aptos" w:hAnsi="Arial" w:cs="Arial"/>
          <w:lang w:eastAsia="en-US"/>
        </w:rPr>
      </w:pPr>
    </w:p>
    <w:p w14:paraId="05681100" w14:textId="7AA547B7" w:rsidR="00893AE3" w:rsidRDefault="00893AE3" w:rsidP="00893AE3">
      <w:pPr>
        <w:rPr>
          <w:rFonts w:ascii="Arial" w:eastAsia="Aptos" w:hAnsi="Arial" w:cs="Arial"/>
          <w:lang w:eastAsia="en-US"/>
        </w:rPr>
      </w:pPr>
      <w:r w:rsidRPr="004F3555">
        <w:rPr>
          <w:rFonts w:ascii="Arial" w:eastAsia="Aptos" w:hAnsi="Arial" w:cs="Arial"/>
          <w:lang w:eastAsia="en-US"/>
        </w:rPr>
        <w:t xml:space="preserve">Mental health in older adults is shaped by interrelated biological, psychological, and social influences. Although ageing does not inherently cause mental illness, older adults face higher risks of depression, anxiety, and cognitive impairment (Wuthrich </w:t>
      </w:r>
      <w:r w:rsidR="00F40EB5">
        <w:rPr>
          <w:rFonts w:ascii="Arial" w:eastAsia="Aptos" w:hAnsi="Arial" w:cs="Arial"/>
          <w:lang w:eastAsia="en-US"/>
        </w:rPr>
        <w:t>and</w:t>
      </w:r>
      <w:r w:rsidRPr="004F3555">
        <w:rPr>
          <w:rFonts w:ascii="Arial" w:eastAsia="Aptos" w:hAnsi="Arial" w:cs="Arial"/>
          <w:lang w:eastAsia="en-US"/>
        </w:rPr>
        <w:t xml:space="preserve"> Frei, 2015). Depression is particularly prevalent, often linked to chronic illness, loss of independence, functional decline, and significant life transitions such as bereavement or relocation to residential care (Blazer, 2013; Prince et al., 2016).</w:t>
      </w:r>
    </w:p>
    <w:p w14:paraId="4EEC3A14" w14:textId="77777777" w:rsidR="00871F45" w:rsidRPr="004F3555" w:rsidRDefault="00871F45" w:rsidP="00893AE3">
      <w:pPr>
        <w:rPr>
          <w:rFonts w:ascii="Arial" w:eastAsia="Aptos" w:hAnsi="Arial" w:cs="Arial"/>
          <w:lang w:eastAsia="en-US"/>
        </w:rPr>
      </w:pPr>
    </w:p>
    <w:p w14:paraId="38C137A9" w14:textId="3F3A01D7" w:rsidR="00871F45" w:rsidRDefault="00893AE3" w:rsidP="00893AE3">
      <w:pPr>
        <w:rPr>
          <w:rFonts w:ascii="Arial" w:eastAsia="Aptos" w:hAnsi="Arial" w:cs="Arial"/>
          <w:lang w:eastAsia="en-US"/>
        </w:rPr>
      </w:pPr>
      <w:r w:rsidRPr="004F3555">
        <w:rPr>
          <w:rFonts w:ascii="Arial" w:eastAsia="Aptos" w:hAnsi="Arial" w:cs="Arial"/>
          <w:lang w:eastAsia="en-US"/>
        </w:rPr>
        <w:t>Underdiagnosis of mental health issues is a persistent barrier. Symptoms are frequently misattributed to physical ageing or chronic conditions (Mitchell et al., 2013). Furthermore, older adults may be less inclined to seek formal psychological support due to stigma, generational attitudes, or lack of awareness of available services (Fountain et al., 2019).</w:t>
      </w:r>
      <w:r w:rsidR="00D8034C">
        <w:rPr>
          <w:rFonts w:ascii="Arial" w:eastAsia="Aptos" w:hAnsi="Arial" w:cs="Arial"/>
          <w:lang w:eastAsia="en-US"/>
        </w:rPr>
        <w:t xml:space="preserve"> </w:t>
      </w:r>
      <w:r w:rsidRPr="004F3555">
        <w:rPr>
          <w:rFonts w:ascii="Arial" w:eastAsia="Aptos" w:hAnsi="Arial" w:cs="Arial"/>
          <w:lang w:eastAsia="en-US"/>
        </w:rPr>
        <w:t>Under-recognition can delay intervention, worsening loneliness and social isolation. It highlights gaps in primary care screening and culturally sensitive mental health services, raising concerns about health systems' ability to address older adults' complex mental health needs.</w:t>
      </w:r>
    </w:p>
    <w:p w14:paraId="5F3EC407" w14:textId="77777777" w:rsidR="00D8034C" w:rsidRDefault="00D8034C" w:rsidP="00893AE3">
      <w:pPr>
        <w:rPr>
          <w:rFonts w:ascii="Arial" w:eastAsia="Aptos" w:hAnsi="Arial" w:cs="Arial"/>
          <w:lang w:eastAsia="en-US"/>
        </w:rPr>
      </w:pPr>
    </w:p>
    <w:p w14:paraId="465C4E25" w14:textId="77777777" w:rsidR="0049540F" w:rsidRPr="004F3555" w:rsidRDefault="0049540F" w:rsidP="00893AE3">
      <w:pPr>
        <w:rPr>
          <w:rFonts w:ascii="Arial" w:eastAsia="Aptos" w:hAnsi="Arial" w:cs="Arial"/>
          <w:lang w:eastAsia="en-US"/>
        </w:rPr>
      </w:pPr>
    </w:p>
    <w:p w14:paraId="718BDD99" w14:textId="5B8FABDA" w:rsidR="00893AE3" w:rsidRDefault="00893AE3" w:rsidP="00893AE3">
      <w:pPr>
        <w:rPr>
          <w:rFonts w:ascii="Arial" w:eastAsia="Aptos" w:hAnsi="Arial" w:cs="Arial"/>
          <w:lang w:eastAsia="en-US"/>
        </w:rPr>
      </w:pPr>
      <w:r w:rsidRPr="004F3555">
        <w:rPr>
          <w:rFonts w:ascii="Arial" w:eastAsia="Aptos" w:hAnsi="Arial" w:cs="Arial"/>
          <w:lang w:eastAsia="en-US"/>
        </w:rPr>
        <w:lastRenderedPageBreak/>
        <w:t>Social connectedness plays a protective role. Regular social engagement supports emotional stability, enhances mood, and reduces cognitive deterioration by stimulating neuronal activity and cognitive reserve (Fratiglioni et al., 2004; Livingston et al., 2020). Conversely, loneliness significantly heightens the likelihood of accelerated cognitive decline, poorer mental health, and long-term functional deterioration (Holwerda et al., 2014).</w:t>
      </w:r>
      <w:r w:rsidR="006A22B1">
        <w:rPr>
          <w:rFonts w:ascii="Arial" w:eastAsia="Aptos" w:hAnsi="Arial" w:cs="Arial"/>
          <w:lang w:eastAsia="en-US"/>
        </w:rPr>
        <w:t xml:space="preserve"> </w:t>
      </w:r>
      <w:r w:rsidRPr="004F3555">
        <w:rPr>
          <w:rFonts w:ascii="Arial" w:eastAsia="Aptos" w:hAnsi="Arial" w:cs="Arial"/>
          <w:lang w:eastAsia="en-US"/>
        </w:rPr>
        <w:t>For this reason, promoting social participation is increasingly recognised as a key component of healthy-ageing strategies in public health and social care policy. With the UK's ageing demographic, maintaining social connections is increasingly recognised as a determinant of healthy ageing and a priority for public health and social policy (</w:t>
      </w:r>
      <w:r w:rsidR="00F022A7" w:rsidRPr="00F022A7">
        <w:rPr>
          <w:rFonts w:ascii="Arial" w:eastAsia="Aptos" w:hAnsi="Arial" w:cs="Arial"/>
          <w:lang w:eastAsia="en-US"/>
        </w:rPr>
        <w:t>Office for National Statistics, 2021</w:t>
      </w:r>
      <w:r w:rsidRPr="004F3555">
        <w:rPr>
          <w:rFonts w:ascii="Arial" w:eastAsia="Aptos" w:hAnsi="Arial" w:cs="Arial"/>
          <w:lang w:eastAsia="en-US"/>
        </w:rPr>
        <w:t>; NHS England, 2019).</w:t>
      </w:r>
    </w:p>
    <w:p w14:paraId="5A9C7B40" w14:textId="77777777" w:rsidR="00B208F0" w:rsidRDefault="00B208F0" w:rsidP="00893AE3">
      <w:pPr>
        <w:rPr>
          <w:rFonts w:ascii="Arial" w:eastAsia="Aptos" w:hAnsi="Arial" w:cs="Arial"/>
          <w:lang w:eastAsia="en-US"/>
        </w:rPr>
      </w:pPr>
    </w:p>
    <w:p w14:paraId="1DC1288D" w14:textId="51122374" w:rsidR="00893AE3" w:rsidRPr="006E2537" w:rsidRDefault="00B208F0"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 xml:space="preserve">2.4 </w:t>
      </w:r>
      <w:r w:rsidR="00893AE3" w:rsidRPr="006E2537">
        <w:rPr>
          <w:rFonts w:ascii="Arial" w:eastAsia="Aptos" w:hAnsi="Arial" w:cs="Arial"/>
          <w:b/>
          <w:bCs/>
          <w:sz w:val="28"/>
          <w:szCs w:val="28"/>
          <w:lang w:eastAsia="en-US"/>
        </w:rPr>
        <w:t>International Context</w:t>
      </w:r>
    </w:p>
    <w:p w14:paraId="163D6757" w14:textId="60F9F9EB" w:rsidR="00893AE3" w:rsidRDefault="00893AE3" w:rsidP="00893AE3">
      <w:pPr>
        <w:rPr>
          <w:rFonts w:ascii="Arial" w:eastAsia="Aptos" w:hAnsi="Arial" w:cs="Arial"/>
          <w:lang w:eastAsia="en-US"/>
        </w:rPr>
      </w:pPr>
      <w:r w:rsidRPr="00CC568C">
        <w:rPr>
          <w:rFonts w:ascii="Arial" w:eastAsia="Aptos" w:hAnsi="Arial" w:cs="Arial"/>
          <w:lang w:eastAsia="en-US"/>
        </w:rPr>
        <w:t xml:space="preserve">Loneliness and social isolation among older adults are widely recognised as global public health concerns, although responses vary across countries. In Scandinavian countries such as Denmark and Sweden, strong welfare systems and integrated health and social care services aim to reduce isolation through preventative, community-based approaches that promote independence and social participation. In contrast, the United States relies more heavily on voluntary and community organisations, with less centralised coordination, which may lead to variation in access </w:t>
      </w:r>
      <w:r>
        <w:rPr>
          <w:rFonts w:ascii="Arial" w:eastAsia="Aptos" w:hAnsi="Arial" w:cs="Arial"/>
          <w:lang w:eastAsia="en-US"/>
        </w:rPr>
        <w:t>across geographic and socioeconomic contexts</w:t>
      </w:r>
      <w:r w:rsidRPr="00CC568C">
        <w:rPr>
          <w:rFonts w:ascii="Arial" w:eastAsia="Aptos" w:hAnsi="Arial" w:cs="Arial"/>
          <w:lang w:eastAsia="en-US"/>
        </w:rPr>
        <w:t xml:space="preserve">. </w:t>
      </w:r>
      <w:r w:rsidR="00464998" w:rsidRPr="00464998">
        <w:rPr>
          <w:rFonts w:ascii="Arial" w:eastAsia="Aptos" w:hAnsi="Arial" w:cs="Arial"/>
          <w:lang w:eastAsia="en-US"/>
        </w:rPr>
        <w:t>Japan provides a case example</w:t>
      </w:r>
      <w:r w:rsidR="00464998">
        <w:rPr>
          <w:rFonts w:ascii="Arial" w:eastAsia="Aptos" w:hAnsi="Arial" w:cs="Arial"/>
          <w:lang w:eastAsia="en-US"/>
        </w:rPr>
        <w:t xml:space="preserve"> in which rapid population ageing has led to initiatives to address</w:t>
      </w:r>
      <w:r w:rsidR="00464998" w:rsidRPr="00464998">
        <w:rPr>
          <w:rFonts w:ascii="Arial" w:eastAsia="Aptos" w:hAnsi="Arial" w:cs="Arial"/>
          <w:lang w:eastAsia="en-US"/>
        </w:rPr>
        <w:t xml:space="preserve"> ‘</w:t>
      </w:r>
      <w:proofErr w:type="spellStart"/>
      <w:r w:rsidR="00464998" w:rsidRPr="00464998">
        <w:rPr>
          <w:rFonts w:ascii="Arial" w:eastAsia="Aptos" w:hAnsi="Arial" w:cs="Arial"/>
          <w:lang w:eastAsia="en-US"/>
        </w:rPr>
        <w:t>kodokushi</w:t>
      </w:r>
      <w:proofErr w:type="spellEnd"/>
      <w:r w:rsidR="00464998" w:rsidRPr="00464998">
        <w:rPr>
          <w:rFonts w:ascii="Arial" w:eastAsia="Aptos" w:hAnsi="Arial" w:cs="Arial"/>
          <w:lang w:eastAsia="en-US"/>
        </w:rPr>
        <w:t>’ (lonely deaths) through community engagement and neighbourhood-based support systems.</w:t>
      </w:r>
      <w:r w:rsidRPr="00CC568C">
        <w:rPr>
          <w:rFonts w:ascii="Arial" w:eastAsia="Aptos" w:hAnsi="Arial" w:cs="Arial"/>
          <w:lang w:eastAsia="en-US"/>
        </w:rPr>
        <w:t xml:space="preserve"> Comparatively, the UK adopts a mixed model, combining national policy direction with localised interventions (DCMS, 2018), although challenges remain in ensuring consistent implementation across regions.</w:t>
      </w:r>
    </w:p>
    <w:p w14:paraId="5DC36D24" w14:textId="77777777" w:rsidR="003309A6" w:rsidRDefault="003309A6" w:rsidP="00893AE3">
      <w:pPr>
        <w:rPr>
          <w:rFonts w:ascii="Arial" w:eastAsia="Aptos" w:hAnsi="Arial" w:cs="Arial"/>
          <w:lang w:eastAsia="en-US"/>
        </w:rPr>
      </w:pPr>
    </w:p>
    <w:p w14:paraId="726D12D1" w14:textId="61F9FF1C" w:rsidR="00893AE3" w:rsidRPr="006E2537" w:rsidRDefault="00EF724D"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 xml:space="preserve">2.5 </w:t>
      </w:r>
      <w:r w:rsidR="00B208F0" w:rsidRPr="006E2537">
        <w:rPr>
          <w:rFonts w:ascii="Arial" w:eastAsia="Aptos" w:hAnsi="Arial" w:cs="Arial"/>
          <w:b/>
          <w:bCs/>
          <w:sz w:val="28"/>
          <w:szCs w:val="28"/>
          <w:lang w:eastAsia="en-US"/>
        </w:rPr>
        <w:t>UK Context</w:t>
      </w:r>
    </w:p>
    <w:p w14:paraId="56BB3866" w14:textId="3321DE05" w:rsidR="00893AE3" w:rsidRPr="004F3555" w:rsidRDefault="00893AE3" w:rsidP="00893AE3">
      <w:pPr>
        <w:rPr>
          <w:rFonts w:ascii="Arial" w:eastAsia="Aptos" w:hAnsi="Arial" w:cs="Arial"/>
          <w:lang w:eastAsia="en-US"/>
        </w:rPr>
      </w:pPr>
      <w:r w:rsidRPr="004F3555">
        <w:rPr>
          <w:rFonts w:ascii="Arial" w:eastAsia="Aptos" w:hAnsi="Arial" w:cs="Arial"/>
          <w:lang w:eastAsia="en-US"/>
        </w:rPr>
        <w:t>Within the UK, social isolation among older adults represents a significant and growing concern. Around one in twelve people aged 65 and over report feeling lonely frequently, with higher prevalence among those aged 80 and above, individuals with disabilities, and those living alone (</w:t>
      </w:r>
      <w:r w:rsidR="00F022A7" w:rsidRPr="00F022A7">
        <w:rPr>
          <w:rFonts w:ascii="Arial" w:eastAsia="Aptos" w:hAnsi="Arial" w:cs="Arial"/>
          <w:lang w:eastAsia="en-US"/>
        </w:rPr>
        <w:t>Office for National Statistics, 2021</w:t>
      </w:r>
      <w:r w:rsidRPr="004F3555">
        <w:rPr>
          <w:rFonts w:ascii="Arial" w:eastAsia="Aptos" w:hAnsi="Arial" w:cs="Arial"/>
          <w:lang w:eastAsia="en-US"/>
        </w:rPr>
        <w:t xml:space="preserve">). Loneliness is also more pronounced in rural areas, where limited transport and reduced access to services can restrict opportunities for social engagement (Beckett et al., 2014). </w:t>
      </w:r>
      <w:r w:rsidR="009A6178" w:rsidRPr="009A6178">
        <w:rPr>
          <w:rFonts w:ascii="Arial" w:eastAsia="Aptos" w:hAnsi="Arial" w:cs="Arial"/>
          <w:lang w:eastAsia="en-US"/>
        </w:rPr>
        <w:t>In response, the UK government has prioritised loneliness as a key policy issue, with national guidance emphasising the importance of community-based approaches to supporting older adults’ mental health and reducing social isolation (NICE, 2022).</w:t>
      </w:r>
    </w:p>
    <w:p w14:paraId="40A31CDB" w14:textId="470658AB" w:rsidR="00B208F0" w:rsidRDefault="00893AE3" w:rsidP="00893AE3">
      <w:pPr>
        <w:rPr>
          <w:rFonts w:ascii="Arial" w:eastAsia="Aptos" w:hAnsi="Arial" w:cs="Arial"/>
          <w:lang w:eastAsia="en-US"/>
        </w:rPr>
      </w:pPr>
      <w:r w:rsidRPr="004F3555">
        <w:rPr>
          <w:rFonts w:ascii="Arial" w:eastAsia="Aptos" w:hAnsi="Arial" w:cs="Arial"/>
          <w:lang w:eastAsia="en-US"/>
        </w:rPr>
        <w:lastRenderedPageBreak/>
        <w:t>The strategy A Connected Society emphasises cross-sector collaboration and recognises loneliness as a determinant of health (DCMS, 2018), while NHS</w:t>
      </w:r>
      <w:r w:rsidR="00D62608">
        <w:rPr>
          <w:rFonts w:ascii="Arial" w:eastAsia="Aptos" w:hAnsi="Arial" w:cs="Arial"/>
          <w:lang w:eastAsia="en-US"/>
        </w:rPr>
        <w:t xml:space="preserve"> </w:t>
      </w:r>
      <w:r w:rsidR="00D62608" w:rsidRPr="004F3555">
        <w:rPr>
          <w:rFonts w:ascii="Arial" w:eastAsia="Aptos" w:hAnsi="Arial" w:cs="Arial"/>
          <w:lang w:eastAsia="en-US"/>
        </w:rPr>
        <w:t>England</w:t>
      </w:r>
      <w:r w:rsidR="00D62608">
        <w:rPr>
          <w:rFonts w:ascii="Arial" w:eastAsia="Aptos" w:hAnsi="Arial" w:cs="Arial"/>
          <w:lang w:eastAsia="en-US"/>
        </w:rPr>
        <w:t xml:space="preserve"> </w:t>
      </w:r>
      <w:r w:rsidR="00D62608" w:rsidRPr="004F3555">
        <w:rPr>
          <w:rFonts w:ascii="Arial" w:eastAsia="Aptos" w:hAnsi="Arial" w:cs="Arial"/>
          <w:lang w:eastAsia="en-US"/>
        </w:rPr>
        <w:t>(</w:t>
      </w:r>
      <w:r w:rsidR="00D62608">
        <w:rPr>
          <w:rFonts w:ascii="Arial" w:eastAsia="Aptos" w:hAnsi="Arial" w:cs="Arial"/>
          <w:lang w:eastAsia="en-US"/>
        </w:rPr>
        <w:t xml:space="preserve">2021a) </w:t>
      </w:r>
      <w:r w:rsidRPr="004F3555">
        <w:rPr>
          <w:rFonts w:ascii="Arial" w:eastAsia="Aptos" w:hAnsi="Arial" w:cs="Arial"/>
          <w:lang w:eastAsia="en-US"/>
        </w:rPr>
        <w:t xml:space="preserve">has incorporated social wellbeing into its personalised care approach through initiatives such as social prescribing link workers. However, despite these developments, implementation remains uneven. Variations in funding, workforce capacity, and service provision across regions raise concerns about long-term sustainability and effectiveness, </w:t>
      </w:r>
      <w:r w:rsidR="00464998" w:rsidRPr="00464998">
        <w:rPr>
          <w:rFonts w:ascii="Arial" w:eastAsia="Aptos" w:hAnsi="Arial" w:cs="Arial"/>
          <w:lang w:eastAsia="en-US"/>
        </w:rPr>
        <w:t>suggesting that national policy ambitions may not always translate into consistent local practice, particularly between rural and urban areas.</w:t>
      </w:r>
      <w:r w:rsidR="00464998">
        <w:rPr>
          <w:rFonts w:ascii="Arial" w:eastAsia="Aptos" w:hAnsi="Arial" w:cs="Arial"/>
          <w:lang w:eastAsia="en-US"/>
        </w:rPr>
        <w:t xml:space="preserve"> </w:t>
      </w:r>
      <w:r w:rsidRPr="004F3555">
        <w:rPr>
          <w:rFonts w:ascii="Arial" w:eastAsia="Aptos" w:hAnsi="Arial" w:cs="Arial"/>
          <w:lang w:eastAsia="en-US"/>
        </w:rPr>
        <w:t>Demographic projections further underline the urgency of this issue, with almost 24% of the UK population expected to be aged 65 and over by 2035 (</w:t>
      </w:r>
      <w:r w:rsidR="00F022A7" w:rsidRPr="00F022A7">
        <w:rPr>
          <w:rFonts w:ascii="Arial" w:eastAsia="Aptos" w:hAnsi="Arial" w:cs="Arial"/>
          <w:lang w:eastAsia="en-US"/>
        </w:rPr>
        <w:t>Office for National Statistics</w:t>
      </w:r>
      <w:r w:rsidRPr="004F3555">
        <w:rPr>
          <w:rFonts w:ascii="Arial" w:eastAsia="Aptos" w:hAnsi="Arial" w:cs="Arial"/>
          <w:lang w:eastAsia="en-US"/>
        </w:rPr>
        <w:t xml:space="preserve">, 2020). </w:t>
      </w:r>
      <w:r w:rsidR="00416E2C" w:rsidRPr="00416E2C">
        <w:rPr>
          <w:rFonts w:ascii="Arial" w:eastAsia="Aptos" w:hAnsi="Arial" w:cs="Arial"/>
          <w:lang w:eastAsia="en-US"/>
        </w:rPr>
        <w:t>Combined with trends such as smaller family networks, increasing numbers of older adults living alone, and declining community cohesion (Patterson, 2017), these changes highlight the growing need for accessible and effective community-based interventions, which are often delivered through local authorities and third-sector organisations but vary in availability and quality across regions.</w:t>
      </w:r>
    </w:p>
    <w:p w14:paraId="539A8DBE" w14:textId="77777777" w:rsidR="00416E2C" w:rsidRPr="004F3555" w:rsidRDefault="00416E2C" w:rsidP="00893AE3">
      <w:pPr>
        <w:rPr>
          <w:rFonts w:ascii="Arial" w:eastAsia="Aptos" w:hAnsi="Arial" w:cs="Arial"/>
          <w:lang w:eastAsia="en-US"/>
        </w:rPr>
      </w:pPr>
    </w:p>
    <w:p w14:paraId="5DD07861" w14:textId="46F96E0F"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2.</w:t>
      </w:r>
      <w:r w:rsidR="00617880" w:rsidRPr="006E2537">
        <w:rPr>
          <w:rFonts w:ascii="Arial" w:eastAsia="Aptos" w:hAnsi="Arial" w:cs="Arial"/>
          <w:b/>
          <w:bCs/>
          <w:sz w:val="28"/>
          <w:szCs w:val="28"/>
          <w:lang w:eastAsia="en-US"/>
        </w:rPr>
        <w:t>6</w:t>
      </w:r>
      <w:r w:rsidRPr="006E2537">
        <w:rPr>
          <w:rFonts w:ascii="Arial" w:eastAsia="Aptos" w:hAnsi="Arial" w:cs="Arial"/>
          <w:b/>
          <w:bCs/>
          <w:sz w:val="28"/>
          <w:szCs w:val="28"/>
          <w:lang w:eastAsia="en-US"/>
        </w:rPr>
        <w:t xml:space="preserve"> Community-Based Interventions in the UK</w:t>
      </w:r>
    </w:p>
    <w:p w14:paraId="78809857" w14:textId="79C18C33" w:rsidR="003C1FAC" w:rsidRPr="003309A6" w:rsidRDefault="003309A6" w:rsidP="00893AE3">
      <w:pPr>
        <w:rPr>
          <w:rFonts w:ascii="Arial" w:eastAsia="Aptos" w:hAnsi="Arial" w:cs="Arial"/>
          <w:lang w:eastAsia="en-US"/>
        </w:rPr>
      </w:pPr>
      <w:r w:rsidRPr="003309A6">
        <w:rPr>
          <w:rFonts w:ascii="Arial" w:eastAsia="Aptos" w:hAnsi="Arial" w:cs="Arial"/>
          <w:lang w:eastAsia="en-US"/>
        </w:rPr>
        <w:t>A range of community-based interventions have been developed to address loneliness among older adults in the UK, including social prescribing, befriending programmes</w:t>
      </w:r>
      <w:r w:rsidR="00002A4D">
        <w:rPr>
          <w:rFonts w:ascii="Arial" w:eastAsia="Aptos" w:hAnsi="Arial" w:cs="Arial"/>
          <w:lang w:eastAsia="en-US"/>
        </w:rPr>
        <w:t xml:space="preserve"> (Age UK, 2019)</w:t>
      </w:r>
      <w:r w:rsidRPr="003309A6">
        <w:rPr>
          <w:rFonts w:ascii="Arial" w:eastAsia="Aptos" w:hAnsi="Arial" w:cs="Arial"/>
          <w:lang w:eastAsia="en-US"/>
        </w:rPr>
        <w:t>, group activities, third-sector initiatives, and digital approaches. Social prescribing connects individuals to non-clinical support and can improve well-being, although outcomes depend on local resources (Polley et al., 2017) and continuity of support (Carnes et al., 2017). Befriending programmes provide social contact (Windle et al., 2011), while group-based activities support emotional well-being and engagement (Haslam et al., 2014; Johnson and Mutchler, 2014). Similarly, third-sector services offer community support (RVS, 2020), although sustainability and access remain challenges (Tierney et al., 2020; Ofcom, 2022).</w:t>
      </w:r>
      <w:r w:rsidR="003C1FAC">
        <w:rPr>
          <w:rFonts w:ascii="Arial" w:eastAsia="Aptos" w:hAnsi="Arial" w:cs="Arial"/>
          <w:lang w:eastAsia="en-US"/>
        </w:rPr>
        <w:t xml:space="preserve"> </w:t>
      </w:r>
      <w:r w:rsidR="003C1FAC" w:rsidRPr="003C1FAC">
        <w:rPr>
          <w:rFonts w:ascii="Arial" w:eastAsia="Aptos" w:hAnsi="Arial" w:cs="Arial"/>
          <w:lang w:eastAsia="en-US"/>
        </w:rPr>
        <w:t>However, many studies focus on short</w:t>
      </w:r>
      <w:r w:rsidR="003C1FAC">
        <w:rPr>
          <w:rFonts w:ascii="Arial" w:eastAsia="Aptos" w:hAnsi="Arial" w:cs="Arial"/>
          <w:lang w:eastAsia="en-US"/>
        </w:rPr>
        <w:t>-</w:t>
      </w:r>
      <w:r w:rsidR="003C1FAC" w:rsidRPr="003C1FAC">
        <w:rPr>
          <w:rFonts w:ascii="Arial" w:eastAsia="Aptos" w:hAnsi="Arial" w:cs="Arial"/>
          <w:lang w:eastAsia="en-US"/>
        </w:rPr>
        <w:t>term outcomes and small sample sizes, which may limit the generalisability of findings across different UK populations.</w:t>
      </w:r>
    </w:p>
    <w:p w14:paraId="320EF9ED" w14:textId="77777777" w:rsidR="003309A6" w:rsidRDefault="003309A6" w:rsidP="003C1FAC">
      <w:pPr>
        <w:spacing w:before="240" w:after="0" w:line="278" w:lineRule="auto"/>
        <w:contextualSpacing/>
        <w:rPr>
          <w:rFonts w:ascii="Arial" w:eastAsia="Aptos" w:hAnsi="Arial" w:cs="Arial"/>
          <w:lang w:eastAsia="en-US"/>
        </w:rPr>
      </w:pPr>
    </w:p>
    <w:p w14:paraId="6C8EDD1B" w14:textId="77777777" w:rsidR="003C1FAC" w:rsidRPr="00871F45" w:rsidRDefault="003C1FAC" w:rsidP="003C1FAC">
      <w:pPr>
        <w:spacing w:before="240" w:after="0" w:line="278" w:lineRule="auto"/>
        <w:contextualSpacing/>
        <w:rPr>
          <w:rFonts w:ascii="Arial" w:eastAsia="Aptos" w:hAnsi="Arial" w:cs="Arial"/>
          <w:lang w:eastAsia="en-US"/>
        </w:rPr>
      </w:pPr>
    </w:p>
    <w:p w14:paraId="50D53044" w14:textId="1FF29493"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2.</w:t>
      </w:r>
      <w:r w:rsidR="00617880" w:rsidRPr="006E2537">
        <w:rPr>
          <w:rFonts w:ascii="Arial" w:eastAsia="Aptos" w:hAnsi="Arial" w:cs="Arial"/>
          <w:b/>
          <w:bCs/>
          <w:sz w:val="28"/>
          <w:szCs w:val="28"/>
          <w:lang w:eastAsia="en-US"/>
        </w:rPr>
        <w:t>7</w:t>
      </w:r>
      <w:r w:rsidRPr="006E2537">
        <w:rPr>
          <w:rFonts w:ascii="Arial" w:eastAsia="Aptos" w:hAnsi="Arial" w:cs="Arial"/>
          <w:b/>
          <w:bCs/>
          <w:sz w:val="28"/>
          <w:szCs w:val="28"/>
          <w:lang w:eastAsia="en-US"/>
        </w:rPr>
        <w:t xml:space="preserve"> Effectiveness of Interventions: Evidence and Gaps</w:t>
      </w:r>
    </w:p>
    <w:p w14:paraId="039CEC66" w14:textId="266F4D94" w:rsidR="00464998" w:rsidRDefault="002104F1" w:rsidP="003309A6">
      <w:pPr>
        <w:rPr>
          <w:rFonts w:ascii="Arial" w:eastAsia="Aptos" w:hAnsi="Arial" w:cs="Arial"/>
          <w:lang w:eastAsia="en-US"/>
        </w:rPr>
      </w:pPr>
      <w:r w:rsidRPr="002104F1">
        <w:rPr>
          <w:rFonts w:ascii="Arial" w:eastAsia="Aptos" w:hAnsi="Arial" w:cs="Arial"/>
          <w:lang w:eastAsia="en-US"/>
        </w:rPr>
        <w:t xml:space="preserve">Research suggests that community-based interventions can reduce loneliness and improve </w:t>
      </w:r>
      <w:r>
        <w:rPr>
          <w:rFonts w:ascii="Arial" w:eastAsia="Aptos" w:hAnsi="Arial" w:cs="Arial"/>
          <w:lang w:eastAsia="en-US"/>
        </w:rPr>
        <w:t>well-being</w:t>
      </w:r>
      <w:r w:rsidRPr="002104F1">
        <w:rPr>
          <w:rFonts w:ascii="Arial" w:eastAsia="Aptos" w:hAnsi="Arial" w:cs="Arial"/>
          <w:lang w:eastAsia="en-US"/>
        </w:rPr>
        <w:t>, although findings remain inconsistent across studies due to methodological limitations</w:t>
      </w:r>
      <w:r w:rsidR="003309A6" w:rsidRPr="003309A6">
        <w:rPr>
          <w:rFonts w:ascii="Arial" w:eastAsia="Aptos" w:hAnsi="Arial" w:cs="Arial"/>
          <w:lang w:eastAsia="en-US"/>
        </w:rPr>
        <w:t xml:space="preserve">. These issues reduce the reliability and comparability of evidence. In addition, limited research compares interventions across diverse populations, suggesting that current </w:t>
      </w:r>
      <w:r w:rsidR="003309A6" w:rsidRPr="003309A6">
        <w:rPr>
          <w:rFonts w:ascii="Arial" w:eastAsia="Aptos" w:hAnsi="Arial" w:cs="Arial"/>
          <w:lang w:eastAsia="en-US"/>
        </w:rPr>
        <w:lastRenderedPageBreak/>
        <w:t>approaches may not be adequately tailored. Further gaps include inconsistent definitions of loneliness (Goodman et al., 2021), lack of standardised outcome measures (Hemingway and Jack, 2013), and inequalities in access between rural and urban populations (Beckett et al., 2014), which weaken the overall evidence base.</w:t>
      </w:r>
      <w:r w:rsidR="003C1FAC">
        <w:rPr>
          <w:rFonts w:ascii="Arial" w:eastAsia="Aptos" w:hAnsi="Arial" w:cs="Arial"/>
          <w:lang w:eastAsia="en-US"/>
        </w:rPr>
        <w:t xml:space="preserve"> </w:t>
      </w:r>
      <w:r w:rsidR="003C1FAC" w:rsidRPr="003C1FAC">
        <w:rPr>
          <w:rFonts w:ascii="Arial" w:eastAsia="Aptos" w:hAnsi="Arial" w:cs="Arial"/>
          <w:lang w:eastAsia="en-US"/>
        </w:rPr>
        <w:t>This inconsistency may reflect variations in intervention design, duration, and evaluation methods, highlighting the need for more standardised and long-term research.</w:t>
      </w:r>
    </w:p>
    <w:p w14:paraId="2A9AD65F" w14:textId="77777777" w:rsidR="003309A6" w:rsidRPr="004F3555" w:rsidRDefault="003309A6" w:rsidP="003309A6">
      <w:pPr>
        <w:rPr>
          <w:rFonts w:ascii="Arial" w:eastAsia="Aptos" w:hAnsi="Arial" w:cs="Arial"/>
          <w:lang w:eastAsia="en-US"/>
        </w:rPr>
      </w:pPr>
    </w:p>
    <w:p w14:paraId="63C7591C" w14:textId="383642FF"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2.</w:t>
      </w:r>
      <w:r w:rsidR="00617880" w:rsidRPr="006E2537">
        <w:rPr>
          <w:rFonts w:ascii="Arial" w:eastAsia="Aptos" w:hAnsi="Arial" w:cs="Arial"/>
          <w:b/>
          <w:bCs/>
          <w:sz w:val="28"/>
          <w:szCs w:val="28"/>
          <w:lang w:eastAsia="en-US"/>
        </w:rPr>
        <w:t>8</w:t>
      </w:r>
      <w:r w:rsidRPr="006E2537">
        <w:rPr>
          <w:rFonts w:ascii="Arial" w:eastAsia="Aptos" w:hAnsi="Arial" w:cs="Arial"/>
          <w:b/>
          <w:bCs/>
          <w:sz w:val="28"/>
          <w:szCs w:val="28"/>
          <w:lang w:eastAsia="en-US"/>
        </w:rPr>
        <w:t xml:space="preserve"> Barriers and Challenges for Older Adults</w:t>
      </w:r>
    </w:p>
    <w:p w14:paraId="5FB21040" w14:textId="7FACFEAE" w:rsidR="00464998" w:rsidRDefault="003309A6" w:rsidP="00893AE3">
      <w:pPr>
        <w:rPr>
          <w:rFonts w:ascii="Arial" w:eastAsia="Aptos" w:hAnsi="Arial" w:cs="Arial"/>
          <w:lang w:eastAsia="en-US"/>
        </w:rPr>
      </w:pPr>
      <w:r w:rsidRPr="003309A6">
        <w:rPr>
          <w:rFonts w:ascii="Arial" w:eastAsia="Aptos" w:hAnsi="Arial" w:cs="Arial"/>
          <w:lang w:eastAsia="en-US"/>
        </w:rPr>
        <w:t xml:space="preserve">Older adults face multiple barriers that limit engagement in community programmes. Physical limitations, including mobility issues and chronic illness, can restrict participation. Transport remains a key challenge, particularly in rural areas (Age UK, 2020), while financial constraints may further reduce access (Windle et al., 2014). Digital exclusion also persists, with some individuals lacking skills or access to technology. In addition, psychological factors such as stigma and low confidence (Pettigrew and Roberts, 2008), </w:t>
      </w:r>
      <w:r>
        <w:rPr>
          <w:rFonts w:ascii="Arial" w:eastAsia="Aptos" w:hAnsi="Arial" w:cs="Arial"/>
          <w:lang w:eastAsia="en-US"/>
        </w:rPr>
        <w:t>as well as</w:t>
      </w:r>
      <w:r w:rsidRPr="003309A6">
        <w:rPr>
          <w:rFonts w:ascii="Arial" w:eastAsia="Aptos" w:hAnsi="Arial" w:cs="Arial"/>
          <w:lang w:eastAsia="en-US"/>
        </w:rPr>
        <w:t xml:space="preserve"> cultural and language barriers (Nielsen and Rehm, 2018), may discourage participation.</w:t>
      </w:r>
    </w:p>
    <w:p w14:paraId="48859F02" w14:textId="77777777" w:rsidR="00893AE3" w:rsidRPr="004F3555" w:rsidRDefault="00893AE3" w:rsidP="00893AE3">
      <w:pPr>
        <w:rPr>
          <w:rFonts w:ascii="Arial" w:eastAsia="Aptos" w:hAnsi="Arial" w:cs="Arial"/>
          <w:lang w:eastAsia="en-US"/>
        </w:rPr>
      </w:pPr>
    </w:p>
    <w:p w14:paraId="4931ECCA" w14:textId="7E829175" w:rsidR="00893AE3" w:rsidRPr="006E2537" w:rsidRDefault="00893AE3" w:rsidP="00893AE3">
      <w:pPr>
        <w:rPr>
          <w:rFonts w:ascii="Arial" w:eastAsia="Aptos" w:hAnsi="Arial" w:cs="Arial"/>
          <w:b/>
          <w:bCs/>
          <w:sz w:val="28"/>
          <w:szCs w:val="28"/>
          <w:lang w:eastAsia="en-US"/>
        </w:rPr>
      </w:pPr>
      <w:r w:rsidRPr="006E2537">
        <w:rPr>
          <w:rFonts w:ascii="Arial" w:eastAsia="Aptos" w:hAnsi="Arial" w:cs="Arial"/>
          <w:b/>
          <w:bCs/>
          <w:sz w:val="28"/>
          <w:szCs w:val="28"/>
          <w:lang w:eastAsia="en-US"/>
        </w:rPr>
        <w:t>2.</w:t>
      </w:r>
      <w:r w:rsidR="00617880" w:rsidRPr="006E2537">
        <w:rPr>
          <w:rFonts w:ascii="Arial" w:eastAsia="Aptos" w:hAnsi="Arial" w:cs="Arial"/>
          <w:b/>
          <w:bCs/>
          <w:sz w:val="28"/>
          <w:szCs w:val="28"/>
          <w:lang w:eastAsia="en-US"/>
        </w:rPr>
        <w:t>9</w:t>
      </w:r>
      <w:r w:rsidRPr="006E2537">
        <w:rPr>
          <w:rFonts w:ascii="Arial" w:eastAsia="Aptos" w:hAnsi="Arial" w:cs="Arial"/>
          <w:b/>
          <w:bCs/>
          <w:sz w:val="28"/>
          <w:szCs w:val="28"/>
          <w:lang w:eastAsia="en-US"/>
        </w:rPr>
        <w:t xml:space="preserve"> Summary of Key Themes</w:t>
      </w:r>
    </w:p>
    <w:p w14:paraId="4577C605" w14:textId="0456D0E9" w:rsidR="00893AE3" w:rsidRPr="00464998" w:rsidRDefault="00893AE3" w:rsidP="00893AE3">
      <w:pPr>
        <w:rPr>
          <w:rFonts w:ascii="Arial" w:eastAsia="Aptos" w:hAnsi="Arial" w:cs="Arial"/>
          <w:lang w:eastAsia="en-US"/>
        </w:rPr>
      </w:pPr>
      <w:r w:rsidRPr="004F3555">
        <w:rPr>
          <w:rFonts w:ascii="Arial" w:eastAsia="Aptos" w:hAnsi="Arial" w:cs="Arial"/>
          <w:lang w:eastAsia="en-US"/>
        </w:rPr>
        <w:t>This chapter has examined the links between social isolation, loneliness, mental health, and community-based support in the UK. While various interventions exist, their effectiveness remains inconsistent, with gaps in evaluation and accessibility.</w:t>
      </w:r>
      <w:r w:rsidR="00464998">
        <w:rPr>
          <w:rFonts w:ascii="Arial" w:eastAsia="Aptos" w:hAnsi="Arial" w:cs="Arial"/>
          <w:lang w:eastAsia="en-US"/>
        </w:rPr>
        <w:t xml:space="preserve"> </w:t>
      </w:r>
      <w:r w:rsidRPr="004F3555">
        <w:rPr>
          <w:rFonts w:ascii="Arial" w:eastAsia="Aptos" w:hAnsi="Arial" w:cs="Arial"/>
          <w:lang w:eastAsia="en-US"/>
        </w:rPr>
        <w:t xml:space="preserve">The literature highlights tensions between policy ambitions and implementation, as well as between individual and structural explanations of loneliness. These insights inform Chapter 3, which will use a systematic approach to further evaluate intervention effectiveness. To support this analysis, a conceptual framework was developed to illustrate the relationships among social isolation, mental health outcomes, and community-based interventions, and is presented in </w:t>
      </w:r>
      <w:r w:rsidRPr="004F3555">
        <w:rPr>
          <w:rFonts w:ascii="Arial" w:eastAsia="Aptos" w:hAnsi="Arial" w:cs="Arial"/>
          <w:b/>
          <w:bCs/>
          <w:lang w:eastAsia="en-US"/>
        </w:rPr>
        <w:t>Appendix B.</w:t>
      </w:r>
    </w:p>
    <w:p w14:paraId="7ADC219F" w14:textId="77777777" w:rsidR="008A2E23" w:rsidRPr="004600FC" w:rsidRDefault="008A2E23" w:rsidP="008A2E23">
      <w:pPr>
        <w:suppressAutoHyphens/>
        <w:autoSpaceDN w:val="0"/>
        <w:rPr>
          <w:rFonts w:ascii="Arial" w:eastAsia="Aptos" w:hAnsi="Arial" w:cs="Arial"/>
          <w:kern w:val="3"/>
          <w:lang w:eastAsia="en-US"/>
          <w14:ligatures w14:val="none"/>
        </w:rPr>
      </w:pPr>
    </w:p>
    <w:p w14:paraId="6A02C86C" w14:textId="77777777" w:rsidR="008A2E23" w:rsidRDefault="008A2E23" w:rsidP="008A2E23">
      <w:pPr>
        <w:suppressAutoHyphens/>
        <w:autoSpaceDN w:val="0"/>
        <w:jc w:val="center"/>
        <w:rPr>
          <w:rFonts w:ascii="Arial" w:eastAsia="Aptos" w:hAnsi="Arial" w:cs="Arial"/>
          <w:b/>
          <w:bCs/>
          <w:kern w:val="3"/>
          <w:sz w:val="28"/>
          <w:szCs w:val="28"/>
          <w:u w:val="single"/>
          <w:lang w:eastAsia="en-US"/>
          <w14:ligatures w14:val="none"/>
        </w:rPr>
      </w:pPr>
    </w:p>
    <w:p w14:paraId="7D447036" w14:textId="77777777" w:rsidR="00EF724D" w:rsidRDefault="00EF724D" w:rsidP="008A2E23">
      <w:pPr>
        <w:suppressAutoHyphens/>
        <w:autoSpaceDN w:val="0"/>
        <w:jc w:val="center"/>
        <w:rPr>
          <w:rFonts w:ascii="Arial" w:eastAsia="Aptos" w:hAnsi="Arial" w:cs="Arial"/>
          <w:b/>
          <w:bCs/>
          <w:kern w:val="3"/>
          <w:sz w:val="28"/>
          <w:szCs w:val="28"/>
          <w:u w:val="single"/>
          <w:lang w:eastAsia="en-US"/>
          <w14:ligatures w14:val="none"/>
        </w:rPr>
      </w:pPr>
    </w:p>
    <w:p w14:paraId="1A18461B" w14:textId="77777777" w:rsidR="008E47E2" w:rsidRPr="004600FC" w:rsidRDefault="008E47E2" w:rsidP="008A2E23">
      <w:pPr>
        <w:suppressAutoHyphens/>
        <w:autoSpaceDN w:val="0"/>
        <w:jc w:val="center"/>
        <w:rPr>
          <w:rFonts w:ascii="Arial" w:eastAsia="Aptos" w:hAnsi="Arial" w:cs="Arial"/>
          <w:b/>
          <w:bCs/>
          <w:kern w:val="3"/>
          <w:sz w:val="28"/>
          <w:szCs w:val="28"/>
          <w:u w:val="single"/>
          <w:lang w:eastAsia="en-US"/>
          <w14:ligatures w14:val="none"/>
        </w:rPr>
      </w:pPr>
    </w:p>
    <w:p w14:paraId="49954808" w14:textId="3FE0A4B3" w:rsidR="008A2E23" w:rsidRPr="006E2537" w:rsidRDefault="008A2E23" w:rsidP="008A2E23">
      <w:pPr>
        <w:suppressAutoHyphens/>
        <w:autoSpaceDN w:val="0"/>
        <w:jc w:val="center"/>
        <w:rPr>
          <w:rFonts w:ascii="Arial" w:eastAsia="Aptos" w:hAnsi="Arial" w:cs="Arial"/>
          <w:kern w:val="3"/>
          <w:sz w:val="32"/>
          <w:szCs w:val="32"/>
          <w:lang w:eastAsia="en-US"/>
          <w14:ligatures w14:val="none"/>
        </w:rPr>
      </w:pPr>
      <w:r w:rsidRPr="006E2537">
        <w:rPr>
          <w:rFonts w:ascii="Arial" w:eastAsia="Aptos" w:hAnsi="Arial" w:cs="Arial"/>
          <w:b/>
          <w:bCs/>
          <w:kern w:val="3"/>
          <w:sz w:val="32"/>
          <w:szCs w:val="32"/>
          <w:u w:val="single"/>
          <w:lang w:eastAsia="en-US"/>
          <w14:ligatures w14:val="none"/>
        </w:rPr>
        <w:lastRenderedPageBreak/>
        <w:t xml:space="preserve">CHAPTER 3 </w:t>
      </w:r>
      <w:r w:rsidR="00803EF7">
        <w:rPr>
          <w:rFonts w:ascii="Arial" w:eastAsia="Aptos" w:hAnsi="Arial" w:cs="Arial"/>
          <w:b/>
          <w:bCs/>
          <w:kern w:val="3"/>
          <w:sz w:val="32"/>
          <w:szCs w:val="32"/>
          <w:u w:val="single"/>
          <w:lang w:eastAsia="en-US"/>
          <w14:ligatures w14:val="none"/>
        </w:rPr>
        <w:t>-</w:t>
      </w:r>
      <w:r w:rsidRPr="006E2537">
        <w:rPr>
          <w:rFonts w:ascii="Arial" w:eastAsia="Aptos" w:hAnsi="Arial" w:cs="Arial"/>
          <w:b/>
          <w:bCs/>
          <w:kern w:val="3"/>
          <w:sz w:val="32"/>
          <w:szCs w:val="32"/>
          <w:u w:val="single"/>
          <w:lang w:eastAsia="en-US"/>
          <w14:ligatures w14:val="none"/>
        </w:rPr>
        <w:t xml:space="preserve"> Methods and Search Strategy</w:t>
      </w:r>
    </w:p>
    <w:p w14:paraId="7EF942C1" w14:textId="77777777" w:rsidR="008A2E23" w:rsidRPr="004600FC" w:rsidRDefault="008A2E23" w:rsidP="008A2E23">
      <w:pPr>
        <w:suppressAutoHyphens/>
        <w:autoSpaceDN w:val="0"/>
        <w:rPr>
          <w:rFonts w:ascii="Arial" w:eastAsia="Aptos" w:hAnsi="Arial" w:cs="Arial"/>
          <w:kern w:val="3"/>
          <w:lang w:eastAsia="en-US"/>
          <w14:ligatures w14:val="none"/>
        </w:rPr>
      </w:pPr>
    </w:p>
    <w:p w14:paraId="3B82DCE0"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3.1 Introduction</w:t>
      </w:r>
    </w:p>
    <w:p w14:paraId="26605378" w14:textId="4303E18D" w:rsidR="008A2E23" w:rsidRPr="004600FC" w:rsidRDefault="009E3679" w:rsidP="00D51238">
      <w:pPr>
        <w:suppressAutoHyphens/>
        <w:autoSpaceDN w:val="0"/>
        <w:rPr>
          <w:rFonts w:ascii="Arial" w:eastAsia="Aptos" w:hAnsi="Arial" w:cs="Arial"/>
          <w:kern w:val="3"/>
          <w:lang w:eastAsia="en-US"/>
          <w14:ligatures w14:val="none"/>
        </w:rPr>
      </w:pPr>
      <w:r w:rsidRPr="009E3679">
        <w:rPr>
          <w:rFonts w:ascii="Arial" w:eastAsia="Aptos" w:hAnsi="Arial" w:cs="Arial"/>
          <w:kern w:val="3"/>
          <w:lang w:eastAsia="en-US"/>
          <w14:ligatures w14:val="none"/>
        </w:rPr>
        <w:t>This chapter outlines the methodological approach used to investigate key issues</w:t>
      </w:r>
      <w:r>
        <w:rPr>
          <w:rFonts w:ascii="Arial" w:eastAsia="Aptos" w:hAnsi="Arial" w:cs="Arial"/>
          <w:kern w:val="3"/>
          <w:lang w:eastAsia="en-US"/>
          <w14:ligatures w14:val="none"/>
        </w:rPr>
        <w:t xml:space="preserve"> </w:t>
      </w:r>
      <w:r w:rsidR="004600FC" w:rsidRPr="004600FC">
        <w:rPr>
          <w:rFonts w:ascii="Arial" w:eastAsia="Aptos" w:hAnsi="Arial" w:cs="Arial"/>
          <w:kern w:val="3"/>
          <w:lang w:eastAsia="en-US"/>
          <w14:ligatures w14:val="none"/>
        </w:rPr>
        <w:t>related to</w:t>
      </w:r>
      <w:r w:rsidR="008A2E23" w:rsidRPr="004600FC">
        <w:rPr>
          <w:rFonts w:ascii="Arial" w:eastAsia="Aptos" w:hAnsi="Arial" w:cs="Arial"/>
          <w:kern w:val="3"/>
          <w:lang w:eastAsia="en-US"/>
          <w14:ligatures w14:val="none"/>
        </w:rPr>
        <w:t xml:space="preserve"> social isolation, mental health, and community interventions for older adults in the UK. A secondary, desk-based research design was </w:t>
      </w:r>
      <w:r w:rsidR="004600FC" w:rsidRPr="004600FC">
        <w:rPr>
          <w:rFonts w:ascii="Arial" w:eastAsia="Aptos" w:hAnsi="Arial" w:cs="Arial"/>
          <w:kern w:val="3"/>
          <w:lang w:eastAsia="en-US"/>
          <w14:ligatures w14:val="none"/>
        </w:rPr>
        <w:t>chosen, focusing solely on existing literature, including</w:t>
      </w:r>
      <w:r w:rsidR="008A2E23" w:rsidRPr="004600FC">
        <w:rPr>
          <w:rFonts w:ascii="Arial" w:eastAsia="Aptos" w:hAnsi="Arial" w:cs="Arial"/>
          <w:kern w:val="3"/>
          <w:lang w:eastAsia="en-US"/>
          <w14:ligatures w14:val="none"/>
        </w:rPr>
        <w:t xml:space="preserve"> peer-reviewed journals, policy documents, government reports, and statistical databases. </w:t>
      </w:r>
      <w:r w:rsidR="008838EF" w:rsidRPr="008838EF">
        <w:rPr>
          <w:rFonts w:ascii="Arial" w:eastAsia="Aptos" w:hAnsi="Arial" w:cs="Arial"/>
          <w:kern w:val="3"/>
          <w:lang w:eastAsia="en-US"/>
          <w14:ligatures w14:val="none"/>
        </w:rPr>
        <w:t>This approach allows a detailed review of existing evidence without requiring primary data collection, making it both practical and ethically appropriate</w:t>
      </w:r>
      <w:r w:rsidR="008A2E23" w:rsidRPr="004600FC">
        <w:rPr>
          <w:rFonts w:ascii="Arial" w:eastAsia="Aptos" w:hAnsi="Arial" w:cs="Arial"/>
          <w:kern w:val="3"/>
          <w:lang w:eastAsia="en-US"/>
          <w14:ligatures w14:val="none"/>
        </w:rPr>
        <w:t xml:space="preserve"> (Siddaway, Wood </w:t>
      </w:r>
      <w:r w:rsidR="00F40EB5">
        <w:rPr>
          <w:rFonts w:ascii="Arial" w:eastAsia="Aptos" w:hAnsi="Arial" w:cs="Arial"/>
          <w:kern w:val="3"/>
          <w:lang w:eastAsia="en-US"/>
          <w14:ligatures w14:val="none"/>
        </w:rPr>
        <w:t>and</w:t>
      </w:r>
      <w:r w:rsidR="008A2E23" w:rsidRPr="004600FC">
        <w:rPr>
          <w:rFonts w:ascii="Arial" w:eastAsia="Aptos" w:hAnsi="Arial" w:cs="Arial"/>
          <w:kern w:val="3"/>
          <w:lang w:eastAsia="en-US"/>
          <w14:ligatures w14:val="none"/>
        </w:rPr>
        <w:t xml:space="preserve"> Hedges, 2019). While the academic methodology poster provides a visual overview, this chapter will delve deeper into each stage of the process, including research design, search strategy, inclusion/exclusion criteria, source validation, data management, thematic analysis, and ethical considerations. </w:t>
      </w:r>
      <w:r w:rsidRPr="009E3679">
        <w:rPr>
          <w:rFonts w:ascii="Arial" w:eastAsia="Aptos" w:hAnsi="Arial" w:cs="Arial"/>
          <w:kern w:val="3"/>
          <w:lang w:eastAsia="en-US"/>
          <w14:ligatures w14:val="none"/>
        </w:rPr>
        <w:t>This provides the foundation</w:t>
      </w:r>
      <w:r>
        <w:rPr>
          <w:rFonts w:ascii="Arial" w:eastAsia="Aptos" w:hAnsi="Arial" w:cs="Arial"/>
          <w:kern w:val="3"/>
          <w:lang w:eastAsia="en-US"/>
          <w14:ligatures w14:val="none"/>
        </w:rPr>
        <w:t xml:space="preserve"> </w:t>
      </w:r>
      <w:r w:rsidR="008A2E23" w:rsidRPr="004600FC">
        <w:rPr>
          <w:rFonts w:ascii="Arial" w:eastAsia="Aptos" w:hAnsi="Arial" w:cs="Arial"/>
          <w:kern w:val="3"/>
          <w:lang w:eastAsia="en-US"/>
          <w14:ligatures w14:val="none"/>
        </w:rPr>
        <w:t xml:space="preserve">for the findings presented in Chapter 4 (Booth, Sutton </w:t>
      </w:r>
      <w:r w:rsidR="00F40EB5">
        <w:rPr>
          <w:rFonts w:ascii="Arial" w:eastAsia="Aptos" w:hAnsi="Arial" w:cs="Arial"/>
          <w:kern w:val="3"/>
          <w:lang w:eastAsia="en-US"/>
          <w14:ligatures w14:val="none"/>
        </w:rPr>
        <w:t>and</w:t>
      </w:r>
      <w:r w:rsidR="008A2E23" w:rsidRPr="004600FC">
        <w:rPr>
          <w:rFonts w:ascii="Arial" w:eastAsia="Aptos" w:hAnsi="Arial" w:cs="Arial"/>
          <w:kern w:val="3"/>
          <w:lang w:eastAsia="en-US"/>
          <w14:ligatures w14:val="none"/>
        </w:rPr>
        <w:t xml:space="preserve"> Papaioannou, 2016).</w:t>
      </w:r>
    </w:p>
    <w:p w14:paraId="11F53C58" w14:textId="77777777" w:rsidR="004600FC" w:rsidRPr="004600FC" w:rsidRDefault="004600FC" w:rsidP="00D51238">
      <w:pPr>
        <w:suppressAutoHyphens/>
        <w:autoSpaceDN w:val="0"/>
        <w:rPr>
          <w:rFonts w:ascii="Arial" w:eastAsia="Aptos" w:hAnsi="Arial" w:cs="Arial"/>
          <w:kern w:val="3"/>
          <w:lang w:eastAsia="en-US"/>
          <w14:ligatures w14:val="none"/>
        </w:rPr>
      </w:pPr>
    </w:p>
    <w:p w14:paraId="586EF11E"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3.2 Research Design</w:t>
      </w:r>
    </w:p>
    <w:p w14:paraId="3324F386" w14:textId="1B644705" w:rsidR="008A2E23"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A systematic literature review was selected to ensure a structured and transparent approach to identifying, appraising, and synthesising existing evidence (Petticrew </w:t>
      </w:r>
      <w:r w:rsidR="00F40EB5">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Roberts, 2006). </w:t>
      </w:r>
      <w:r w:rsidR="009E3679" w:rsidRPr="009E3679">
        <w:rPr>
          <w:rFonts w:ascii="Arial" w:eastAsia="Aptos" w:hAnsi="Arial" w:cs="Arial"/>
          <w:kern w:val="3"/>
          <w:lang w:eastAsia="en-US"/>
          <w14:ligatures w14:val="none"/>
        </w:rPr>
        <w:t>This method helps reduce bias</w:t>
      </w:r>
      <w:r w:rsidRPr="004600FC">
        <w:rPr>
          <w:rFonts w:ascii="Arial" w:eastAsia="Aptos" w:hAnsi="Arial" w:cs="Arial"/>
          <w:kern w:val="3"/>
          <w:lang w:eastAsia="en-US"/>
          <w14:ligatures w14:val="none"/>
        </w:rPr>
        <w:t xml:space="preserve"> by adhering to pre-defined search and appraisal procedures. The review is qualitative, employing thematic analysis to elucidate patterns across studies (Braun </w:t>
      </w:r>
      <w:r w:rsidR="00F40EB5">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Clarke, 2006). Secondary research is the most appropriate approach for this topic, as loneliness among older adults has been extensively explored. Furthermore, primary data collection could present significant ethical challenges within vulnerable populations (Cattan et al., 2005). </w:t>
      </w:r>
      <w:r w:rsidR="009E3679" w:rsidRPr="009E3679">
        <w:rPr>
          <w:rFonts w:ascii="Arial" w:eastAsia="Aptos" w:hAnsi="Arial" w:cs="Arial"/>
          <w:kern w:val="3"/>
          <w:lang w:eastAsia="en-US"/>
          <w14:ligatures w14:val="none"/>
        </w:rPr>
        <w:t>This design ensures the findings are based on existing, reliable evidence</w:t>
      </w:r>
      <w:r w:rsidRPr="004600FC">
        <w:rPr>
          <w:rFonts w:ascii="Arial" w:eastAsia="Aptos" w:hAnsi="Arial" w:cs="Arial"/>
          <w:kern w:val="3"/>
          <w:lang w:eastAsia="en-US"/>
          <w14:ligatures w14:val="none"/>
        </w:rPr>
        <w:t xml:space="preserve"> while fully maintaining ethical compliance.</w:t>
      </w:r>
    </w:p>
    <w:p w14:paraId="7EA5F013" w14:textId="77777777" w:rsidR="00E573C4" w:rsidRPr="004600FC" w:rsidRDefault="00E573C4" w:rsidP="00D51238">
      <w:pPr>
        <w:suppressAutoHyphens/>
        <w:autoSpaceDN w:val="0"/>
        <w:rPr>
          <w:rFonts w:ascii="Arial" w:eastAsia="Aptos" w:hAnsi="Arial" w:cs="Arial"/>
          <w:kern w:val="3"/>
          <w:lang w:eastAsia="en-US"/>
          <w14:ligatures w14:val="none"/>
        </w:rPr>
      </w:pPr>
    </w:p>
    <w:p w14:paraId="2B9F3D8A" w14:textId="77777777" w:rsidR="008A2E23" w:rsidRPr="004600FC"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The review process was guided by principles from the Preferred Reporting Items for Systematic Reviews and Meta-Analyses (PRISMA) framework to ensure transparency, replicability, and systematic reporting of study identification, screening, and inclusion procedures (Moher et al., 2009).</w:t>
      </w:r>
    </w:p>
    <w:p w14:paraId="39037813" w14:textId="77777777" w:rsidR="004600FC" w:rsidRPr="004600FC" w:rsidRDefault="004600FC" w:rsidP="00D51238">
      <w:pPr>
        <w:suppressAutoHyphens/>
        <w:autoSpaceDN w:val="0"/>
        <w:rPr>
          <w:rFonts w:ascii="Arial" w:eastAsia="Aptos" w:hAnsi="Arial" w:cs="Arial"/>
          <w:kern w:val="3"/>
          <w:lang w:eastAsia="en-US"/>
          <w14:ligatures w14:val="none"/>
        </w:rPr>
      </w:pPr>
    </w:p>
    <w:p w14:paraId="17089327"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lastRenderedPageBreak/>
        <w:t>3.3 Search Strategy</w:t>
      </w:r>
    </w:p>
    <w:p w14:paraId="3F02059A"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3.3.1 Developing Keywords</w:t>
      </w:r>
    </w:p>
    <w:p w14:paraId="4B9DB4E5" w14:textId="6121B13A" w:rsidR="008A2E23"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Keywords were </w:t>
      </w:r>
      <w:r w:rsidR="004600FC" w:rsidRPr="004600FC">
        <w:rPr>
          <w:rFonts w:ascii="Arial" w:eastAsia="Aptos" w:hAnsi="Arial" w:cs="Arial"/>
          <w:kern w:val="3"/>
          <w:lang w:eastAsia="en-US"/>
          <w14:ligatures w14:val="none"/>
        </w:rPr>
        <w:t>derived from the research aim and objectives and</w:t>
      </w:r>
      <w:r w:rsidRPr="004600FC">
        <w:rPr>
          <w:rFonts w:ascii="Arial" w:eastAsia="Aptos" w:hAnsi="Arial" w:cs="Arial"/>
          <w:kern w:val="3"/>
          <w:lang w:eastAsia="en-US"/>
          <w14:ligatures w14:val="none"/>
        </w:rPr>
        <w:t xml:space="preserve"> further refined during scoping searches to encompass both general and technical terminology. These include definitive terms such as “social isolation,” “loneliness,” “older adults,” “elderly people,” “mental health,” “wellbeing,” “community interventions,” “social prescribing,” “befriending,” “digital exclusion,” and “UK” (Fakoya, McCorry </w:t>
      </w:r>
      <w:r w:rsidR="004406A6">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Donnelly, 2020). The deliberate use of a combination of basic and professional terms guarantees comprehensive coverage.</w:t>
      </w:r>
    </w:p>
    <w:p w14:paraId="733AB9A4" w14:textId="77777777" w:rsidR="00D51238" w:rsidRPr="004600FC" w:rsidRDefault="00D51238" w:rsidP="00D51238">
      <w:pPr>
        <w:suppressAutoHyphens/>
        <w:autoSpaceDN w:val="0"/>
        <w:rPr>
          <w:rFonts w:ascii="Arial" w:eastAsia="Aptos" w:hAnsi="Arial" w:cs="Arial"/>
          <w:kern w:val="3"/>
          <w:lang w:eastAsia="en-US"/>
          <w14:ligatures w14:val="none"/>
        </w:rPr>
      </w:pPr>
    </w:p>
    <w:p w14:paraId="7C3187C2"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3.3.2 Boolean Operators</w:t>
      </w:r>
    </w:p>
    <w:p w14:paraId="13322420" w14:textId="6476C5B1" w:rsidR="008A2E23" w:rsidRPr="004600FC"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Boolean operators (AND, OR, NOT) were applied to combine concepts, narrow results, and improve relevance (Cooke, Smith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Booth, 2012). Examples of search strings include:</w:t>
      </w:r>
    </w:p>
    <w:p w14:paraId="05A0A2D7" w14:textId="77777777" w:rsidR="008A2E23" w:rsidRPr="004600FC" w:rsidRDefault="008A2E23">
      <w:pPr>
        <w:numPr>
          <w:ilvl w:val="0"/>
          <w:numId w:val="1"/>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Social isolation AND older adults AND UK</w:t>
      </w:r>
    </w:p>
    <w:p w14:paraId="7E93C2F5" w14:textId="77777777" w:rsidR="008A2E23" w:rsidRPr="004600FC" w:rsidRDefault="008A2E23">
      <w:pPr>
        <w:numPr>
          <w:ilvl w:val="0"/>
          <w:numId w:val="1"/>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Loneliness OR social disconnection</w:t>
      </w:r>
    </w:p>
    <w:p w14:paraId="05AB1B55" w14:textId="77777777" w:rsidR="008A2E23" w:rsidRPr="004600FC" w:rsidRDefault="008A2E23">
      <w:pPr>
        <w:numPr>
          <w:ilvl w:val="0"/>
          <w:numId w:val="1"/>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Community-based interventions AND mental health</w:t>
      </w:r>
    </w:p>
    <w:p w14:paraId="104435C4" w14:textId="77777777" w:rsidR="008A2E23" w:rsidRPr="004600FC" w:rsidRDefault="008A2E23">
      <w:pPr>
        <w:numPr>
          <w:ilvl w:val="0"/>
          <w:numId w:val="1"/>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Older adults NOT children</w:t>
      </w:r>
    </w:p>
    <w:p w14:paraId="23CF6849" w14:textId="557C45AB" w:rsidR="008A2E23"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Boolean logic enhances search precision, particularly in systematic reviews (Petticrew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Roberts, 2006). </w:t>
      </w:r>
    </w:p>
    <w:p w14:paraId="63FAAD81" w14:textId="77777777" w:rsidR="00D51238" w:rsidRPr="004600FC" w:rsidRDefault="00D51238" w:rsidP="00D51238">
      <w:pPr>
        <w:suppressAutoHyphens/>
        <w:autoSpaceDN w:val="0"/>
        <w:rPr>
          <w:rFonts w:ascii="Arial" w:eastAsia="Aptos" w:hAnsi="Arial" w:cs="Arial"/>
          <w:kern w:val="3"/>
          <w:lang w:eastAsia="en-US"/>
          <w14:ligatures w14:val="none"/>
        </w:rPr>
      </w:pPr>
    </w:p>
    <w:p w14:paraId="66E08851"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3.4 Searching for Information</w:t>
      </w:r>
    </w:p>
    <w:p w14:paraId="4EDA766C" w14:textId="77777777" w:rsidR="008A2E23" w:rsidRPr="004600FC" w:rsidRDefault="008A2E23" w:rsidP="00D51238">
      <w:pPr>
        <w:suppressAutoHyphens/>
        <w:autoSpaceDN w:val="0"/>
        <w:rPr>
          <w:rFonts w:ascii="Arial" w:eastAsia="Aptos" w:hAnsi="Arial" w:cs="Arial"/>
          <w:b/>
          <w:bCs/>
          <w:kern w:val="3"/>
          <w:lang w:eastAsia="en-US"/>
          <w14:ligatures w14:val="none"/>
        </w:rPr>
      </w:pPr>
      <w:r w:rsidRPr="004600FC">
        <w:rPr>
          <w:rFonts w:ascii="Arial" w:eastAsia="Aptos" w:hAnsi="Arial" w:cs="Arial"/>
          <w:b/>
          <w:bCs/>
          <w:kern w:val="3"/>
          <w:lang w:eastAsia="en-US"/>
          <w14:ligatures w14:val="none"/>
        </w:rPr>
        <w:t>Databases and Platforms</w:t>
      </w:r>
    </w:p>
    <w:p w14:paraId="2DFDF5C3" w14:textId="77777777" w:rsidR="008A2E23" w:rsidRPr="004600FC"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The following academic databases and platforms were thoroughly searched due to their credibility and relevance to the UK context:</w:t>
      </w:r>
    </w:p>
    <w:p w14:paraId="02C9FC3B" w14:textId="77777777" w:rsidR="008A2E23" w:rsidRPr="004600FC" w:rsidRDefault="008A2E23">
      <w:pPr>
        <w:numPr>
          <w:ilvl w:val="0"/>
          <w:numId w:val="2"/>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EBSCOhost (CINAHL, Medline): Focused on nursing and allied health (Cooper, 2016)</w:t>
      </w:r>
    </w:p>
    <w:p w14:paraId="19DE145D" w14:textId="46232DAC" w:rsidR="008A2E23" w:rsidRPr="004600FC" w:rsidRDefault="008A2E23">
      <w:pPr>
        <w:numPr>
          <w:ilvl w:val="0"/>
          <w:numId w:val="2"/>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ProQuest: A comprehensive multidisciplinary database (Ramesh, Moreira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Torkzadeh, 2019)</w:t>
      </w:r>
    </w:p>
    <w:p w14:paraId="77BFFEB6" w14:textId="77777777" w:rsidR="008A2E23" w:rsidRPr="004600FC" w:rsidRDefault="008A2E23">
      <w:pPr>
        <w:numPr>
          <w:ilvl w:val="0"/>
          <w:numId w:val="2"/>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PubMed: Essential for biomedical and public health research (Lewin et al., 2010)</w:t>
      </w:r>
    </w:p>
    <w:p w14:paraId="1B9B958A" w14:textId="1FB52B3F" w:rsidR="008A2E23" w:rsidRPr="004600FC" w:rsidRDefault="008A2E23">
      <w:pPr>
        <w:numPr>
          <w:ilvl w:val="0"/>
          <w:numId w:val="2"/>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Google Scholar: Expansive search including grey literature</w:t>
      </w:r>
      <w:r w:rsidR="003D2B32">
        <w:rPr>
          <w:rFonts w:ascii="Arial" w:eastAsia="Aptos" w:hAnsi="Arial" w:cs="Arial"/>
          <w:kern w:val="3"/>
          <w:lang w:eastAsia="en-US"/>
          <w14:ligatures w14:val="none"/>
        </w:rPr>
        <w:t xml:space="preserve"> </w:t>
      </w:r>
      <w:r w:rsidR="00DC14BD" w:rsidRPr="00DC14BD">
        <w:rPr>
          <w:rFonts w:ascii="Arial" w:eastAsia="Aptos" w:hAnsi="Arial" w:cs="Arial"/>
          <w:kern w:val="3"/>
          <w:lang w:eastAsia="en-US"/>
          <w14:ligatures w14:val="none"/>
        </w:rPr>
        <w:t>(Halevi, Moed and Bar</w:t>
      </w:r>
      <w:r w:rsidR="00DC14BD">
        <w:rPr>
          <w:rFonts w:ascii="Arial" w:eastAsia="Aptos" w:hAnsi="Arial" w:cs="Arial"/>
          <w:kern w:val="3"/>
          <w:lang w:eastAsia="en-US"/>
          <w14:ligatures w14:val="none"/>
        </w:rPr>
        <w:t>-</w:t>
      </w:r>
      <w:r w:rsidR="00DC14BD" w:rsidRPr="00DC14BD">
        <w:rPr>
          <w:rFonts w:ascii="Arial" w:eastAsia="Aptos" w:hAnsi="Arial" w:cs="Arial"/>
          <w:kern w:val="3"/>
          <w:lang w:eastAsia="en-US"/>
          <w14:ligatures w14:val="none"/>
        </w:rPr>
        <w:t>Ilan, 2017)</w:t>
      </w:r>
    </w:p>
    <w:p w14:paraId="3AC487B4" w14:textId="77777777" w:rsidR="008A2E23" w:rsidRPr="004600FC" w:rsidRDefault="008A2E23">
      <w:pPr>
        <w:numPr>
          <w:ilvl w:val="0"/>
          <w:numId w:val="2"/>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NHS Digital Library: Authoritative government health reports (NHS England, 2024)</w:t>
      </w:r>
    </w:p>
    <w:p w14:paraId="2096E38D" w14:textId="2DE7F847" w:rsidR="008A2E23" w:rsidRPr="004600FC" w:rsidRDefault="008A2E23">
      <w:pPr>
        <w:numPr>
          <w:ilvl w:val="0"/>
          <w:numId w:val="2"/>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lastRenderedPageBreak/>
        <w:t>Office for National Statistics (ONS): Critical UK demographic statistics (</w:t>
      </w:r>
      <w:r w:rsidR="00F022A7" w:rsidRPr="00F022A7">
        <w:rPr>
          <w:rFonts w:ascii="Arial" w:eastAsia="Aptos" w:hAnsi="Arial" w:cs="Arial"/>
          <w:kern w:val="3"/>
          <w:lang w:eastAsia="en-US"/>
          <w14:ligatures w14:val="none"/>
        </w:rPr>
        <w:t>Office for National Statistics,</w:t>
      </w:r>
      <w:r w:rsidR="00F022A7">
        <w:rPr>
          <w:rFonts w:ascii="Arial" w:eastAsia="Aptos" w:hAnsi="Arial" w:cs="Arial"/>
          <w:kern w:val="3"/>
          <w:lang w:eastAsia="en-US"/>
          <w14:ligatures w14:val="none"/>
        </w:rPr>
        <w:t xml:space="preserve"> </w:t>
      </w:r>
      <w:r w:rsidRPr="004600FC">
        <w:rPr>
          <w:rFonts w:ascii="Arial" w:eastAsia="Aptos" w:hAnsi="Arial" w:cs="Arial"/>
          <w:kern w:val="3"/>
          <w:lang w:eastAsia="en-US"/>
          <w14:ligatures w14:val="none"/>
        </w:rPr>
        <w:t>2025)</w:t>
      </w:r>
    </w:p>
    <w:p w14:paraId="57A465EC" w14:textId="77777777" w:rsidR="008A2E23" w:rsidRPr="004600FC" w:rsidRDefault="008A2E23">
      <w:pPr>
        <w:numPr>
          <w:ilvl w:val="0"/>
          <w:numId w:val="2"/>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Age UK: Vital policy and population reports (Age UK, 2024)</w:t>
      </w:r>
    </w:p>
    <w:p w14:paraId="58E6F66F" w14:textId="77777777" w:rsidR="008A2E23" w:rsidRDefault="008A2E23">
      <w:pPr>
        <w:numPr>
          <w:ilvl w:val="0"/>
          <w:numId w:val="2"/>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OHID: Comprehensive public health guidance and research evidence (OHID, 2023)</w:t>
      </w:r>
    </w:p>
    <w:p w14:paraId="130F125B" w14:textId="77777777" w:rsidR="00701BE7" w:rsidRDefault="00701BE7" w:rsidP="00D51238">
      <w:pPr>
        <w:suppressAutoHyphens/>
        <w:autoSpaceDN w:val="0"/>
        <w:rPr>
          <w:rFonts w:ascii="Arial" w:eastAsia="Aptos" w:hAnsi="Arial" w:cs="Arial"/>
          <w:kern w:val="3"/>
          <w:lang w:eastAsia="en-US"/>
          <w14:ligatures w14:val="none"/>
        </w:rPr>
      </w:pPr>
    </w:p>
    <w:p w14:paraId="795D4AEC" w14:textId="354F3910" w:rsidR="00871F45" w:rsidRDefault="008838EF" w:rsidP="00D51238">
      <w:pPr>
        <w:suppressAutoHyphens/>
        <w:autoSpaceDN w:val="0"/>
        <w:rPr>
          <w:rFonts w:ascii="Arial" w:eastAsia="Aptos" w:hAnsi="Arial" w:cs="Arial"/>
          <w:kern w:val="3"/>
          <w:lang w:eastAsia="en-US"/>
          <w14:ligatures w14:val="none"/>
        </w:rPr>
      </w:pPr>
      <w:r w:rsidRPr="008838EF">
        <w:rPr>
          <w:rFonts w:ascii="Arial" w:eastAsia="Aptos" w:hAnsi="Arial" w:cs="Arial"/>
          <w:kern w:val="3"/>
          <w:lang w:eastAsia="en-US"/>
          <w14:ligatures w14:val="none"/>
        </w:rPr>
        <w:t>Using multiple sources helps reduce publication bias and ensures wider coverage</w:t>
      </w:r>
      <w:r>
        <w:rPr>
          <w:rFonts w:ascii="Arial" w:eastAsia="Aptos" w:hAnsi="Arial" w:cs="Arial"/>
          <w:kern w:val="3"/>
          <w:lang w:eastAsia="en-US"/>
          <w14:ligatures w14:val="none"/>
        </w:rPr>
        <w:t xml:space="preserve"> </w:t>
      </w:r>
      <w:r w:rsidR="008A2E23" w:rsidRPr="004600FC">
        <w:rPr>
          <w:rFonts w:ascii="Arial" w:eastAsia="Aptos" w:hAnsi="Arial" w:cs="Arial"/>
          <w:kern w:val="3"/>
          <w:lang w:eastAsia="en-US"/>
          <w14:ligatures w14:val="none"/>
        </w:rPr>
        <w:t xml:space="preserve">of academic, policy, and grey literature (Egger, Smith </w:t>
      </w:r>
      <w:r w:rsidR="00307BBD">
        <w:rPr>
          <w:rFonts w:ascii="Arial" w:eastAsia="Aptos" w:hAnsi="Arial" w:cs="Arial"/>
          <w:kern w:val="3"/>
          <w:lang w:eastAsia="en-US"/>
          <w14:ligatures w14:val="none"/>
        </w:rPr>
        <w:t>and</w:t>
      </w:r>
      <w:r w:rsidR="008A2E23" w:rsidRPr="004600FC">
        <w:rPr>
          <w:rFonts w:ascii="Arial" w:eastAsia="Aptos" w:hAnsi="Arial" w:cs="Arial"/>
          <w:kern w:val="3"/>
          <w:lang w:eastAsia="en-US"/>
          <w14:ligatures w14:val="none"/>
        </w:rPr>
        <w:t xml:space="preserve"> Phillips, 1997). This rigorous approach ensures a robust foundation for our findings. All search strings, Boolean combinations, and database filters are documented in </w:t>
      </w:r>
      <w:r w:rsidR="008A2E23" w:rsidRPr="004600FC">
        <w:rPr>
          <w:rFonts w:ascii="Arial" w:eastAsia="Aptos" w:hAnsi="Arial" w:cs="Arial"/>
          <w:b/>
          <w:bCs/>
          <w:kern w:val="3"/>
          <w:lang w:eastAsia="en-US"/>
          <w14:ligatures w14:val="none"/>
        </w:rPr>
        <w:t xml:space="preserve">Appendix </w:t>
      </w:r>
      <w:r w:rsidR="00164F69" w:rsidRPr="004600FC">
        <w:rPr>
          <w:rFonts w:ascii="Arial" w:eastAsia="Aptos" w:hAnsi="Arial" w:cs="Arial"/>
          <w:b/>
          <w:bCs/>
          <w:kern w:val="3"/>
          <w:lang w:eastAsia="en-US"/>
          <w14:ligatures w14:val="none"/>
        </w:rPr>
        <w:t>C</w:t>
      </w:r>
      <w:r w:rsidR="008A2E23" w:rsidRPr="004600FC">
        <w:rPr>
          <w:rFonts w:ascii="Arial" w:eastAsia="Aptos" w:hAnsi="Arial" w:cs="Arial"/>
          <w:b/>
          <w:bCs/>
          <w:kern w:val="3"/>
          <w:lang w:eastAsia="en-US"/>
          <w14:ligatures w14:val="none"/>
        </w:rPr>
        <w:t>,</w:t>
      </w:r>
      <w:r w:rsidR="008A2E23" w:rsidRPr="004600FC">
        <w:rPr>
          <w:rFonts w:ascii="Arial" w:eastAsia="Aptos" w:hAnsi="Arial" w:cs="Arial"/>
          <w:kern w:val="3"/>
          <w:lang w:eastAsia="en-US"/>
          <w14:ligatures w14:val="none"/>
        </w:rPr>
        <w:t xml:space="preserve"> Search Strategy Log</w:t>
      </w:r>
      <w:r w:rsidR="005974E6">
        <w:rPr>
          <w:rFonts w:ascii="Arial" w:eastAsia="Aptos" w:hAnsi="Arial" w:cs="Arial"/>
          <w:kern w:val="3"/>
          <w:lang w:eastAsia="en-US"/>
          <w14:ligatures w14:val="none"/>
        </w:rPr>
        <w:t>,</w:t>
      </w:r>
      <w:r w:rsidR="008A2E23" w:rsidRPr="004600FC">
        <w:rPr>
          <w:rFonts w:ascii="Arial" w:eastAsia="Aptos" w:hAnsi="Arial" w:cs="Arial"/>
          <w:kern w:val="3"/>
          <w:lang w:eastAsia="en-US"/>
          <w14:ligatures w14:val="none"/>
        </w:rPr>
        <w:t xml:space="preserve"> for transparency and reproducibility.</w:t>
      </w:r>
    </w:p>
    <w:p w14:paraId="11302968" w14:textId="77777777" w:rsidR="009A6178" w:rsidRPr="00871F45" w:rsidRDefault="009A6178" w:rsidP="00D51238">
      <w:pPr>
        <w:suppressAutoHyphens/>
        <w:autoSpaceDN w:val="0"/>
        <w:rPr>
          <w:rFonts w:ascii="Arial" w:eastAsia="Aptos" w:hAnsi="Arial" w:cs="Arial"/>
          <w:kern w:val="3"/>
          <w:lang w:eastAsia="en-US"/>
          <w14:ligatures w14:val="none"/>
        </w:rPr>
      </w:pPr>
    </w:p>
    <w:p w14:paraId="6FB193FB" w14:textId="77777777" w:rsidR="008A2E23" w:rsidRPr="004600FC" w:rsidRDefault="008A2E23" w:rsidP="00D51238">
      <w:pPr>
        <w:suppressAutoHyphens/>
        <w:autoSpaceDN w:val="0"/>
        <w:rPr>
          <w:rFonts w:ascii="Arial" w:eastAsia="Aptos" w:hAnsi="Arial" w:cs="Arial"/>
          <w:kern w:val="3"/>
          <w:sz w:val="24"/>
          <w:szCs w:val="24"/>
          <w:lang w:eastAsia="en-US"/>
          <w14:ligatures w14:val="none"/>
        </w:rPr>
      </w:pPr>
      <w:r w:rsidRPr="004600FC">
        <w:rPr>
          <w:rFonts w:ascii="Arial" w:eastAsia="Aptos" w:hAnsi="Arial" w:cs="Arial"/>
          <w:b/>
          <w:bCs/>
          <w:kern w:val="3"/>
          <w:sz w:val="24"/>
          <w:szCs w:val="24"/>
          <w:lang w:eastAsia="en-US"/>
          <w14:ligatures w14:val="none"/>
        </w:rPr>
        <w:t>Applying Filters</w:t>
      </w:r>
    </w:p>
    <w:p w14:paraId="0A86F6FA" w14:textId="5C10A798" w:rsidR="008A2E23"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Searches were strictly limited to UK-based studies published between 2015 and 2024, focusing exclusively on peer-reviewed journals and English language publications involving participants aged 65 and older (Cochrane, 2022). The selective inclusion of grey literature ensured that we effectively captured essential policy and practice perspectives.</w:t>
      </w:r>
    </w:p>
    <w:p w14:paraId="576DC574" w14:textId="77777777" w:rsidR="00D51238" w:rsidRPr="004600FC" w:rsidRDefault="00D51238" w:rsidP="00D51238">
      <w:pPr>
        <w:suppressAutoHyphens/>
        <w:autoSpaceDN w:val="0"/>
        <w:rPr>
          <w:rFonts w:ascii="Arial" w:eastAsia="Aptos" w:hAnsi="Arial" w:cs="Arial"/>
          <w:kern w:val="3"/>
          <w:lang w:eastAsia="en-US"/>
          <w14:ligatures w14:val="none"/>
        </w:rPr>
      </w:pPr>
    </w:p>
    <w:p w14:paraId="76BD92C8" w14:textId="77777777" w:rsidR="008A2E23" w:rsidRPr="004600FC" w:rsidRDefault="008A2E23"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Search Refinement</w:t>
      </w:r>
    </w:p>
    <w:p w14:paraId="1C03B132" w14:textId="711E7891" w:rsidR="00D51238"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Initial searches yielded broad results, necessitating a strategic refinement of our approach. We rigorously incorporated specific terms</w:t>
      </w:r>
      <w:r w:rsidR="005974E6">
        <w:rPr>
          <w:rFonts w:ascii="Arial" w:eastAsia="Aptos" w:hAnsi="Arial" w:cs="Arial"/>
          <w:kern w:val="3"/>
          <w:lang w:eastAsia="en-US"/>
          <w14:ligatures w14:val="none"/>
        </w:rPr>
        <w:t>, such as “befriending programmes UK” and “older adult loneliness interventions,” to ensure</w:t>
      </w:r>
      <w:r w:rsidRPr="004600FC">
        <w:rPr>
          <w:rFonts w:ascii="Arial" w:eastAsia="Aptos" w:hAnsi="Arial" w:cs="Arial"/>
          <w:kern w:val="3"/>
          <w:lang w:eastAsia="en-US"/>
          <w14:ligatures w14:val="none"/>
        </w:rPr>
        <w:t xml:space="preserve"> consistent identification of relevant literature. Every detail of our search process, including the Boolean combinations used, was meticulously logged to ensure transparency and reproducibility (Moher et al., 2009; Levac, Colquhoun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O’Brien, 2010).</w:t>
      </w:r>
    </w:p>
    <w:p w14:paraId="6F01A131" w14:textId="77777777" w:rsidR="005974E6" w:rsidRPr="004600FC" w:rsidRDefault="005974E6" w:rsidP="00D51238">
      <w:pPr>
        <w:suppressAutoHyphens/>
        <w:autoSpaceDN w:val="0"/>
        <w:rPr>
          <w:rFonts w:ascii="Arial" w:eastAsia="Aptos" w:hAnsi="Arial" w:cs="Arial"/>
          <w:kern w:val="3"/>
          <w:lang w:eastAsia="en-US"/>
          <w14:ligatures w14:val="none"/>
        </w:rPr>
      </w:pPr>
    </w:p>
    <w:p w14:paraId="797A9563"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3.5 Inclusion and Exclusion Criteria</w:t>
      </w:r>
    </w:p>
    <w:p w14:paraId="6EC1E136" w14:textId="77777777" w:rsidR="008A2E23" w:rsidRPr="004600FC" w:rsidRDefault="008A2E23"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Inclusion Criteria:</w:t>
      </w:r>
    </w:p>
    <w:p w14:paraId="1EE9C456" w14:textId="31DC5E6E" w:rsidR="008A2E23" w:rsidRPr="004600FC" w:rsidRDefault="008A2E23">
      <w:pPr>
        <w:numPr>
          <w:ilvl w:val="0"/>
          <w:numId w:val="3"/>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UK-based research (Victor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Yang, 2012)</w:t>
      </w:r>
    </w:p>
    <w:p w14:paraId="091DEA7E" w14:textId="4248FC7C" w:rsidR="008A2E23" w:rsidRPr="00592832" w:rsidRDefault="00592832">
      <w:pPr>
        <w:numPr>
          <w:ilvl w:val="0"/>
          <w:numId w:val="3"/>
        </w:numPr>
        <w:suppressAutoHyphens/>
        <w:autoSpaceDN w:val="0"/>
        <w:contextualSpacing/>
        <w:rPr>
          <w:rFonts w:ascii="Arial" w:eastAsia="Aptos" w:hAnsi="Arial" w:cs="Arial"/>
          <w:kern w:val="3"/>
          <w:lang w:eastAsia="en-US"/>
          <w14:ligatures w14:val="none"/>
        </w:rPr>
      </w:pPr>
      <w:r w:rsidRPr="00592832">
        <w:rPr>
          <w:rFonts w:ascii="Arial" w:eastAsia="Aptos" w:hAnsi="Arial" w:cs="Arial"/>
          <w:kern w:val="3"/>
          <w:lang w:eastAsia="en-US"/>
          <w14:ligatures w14:val="none"/>
        </w:rPr>
        <w:t>Primarily published between 2015 and 202</w:t>
      </w:r>
      <w:r w:rsidR="00E46C5A">
        <w:rPr>
          <w:rFonts w:ascii="Arial" w:eastAsia="Aptos" w:hAnsi="Arial" w:cs="Arial"/>
          <w:kern w:val="3"/>
          <w:lang w:eastAsia="en-US"/>
          <w14:ligatures w14:val="none"/>
        </w:rPr>
        <w:t>5</w:t>
      </w:r>
      <w:r w:rsidRPr="00592832">
        <w:rPr>
          <w:rFonts w:ascii="Arial" w:eastAsia="Aptos" w:hAnsi="Arial" w:cs="Arial"/>
          <w:kern w:val="3"/>
          <w:lang w:eastAsia="en-US"/>
          <w14:ligatures w14:val="none"/>
        </w:rPr>
        <w:t>, with selected earlier seminal sources included for theoretical and contextual relevance</w:t>
      </w:r>
      <w:r>
        <w:rPr>
          <w:rFonts w:ascii="Arial" w:eastAsia="Aptos" w:hAnsi="Arial" w:cs="Arial"/>
          <w:kern w:val="3"/>
          <w:lang w:eastAsia="en-US"/>
          <w14:ligatures w14:val="none"/>
        </w:rPr>
        <w:t xml:space="preserve"> </w:t>
      </w:r>
      <w:r w:rsidR="008A2E23" w:rsidRPr="00592832">
        <w:rPr>
          <w:rFonts w:ascii="Arial" w:eastAsia="Aptos" w:hAnsi="Arial" w:cs="Arial"/>
          <w:kern w:val="3"/>
          <w:lang w:eastAsia="en-US"/>
          <w14:ligatures w14:val="none"/>
        </w:rPr>
        <w:t>(</w:t>
      </w:r>
      <w:r w:rsidR="00F022A7" w:rsidRPr="00592832">
        <w:rPr>
          <w:rFonts w:ascii="Arial" w:eastAsia="Aptos" w:hAnsi="Arial" w:cs="Arial"/>
          <w:kern w:val="3"/>
          <w:lang w:eastAsia="en-US"/>
          <w14:ligatures w14:val="none"/>
        </w:rPr>
        <w:t>Office for National Statistics</w:t>
      </w:r>
      <w:r w:rsidR="008A2E23" w:rsidRPr="00592832">
        <w:rPr>
          <w:rFonts w:ascii="Arial" w:eastAsia="Aptos" w:hAnsi="Arial" w:cs="Arial"/>
          <w:kern w:val="3"/>
          <w:lang w:eastAsia="en-US"/>
          <w14:ligatures w14:val="none"/>
        </w:rPr>
        <w:t>, 2025)</w:t>
      </w:r>
    </w:p>
    <w:p w14:paraId="5BB98FAE" w14:textId="77777777" w:rsidR="008A2E23" w:rsidRPr="004600FC" w:rsidRDefault="008A2E23">
      <w:pPr>
        <w:numPr>
          <w:ilvl w:val="0"/>
          <w:numId w:val="3"/>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Peer-reviewed or official organisational reports (Age UK, 2024)</w:t>
      </w:r>
    </w:p>
    <w:p w14:paraId="78C9F0FB" w14:textId="53613056" w:rsidR="008A2E23" w:rsidRPr="004600FC" w:rsidRDefault="008A2E23">
      <w:pPr>
        <w:numPr>
          <w:ilvl w:val="0"/>
          <w:numId w:val="3"/>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lastRenderedPageBreak/>
        <w:t xml:space="preserve">Focus on social isolation, loneliness, mental health outcomes (Cacioppo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Cacioppo, 2018)</w:t>
      </w:r>
    </w:p>
    <w:p w14:paraId="762EC72A" w14:textId="77777777" w:rsidR="008A2E23" w:rsidRPr="004600FC" w:rsidRDefault="008A2E23">
      <w:pPr>
        <w:numPr>
          <w:ilvl w:val="0"/>
          <w:numId w:val="3"/>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Participants aged 65+ (McKinlay et al., 2021)</w:t>
      </w:r>
    </w:p>
    <w:p w14:paraId="7B9B8B5E" w14:textId="77777777" w:rsidR="008A2E23" w:rsidRDefault="008A2E23">
      <w:pPr>
        <w:numPr>
          <w:ilvl w:val="0"/>
          <w:numId w:val="3"/>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Community-based interventions (Lee et al., 2022)</w:t>
      </w:r>
    </w:p>
    <w:p w14:paraId="36F52BEC" w14:textId="77777777" w:rsidR="006E2537" w:rsidRDefault="006E2537" w:rsidP="006E2537">
      <w:pPr>
        <w:suppressAutoHyphens/>
        <w:autoSpaceDN w:val="0"/>
        <w:ind w:left="360"/>
        <w:contextualSpacing/>
        <w:rPr>
          <w:rFonts w:ascii="Arial" w:eastAsia="Aptos" w:hAnsi="Arial" w:cs="Arial"/>
          <w:kern w:val="3"/>
          <w:lang w:eastAsia="en-US"/>
          <w14:ligatures w14:val="none"/>
        </w:rPr>
      </w:pPr>
    </w:p>
    <w:p w14:paraId="61564854" w14:textId="77777777" w:rsidR="006E2537" w:rsidRPr="004600FC" w:rsidRDefault="006E2537" w:rsidP="006E2537">
      <w:pPr>
        <w:suppressAutoHyphens/>
        <w:autoSpaceDN w:val="0"/>
        <w:ind w:left="360"/>
        <w:contextualSpacing/>
        <w:rPr>
          <w:rFonts w:ascii="Arial" w:eastAsia="Aptos" w:hAnsi="Arial" w:cs="Arial"/>
          <w:kern w:val="3"/>
          <w:lang w:eastAsia="en-US"/>
          <w14:ligatures w14:val="none"/>
        </w:rPr>
      </w:pPr>
    </w:p>
    <w:p w14:paraId="193E91C2" w14:textId="77777777" w:rsidR="008A2E23" w:rsidRPr="004600FC" w:rsidRDefault="008A2E23"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Exclusion Criteria:</w:t>
      </w:r>
    </w:p>
    <w:p w14:paraId="106A75A7" w14:textId="77777777" w:rsidR="008A2E23" w:rsidRPr="004600FC" w:rsidRDefault="008A2E23">
      <w:pPr>
        <w:numPr>
          <w:ilvl w:val="0"/>
          <w:numId w:val="4"/>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Non-UK studies (Shankar et al., 2011)</w:t>
      </w:r>
    </w:p>
    <w:p w14:paraId="5F3047A8" w14:textId="77777777" w:rsidR="008A2E23" w:rsidRPr="004600FC" w:rsidRDefault="008A2E23">
      <w:pPr>
        <w:numPr>
          <w:ilvl w:val="0"/>
          <w:numId w:val="4"/>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Opinion pieces, blogs, or non-academic commentary</w:t>
      </w:r>
    </w:p>
    <w:p w14:paraId="5A39D684" w14:textId="77777777" w:rsidR="008A2E23" w:rsidRPr="004600FC" w:rsidRDefault="008A2E23">
      <w:pPr>
        <w:numPr>
          <w:ilvl w:val="0"/>
          <w:numId w:val="4"/>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Pre-2015 publications (policy and practice context shifted)</w:t>
      </w:r>
    </w:p>
    <w:p w14:paraId="77E761AA" w14:textId="77777777" w:rsidR="008A2E23" w:rsidRPr="004600FC" w:rsidRDefault="008A2E23">
      <w:pPr>
        <w:numPr>
          <w:ilvl w:val="0"/>
          <w:numId w:val="4"/>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Populations under 65 (Victor et al., 2005)</w:t>
      </w:r>
    </w:p>
    <w:p w14:paraId="029A9D30" w14:textId="77777777" w:rsidR="008A2E23" w:rsidRPr="004600FC" w:rsidRDefault="008A2E23">
      <w:pPr>
        <w:numPr>
          <w:ilvl w:val="0"/>
          <w:numId w:val="4"/>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Interventions unrelated to mental health or loneliness outcomes (Holt-Lunstad et al., 2015)</w:t>
      </w:r>
    </w:p>
    <w:p w14:paraId="72A0FB9B" w14:textId="77777777" w:rsidR="00BC450B" w:rsidRDefault="00BC450B" w:rsidP="00BC450B">
      <w:pPr>
        <w:suppressAutoHyphens/>
        <w:autoSpaceDN w:val="0"/>
        <w:contextualSpacing/>
        <w:rPr>
          <w:rFonts w:ascii="Arial" w:eastAsia="Aptos" w:hAnsi="Arial" w:cs="Arial"/>
          <w:kern w:val="3"/>
          <w:lang w:eastAsia="en-US"/>
          <w14:ligatures w14:val="none"/>
        </w:rPr>
      </w:pPr>
    </w:p>
    <w:p w14:paraId="0E706F99" w14:textId="4919821A" w:rsidR="008E47E2" w:rsidRPr="00D51238" w:rsidRDefault="008A2E23" w:rsidP="00BC450B">
      <w:p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This ensured a relevant, reliable evidence base aligned with research objectives (Liberati et al., 2009).</w:t>
      </w:r>
    </w:p>
    <w:p w14:paraId="034C4723" w14:textId="77777777" w:rsidR="00D51238" w:rsidRDefault="00D51238" w:rsidP="00D51238">
      <w:pPr>
        <w:suppressAutoHyphens/>
        <w:autoSpaceDN w:val="0"/>
        <w:rPr>
          <w:rFonts w:ascii="Arial" w:eastAsia="Aptos" w:hAnsi="Arial" w:cs="Arial"/>
          <w:kern w:val="3"/>
          <w:lang w:eastAsia="en-US"/>
          <w14:ligatures w14:val="none"/>
        </w:rPr>
      </w:pPr>
    </w:p>
    <w:p w14:paraId="3B506782" w14:textId="42E5C1E5"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3.6 Research Validation</w:t>
      </w:r>
    </w:p>
    <w:p w14:paraId="169FB98B" w14:textId="77777777" w:rsidR="008A2E23" w:rsidRPr="004600FC" w:rsidRDefault="008A2E23"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Skimming Techniques</w:t>
      </w:r>
    </w:p>
    <w:p w14:paraId="78920C77" w14:textId="4A59D662" w:rsidR="00D51238"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Titles, abstracts, and conclusions were systematically screened to efficiently determine relevance. </w:t>
      </w:r>
      <w:r w:rsidR="009E3679" w:rsidRPr="009E3679">
        <w:rPr>
          <w:rFonts w:ascii="Arial" w:eastAsia="Aptos" w:hAnsi="Arial" w:cs="Arial"/>
          <w:kern w:val="3"/>
          <w:lang w:eastAsia="en-US"/>
          <w14:ligatures w14:val="none"/>
        </w:rPr>
        <w:t>Quick initial screening helps manage sources more efficiently</w:t>
      </w:r>
      <w:r w:rsidR="009E3679">
        <w:rPr>
          <w:rFonts w:ascii="Arial" w:eastAsia="Aptos" w:hAnsi="Arial" w:cs="Arial"/>
          <w:kern w:val="3"/>
          <w:lang w:eastAsia="en-US"/>
          <w14:ligatures w14:val="none"/>
        </w:rPr>
        <w:t xml:space="preserve"> </w:t>
      </w:r>
      <w:r w:rsidRPr="004600FC">
        <w:rPr>
          <w:rFonts w:ascii="Arial" w:eastAsia="Aptos" w:hAnsi="Arial" w:cs="Arial"/>
          <w:kern w:val="3"/>
          <w:lang w:eastAsia="en-US"/>
          <w14:ligatures w14:val="none"/>
        </w:rPr>
        <w:t>in systematic reviews (Waffenschmidt et al., 2019).</w:t>
      </w:r>
    </w:p>
    <w:p w14:paraId="4094792F" w14:textId="77777777" w:rsidR="0049540F" w:rsidRPr="004600FC" w:rsidRDefault="0049540F" w:rsidP="00D51238">
      <w:pPr>
        <w:suppressAutoHyphens/>
        <w:autoSpaceDN w:val="0"/>
        <w:rPr>
          <w:rFonts w:ascii="Arial" w:eastAsia="Aptos" w:hAnsi="Arial" w:cs="Arial"/>
          <w:kern w:val="3"/>
          <w:lang w:eastAsia="en-US"/>
          <w14:ligatures w14:val="none"/>
        </w:rPr>
      </w:pPr>
    </w:p>
    <w:p w14:paraId="29332DEE" w14:textId="77777777" w:rsidR="008A2E23" w:rsidRPr="004600FC" w:rsidRDefault="008A2E23"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CRAAP Test</w:t>
      </w:r>
    </w:p>
    <w:p w14:paraId="2CE5372A" w14:textId="7FB12809" w:rsidR="00803EF7"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Meriam Library (n.d.) Evaluating information: The CRAAP test was </w:t>
      </w:r>
      <w:r w:rsidR="005974E6">
        <w:rPr>
          <w:rFonts w:ascii="Arial" w:eastAsia="Aptos" w:hAnsi="Arial" w:cs="Arial"/>
          <w:kern w:val="3"/>
          <w:lang w:eastAsia="en-US"/>
          <w14:ligatures w14:val="none"/>
        </w:rPr>
        <w:t>applied rigorously to assess</w:t>
      </w:r>
      <w:r w:rsidRPr="004600FC">
        <w:rPr>
          <w:rFonts w:ascii="Arial" w:eastAsia="Aptos" w:hAnsi="Arial" w:cs="Arial"/>
          <w:kern w:val="3"/>
          <w:lang w:eastAsia="en-US"/>
          <w14:ligatures w14:val="none"/>
        </w:rPr>
        <w:t xml:space="preserve"> Currency, Relevance, Authority, Accuracy, and Purpose. Sources were prioritised based on their Currency, Relevance, and Authority, with a strong emphasis on those presenting peer-reviewed evidence or official statistics (Coughlan, Cronin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Ryan, 2013).</w:t>
      </w:r>
    </w:p>
    <w:p w14:paraId="7DA85D7F" w14:textId="77777777" w:rsidR="0049540F" w:rsidRDefault="0049540F" w:rsidP="00D51238">
      <w:pPr>
        <w:suppressAutoHyphens/>
        <w:autoSpaceDN w:val="0"/>
        <w:rPr>
          <w:rFonts w:ascii="Arial" w:eastAsia="Aptos" w:hAnsi="Arial" w:cs="Arial"/>
          <w:kern w:val="3"/>
          <w:lang w:eastAsia="en-US"/>
          <w14:ligatures w14:val="none"/>
        </w:rPr>
      </w:pPr>
    </w:p>
    <w:p w14:paraId="0EC1340D" w14:textId="77777777" w:rsidR="0049540F" w:rsidRDefault="0049540F" w:rsidP="00D51238">
      <w:pPr>
        <w:suppressAutoHyphens/>
        <w:autoSpaceDN w:val="0"/>
        <w:rPr>
          <w:rFonts w:ascii="Arial" w:eastAsia="Aptos" w:hAnsi="Arial" w:cs="Arial"/>
          <w:kern w:val="3"/>
          <w:lang w:eastAsia="en-US"/>
          <w14:ligatures w14:val="none"/>
        </w:rPr>
      </w:pPr>
    </w:p>
    <w:p w14:paraId="1FC4C7DA" w14:textId="77777777" w:rsidR="0049540F" w:rsidRPr="009A6178" w:rsidRDefault="0049540F" w:rsidP="00D51238">
      <w:pPr>
        <w:suppressAutoHyphens/>
        <w:autoSpaceDN w:val="0"/>
        <w:rPr>
          <w:rFonts w:ascii="Arial" w:eastAsia="Aptos" w:hAnsi="Arial" w:cs="Arial"/>
          <w:kern w:val="3"/>
          <w:lang w:eastAsia="en-US"/>
          <w14:ligatures w14:val="none"/>
        </w:rPr>
      </w:pPr>
    </w:p>
    <w:p w14:paraId="5F5976F3" w14:textId="10BC8FCC" w:rsidR="008A2E23" w:rsidRPr="004600FC" w:rsidRDefault="008A2E23"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lastRenderedPageBreak/>
        <w:t>Decision-Making</w:t>
      </w:r>
    </w:p>
    <w:p w14:paraId="4744DCB9" w14:textId="738243D7" w:rsidR="00803EF7"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Sources were included only when the methodology was transparent, and the outcomes were directly relevant. Evaluations of social prescribing programs were included if they measured mental health impacts, while anecdotal community reports were categorically excluded (Dickens et al., 2011; Hoffmann et al., 2014).</w:t>
      </w:r>
    </w:p>
    <w:p w14:paraId="67ECDE0F" w14:textId="77777777" w:rsidR="0049540F" w:rsidRDefault="0049540F" w:rsidP="00D51238">
      <w:pPr>
        <w:suppressAutoHyphens/>
        <w:autoSpaceDN w:val="0"/>
        <w:rPr>
          <w:rFonts w:ascii="Arial" w:eastAsia="Aptos" w:hAnsi="Arial" w:cs="Arial"/>
          <w:kern w:val="3"/>
          <w:lang w:eastAsia="en-US"/>
          <w14:ligatures w14:val="none"/>
        </w:rPr>
      </w:pPr>
    </w:p>
    <w:p w14:paraId="43DFD73A" w14:textId="7F64AF05"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3.7 Data Extraction and Management</w:t>
      </w:r>
    </w:p>
    <w:p w14:paraId="7D50B305" w14:textId="77777777" w:rsidR="008A2E23" w:rsidRPr="004600FC"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Data extraction was conducted using a structured evidence table to ensure consistency in recording key information across studies:</w:t>
      </w:r>
    </w:p>
    <w:p w14:paraId="1BF0B6B0" w14:textId="77777777" w:rsidR="008A2E23" w:rsidRPr="004600FC" w:rsidRDefault="008A2E23">
      <w:pPr>
        <w:numPr>
          <w:ilvl w:val="0"/>
          <w:numId w:val="5"/>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Author(s) and year</w:t>
      </w:r>
    </w:p>
    <w:p w14:paraId="7C9D38C1" w14:textId="77777777" w:rsidR="008A2E23" w:rsidRPr="004600FC" w:rsidRDefault="008A2E23">
      <w:pPr>
        <w:numPr>
          <w:ilvl w:val="0"/>
          <w:numId w:val="5"/>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Study design and sample characteristics</w:t>
      </w:r>
    </w:p>
    <w:p w14:paraId="36973482" w14:textId="77777777" w:rsidR="008A2E23" w:rsidRPr="004600FC" w:rsidRDefault="008A2E23">
      <w:pPr>
        <w:numPr>
          <w:ilvl w:val="0"/>
          <w:numId w:val="5"/>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Intervention type and delivery</w:t>
      </w:r>
    </w:p>
    <w:p w14:paraId="61C62462" w14:textId="77777777" w:rsidR="008A2E23" w:rsidRPr="004600FC" w:rsidRDefault="008A2E23">
      <w:pPr>
        <w:numPr>
          <w:ilvl w:val="0"/>
          <w:numId w:val="5"/>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Outcomes on social isolation and mental health</w:t>
      </w:r>
    </w:p>
    <w:p w14:paraId="096EB68C" w14:textId="77777777" w:rsidR="008A2E23" w:rsidRDefault="008A2E23">
      <w:pPr>
        <w:numPr>
          <w:ilvl w:val="0"/>
          <w:numId w:val="5"/>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Limitations and research gaps</w:t>
      </w:r>
    </w:p>
    <w:p w14:paraId="64057D60" w14:textId="77777777" w:rsidR="00701BE7" w:rsidRDefault="00701BE7" w:rsidP="00D51238">
      <w:pPr>
        <w:suppressAutoHyphens/>
        <w:autoSpaceDN w:val="0"/>
        <w:rPr>
          <w:rFonts w:ascii="Arial" w:eastAsia="Aptos" w:hAnsi="Arial" w:cs="Arial"/>
          <w:kern w:val="3"/>
          <w:lang w:eastAsia="en-US"/>
          <w14:ligatures w14:val="none"/>
        </w:rPr>
      </w:pPr>
    </w:p>
    <w:p w14:paraId="51C71054" w14:textId="47577108" w:rsidR="00D51238"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This allowed sorting by theme, study quality, and type of evidence (Cooper, 2016; Liberati et al., 2009). Key data were extracted into a structured spreadsheet (see </w:t>
      </w:r>
      <w:r w:rsidRPr="004600FC">
        <w:rPr>
          <w:rFonts w:ascii="Arial" w:eastAsia="Aptos" w:hAnsi="Arial" w:cs="Arial"/>
          <w:b/>
          <w:bCs/>
          <w:kern w:val="3"/>
          <w:lang w:eastAsia="en-US"/>
          <w14:ligatures w14:val="none"/>
        </w:rPr>
        <w:t xml:space="preserve">Appendix </w:t>
      </w:r>
      <w:r w:rsidR="001936DD" w:rsidRPr="004600FC">
        <w:rPr>
          <w:rFonts w:ascii="Arial" w:eastAsia="Aptos" w:hAnsi="Arial" w:cs="Arial"/>
          <w:b/>
          <w:bCs/>
          <w:kern w:val="3"/>
          <w:lang w:eastAsia="en-US"/>
          <w14:ligatures w14:val="none"/>
        </w:rPr>
        <w:t>D</w:t>
      </w:r>
      <w:r w:rsidRPr="004600FC">
        <w:rPr>
          <w:rFonts w:ascii="Arial" w:eastAsia="Aptos" w:hAnsi="Arial" w:cs="Arial"/>
          <w:kern w:val="3"/>
          <w:lang w:eastAsia="en-US"/>
          <w14:ligatures w14:val="none"/>
        </w:rPr>
        <w:t>: Source Table), including author(s), year, study design, sample characteristics, intervention type, outcomes, and limitations.</w:t>
      </w:r>
    </w:p>
    <w:p w14:paraId="63B961BC" w14:textId="77777777" w:rsidR="00E46C5A" w:rsidRPr="00E46C5A" w:rsidRDefault="00E46C5A" w:rsidP="00D51238">
      <w:pPr>
        <w:suppressAutoHyphens/>
        <w:autoSpaceDN w:val="0"/>
        <w:rPr>
          <w:rFonts w:ascii="Arial" w:eastAsia="Aptos" w:hAnsi="Arial" w:cs="Arial"/>
          <w:kern w:val="3"/>
          <w:lang w:eastAsia="en-US"/>
          <w14:ligatures w14:val="none"/>
        </w:rPr>
      </w:pPr>
    </w:p>
    <w:p w14:paraId="625E28F8"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3.8 Data Analysis: Thematic Analysis</w:t>
      </w:r>
    </w:p>
    <w:p w14:paraId="70FDE3FD" w14:textId="77777777" w:rsidR="00A72D63" w:rsidRDefault="00A72D63" w:rsidP="00A72D63">
      <w:pPr>
        <w:suppressAutoHyphens/>
        <w:autoSpaceDN w:val="0"/>
        <w:contextualSpacing/>
        <w:rPr>
          <w:rFonts w:ascii="Arial" w:eastAsia="Aptos" w:hAnsi="Arial" w:cs="Arial"/>
          <w:kern w:val="3"/>
          <w:lang w:eastAsia="en-US"/>
          <w14:ligatures w14:val="none"/>
        </w:rPr>
      </w:pPr>
      <w:r w:rsidRPr="00A72D63">
        <w:rPr>
          <w:rFonts w:ascii="Arial" w:eastAsia="Aptos" w:hAnsi="Arial" w:cs="Arial"/>
          <w:kern w:val="3"/>
          <w:lang w:eastAsia="en-US"/>
          <w14:ligatures w14:val="none"/>
        </w:rPr>
        <w:t>An inductive thematic analysis was performed utilising Braun and Clarke’s (2006) six-phase framework, modified for systematic review synthesis (Nowell et al., 2017). The codes were examined and adjusted to ensure that the themes accurately reflected patterns in the literature and were consistent with the research questions. Initial codes were derived from recurring ideas and grouped into broader themes:</w:t>
      </w:r>
    </w:p>
    <w:p w14:paraId="0D7A270C" w14:textId="77777777" w:rsidR="00A72D63" w:rsidRDefault="00A72D63" w:rsidP="00A72D63">
      <w:pPr>
        <w:suppressAutoHyphens/>
        <w:autoSpaceDN w:val="0"/>
        <w:contextualSpacing/>
        <w:rPr>
          <w:rFonts w:ascii="Arial" w:eastAsia="Aptos" w:hAnsi="Arial" w:cs="Arial"/>
          <w:kern w:val="3"/>
          <w:lang w:eastAsia="en-US"/>
          <w14:ligatures w14:val="none"/>
        </w:rPr>
      </w:pPr>
    </w:p>
    <w:p w14:paraId="00152392" w14:textId="3871635E" w:rsidR="008A2E23" w:rsidRPr="004600FC" w:rsidRDefault="008A2E23">
      <w:pPr>
        <w:numPr>
          <w:ilvl w:val="0"/>
          <w:numId w:val="6"/>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Mental health impacts (Shankar et al., 2011)   </w:t>
      </w:r>
    </w:p>
    <w:p w14:paraId="46024047" w14:textId="77777777" w:rsidR="008A2E23" w:rsidRPr="004600FC" w:rsidRDefault="008A2E23">
      <w:pPr>
        <w:numPr>
          <w:ilvl w:val="0"/>
          <w:numId w:val="6"/>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Effectiveness of community interventions (Fakoya et al., 2020)  </w:t>
      </w:r>
    </w:p>
    <w:p w14:paraId="5F68AC06" w14:textId="7AFEF641" w:rsidR="008A2E23" w:rsidRPr="004600FC" w:rsidRDefault="008A2E23">
      <w:pPr>
        <w:numPr>
          <w:ilvl w:val="0"/>
          <w:numId w:val="6"/>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Barriers to participation (Kharicha et al., 2019</w:t>
      </w:r>
      <w:r w:rsidR="002220FF">
        <w:rPr>
          <w:rFonts w:ascii="Arial" w:eastAsia="Aptos" w:hAnsi="Arial" w:cs="Arial"/>
          <w:kern w:val="3"/>
          <w:lang w:eastAsia="en-US"/>
          <w14:ligatures w14:val="none"/>
        </w:rPr>
        <w:t>a</w:t>
      </w:r>
      <w:r w:rsidRPr="004600FC">
        <w:rPr>
          <w:rFonts w:ascii="Arial" w:eastAsia="Aptos" w:hAnsi="Arial" w:cs="Arial"/>
          <w:kern w:val="3"/>
          <w:lang w:eastAsia="en-US"/>
          <w14:ligatures w14:val="none"/>
        </w:rPr>
        <w:t xml:space="preserve">)  </w:t>
      </w:r>
    </w:p>
    <w:p w14:paraId="619FF655" w14:textId="096A1001" w:rsidR="008D018E" w:rsidRPr="00701BE7" w:rsidRDefault="008A2E23">
      <w:pPr>
        <w:numPr>
          <w:ilvl w:val="0"/>
          <w:numId w:val="6"/>
        </w:num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Digital exclusion and technology engagement (Holt-Lunstad et al., 2015)  </w:t>
      </w:r>
    </w:p>
    <w:p w14:paraId="0057FF3B" w14:textId="038FB85C" w:rsidR="008A2E23" w:rsidRDefault="008D018E" w:rsidP="00D51238">
      <w:pPr>
        <w:suppressAutoHyphens/>
        <w:autoSpaceDN w:val="0"/>
        <w:contextualSpacing/>
        <w:rPr>
          <w:rFonts w:ascii="Arial" w:eastAsia="Aptos" w:hAnsi="Arial" w:cs="Arial"/>
          <w:kern w:val="3"/>
          <w:lang w:eastAsia="en-US"/>
          <w14:ligatures w14:val="none"/>
        </w:rPr>
      </w:pPr>
      <w:r w:rsidRPr="004600FC">
        <w:rPr>
          <w:rFonts w:ascii="Arial" w:eastAsia="Aptos" w:hAnsi="Arial" w:cs="Arial"/>
          <w:kern w:val="3"/>
          <w:lang w:eastAsia="en-US"/>
          <w14:ligatures w14:val="none"/>
        </w:rPr>
        <w:lastRenderedPageBreak/>
        <w:t xml:space="preserve">Key findings from the included studies were summarised and mapped to these themes on a results summary sheet (see </w:t>
      </w:r>
      <w:r w:rsidRPr="004600FC">
        <w:rPr>
          <w:rFonts w:ascii="Arial" w:eastAsia="Aptos" w:hAnsi="Arial" w:cs="Arial"/>
          <w:b/>
          <w:bCs/>
          <w:kern w:val="3"/>
          <w:lang w:eastAsia="en-US"/>
          <w14:ligatures w14:val="none"/>
        </w:rPr>
        <w:t xml:space="preserve">Appendix </w:t>
      </w:r>
      <w:r w:rsidR="00F50F90" w:rsidRPr="004600FC">
        <w:rPr>
          <w:rFonts w:ascii="Arial" w:eastAsia="Aptos" w:hAnsi="Arial" w:cs="Arial"/>
          <w:b/>
          <w:bCs/>
          <w:kern w:val="3"/>
          <w:lang w:eastAsia="en-US"/>
          <w14:ligatures w14:val="none"/>
        </w:rPr>
        <w:t>E</w:t>
      </w:r>
      <w:r w:rsidRPr="004600FC">
        <w:rPr>
          <w:rFonts w:ascii="Arial" w:eastAsia="Aptos" w:hAnsi="Arial" w:cs="Arial"/>
          <w:kern w:val="3"/>
          <w:lang w:eastAsia="en-US"/>
          <w14:ligatures w14:val="none"/>
        </w:rPr>
        <w:t xml:space="preserve">), thereby supporting transparency in the thematic analysis process. </w:t>
      </w:r>
      <w:r w:rsidR="008A2E23" w:rsidRPr="004600FC">
        <w:rPr>
          <w:rFonts w:ascii="Arial" w:eastAsia="Aptos" w:hAnsi="Arial" w:cs="Arial"/>
          <w:kern w:val="3"/>
          <w:lang w:eastAsia="en-US"/>
          <w14:ligatures w14:val="none"/>
        </w:rPr>
        <w:t xml:space="preserve">This robust approach enabled the synthesis of both qualitative and quantitative insights for Chapter 4 (Thomas </w:t>
      </w:r>
      <w:r w:rsidR="00307BBD">
        <w:rPr>
          <w:rFonts w:ascii="Arial" w:eastAsia="Aptos" w:hAnsi="Arial" w:cs="Arial"/>
          <w:kern w:val="3"/>
          <w:lang w:eastAsia="en-US"/>
          <w14:ligatures w14:val="none"/>
        </w:rPr>
        <w:t>and</w:t>
      </w:r>
      <w:r w:rsidR="008A2E23" w:rsidRPr="004600FC">
        <w:rPr>
          <w:rFonts w:ascii="Arial" w:eastAsia="Aptos" w:hAnsi="Arial" w:cs="Arial"/>
          <w:kern w:val="3"/>
          <w:lang w:eastAsia="en-US"/>
          <w14:ligatures w14:val="none"/>
        </w:rPr>
        <w:t xml:space="preserve"> Harden, 2008).</w:t>
      </w:r>
    </w:p>
    <w:p w14:paraId="688888E2" w14:textId="77777777" w:rsidR="00F50F90" w:rsidRDefault="00F50F90" w:rsidP="00D51238">
      <w:pPr>
        <w:suppressAutoHyphens/>
        <w:autoSpaceDN w:val="0"/>
        <w:contextualSpacing/>
        <w:rPr>
          <w:rFonts w:ascii="Arial" w:eastAsia="Aptos" w:hAnsi="Arial" w:cs="Arial"/>
          <w:kern w:val="3"/>
          <w:lang w:eastAsia="en-US"/>
          <w14:ligatures w14:val="none"/>
        </w:rPr>
      </w:pPr>
    </w:p>
    <w:p w14:paraId="70AD5979" w14:textId="77777777" w:rsidR="009A6178" w:rsidRPr="004600FC" w:rsidRDefault="009A6178" w:rsidP="00D51238">
      <w:pPr>
        <w:suppressAutoHyphens/>
        <w:autoSpaceDN w:val="0"/>
        <w:contextualSpacing/>
        <w:rPr>
          <w:rFonts w:ascii="Arial" w:eastAsia="Aptos" w:hAnsi="Arial" w:cs="Arial"/>
          <w:kern w:val="3"/>
          <w:lang w:eastAsia="en-US"/>
          <w14:ligatures w14:val="none"/>
        </w:rPr>
      </w:pPr>
    </w:p>
    <w:p w14:paraId="4AE72837"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3.9 Ethical Considerations</w:t>
      </w:r>
    </w:p>
    <w:p w14:paraId="20FE9F26" w14:textId="6389C5EB" w:rsidR="008A2E23"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This study utilised exclusively publicly available secondary data, ensuring that no personally identifiable information was collected. All original studies obtained informed consent where necessary (NIHR, 2024). </w:t>
      </w:r>
      <w:r w:rsidR="00E46C5A">
        <w:rPr>
          <w:rFonts w:ascii="Arial" w:eastAsia="Aptos" w:hAnsi="Arial" w:cs="Arial"/>
          <w:kern w:val="3"/>
          <w:lang w:eastAsia="en-US"/>
          <w14:ligatures w14:val="none"/>
        </w:rPr>
        <w:t>This study</w:t>
      </w:r>
      <w:r w:rsidRPr="004600FC">
        <w:rPr>
          <w:rFonts w:ascii="Arial" w:eastAsia="Aptos" w:hAnsi="Arial" w:cs="Arial"/>
          <w:kern w:val="3"/>
          <w:lang w:eastAsia="en-US"/>
          <w14:ligatures w14:val="none"/>
        </w:rPr>
        <w:t xml:space="preserve"> rigorously applied Harvard referencing to uphold intellectual property rights (Taylor, 2018) and conducted thorough assessments of all materials for reliability and transparency (Smith, 2018)</w:t>
      </w:r>
    </w:p>
    <w:p w14:paraId="57BA41B8" w14:textId="77777777" w:rsidR="00D51238" w:rsidRPr="004600FC" w:rsidRDefault="00D51238" w:rsidP="00D51238">
      <w:pPr>
        <w:suppressAutoHyphens/>
        <w:autoSpaceDN w:val="0"/>
        <w:rPr>
          <w:rFonts w:ascii="Arial" w:eastAsia="Aptos" w:hAnsi="Arial" w:cs="Arial"/>
          <w:kern w:val="3"/>
          <w:lang w:eastAsia="en-US"/>
          <w14:ligatures w14:val="none"/>
        </w:rPr>
      </w:pPr>
    </w:p>
    <w:p w14:paraId="632C3C82" w14:textId="77777777" w:rsidR="008A2E23" w:rsidRPr="006E2537" w:rsidRDefault="008A2E23"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3.10 Summary</w:t>
      </w:r>
    </w:p>
    <w:p w14:paraId="331A40E9" w14:textId="70911BD2" w:rsidR="008A2E23" w:rsidRPr="004600FC" w:rsidRDefault="008A2E23"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Chapter 3 outlines the comprehensive methodology employed to review literature on social isolation, mental health, and community interventions for older adults in the UK</w:t>
      </w:r>
      <w:r w:rsidR="00F1357B">
        <w:rPr>
          <w:rFonts w:ascii="Arial" w:eastAsia="Aptos" w:hAnsi="Arial" w:cs="Arial"/>
          <w:kern w:val="3"/>
          <w:lang w:eastAsia="en-US"/>
          <w14:ligatures w14:val="none"/>
        </w:rPr>
        <w:t xml:space="preserve"> (Age UK 2023)</w:t>
      </w:r>
      <w:r w:rsidRPr="004600FC">
        <w:rPr>
          <w:rFonts w:ascii="Arial" w:eastAsia="Aptos" w:hAnsi="Arial" w:cs="Arial"/>
          <w:kern w:val="3"/>
          <w:lang w:eastAsia="en-US"/>
          <w14:ligatures w14:val="none"/>
        </w:rPr>
        <w:t xml:space="preserve">. </w:t>
      </w:r>
      <w:r w:rsidR="009E3679" w:rsidRPr="009E3679">
        <w:rPr>
          <w:rFonts w:ascii="Arial" w:eastAsia="Aptos" w:hAnsi="Arial" w:cs="Arial"/>
          <w:kern w:val="3"/>
          <w:lang w:eastAsia="en-US"/>
          <w14:ligatures w14:val="none"/>
        </w:rPr>
        <w:t>Using structured search strategies and screening processes</w:t>
      </w:r>
      <w:r w:rsidRPr="004600FC">
        <w:rPr>
          <w:rFonts w:ascii="Arial" w:eastAsia="Aptos" w:hAnsi="Arial" w:cs="Arial"/>
          <w:kern w:val="3"/>
          <w:lang w:eastAsia="en-US"/>
          <w14:ligatures w14:val="none"/>
        </w:rPr>
        <w:t xml:space="preserve">, CRAAP-based validation, and thematic analysis, </w:t>
      </w:r>
      <w:r w:rsidR="00E46C5A">
        <w:rPr>
          <w:rFonts w:ascii="Arial" w:eastAsia="Aptos" w:hAnsi="Arial" w:cs="Arial"/>
          <w:kern w:val="3"/>
          <w:lang w:eastAsia="en-US"/>
          <w14:ligatures w14:val="none"/>
        </w:rPr>
        <w:t>this study</w:t>
      </w:r>
      <w:r w:rsidRPr="004600FC">
        <w:rPr>
          <w:rFonts w:ascii="Arial" w:eastAsia="Aptos" w:hAnsi="Arial" w:cs="Arial"/>
          <w:kern w:val="3"/>
          <w:lang w:eastAsia="en-US"/>
          <w14:ligatures w14:val="none"/>
        </w:rPr>
        <w:t xml:space="preserve"> established a robust evidence base that serves as the cornerstone for the findings presented in Chapter 4. While secondary research enables a broad synthesis of existing evidence, it is limited by the quality and scope of available studies, which may influence the depth of conclusions drawn.</w:t>
      </w:r>
    </w:p>
    <w:p w14:paraId="7DA65EC9" w14:textId="77777777" w:rsidR="008E47E2" w:rsidRPr="004600FC" w:rsidRDefault="008E47E2" w:rsidP="008A2E23">
      <w:pPr>
        <w:suppressAutoHyphens/>
        <w:autoSpaceDN w:val="0"/>
        <w:rPr>
          <w:rFonts w:ascii="Arial" w:eastAsia="Aptos" w:hAnsi="Arial" w:cs="Arial"/>
          <w:kern w:val="3"/>
          <w:lang w:eastAsia="en-US"/>
          <w14:ligatures w14:val="none"/>
        </w:rPr>
      </w:pPr>
    </w:p>
    <w:p w14:paraId="7A90CDC8" w14:textId="77777777" w:rsidR="008E47E2" w:rsidRPr="004600FC" w:rsidRDefault="008E47E2" w:rsidP="008A2E23">
      <w:pPr>
        <w:suppressAutoHyphens/>
        <w:autoSpaceDN w:val="0"/>
        <w:rPr>
          <w:rFonts w:ascii="Arial" w:eastAsia="Aptos" w:hAnsi="Arial" w:cs="Arial"/>
          <w:kern w:val="3"/>
          <w:lang w:eastAsia="en-US"/>
          <w14:ligatures w14:val="none"/>
        </w:rPr>
      </w:pPr>
    </w:p>
    <w:p w14:paraId="70CC14DB" w14:textId="77777777" w:rsidR="008E47E2" w:rsidRPr="004600FC" w:rsidRDefault="008E47E2" w:rsidP="008A2E23">
      <w:pPr>
        <w:suppressAutoHyphens/>
        <w:autoSpaceDN w:val="0"/>
        <w:rPr>
          <w:rFonts w:ascii="Arial" w:eastAsia="Aptos" w:hAnsi="Arial" w:cs="Arial"/>
          <w:kern w:val="3"/>
          <w:lang w:eastAsia="en-US"/>
          <w14:ligatures w14:val="none"/>
        </w:rPr>
      </w:pPr>
    </w:p>
    <w:p w14:paraId="6CE921A0" w14:textId="77777777" w:rsidR="008E47E2" w:rsidRPr="004600FC" w:rsidRDefault="008E47E2" w:rsidP="008A2E23">
      <w:pPr>
        <w:suppressAutoHyphens/>
        <w:autoSpaceDN w:val="0"/>
        <w:rPr>
          <w:rFonts w:ascii="Arial" w:eastAsia="Aptos" w:hAnsi="Arial" w:cs="Arial"/>
          <w:kern w:val="3"/>
          <w:lang w:eastAsia="en-US"/>
          <w14:ligatures w14:val="none"/>
        </w:rPr>
      </w:pPr>
    </w:p>
    <w:p w14:paraId="305A6DE3" w14:textId="77777777" w:rsidR="008E47E2" w:rsidRPr="004600FC" w:rsidRDefault="008E47E2" w:rsidP="008A2E23">
      <w:pPr>
        <w:suppressAutoHyphens/>
        <w:autoSpaceDN w:val="0"/>
        <w:rPr>
          <w:rFonts w:ascii="Arial" w:eastAsia="Aptos" w:hAnsi="Arial" w:cs="Arial"/>
          <w:kern w:val="3"/>
          <w:lang w:eastAsia="en-US"/>
          <w14:ligatures w14:val="none"/>
        </w:rPr>
      </w:pPr>
    </w:p>
    <w:p w14:paraId="7AC8714F" w14:textId="77777777" w:rsidR="008E47E2" w:rsidRDefault="008E47E2" w:rsidP="008A2E23">
      <w:pPr>
        <w:suppressAutoHyphens/>
        <w:autoSpaceDN w:val="0"/>
        <w:rPr>
          <w:rFonts w:ascii="Arial" w:eastAsia="Aptos" w:hAnsi="Arial" w:cs="Arial"/>
          <w:kern w:val="3"/>
          <w:lang w:eastAsia="en-US"/>
          <w14:ligatures w14:val="none"/>
        </w:rPr>
      </w:pPr>
    </w:p>
    <w:p w14:paraId="6C94C4C7" w14:textId="77777777" w:rsidR="009A6178" w:rsidRDefault="009A6178" w:rsidP="008A2E23">
      <w:pPr>
        <w:suppressAutoHyphens/>
        <w:autoSpaceDN w:val="0"/>
        <w:rPr>
          <w:rFonts w:ascii="Arial" w:eastAsia="Aptos" w:hAnsi="Arial" w:cs="Arial"/>
          <w:kern w:val="3"/>
          <w:lang w:eastAsia="en-US"/>
          <w14:ligatures w14:val="none"/>
        </w:rPr>
      </w:pPr>
    </w:p>
    <w:p w14:paraId="26C0A36F" w14:textId="77777777" w:rsidR="009A6178" w:rsidRDefault="009A6178" w:rsidP="008A2E23">
      <w:pPr>
        <w:suppressAutoHyphens/>
        <w:autoSpaceDN w:val="0"/>
        <w:rPr>
          <w:rFonts w:ascii="Arial" w:eastAsia="Aptos" w:hAnsi="Arial" w:cs="Arial"/>
          <w:kern w:val="3"/>
          <w:lang w:eastAsia="en-US"/>
          <w14:ligatures w14:val="none"/>
        </w:rPr>
      </w:pPr>
    </w:p>
    <w:p w14:paraId="17E4F468" w14:textId="77777777" w:rsidR="00E46C5A" w:rsidRDefault="00E46C5A" w:rsidP="00DC14BD">
      <w:pPr>
        <w:suppressAutoHyphens/>
        <w:autoSpaceDN w:val="0"/>
        <w:rPr>
          <w:rFonts w:ascii="Arial" w:eastAsia="Aptos" w:hAnsi="Arial" w:cs="Arial"/>
          <w:kern w:val="3"/>
          <w:lang w:eastAsia="en-US"/>
          <w14:ligatures w14:val="none"/>
        </w:rPr>
      </w:pPr>
    </w:p>
    <w:p w14:paraId="5E8C54BB" w14:textId="6524D11F" w:rsidR="008E47E2" w:rsidRPr="006E2537" w:rsidRDefault="008E47E2" w:rsidP="008E47E2">
      <w:pPr>
        <w:suppressAutoHyphens/>
        <w:autoSpaceDN w:val="0"/>
        <w:jc w:val="center"/>
        <w:rPr>
          <w:rFonts w:ascii="Arial" w:eastAsia="Aptos" w:hAnsi="Arial" w:cs="Arial"/>
          <w:b/>
          <w:bCs/>
          <w:kern w:val="3"/>
          <w:sz w:val="32"/>
          <w:szCs w:val="32"/>
          <w:u w:val="single"/>
          <w:lang w:eastAsia="en-US"/>
          <w14:ligatures w14:val="none"/>
        </w:rPr>
      </w:pPr>
      <w:r w:rsidRPr="006E2537">
        <w:rPr>
          <w:rFonts w:ascii="Arial" w:eastAsia="Aptos" w:hAnsi="Arial" w:cs="Arial"/>
          <w:b/>
          <w:bCs/>
          <w:kern w:val="3"/>
          <w:sz w:val="32"/>
          <w:szCs w:val="32"/>
          <w:u w:val="single"/>
          <w:lang w:eastAsia="en-US"/>
          <w14:ligatures w14:val="none"/>
        </w:rPr>
        <w:lastRenderedPageBreak/>
        <w:t>Chapter 4</w:t>
      </w:r>
    </w:p>
    <w:p w14:paraId="0B6B5927" w14:textId="77777777" w:rsidR="00D51238" w:rsidRPr="004600FC" w:rsidRDefault="00D51238" w:rsidP="008E47E2">
      <w:pPr>
        <w:suppressAutoHyphens/>
        <w:autoSpaceDN w:val="0"/>
        <w:jc w:val="center"/>
        <w:rPr>
          <w:rFonts w:ascii="Arial" w:eastAsia="Aptos" w:hAnsi="Arial" w:cs="Arial"/>
          <w:b/>
          <w:bCs/>
          <w:kern w:val="3"/>
          <w:sz w:val="28"/>
          <w:szCs w:val="28"/>
          <w:u w:val="single"/>
          <w:lang w:eastAsia="en-US"/>
          <w14:ligatures w14:val="none"/>
        </w:rPr>
      </w:pPr>
    </w:p>
    <w:p w14:paraId="56237CC1" w14:textId="77777777" w:rsidR="009F3B3C" w:rsidRPr="006E2537" w:rsidRDefault="009F3B3C"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4.1 Introduction</w:t>
      </w:r>
    </w:p>
    <w:p w14:paraId="34EF7215" w14:textId="31248F0E" w:rsidR="009F3B3C" w:rsidRDefault="00B751F4"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This chapter presents a thematic analysis of UK-based literature regarding the mental health consequences of social isolation and loneliness in older adults, alongside the effectiveness of community interventions. Informed by peer-reviewed studies, national datasets, government strategies, and reports from voluntary sector organisations, the chapter synthesises key findings into overarching themes. Each theme examines empirical evidence and theoretical perspectives to critically evaluate the interplay between social isolation, mental health, and intervention strategies. This approach provides a comprehensive understanding of factors influencing older adults’ mental well-being and supports evidence-based recommendations for practice and policy.</w:t>
      </w:r>
    </w:p>
    <w:p w14:paraId="16092AE0" w14:textId="77777777" w:rsidR="00D51238" w:rsidRPr="004600FC" w:rsidRDefault="00D51238" w:rsidP="00D51238">
      <w:pPr>
        <w:suppressAutoHyphens/>
        <w:autoSpaceDN w:val="0"/>
        <w:rPr>
          <w:rFonts w:ascii="Arial" w:eastAsia="Aptos" w:hAnsi="Arial" w:cs="Arial"/>
          <w:kern w:val="3"/>
          <w:lang w:eastAsia="en-US"/>
          <w14:ligatures w14:val="none"/>
        </w:rPr>
      </w:pPr>
    </w:p>
    <w:p w14:paraId="0F6810C4" w14:textId="77777777" w:rsidR="00B751F4" w:rsidRPr="006E2537" w:rsidRDefault="00B751F4"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4.2 Thematic Analysis</w:t>
      </w:r>
    </w:p>
    <w:p w14:paraId="1809D792" w14:textId="58DF8236" w:rsidR="00B751F4" w:rsidRDefault="00B751F4"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Thematic analysis is a systematic method for identifying, analysing, and reporting patterns (themes) within qualitative and mixed-methods literature (Braun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Clarke, 2006). In this dissertation, </w:t>
      </w:r>
      <w:r w:rsidR="00D51238">
        <w:rPr>
          <w:rFonts w:ascii="Arial" w:eastAsia="Aptos" w:hAnsi="Arial" w:cs="Arial"/>
          <w:kern w:val="3"/>
          <w:lang w:eastAsia="en-US"/>
          <w14:ligatures w14:val="none"/>
        </w:rPr>
        <w:t>a structured coding framework was applied to UK-based studies on social isolation and loneliness in older adults</w:t>
      </w:r>
      <w:r w:rsidRPr="004600FC">
        <w:rPr>
          <w:rFonts w:ascii="Arial" w:eastAsia="Aptos" w:hAnsi="Arial" w:cs="Arial"/>
          <w:kern w:val="3"/>
          <w:lang w:eastAsia="en-US"/>
          <w14:ligatures w14:val="none"/>
        </w:rPr>
        <w:t>. Studies were categorised by recurring patterns in mental health outcomes, community interventions, barriers to engagement, and technology-related factors, ensuring that both quantitative and qualitative evidence were captured.</w:t>
      </w:r>
    </w:p>
    <w:p w14:paraId="62301487" w14:textId="77777777" w:rsidR="00D51238" w:rsidRPr="004600FC" w:rsidRDefault="00D51238" w:rsidP="00D51238">
      <w:pPr>
        <w:suppressAutoHyphens/>
        <w:autoSpaceDN w:val="0"/>
        <w:rPr>
          <w:rFonts w:ascii="Arial" w:eastAsia="Aptos" w:hAnsi="Arial" w:cs="Arial"/>
          <w:kern w:val="3"/>
          <w:lang w:eastAsia="en-US"/>
          <w14:ligatures w14:val="none"/>
        </w:rPr>
      </w:pPr>
    </w:p>
    <w:p w14:paraId="2705D6A4" w14:textId="77777777" w:rsidR="00B751F4" w:rsidRPr="004600FC" w:rsidRDefault="00B751F4" w:rsidP="00D51238">
      <w:pPr>
        <w:suppressAutoHyphens/>
        <w:autoSpaceDN w:val="0"/>
        <w:rPr>
          <w:rFonts w:ascii="Arial" w:eastAsia="Aptos" w:hAnsi="Arial" w:cs="Arial"/>
          <w:b/>
          <w:bCs/>
          <w:kern w:val="3"/>
          <w:lang w:eastAsia="en-US"/>
          <w14:ligatures w14:val="none"/>
        </w:rPr>
      </w:pPr>
      <w:r w:rsidRPr="004600FC">
        <w:rPr>
          <w:rFonts w:ascii="Arial" w:eastAsia="Aptos" w:hAnsi="Arial" w:cs="Arial"/>
          <w:b/>
          <w:bCs/>
          <w:kern w:val="3"/>
          <w:lang w:eastAsia="en-US"/>
          <w14:ligatures w14:val="none"/>
        </w:rPr>
        <w:t>The four primary themes identified in the analysis are:</w:t>
      </w:r>
    </w:p>
    <w:p w14:paraId="20E40BA7" w14:textId="35EBD1FA" w:rsidR="00B751F4" w:rsidRPr="004600FC" w:rsidRDefault="00B751F4">
      <w:pPr>
        <w:pStyle w:val="ListParagraph"/>
        <w:numPr>
          <w:ilvl w:val="0"/>
          <w:numId w:val="7"/>
        </w:numPr>
        <w:suppressAutoHyphens/>
        <w:spacing w:before="240" w:line="360" w:lineRule="auto"/>
        <w:jc w:val="both"/>
        <w:rPr>
          <w:rFonts w:ascii="Arial" w:eastAsia="Aptos" w:hAnsi="Arial" w:cs="Arial"/>
          <w:kern w:val="3"/>
          <w:lang w:eastAsia="en-US"/>
        </w:rPr>
      </w:pPr>
      <w:r w:rsidRPr="004600FC">
        <w:rPr>
          <w:rFonts w:ascii="Arial" w:eastAsia="Aptos" w:hAnsi="Arial" w:cs="Arial"/>
          <w:kern w:val="3"/>
          <w:lang w:eastAsia="en-US"/>
        </w:rPr>
        <w:t>Mental health impacts: Examining the psychological and emotional consequences of social isolation, including depression, anxiety, and reduced well-being (Shankar et al., 2011).</w:t>
      </w:r>
    </w:p>
    <w:p w14:paraId="75B6D04D" w14:textId="752E1028" w:rsidR="00B751F4" w:rsidRDefault="00B751F4">
      <w:pPr>
        <w:pStyle w:val="ListParagraph"/>
        <w:numPr>
          <w:ilvl w:val="0"/>
          <w:numId w:val="7"/>
        </w:numPr>
        <w:suppressAutoHyphens/>
        <w:spacing w:before="240" w:line="360" w:lineRule="auto"/>
        <w:jc w:val="both"/>
        <w:rPr>
          <w:rFonts w:ascii="Arial" w:eastAsia="Aptos" w:hAnsi="Arial" w:cs="Arial"/>
          <w:kern w:val="3"/>
          <w:lang w:eastAsia="en-US"/>
        </w:rPr>
      </w:pPr>
      <w:r w:rsidRPr="004600FC">
        <w:rPr>
          <w:rFonts w:ascii="Arial" w:eastAsia="Aptos" w:hAnsi="Arial" w:cs="Arial"/>
          <w:kern w:val="3"/>
          <w:lang w:eastAsia="en-US"/>
        </w:rPr>
        <w:t>Effectiveness of community interventions: Evaluating evidence for social prescribing, group activities, and health promotion interventions in improving social engagement and mental well-being (Fakoya et al., 2020).</w:t>
      </w:r>
    </w:p>
    <w:p w14:paraId="0B951DDE" w14:textId="77777777" w:rsidR="002F4CB8" w:rsidRPr="002F4CB8" w:rsidRDefault="002F4CB8" w:rsidP="002F4CB8">
      <w:pPr>
        <w:suppressAutoHyphens/>
        <w:spacing w:before="240"/>
        <w:rPr>
          <w:rFonts w:ascii="Arial" w:eastAsia="Aptos" w:hAnsi="Arial" w:cs="Arial"/>
          <w:kern w:val="3"/>
          <w:lang w:eastAsia="en-US"/>
        </w:rPr>
      </w:pPr>
    </w:p>
    <w:p w14:paraId="289C243D" w14:textId="223A1872" w:rsidR="00B751F4" w:rsidRPr="004600FC" w:rsidRDefault="00B751F4">
      <w:pPr>
        <w:pStyle w:val="ListParagraph"/>
        <w:numPr>
          <w:ilvl w:val="0"/>
          <w:numId w:val="7"/>
        </w:numPr>
        <w:suppressAutoHyphens/>
        <w:spacing w:before="240" w:line="360" w:lineRule="auto"/>
        <w:jc w:val="both"/>
        <w:rPr>
          <w:rFonts w:ascii="Arial" w:eastAsia="Aptos" w:hAnsi="Arial" w:cs="Arial"/>
          <w:kern w:val="3"/>
          <w:lang w:eastAsia="en-US"/>
        </w:rPr>
      </w:pPr>
      <w:r w:rsidRPr="004600FC">
        <w:rPr>
          <w:rFonts w:ascii="Arial" w:eastAsia="Aptos" w:hAnsi="Arial" w:cs="Arial"/>
          <w:kern w:val="3"/>
          <w:lang w:eastAsia="en-US"/>
        </w:rPr>
        <w:lastRenderedPageBreak/>
        <w:t>Barriers to participation: Exploring structural, cultural, and personal factors limiting engagement in community programmes, such as mobility, socioeconomic, and cultural challenges (Kharicha et al., 2019</w:t>
      </w:r>
      <w:r w:rsidR="002220FF">
        <w:rPr>
          <w:rFonts w:ascii="Arial" w:eastAsia="Aptos" w:hAnsi="Arial" w:cs="Arial"/>
          <w:kern w:val="3"/>
          <w:lang w:eastAsia="en-US"/>
        </w:rPr>
        <w:t>a</w:t>
      </w:r>
      <w:r w:rsidRPr="004600FC">
        <w:rPr>
          <w:rFonts w:ascii="Arial" w:eastAsia="Aptos" w:hAnsi="Arial" w:cs="Arial"/>
          <w:kern w:val="3"/>
          <w:lang w:eastAsia="en-US"/>
        </w:rPr>
        <w:t>).</w:t>
      </w:r>
    </w:p>
    <w:p w14:paraId="3835A657" w14:textId="55758CC2" w:rsidR="00B751F4" w:rsidRPr="004600FC" w:rsidRDefault="00B751F4">
      <w:pPr>
        <w:pStyle w:val="ListParagraph"/>
        <w:numPr>
          <w:ilvl w:val="0"/>
          <w:numId w:val="7"/>
        </w:numPr>
        <w:suppressAutoHyphens/>
        <w:spacing w:before="240" w:line="360" w:lineRule="auto"/>
        <w:jc w:val="both"/>
        <w:rPr>
          <w:rFonts w:ascii="Arial" w:eastAsia="Aptos" w:hAnsi="Arial" w:cs="Arial"/>
          <w:kern w:val="3"/>
          <w:lang w:eastAsia="en-US"/>
        </w:rPr>
      </w:pPr>
      <w:r w:rsidRPr="004600FC">
        <w:rPr>
          <w:rFonts w:ascii="Arial" w:eastAsia="Aptos" w:hAnsi="Arial" w:cs="Arial"/>
          <w:kern w:val="3"/>
          <w:lang w:eastAsia="en-US"/>
        </w:rPr>
        <w:t>Digital exclusion and technology engagement: Highlighting how limited access, skills, or confidence in digital technology affects participation in online interventions and social connectivity (Holt-Lunstad et al., 2015).</w:t>
      </w:r>
    </w:p>
    <w:p w14:paraId="40BCBA56" w14:textId="77777777" w:rsidR="00D51238" w:rsidRDefault="00D51238" w:rsidP="00D51238">
      <w:pPr>
        <w:suppressAutoHyphens/>
        <w:autoSpaceDN w:val="0"/>
        <w:rPr>
          <w:rFonts w:ascii="Arial" w:eastAsia="Aptos" w:hAnsi="Arial" w:cs="Arial"/>
          <w:kern w:val="3"/>
          <w:lang w:eastAsia="en-US"/>
          <w14:ligatures w14:val="none"/>
        </w:rPr>
      </w:pPr>
    </w:p>
    <w:p w14:paraId="64FF9FA4" w14:textId="6DE2575F" w:rsidR="00B751F4" w:rsidRDefault="00A0167A" w:rsidP="00D51238">
      <w:pPr>
        <w:suppressAutoHyphens/>
        <w:autoSpaceDN w:val="0"/>
        <w:rPr>
          <w:rFonts w:ascii="Arial" w:eastAsia="Aptos" w:hAnsi="Arial" w:cs="Arial"/>
          <w:kern w:val="3"/>
          <w:lang w:eastAsia="en-US"/>
          <w14:ligatures w14:val="none"/>
        </w:rPr>
      </w:pPr>
      <w:r w:rsidRPr="00A0167A">
        <w:rPr>
          <w:rFonts w:ascii="Arial" w:eastAsia="Aptos" w:hAnsi="Arial" w:cs="Arial"/>
          <w:kern w:val="3"/>
          <w:lang w:eastAsia="en-US"/>
          <w14:ligatures w14:val="none"/>
        </w:rPr>
        <w:t xml:space="preserve">This framework, supported by the coding and results tables in </w:t>
      </w:r>
      <w:r w:rsidRPr="00A0167A">
        <w:rPr>
          <w:rFonts w:ascii="Arial" w:eastAsia="Aptos" w:hAnsi="Arial" w:cs="Arial"/>
          <w:b/>
          <w:bCs/>
          <w:kern w:val="3"/>
          <w:lang w:eastAsia="en-US"/>
          <w14:ligatures w14:val="none"/>
        </w:rPr>
        <w:t>Appendices D and E</w:t>
      </w:r>
      <w:r w:rsidRPr="00A0167A">
        <w:rPr>
          <w:rFonts w:ascii="Arial" w:eastAsia="Aptos" w:hAnsi="Arial" w:cs="Arial"/>
          <w:kern w:val="3"/>
          <w:lang w:eastAsia="en-US"/>
          <w14:ligatures w14:val="none"/>
        </w:rPr>
        <w:t>, provides a cohesive lens for discussing the complex consequences of social isolation, the potential of interventions to mitigate negative outcomes, and the structural and technological factors influencing engagement.</w:t>
      </w:r>
    </w:p>
    <w:p w14:paraId="48597FA4" w14:textId="77777777" w:rsidR="00A0167A" w:rsidRPr="004600FC" w:rsidRDefault="00A0167A" w:rsidP="00D51238">
      <w:pPr>
        <w:suppressAutoHyphens/>
        <w:autoSpaceDN w:val="0"/>
        <w:rPr>
          <w:rFonts w:ascii="Arial" w:eastAsia="Aptos" w:hAnsi="Arial" w:cs="Arial"/>
          <w:kern w:val="3"/>
          <w:lang w:eastAsia="en-US"/>
          <w14:ligatures w14:val="none"/>
        </w:rPr>
      </w:pPr>
    </w:p>
    <w:p w14:paraId="5F0AB1D4" w14:textId="39DEB163" w:rsidR="008E47E2" w:rsidRPr="006E2537" w:rsidRDefault="008E47E2"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 xml:space="preserve">4.3 Theme 1: Mental Health Impacts </w:t>
      </w:r>
    </w:p>
    <w:p w14:paraId="38550136"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Definition</w:t>
      </w:r>
    </w:p>
    <w:p w14:paraId="301C3D60" w14:textId="63E3A454"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Mental health impacts in the context of older adults’ social isolation refer to the psychological, emotional, and cognitive consequences of limited social contact and perceived loneliness. Loneliness is defined as a subjective feeling of social disconnection, distinct from objective social isolation, which denotes a measurable lack of social contact (Shankar et al., 2011). </w:t>
      </w:r>
      <w:r w:rsidR="00705979" w:rsidRPr="00705979">
        <w:rPr>
          <w:rFonts w:ascii="Arial" w:eastAsia="Aptos" w:hAnsi="Arial" w:cs="Arial"/>
          <w:kern w:val="3"/>
          <w:lang w:eastAsia="en-US"/>
          <w14:ligatures w14:val="none"/>
        </w:rPr>
        <w:t>This demonstrates</w:t>
      </w:r>
      <w:r w:rsidR="008838EF">
        <w:rPr>
          <w:rFonts w:ascii="Arial" w:eastAsia="Aptos" w:hAnsi="Arial" w:cs="Arial"/>
          <w:kern w:val="3"/>
          <w:lang w:eastAsia="en-US"/>
          <w14:ligatures w14:val="none"/>
        </w:rPr>
        <w:t xml:space="preserve"> </w:t>
      </w:r>
      <w:r w:rsidRPr="004600FC">
        <w:rPr>
          <w:rFonts w:ascii="Arial" w:eastAsia="Aptos" w:hAnsi="Arial" w:cs="Arial"/>
          <w:kern w:val="3"/>
          <w:lang w:eastAsia="en-US"/>
          <w14:ligatures w14:val="none"/>
        </w:rPr>
        <w:t>how chronic loneliness affects emotional well-being, cognitive functioning, and physiological stress, and how these effects interact with social and structural determinants.</w:t>
      </w:r>
    </w:p>
    <w:p w14:paraId="370E523F" w14:textId="77777777" w:rsidR="00D51238" w:rsidRPr="004600FC" w:rsidRDefault="00D51238" w:rsidP="00D51238">
      <w:pPr>
        <w:suppressAutoHyphens/>
        <w:autoSpaceDN w:val="0"/>
        <w:rPr>
          <w:rFonts w:ascii="Arial" w:eastAsia="Aptos" w:hAnsi="Arial" w:cs="Arial"/>
          <w:kern w:val="3"/>
          <w:lang w:eastAsia="en-US"/>
          <w14:ligatures w14:val="none"/>
        </w:rPr>
      </w:pPr>
    </w:p>
    <w:p w14:paraId="1D8F38AB"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Background Information</w:t>
      </w:r>
    </w:p>
    <w:p w14:paraId="3C1174BA" w14:textId="137790B8" w:rsidR="00D51238"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Social isolation among older adults has long been recognised as a significant public health concern, exacerbated by demographic shifts</w:t>
      </w:r>
      <w:r w:rsidR="00D51238">
        <w:rPr>
          <w:rFonts w:ascii="Arial" w:eastAsia="Aptos" w:hAnsi="Arial" w:cs="Arial"/>
          <w:kern w:val="3"/>
          <w:lang w:eastAsia="en-US"/>
          <w14:ligatures w14:val="none"/>
        </w:rPr>
        <w:t>, including</w:t>
      </w:r>
      <w:r w:rsidRPr="004600FC">
        <w:rPr>
          <w:rFonts w:ascii="Arial" w:eastAsia="Aptos" w:hAnsi="Arial" w:cs="Arial"/>
          <w:kern w:val="3"/>
          <w:lang w:eastAsia="en-US"/>
          <w14:ligatures w14:val="none"/>
        </w:rPr>
        <w:t xml:space="preserve"> population ageing and changes in family structures (Courtin and Knapp, 2017). Historically, research on isolation focused on physical morbidity and mortality; however, recent longitudinal and cross-sectional studies in the UK increasingly highlight the centrality of mental health outcomes (Holt-Lunstad et al., 2010). The COVID-19 pandemic intensified these concerns, as enforced social distancing measures disproportionately affected older adults with limited mobility or digital access, resulting in heightened prevalence of depressive and anxiety symptoms (Steptoe and Di Gessa, 2021).</w:t>
      </w:r>
    </w:p>
    <w:p w14:paraId="40FB503C" w14:textId="77777777" w:rsidR="00332C01" w:rsidRDefault="00332C01" w:rsidP="00D51238">
      <w:pPr>
        <w:suppressAutoHyphens/>
        <w:autoSpaceDN w:val="0"/>
        <w:rPr>
          <w:rFonts w:ascii="Arial" w:eastAsia="Aptos" w:hAnsi="Arial" w:cs="Arial"/>
          <w:kern w:val="3"/>
          <w:lang w:eastAsia="en-US"/>
          <w14:ligatures w14:val="none"/>
        </w:rPr>
      </w:pPr>
    </w:p>
    <w:p w14:paraId="3EA0ECA7" w14:textId="639407C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lastRenderedPageBreak/>
        <w:t>Impact on Research Question</w:t>
      </w:r>
    </w:p>
    <w:p w14:paraId="3EA39E75" w14:textId="77777777"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The central research question of this dissertation concerns how social isolation influences mental health among older adults in the UK. Understanding the psychological and cognitive consequences of isolation is essential for evaluating the relevance and design of community-based interventions. Mental health outcomes act both as predictors of vulnerability to further social withdrawal and as measures of intervention effectiveness, linking this theme closely to subsequent analyses of community-based support strategies.</w:t>
      </w:r>
    </w:p>
    <w:p w14:paraId="12EAC8D4" w14:textId="77777777" w:rsidR="00D51238" w:rsidRPr="004600FC" w:rsidRDefault="00D51238" w:rsidP="00D51238">
      <w:pPr>
        <w:suppressAutoHyphens/>
        <w:autoSpaceDN w:val="0"/>
        <w:rPr>
          <w:rFonts w:ascii="Arial" w:eastAsia="Aptos" w:hAnsi="Arial" w:cs="Arial"/>
          <w:kern w:val="3"/>
          <w:lang w:eastAsia="en-US"/>
          <w14:ligatures w14:val="none"/>
        </w:rPr>
      </w:pPr>
    </w:p>
    <w:p w14:paraId="50FB2A1A"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Statistical Information</w:t>
      </w:r>
    </w:p>
    <w:p w14:paraId="1D8F54BA" w14:textId="0E3114C6" w:rsidR="00E46C5A" w:rsidRDefault="001E76D0" w:rsidP="00D51238">
      <w:pPr>
        <w:suppressAutoHyphens/>
        <w:autoSpaceDN w:val="0"/>
        <w:rPr>
          <w:rFonts w:ascii="Arial" w:eastAsia="Aptos" w:hAnsi="Arial" w:cs="Arial"/>
          <w:kern w:val="3"/>
          <w:lang w:eastAsia="en-US"/>
          <w14:ligatures w14:val="none"/>
        </w:rPr>
      </w:pPr>
      <w:r w:rsidRPr="001E76D0">
        <w:rPr>
          <w:rFonts w:ascii="Arial" w:eastAsia="Aptos" w:hAnsi="Arial" w:cs="Arial"/>
          <w:kern w:val="3"/>
          <w:lang w:eastAsia="en-US"/>
          <w14:ligatures w14:val="none"/>
        </w:rPr>
        <w:t xml:space="preserve">Evidence from the English Longitudinal Study of Ageing (ELSA) demonstrates that socially isolated older adults are more than twice as likely to experience depressive symptoms (Creighton et al., 2019; Victor and Pikhartova, 2020). Loneliness is also associated with increased anxiety and reduced emotional resilience (Santini et al., 2020). Physiological evidence further shows links </w:t>
      </w:r>
      <w:r w:rsidR="00036348">
        <w:rPr>
          <w:rFonts w:ascii="Arial" w:eastAsia="Aptos" w:hAnsi="Arial" w:cs="Arial"/>
          <w:kern w:val="3"/>
          <w:lang w:eastAsia="en-US"/>
          <w14:ligatures w14:val="none"/>
        </w:rPr>
        <w:t>to elevated cortisol, inflammation, and disrupted sleep, which contribute</w:t>
      </w:r>
      <w:r w:rsidRPr="001E76D0">
        <w:rPr>
          <w:rFonts w:ascii="Arial" w:eastAsia="Aptos" w:hAnsi="Arial" w:cs="Arial"/>
          <w:kern w:val="3"/>
          <w:lang w:eastAsia="en-US"/>
          <w14:ligatures w14:val="none"/>
        </w:rPr>
        <w:t xml:space="preserve"> to cognitive decline (Hawkley and Cacioppo, 2010; O’Shea et al., 2021; Livingston et al., 2020). These effects are not evenly distributed, with higher risks observed among deprived populations and minority groups (Office for National Statistics, 2022</w:t>
      </w:r>
      <w:r w:rsidR="00087BB1">
        <w:rPr>
          <w:rFonts w:ascii="Arial" w:eastAsia="Aptos" w:hAnsi="Arial" w:cs="Arial"/>
          <w:kern w:val="3"/>
          <w:lang w:eastAsia="en-US"/>
          <w14:ligatures w14:val="none"/>
        </w:rPr>
        <w:t>a</w:t>
      </w:r>
      <w:r w:rsidRPr="001E76D0">
        <w:rPr>
          <w:rFonts w:ascii="Arial" w:eastAsia="Aptos" w:hAnsi="Arial" w:cs="Arial"/>
          <w:kern w:val="3"/>
          <w:lang w:eastAsia="en-US"/>
          <w14:ligatures w14:val="none"/>
        </w:rPr>
        <w:t>; Westwood, 2020).</w:t>
      </w:r>
      <w:r w:rsidR="002F4CB8">
        <w:rPr>
          <w:rFonts w:ascii="Arial" w:eastAsia="Aptos" w:hAnsi="Arial" w:cs="Arial"/>
          <w:kern w:val="3"/>
          <w:lang w:eastAsia="en-US"/>
          <w14:ligatures w14:val="none"/>
        </w:rPr>
        <w:t xml:space="preserve"> </w:t>
      </w:r>
      <w:r w:rsidR="003C1FAC" w:rsidRPr="003C1FAC">
        <w:rPr>
          <w:rFonts w:ascii="Arial" w:eastAsia="Aptos" w:hAnsi="Arial" w:cs="Arial"/>
          <w:kern w:val="3"/>
          <w:lang w:eastAsia="en-US"/>
          <w14:ligatures w14:val="none"/>
        </w:rPr>
        <w:t>However, much of this evidence is based on observational data, making it difficult to establish causality between loneliness and mental health outcomes.</w:t>
      </w:r>
    </w:p>
    <w:p w14:paraId="73AC0CDA" w14:textId="77777777" w:rsidR="003C1FAC" w:rsidRDefault="003C1FAC" w:rsidP="00D51238">
      <w:pPr>
        <w:suppressAutoHyphens/>
        <w:autoSpaceDN w:val="0"/>
        <w:rPr>
          <w:rFonts w:ascii="Arial" w:eastAsia="Aptos" w:hAnsi="Arial" w:cs="Arial"/>
          <w:kern w:val="3"/>
          <w:lang w:eastAsia="en-US"/>
          <w14:ligatures w14:val="none"/>
        </w:rPr>
      </w:pPr>
    </w:p>
    <w:p w14:paraId="4575426D" w14:textId="5836C732" w:rsidR="008E47E2" w:rsidRDefault="00705979" w:rsidP="00D51238">
      <w:pPr>
        <w:suppressAutoHyphens/>
        <w:autoSpaceDN w:val="0"/>
        <w:rPr>
          <w:rFonts w:ascii="Arial" w:eastAsia="Aptos" w:hAnsi="Arial" w:cs="Arial"/>
          <w:kern w:val="3"/>
          <w:lang w:eastAsia="en-US"/>
          <w14:ligatures w14:val="none"/>
        </w:rPr>
      </w:pPr>
      <w:r w:rsidRPr="00705979">
        <w:rPr>
          <w:rFonts w:ascii="Arial" w:eastAsia="Aptos" w:hAnsi="Arial" w:cs="Arial"/>
          <w:kern w:val="3"/>
          <w:lang w:eastAsia="en-US"/>
          <w14:ligatures w14:val="none"/>
        </w:rPr>
        <w:t>This suggests that although evidence consistently links loneliness to poor mental health outcomes, variations in study design and population characteristics may limit the generalisability of these findings</w:t>
      </w:r>
      <w:r>
        <w:rPr>
          <w:rFonts w:ascii="Arial" w:eastAsia="Aptos" w:hAnsi="Arial" w:cs="Arial"/>
          <w:kern w:val="3"/>
          <w:lang w:eastAsia="en-US"/>
          <w14:ligatures w14:val="none"/>
        </w:rPr>
        <w:t xml:space="preserve"> </w:t>
      </w:r>
      <w:r w:rsidR="002F4CB8" w:rsidRPr="002F4CB8">
        <w:rPr>
          <w:rFonts w:ascii="Arial" w:eastAsia="Aptos" w:hAnsi="Arial" w:cs="Arial"/>
          <w:kern w:val="3"/>
          <w:lang w:eastAsia="en-US"/>
          <w14:ligatures w14:val="none"/>
        </w:rPr>
        <w:t>across all older adults.</w:t>
      </w:r>
    </w:p>
    <w:p w14:paraId="247FD7D2" w14:textId="77777777" w:rsidR="001E76D0" w:rsidRPr="004600FC" w:rsidRDefault="001E76D0" w:rsidP="00D51238">
      <w:pPr>
        <w:suppressAutoHyphens/>
        <w:autoSpaceDN w:val="0"/>
        <w:rPr>
          <w:rFonts w:ascii="Arial" w:eastAsia="Aptos" w:hAnsi="Arial" w:cs="Arial"/>
          <w:kern w:val="3"/>
          <w:lang w:eastAsia="en-US"/>
          <w14:ligatures w14:val="none"/>
        </w:rPr>
      </w:pPr>
    </w:p>
    <w:p w14:paraId="3E821CED"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Theories, Policies, and Legislation</w:t>
      </w:r>
    </w:p>
    <w:p w14:paraId="7808A86D" w14:textId="640868B0" w:rsidR="00036348" w:rsidRDefault="00036348" w:rsidP="00D51238">
      <w:pPr>
        <w:suppressAutoHyphens/>
        <w:autoSpaceDN w:val="0"/>
        <w:rPr>
          <w:rFonts w:ascii="Arial" w:eastAsia="Aptos" w:hAnsi="Arial" w:cs="Arial"/>
          <w:kern w:val="3"/>
          <w:lang w:eastAsia="en-US"/>
          <w14:ligatures w14:val="none"/>
        </w:rPr>
      </w:pPr>
      <w:r w:rsidRPr="00036348">
        <w:rPr>
          <w:rFonts w:ascii="Arial" w:eastAsia="Aptos" w:hAnsi="Arial" w:cs="Arial"/>
          <w:kern w:val="3"/>
          <w:lang w:eastAsia="en-US"/>
          <w14:ligatures w14:val="none"/>
        </w:rPr>
        <w:t>Theoretical perspectives illuminate mechanisms linking isolation and mental health. Socioemotional Selectivity Theory posits that older adults prioritise emotionally meaningful relationships, making the absence of close social ties particularly detrimental to psychological well-being (Carstensen, 1999</w:t>
      </w:r>
      <w:r w:rsidR="00AF029F">
        <w:rPr>
          <w:rFonts w:ascii="Arial" w:eastAsia="Aptos" w:hAnsi="Arial" w:cs="Arial"/>
          <w:kern w:val="3"/>
          <w:lang w:eastAsia="en-US"/>
          <w14:ligatures w14:val="none"/>
        </w:rPr>
        <w:t>a</w:t>
      </w:r>
      <w:r w:rsidRPr="00036348">
        <w:rPr>
          <w:rFonts w:ascii="Arial" w:eastAsia="Aptos" w:hAnsi="Arial" w:cs="Arial"/>
          <w:kern w:val="3"/>
          <w:lang w:eastAsia="en-US"/>
          <w14:ligatures w14:val="none"/>
        </w:rPr>
        <w:t xml:space="preserve">). Biopsychosocial models further emphasise the interaction between physiological stress, mental health, and social engagement, demonstrating that interventions must address multiple domains to be effective (Holt-Lunstad, 2018). Policies in the UK, such as the Loneliness Strategy (Department for Digital, Culture, Media and Sport, 2018) and NHS England’s focus on social prescribing, reflect recognition of the mental health </w:t>
      </w:r>
      <w:r w:rsidRPr="00036348">
        <w:rPr>
          <w:rFonts w:ascii="Arial" w:eastAsia="Aptos" w:hAnsi="Arial" w:cs="Arial"/>
          <w:kern w:val="3"/>
          <w:lang w:eastAsia="en-US"/>
          <w14:ligatures w14:val="none"/>
        </w:rPr>
        <w:lastRenderedPageBreak/>
        <w:t>burden associated with social isolation and aim to integrate preventative approaches into health and social care systems. However, despite this policy recognition, implementation gaps persist, particularly regarding equitable access for high-risk groups, suggesting that policy intentions are not consistently translated into practice.</w:t>
      </w:r>
    </w:p>
    <w:p w14:paraId="007AB0EB" w14:textId="77777777" w:rsidR="00036348" w:rsidRPr="004600FC" w:rsidRDefault="00036348" w:rsidP="00D51238">
      <w:pPr>
        <w:suppressAutoHyphens/>
        <w:autoSpaceDN w:val="0"/>
        <w:rPr>
          <w:rFonts w:ascii="Arial" w:eastAsia="Aptos" w:hAnsi="Arial" w:cs="Arial"/>
          <w:kern w:val="3"/>
          <w:lang w:eastAsia="en-US"/>
          <w14:ligatures w14:val="none"/>
        </w:rPr>
      </w:pPr>
    </w:p>
    <w:p w14:paraId="7F9F38EC"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Implications</w:t>
      </w:r>
    </w:p>
    <w:p w14:paraId="29AE9C32" w14:textId="767D99D9" w:rsidR="00D51238"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The mental health consequences of isolation have both positive and negative implications for research and practice. On one hand, evidence underscores the urgency of targeted interventions to prevent depression, anxiety, and cognitive decline. On the other hand, persistent inequalities in access and outcomes highlight the need for tailored, culturally sensitive, and multidimensional approaches. </w:t>
      </w:r>
      <w:r w:rsidR="00B73CD9" w:rsidRPr="00B73CD9">
        <w:rPr>
          <w:rFonts w:ascii="Arial" w:eastAsia="Aptos" w:hAnsi="Arial" w:cs="Arial"/>
          <w:kern w:val="3"/>
          <w:lang w:eastAsia="en-US"/>
          <w14:ligatures w14:val="none"/>
        </w:rPr>
        <w:t>Effective interventions must address psychosocial, cognitive, and physical factors simultaneously, rather than just concentrating on increasing social contact.</w:t>
      </w:r>
    </w:p>
    <w:p w14:paraId="2B141958" w14:textId="77777777" w:rsidR="00F42F7E" w:rsidRDefault="00F42F7E" w:rsidP="00D51238">
      <w:pPr>
        <w:suppressAutoHyphens/>
        <w:autoSpaceDN w:val="0"/>
        <w:rPr>
          <w:rFonts w:ascii="Arial" w:eastAsia="Aptos" w:hAnsi="Arial" w:cs="Arial"/>
          <w:kern w:val="3"/>
          <w:lang w:eastAsia="en-US"/>
          <w14:ligatures w14:val="none"/>
        </w:rPr>
      </w:pPr>
    </w:p>
    <w:p w14:paraId="22EAFF6B" w14:textId="3872B1BA" w:rsidR="00B73CD9" w:rsidRDefault="005F3B25" w:rsidP="00D51238">
      <w:pPr>
        <w:suppressAutoHyphens/>
        <w:autoSpaceDN w:val="0"/>
        <w:rPr>
          <w:rFonts w:ascii="Arial" w:eastAsia="Aptos" w:hAnsi="Arial" w:cs="Arial"/>
          <w:kern w:val="3"/>
          <w:lang w:eastAsia="en-US"/>
          <w14:ligatures w14:val="none"/>
        </w:rPr>
      </w:pPr>
      <w:r w:rsidRPr="005F3B25">
        <w:rPr>
          <w:rFonts w:ascii="Arial" w:eastAsia="Aptos" w:hAnsi="Arial" w:cs="Arial"/>
          <w:kern w:val="3"/>
          <w:lang w:eastAsia="en-US"/>
          <w14:ligatures w14:val="none"/>
        </w:rPr>
        <w:t>This relationship is complex and potentially bidirectional, as poor mental health may also increase the likelihood of social withdrawal.</w:t>
      </w:r>
    </w:p>
    <w:p w14:paraId="12D2936A" w14:textId="77777777" w:rsidR="006E2537" w:rsidRPr="004600FC" w:rsidRDefault="006E2537" w:rsidP="00D51238">
      <w:pPr>
        <w:suppressAutoHyphens/>
        <w:autoSpaceDN w:val="0"/>
        <w:rPr>
          <w:rFonts w:ascii="Arial" w:eastAsia="Aptos" w:hAnsi="Arial" w:cs="Arial"/>
          <w:kern w:val="3"/>
          <w:lang w:eastAsia="en-US"/>
          <w14:ligatures w14:val="none"/>
        </w:rPr>
      </w:pPr>
    </w:p>
    <w:p w14:paraId="39B6A787" w14:textId="77777777" w:rsidR="00E46C5A" w:rsidRDefault="00E46C5A" w:rsidP="00D51238">
      <w:pPr>
        <w:suppressAutoHyphens/>
        <w:autoSpaceDN w:val="0"/>
        <w:rPr>
          <w:rFonts w:ascii="Arial" w:eastAsia="Aptos" w:hAnsi="Arial" w:cs="Arial"/>
          <w:b/>
          <w:bCs/>
          <w:kern w:val="3"/>
          <w:sz w:val="24"/>
          <w:szCs w:val="24"/>
          <w:lang w:eastAsia="en-US"/>
          <w14:ligatures w14:val="none"/>
        </w:rPr>
      </w:pPr>
      <w:r w:rsidRPr="00E46C5A">
        <w:rPr>
          <w:rFonts w:ascii="Arial" w:eastAsia="Aptos" w:hAnsi="Arial" w:cs="Arial"/>
          <w:b/>
          <w:bCs/>
          <w:kern w:val="3"/>
          <w:sz w:val="24"/>
          <w:szCs w:val="24"/>
          <w:lang w:eastAsia="en-US"/>
          <w14:ligatures w14:val="none"/>
        </w:rPr>
        <w:t>Examples from the Literature</w:t>
      </w:r>
    </w:p>
    <w:p w14:paraId="00D3C2B0" w14:textId="00403179" w:rsidR="002E33F9" w:rsidRDefault="002E33F9" w:rsidP="00D51238">
      <w:pPr>
        <w:suppressAutoHyphens/>
        <w:autoSpaceDN w:val="0"/>
        <w:rPr>
          <w:rFonts w:ascii="Arial" w:eastAsia="Aptos" w:hAnsi="Arial" w:cs="Arial"/>
          <w:kern w:val="3"/>
          <w:lang w:eastAsia="en-US"/>
          <w14:ligatures w14:val="none"/>
        </w:rPr>
      </w:pPr>
      <w:r w:rsidRPr="002E33F9">
        <w:rPr>
          <w:rFonts w:ascii="Arial" w:eastAsia="Aptos" w:hAnsi="Arial" w:cs="Arial"/>
          <w:kern w:val="3"/>
          <w:lang w:eastAsia="en-US"/>
          <w14:ligatures w14:val="none"/>
        </w:rPr>
        <w:t xml:space="preserve">As reflected in </w:t>
      </w:r>
      <w:r w:rsidRPr="002E33F9">
        <w:rPr>
          <w:rFonts w:ascii="Arial" w:eastAsia="Aptos" w:hAnsi="Arial" w:cs="Arial"/>
          <w:b/>
          <w:bCs/>
          <w:kern w:val="3"/>
          <w:lang w:eastAsia="en-US"/>
          <w14:ligatures w14:val="none"/>
        </w:rPr>
        <w:t>Appendix E</w:t>
      </w:r>
      <w:r w:rsidRPr="002E33F9">
        <w:rPr>
          <w:rFonts w:ascii="Arial" w:eastAsia="Aptos" w:hAnsi="Arial" w:cs="Arial"/>
          <w:kern w:val="3"/>
          <w:lang w:eastAsia="en-US"/>
          <w14:ligatures w14:val="none"/>
        </w:rPr>
        <w:t>, evidence across studies consistently shows that loneliness predicts depression and reduced emotional resilience (Shankar et al., 2011; Holt-Lunstad et al., 2020; Courtin and Knapp, 2017). While these studies broadly agree on the negative mental health impacts, Holt-Lunstad et al. (2020) emphasise physiological mechanisms, whereas Courtin and Knapp (2017) focus more on social and behavioural pathways, suggesting that the relationship between loneliness and mental health is multifaceted. However, the extent of the impact varies with individual resilience and socioeconomic context, indicating that outcomes are not uniform across all older adults.</w:t>
      </w:r>
    </w:p>
    <w:p w14:paraId="541F7EB2" w14:textId="77777777" w:rsidR="00AE7F21" w:rsidRDefault="00AE7F21" w:rsidP="00D51238">
      <w:pPr>
        <w:suppressAutoHyphens/>
        <w:autoSpaceDN w:val="0"/>
        <w:rPr>
          <w:rFonts w:ascii="Arial" w:eastAsia="Aptos" w:hAnsi="Arial" w:cs="Arial"/>
          <w:kern w:val="3"/>
          <w:lang w:eastAsia="en-US"/>
          <w14:ligatures w14:val="none"/>
        </w:rPr>
      </w:pPr>
    </w:p>
    <w:p w14:paraId="63B4ACF8" w14:textId="6997D503" w:rsidR="008E47E2" w:rsidRPr="00871F45" w:rsidRDefault="008E47E2" w:rsidP="00D51238">
      <w:pPr>
        <w:suppressAutoHyphens/>
        <w:autoSpaceDN w:val="0"/>
        <w:rPr>
          <w:rFonts w:ascii="Arial" w:eastAsia="Aptos" w:hAnsi="Arial" w:cs="Arial"/>
          <w:b/>
          <w:bCs/>
          <w:kern w:val="3"/>
          <w:sz w:val="24"/>
          <w:szCs w:val="24"/>
          <w:lang w:eastAsia="en-US"/>
          <w14:ligatures w14:val="none"/>
        </w:rPr>
      </w:pPr>
      <w:r w:rsidRPr="00871F45">
        <w:rPr>
          <w:rFonts w:ascii="Arial" w:eastAsia="Aptos" w:hAnsi="Arial" w:cs="Arial"/>
          <w:b/>
          <w:bCs/>
          <w:kern w:val="3"/>
          <w:sz w:val="24"/>
          <w:szCs w:val="24"/>
          <w:lang w:eastAsia="en-US"/>
          <w14:ligatures w14:val="none"/>
        </w:rPr>
        <w:t>Connections to Other Themes</w:t>
      </w:r>
    </w:p>
    <w:p w14:paraId="255C89C0" w14:textId="626504E8"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Mental health impacts are inherently interconnected with the other </w:t>
      </w:r>
      <w:r w:rsidR="00D51238">
        <w:rPr>
          <w:rFonts w:ascii="Arial" w:eastAsia="Aptos" w:hAnsi="Arial" w:cs="Arial"/>
          <w:kern w:val="3"/>
          <w:lang w:eastAsia="en-US"/>
          <w14:ligatures w14:val="none"/>
        </w:rPr>
        <w:t>themes of the dissertation</w:t>
      </w:r>
      <w:r w:rsidRPr="004600FC">
        <w:rPr>
          <w:rFonts w:ascii="Arial" w:eastAsia="Aptos" w:hAnsi="Arial" w:cs="Arial"/>
          <w:kern w:val="3"/>
          <w:lang w:eastAsia="en-US"/>
          <w14:ligatures w14:val="none"/>
        </w:rPr>
        <w:t xml:space="preserve">. Cognitive and emotional vulnerability influences engagement with community interventions (Theme 2), while structural, financial, and cultural barriers (Theme 3) exacerbate mental health risks. Digital exclusion (Theme 4) further compounds isolation, particularly for older adults </w:t>
      </w:r>
      <w:r w:rsidRPr="004600FC">
        <w:rPr>
          <w:rFonts w:ascii="Arial" w:eastAsia="Aptos" w:hAnsi="Arial" w:cs="Arial"/>
          <w:kern w:val="3"/>
          <w:lang w:eastAsia="en-US"/>
          <w14:ligatures w14:val="none"/>
        </w:rPr>
        <w:lastRenderedPageBreak/>
        <w:t>unable to access online social networks or telehealth resources. Recognising these interdependencies ensures that interventions target both psychological outcomes and systemic determinants of isolation.</w:t>
      </w:r>
    </w:p>
    <w:p w14:paraId="62E169B6" w14:textId="77777777" w:rsidR="00D51238" w:rsidRPr="004600FC" w:rsidRDefault="00D51238" w:rsidP="00D51238">
      <w:pPr>
        <w:suppressAutoHyphens/>
        <w:autoSpaceDN w:val="0"/>
        <w:rPr>
          <w:rFonts w:ascii="Arial" w:eastAsia="Aptos" w:hAnsi="Arial" w:cs="Arial"/>
          <w:kern w:val="3"/>
          <w:lang w:eastAsia="en-US"/>
          <w14:ligatures w14:val="none"/>
        </w:rPr>
      </w:pPr>
    </w:p>
    <w:p w14:paraId="1A001F2A" w14:textId="528E94C9" w:rsidR="008E47E2" w:rsidRPr="006E2537" w:rsidRDefault="008E47E2" w:rsidP="00D51238">
      <w:pPr>
        <w:suppressAutoHyphens/>
        <w:autoSpaceDN w:val="0"/>
        <w:rPr>
          <w:rFonts w:ascii="Arial" w:eastAsia="Aptos" w:hAnsi="Arial" w:cs="Arial"/>
          <w:b/>
          <w:bCs/>
          <w:kern w:val="3"/>
          <w:sz w:val="28"/>
          <w:szCs w:val="28"/>
          <w:lang w:eastAsia="en-US"/>
          <w14:ligatures w14:val="none"/>
        </w:rPr>
      </w:pPr>
      <w:r w:rsidRPr="006E2537">
        <w:rPr>
          <w:rFonts w:ascii="Arial" w:eastAsia="Aptos" w:hAnsi="Arial" w:cs="Arial"/>
          <w:b/>
          <w:bCs/>
          <w:kern w:val="3"/>
          <w:sz w:val="28"/>
          <w:szCs w:val="28"/>
          <w:lang w:eastAsia="en-US"/>
          <w14:ligatures w14:val="none"/>
        </w:rPr>
        <w:t>4.4 Theme 2: Effectiveness of Community Interventions</w:t>
      </w:r>
    </w:p>
    <w:p w14:paraId="11B83D04"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Definition</w:t>
      </w:r>
    </w:p>
    <w:p w14:paraId="6409831D" w14:textId="09E546E5"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Community interventions encompass structured programmes and initiatives aimed at reducing social isolation and enhancing mental well-being among older adults. These interventions can include social prescribing, befriending services, group-based activities, and support from third-sector organisations</w:t>
      </w:r>
      <w:r w:rsidR="00087BB1">
        <w:rPr>
          <w:rFonts w:ascii="Arial" w:eastAsia="Aptos" w:hAnsi="Arial" w:cs="Arial"/>
          <w:kern w:val="3"/>
          <w:lang w:eastAsia="en-US"/>
          <w14:ligatures w14:val="none"/>
        </w:rPr>
        <w:t xml:space="preserve"> (Age UK</w:t>
      </w:r>
      <w:r w:rsidR="00E46C5A">
        <w:rPr>
          <w:rFonts w:ascii="Arial" w:eastAsia="Aptos" w:hAnsi="Arial" w:cs="Arial"/>
          <w:kern w:val="3"/>
          <w:lang w:eastAsia="en-US"/>
          <w14:ligatures w14:val="none"/>
        </w:rPr>
        <w:t>,</w:t>
      </w:r>
      <w:r w:rsidR="00087BB1">
        <w:rPr>
          <w:rFonts w:ascii="Arial" w:eastAsia="Aptos" w:hAnsi="Arial" w:cs="Arial"/>
          <w:kern w:val="3"/>
          <w:lang w:eastAsia="en-US"/>
          <w14:ligatures w14:val="none"/>
        </w:rPr>
        <w:t xml:space="preserve"> 2023)</w:t>
      </w:r>
      <w:r w:rsidRPr="004600FC">
        <w:rPr>
          <w:rFonts w:ascii="Arial" w:eastAsia="Aptos" w:hAnsi="Arial" w:cs="Arial"/>
          <w:kern w:val="3"/>
          <w:lang w:eastAsia="en-US"/>
          <w14:ligatures w14:val="none"/>
        </w:rPr>
        <w:t>. Effectiveness refers to the degree to which these interventions achieve intended outcomes, such as reduced loneliness, improved emotional well-being, and enhanced social participation (Fakoya et al., 2020). This theme explores the evidence for how such interventions mitigate mental health risks and promote social integration.</w:t>
      </w:r>
    </w:p>
    <w:p w14:paraId="5E53F8A0" w14:textId="77777777" w:rsidR="00D51238" w:rsidRPr="004600FC" w:rsidRDefault="00D51238" w:rsidP="00D51238">
      <w:pPr>
        <w:suppressAutoHyphens/>
        <w:autoSpaceDN w:val="0"/>
        <w:rPr>
          <w:rFonts w:ascii="Arial" w:eastAsia="Aptos" w:hAnsi="Arial" w:cs="Arial"/>
          <w:kern w:val="3"/>
          <w:lang w:eastAsia="en-US"/>
          <w14:ligatures w14:val="none"/>
        </w:rPr>
      </w:pPr>
    </w:p>
    <w:p w14:paraId="504DA77F"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Background Information</w:t>
      </w:r>
    </w:p>
    <w:p w14:paraId="4E1F9CEF" w14:textId="77777777"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The UK has increasingly invested in community interventions over the past two decades in response to ageing populations and rising concerns about loneliness among older adults (Drinkwater et al., 2019). Social prescribing has become a central component of national strategies, linking primary care services with community-based activities designed to foster meaningful engagement (Polley and Pilkington, 2017). Befriending programmes, group-based interventions, and digital inclusion initiatives complement these efforts, targeting both social and emotional needs. Historically, research on intervention effectiveness was fragmented, with studies focusing on single programmes or small cohorts. Recent systematic reviews highlight that tailored, culturally sensitive, and sustained interventions demonstrate the greatest impact on mental health outcomes (Fakoya et al., 2020).</w:t>
      </w:r>
    </w:p>
    <w:p w14:paraId="047CF952" w14:textId="77777777" w:rsidR="00D51238" w:rsidRPr="004600FC" w:rsidRDefault="00D51238" w:rsidP="00D51238">
      <w:pPr>
        <w:suppressAutoHyphens/>
        <w:autoSpaceDN w:val="0"/>
        <w:rPr>
          <w:rFonts w:ascii="Arial" w:eastAsia="Aptos" w:hAnsi="Arial" w:cs="Arial"/>
          <w:kern w:val="3"/>
          <w:lang w:eastAsia="en-US"/>
          <w14:ligatures w14:val="none"/>
        </w:rPr>
      </w:pPr>
    </w:p>
    <w:p w14:paraId="48CAE9E0"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Impact on Research Question</w:t>
      </w:r>
    </w:p>
    <w:p w14:paraId="2B7B07AC" w14:textId="5475BE4F"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Understanding the effectiveness of </w:t>
      </w:r>
      <w:r w:rsidR="008838EF" w:rsidRPr="008838EF">
        <w:rPr>
          <w:rFonts w:ascii="Arial" w:eastAsia="Aptos" w:hAnsi="Arial" w:cs="Arial"/>
          <w:kern w:val="3"/>
          <w:lang w:eastAsia="en-US"/>
          <w14:ligatures w14:val="none"/>
        </w:rPr>
        <w:t>support programmes</w:t>
      </w:r>
      <w:r w:rsidRPr="004600FC">
        <w:rPr>
          <w:rFonts w:ascii="Arial" w:eastAsia="Aptos" w:hAnsi="Arial" w:cs="Arial"/>
          <w:kern w:val="3"/>
          <w:lang w:eastAsia="en-US"/>
          <w14:ligatures w14:val="none"/>
        </w:rPr>
        <w:t xml:space="preserve"> is vital to answering the dissertation question regarding mitigating the mental health impacts of isolation among older adults. Demonstrating which interventions are most successful provides practical insights for policymakers and service providers, highlighting strategies to improve well-being and reduce </w:t>
      </w:r>
      <w:r w:rsidRPr="004600FC">
        <w:rPr>
          <w:rFonts w:ascii="Arial" w:eastAsia="Aptos" w:hAnsi="Arial" w:cs="Arial"/>
          <w:kern w:val="3"/>
          <w:lang w:eastAsia="en-US"/>
          <w14:ligatures w14:val="none"/>
        </w:rPr>
        <w:lastRenderedPageBreak/>
        <w:t>the prevalence of depression, anxiety, and loneliness. This theme also links closely to barriers to engagement (Theme 3) and digital inclusion (Theme 4), as effectiveness depends on accessibility, participation, and the suitability of interventions for diverse populations.</w:t>
      </w:r>
    </w:p>
    <w:p w14:paraId="3A14E7B8" w14:textId="77777777" w:rsidR="00D51238" w:rsidRPr="004600FC" w:rsidRDefault="00D51238" w:rsidP="00D51238">
      <w:pPr>
        <w:suppressAutoHyphens/>
        <w:autoSpaceDN w:val="0"/>
        <w:rPr>
          <w:rFonts w:ascii="Arial" w:eastAsia="Aptos" w:hAnsi="Arial" w:cs="Arial"/>
          <w:kern w:val="3"/>
          <w:lang w:eastAsia="en-US"/>
          <w14:ligatures w14:val="none"/>
        </w:rPr>
      </w:pPr>
    </w:p>
    <w:p w14:paraId="651ABB85"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Statistical Information</w:t>
      </w:r>
    </w:p>
    <w:p w14:paraId="7C0B32DF" w14:textId="58FD7E39" w:rsidR="00557174"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Quantitative evidence shows that social prescribing can improve mental well-being, reduce mild-to-moderate depressive symptoms, and increase perceived social connectedness (Chatterjee et al., 2018; Husk et al., 2020). For instance, evaluations of UK social prescribing programmes report that participants attending community activities at least weekly experienced a 20</w:t>
      </w:r>
      <w:r w:rsidR="00871F45">
        <w:rPr>
          <w:rFonts w:ascii="Arial" w:eastAsia="Aptos" w:hAnsi="Arial" w:cs="Arial"/>
          <w:kern w:val="3"/>
          <w:lang w:eastAsia="en-US"/>
          <w14:ligatures w14:val="none"/>
        </w:rPr>
        <w:t>-</w:t>
      </w:r>
      <w:r w:rsidRPr="004600FC">
        <w:rPr>
          <w:rFonts w:ascii="Arial" w:eastAsia="Aptos" w:hAnsi="Arial" w:cs="Arial"/>
          <w:kern w:val="3"/>
          <w:lang w:eastAsia="en-US"/>
          <w14:ligatures w14:val="none"/>
        </w:rPr>
        <w:t>30% reduction in self-reported loneliness scores over 3</w:t>
      </w:r>
      <w:r w:rsidR="00871F45">
        <w:rPr>
          <w:rFonts w:ascii="Arial" w:eastAsia="Aptos" w:hAnsi="Arial" w:cs="Arial"/>
          <w:kern w:val="3"/>
          <w:lang w:eastAsia="en-US"/>
          <w14:ligatures w14:val="none"/>
        </w:rPr>
        <w:t>-</w:t>
      </w:r>
      <w:r w:rsidRPr="004600FC">
        <w:rPr>
          <w:rFonts w:ascii="Arial" w:eastAsia="Aptos" w:hAnsi="Arial" w:cs="Arial"/>
          <w:kern w:val="3"/>
          <w:lang w:eastAsia="en-US"/>
          <w14:ligatures w14:val="none"/>
        </w:rPr>
        <w:t xml:space="preserve">6 months (Wildman et al., 2019). </w:t>
      </w:r>
      <w:r w:rsidR="00723D96" w:rsidRPr="00723D96">
        <w:rPr>
          <w:rFonts w:ascii="Arial" w:eastAsia="Aptos" w:hAnsi="Arial" w:cs="Arial"/>
          <w:kern w:val="3"/>
          <w:lang w:eastAsia="en-US"/>
          <w14:ligatures w14:val="none"/>
        </w:rPr>
        <w:t>While this reduction indicates a meaningful short-term improvement, the lack of long-term follow-up data limits conclusions about sustained effectiveness</w:t>
      </w:r>
      <w:r w:rsidR="00557174" w:rsidRPr="00557174">
        <w:rPr>
          <w:rFonts w:ascii="Arial" w:eastAsia="Aptos" w:hAnsi="Arial" w:cs="Arial"/>
          <w:kern w:val="3"/>
          <w:lang w:eastAsia="en-US"/>
          <w14:ligatures w14:val="none"/>
        </w:rPr>
        <w:t xml:space="preserve"> across different population groups, highlighting limitations in the current evidence base.</w:t>
      </w:r>
      <w:r w:rsidR="00557174">
        <w:rPr>
          <w:rFonts w:ascii="Arial" w:eastAsia="Aptos" w:hAnsi="Arial" w:cs="Arial"/>
          <w:kern w:val="3"/>
          <w:lang w:eastAsia="en-US"/>
          <w14:ligatures w14:val="none"/>
        </w:rPr>
        <w:t xml:space="preserve"> </w:t>
      </w:r>
      <w:r w:rsidR="00AE7F21" w:rsidRPr="00AE7F21">
        <w:rPr>
          <w:rFonts w:ascii="Arial" w:eastAsia="Aptos" w:hAnsi="Arial" w:cs="Arial"/>
          <w:kern w:val="3"/>
          <w:lang w:eastAsia="en-US"/>
          <w14:ligatures w14:val="none"/>
        </w:rPr>
        <w:t>This also raises questions about the consistency of outcome measures across studies, as differences in programme design and evaluation methods may reduce comparability of results.</w:t>
      </w:r>
    </w:p>
    <w:p w14:paraId="543ABFBA" w14:textId="77777777" w:rsidR="00557174" w:rsidRDefault="00557174" w:rsidP="00D51238">
      <w:pPr>
        <w:suppressAutoHyphens/>
        <w:autoSpaceDN w:val="0"/>
        <w:rPr>
          <w:rFonts w:ascii="Arial" w:eastAsia="Aptos" w:hAnsi="Arial" w:cs="Arial"/>
          <w:kern w:val="3"/>
          <w:lang w:eastAsia="en-US"/>
          <w14:ligatures w14:val="none"/>
        </w:rPr>
      </w:pPr>
    </w:p>
    <w:p w14:paraId="45BE44B8" w14:textId="438C668A" w:rsidR="003C1FAC"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Befriending services have similarly demonstrated significant reductions in loneliness and depressive symptoms among housebound or mobility-limited older adults. Group-based interventions, such as singing or exercise classes, show moderate-to-large improvements in mood, social connectedness, and self-esteem (Skingley and Bungay, 2010; Smith et al., 2017). However, effect sizes vary across interventions, with long-term sustainability remaining uncertain due to limited follow-up data (Drinkwater and Bracher, 2022).</w:t>
      </w:r>
      <w:r w:rsidR="003C1FAC">
        <w:rPr>
          <w:rFonts w:ascii="Arial" w:eastAsia="Aptos" w:hAnsi="Arial" w:cs="Arial"/>
          <w:kern w:val="3"/>
          <w:lang w:eastAsia="en-US"/>
          <w14:ligatures w14:val="none"/>
        </w:rPr>
        <w:t xml:space="preserve"> </w:t>
      </w:r>
      <w:r w:rsidR="003C1FAC" w:rsidRPr="003C1FAC">
        <w:rPr>
          <w:rFonts w:ascii="Arial" w:eastAsia="Aptos" w:hAnsi="Arial" w:cs="Arial"/>
          <w:kern w:val="3"/>
          <w:lang w:eastAsia="en-US"/>
          <w14:ligatures w14:val="none"/>
        </w:rPr>
        <w:t>Additionally, differences in outcome measures and programme delivery make it challenging to directly compare effectiveness across studies.</w:t>
      </w:r>
    </w:p>
    <w:p w14:paraId="5B84DE3A" w14:textId="77777777" w:rsidR="00D51238" w:rsidRPr="004600FC" w:rsidRDefault="00D51238" w:rsidP="00D51238">
      <w:pPr>
        <w:suppressAutoHyphens/>
        <w:autoSpaceDN w:val="0"/>
        <w:rPr>
          <w:rFonts w:ascii="Arial" w:eastAsia="Aptos" w:hAnsi="Arial" w:cs="Arial"/>
          <w:kern w:val="3"/>
          <w:lang w:eastAsia="en-US"/>
          <w14:ligatures w14:val="none"/>
        </w:rPr>
      </w:pPr>
    </w:p>
    <w:p w14:paraId="3D0A9097" w14:textId="77777777" w:rsidR="008E47E2" w:rsidRPr="004600FC" w:rsidRDefault="008E47E2" w:rsidP="00D51238">
      <w:pPr>
        <w:suppressAutoHyphens/>
        <w:autoSpaceDN w:val="0"/>
        <w:rPr>
          <w:rFonts w:ascii="Arial" w:eastAsia="Aptos" w:hAnsi="Arial" w:cs="Arial"/>
          <w:b/>
          <w:bCs/>
          <w:kern w:val="3"/>
          <w:lang w:eastAsia="en-US"/>
          <w14:ligatures w14:val="none"/>
        </w:rPr>
      </w:pPr>
      <w:r w:rsidRPr="004600FC">
        <w:rPr>
          <w:rFonts w:ascii="Arial" w:eastAsia="Aptos" w:hAnsi="Arial" w:cs="Arial"/>
          <w:b/>
          <w:bCs/>
          <w:kern w:val="3"/>
          <w:lang w:eastAsia="en-US"/>
          <w14:ligatures w14:val="none"/>
        </w:rPr>
        <w:t>Theories, Policies, and Legislation</w:t>
      </w:r>
    </w:p>
    <w:p w14:paraId="5959BC02" w14:textId="26BA0D7F"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Several theoretical frameworks underpin the understanding of intervention effectiveness. Socioemotional Selectivity Theory explains why emotionally meaningful, personalised interactions, such as befriending or small-group activities, yield greater mental health benefits than generic social engagements (Carstensen, 1999</w:t>
      </w:r>
      <w:r w:rsidR="00AF029F">
        <w:rPr>
          <w:rFonts w:ascii="Arial" w:eastAsia="Aptos" w:hAnsi="Arial" w:cs="Arial"/>
          <w:kern w:val="3"/>
          <w:lang w:eastAsia="en-US"/>
          <w14:ligatures w14:val="none"/>
        </w:rPr>
        <w:t>a</w:t>
      </w:r>
      <w:r w:rsidRPr="004600FC">
        <w:rPr>
          <w:rFonts w:ascii="Arial" w:eastAsia="Aptos" w:hAnsi="Arial" w:cs="Arial"/>
          <w:kern w:val="3"/>
          <w:lang w:eastAsia="en-US"/>
          <w14:ligatures w14:val="none"/>
        </w:rPr>
        <w:t>). The Social Ecological Model highlights the multi-level factors influencing participation, demonstrating that interventions succeed when they simultaneously address individual, interpersonal, and community-level determinants (Bronfenbrenner, 1979).</w:t>
      </w:r>
    </w:p>
    <w:p w14:paraId="3BC644E8" w14:textId="77777777" w:rsidR="00C0208F" w:rsidRDefault="00C0208F" w:rsidP="00D51238">
      <w:pPr>
        <w:suppressAutoHyphens/>
        <w:autoSpaceDN w:val="0"/>
        <w:rPr>
          <w:rFonts w:ascii="Arial" w:eastAsia="Aptos" w:hAnsi="Arial" w:cs="Arial"/>
          <w:kern w:val="3"/>
          <w:lang w:eastAsia="en-US"/>
          <w14:ligatures w14:val="none"/>
        </w:rPr>
      </w:pPr>
    </w:p>
    <w:p w14:paraId="628E79AF" w14:textId="6DA8268B"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Relevant UK policies include the Loneliness Strategy (Department for Digital, Culture, Media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Sport, 2018) and NHS England’s Long-Term Plan, which prioritise social prescribing and community-based support to reduce isolation. These frameworks emphasise integrated, person-centred approaches; however, practical constraints such as funding limitations, workforce capacity, and service fragmentation often hinder consistent implementation (Milton et al., 2021).</w:t>
      </w:r>
    </w:p>
    <w:p w14:paraId="3B9A1697" w14:textId="77777777" w:rsidR="00D51238" w:rsidRPr="004600FC" w:rsidRDefault="00D51238" w:rsidP="00D51238">
      <w:pPr>
        <w:suppressAutoHyphens/>
        <w:autoSpaceDN w:val="0"/>
        <w:rPr>
          <w:rFonts w:ascii="Arial" w:eastAsia="Aptos" w:hAnsi="Arial" w:cs="Arial"/>
          <w:kern w:val="3"/>
          <w:lang w:eastAsia="en-US"/>
          <w14:ligatures w14:val="none"/>
        </w:rPr>
      </w:pPr>
    </w:p>
    <w:p w14:paraId="1D91D956"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Implications</w:t>
      </w:r>
    </w:p>
    <w:p w14:paraId="2C11F8F9" w14:textId="146FA671" w:rsidR="00EA2D71" w:rsidRDefault="00EA2D71" w:rsidP="00D51238">
      <w:pPr>
        <w:suppressAutoHyphens/>
        <w:autoSpaceDN w:val="0"/>
        <w:rPr>
          <w:rFonts w:ascii="Arial" w:eastAsia="Aptos" w:hAnsi="Arial" w:cs="Arial"/>
          <w:kern w:val="3"/>
          <w:lang w:eastAsia="en-US"/>
          <w14:ligatures w14:val="none"/>
        </w:rPr>
      </w:pPr>
      <w:r w:rsidRPr="00EA2D71">
        <w:rPr>
          <w:rFonts w:ascii="Arial" w:eastAsia="Aptos" w:hAnsi="Arial" w:cs="Arial"/>
          <w:kern w:val="3"/>
          <w:lang w:eastAsia="en-US"/>
          <w14:ligatures w14:val="none"/>
        </w:rPr>
        <w:t xml:space="preserve">The effectiveness of </w:t>
      </w:r>
      <w:r w:rsidR="008838EF" w:rsidRPr="008838EF">
        <w:rPr>
          <w:rFonts w:ascii="Arial" w:eastAsia="Aptos" w:hAnsi="Arial" w:cs="Arial"/>
          <w:kern w:val="3"/>
          <w:lang w:eastAsia="en-US"/>
          <w14:ligatures w14:val="none"/>
        </w:rPr>
        <w:t>support programmes</w:t>
      </w:r>
      <w:r w:rsidRPr="00EA2D71">
        <w:rPr>
          <w:rFonts w:ascii="Arial" w:eastAsia="Aptos" w:hAnsi="Arial" w:cs="Arial"/>
          <w:kern w:val="3"/>
          <w:lang w:eastAsia="en-US"/>
          <w14:ligatures w14:val="none"/>
        </w:rPr>
        <w:t xml:space="preserve"> has several important implications.</w:t>
      </w:r>
      <w:r w:rsidR="00C0208F">
        <w:rPr>
          <w:rFonts w:ascii="Arial" w:eastAsia="Aptos" w:hAnsi="Arial" w:cs="Arial"/>
          <w:kern w:val="3"/>
          <w:lang w:eastAsia="en-US"/>
          <w14:ligatures w14:val="none"/>
        </w:rPr>
        <w:t xml:space="preserve"> </w:t>
      </w:r>
      <w:r w:rsidRPr="00EA2D71">
        <w:rPr>
          <w:rFonts w:ascii="Arial" w:eastAsia="Aptos" w:hAnsi="Arial" w:cs="Arial"/>
          <w:kern w:val="3"/>
          <w:lang w:eastAsia="en-US"/>
          <w14:ligatures w14:val="none"/>
        </w:rPr>
        <w:t>Evidence indicates that sustained and tailored programmes can reduce loneliness, improve emotional wellbeing, and enhance social participation, particularly when they are culturally sensitive, person-centred, and accessible to older adults with physical or cognitive limitations (Fakoya et al., 2020). However, when interventions are short-term, poorly resourced, or inaccessible, they may exacerbate feelings of exclusion and undermine trust in support systems (Goodman et al., 2020). Therefore, sustainability, monitoring, and integration with health and social care services are critical to maximise positive outcomes.</w:t>
      </w:r>
    </w:p>
    <w:p w14:paraId="551A4B45" w14:textId="77777777" w:rsidR="00EA2D71" w:rsidRDefault="00EA2D71" w:rsidP="00D51238">
      <w:pPr>
        <w:suppressAutoHyphens/>
        <w:autoSpaceDN w:val="0"/>
        <w:rPr>
          <w:rFonts w:ascii="Arial" w:eastAsia="Aptos" w:hAnsi="Arial" w:cs="Arial"/>
          <w:kern w:val="3"/>
          <w:lang w:eastAsia="en-US"/>
          <w14:ligatures w14:val="none"/>
        </w:rPr>
      </w:pPr>
    </w:p>
    <w:p w14:paraId="1D026759" w14:textId="77777777" w:rsidR="00E46C5A" w:rsidRDefault="00E46C5A" w:rsidP="00D51238">
      <w:pPr>
        <w:suppressAutoHyphens/>
        <w:autoSpaceDN w:val="0"/>
        <w:rPr>
          <w:rFonts w:ascii="Arial" w:eastAsia="Aptos" w:hAnsi="Arial" w:cs="Arial"/>
          <w:b/>
          <w:bCs/>
          <w:kern w:val="3"/>
          <w:sz w:val="24"/>
          <w:szCs w:val="24"/>
          <w:lang w:eastAsia="en-US"/>
          <w14:ligatures w14:val="none"/>
        </w:rPr>
      </w:pPr>
      <w:r w:rsidRPr="00E46C5A">
        <w:rPr>
          <w:rFonts w:ascii="Arial" w:eastAsia="Aptos" w:hAnsi="Arial" w:cs="Arial"/>
          <w:b/>
          <w:bCs/>
          <w:kern w:val="3"/>
          <w:sz w:val="24"/>
          <w:szCs w:val="24"/>
          <w:lang w:eastAsia="en-US"/>
          <w14:ligatures w14:val="none"/>
        </w:rPr>
        <w:t>Examples from the Literature</w:t>
      </w:r>
    </w:p>
    <w:p w14:paraId="4E14CD8A" w14:textId="406C7CF4" w:rsidR="00036348" w:rsidRDefault="00036348" w:rsidP="00D51238">
      <w:pPr>
        <w:suppressAutoHyphens/>
        <w:autoSpaceDN w:val="0"/>
        <w:rPr>
          <w:rFonts w:ascii="Arial" w:eastAsia="Aptos" w:hAnsi="Arial" w:cs="Arial"/>
          <w:kern w:val="3"/>
          <w:lang w:eastAsia="en-US"/>
          <w14:ligatures w14:val="none"/>
        </w:rPr>
      </w:pPr>
      <w:r w:rsidRPr="00036348">
        <w:rPr>
          <w:rFonts w:ascii="Arial" w:eastAsia="Aptos" w:hAnsi="Arial" w:cs="Arial"/>
          <w:kern w:val="3"/>
          <w:lang w:eastAsia="en-US"/>
          <w14:ligatures w14:val="none"/>
        </w:rPr>
        <w:t xml:space="preserve">As summarised in </w:t>
      </w:r>
      <w:r w:rsidRPr="00036348">
        <w:rPr>
          <w:rFonts w:ascii="Arial" w:eastAsia="Aptos" w:hAnsi="Arial" w:cs="Arial"/>
          <w:b/>
          <w:bCs/>
          <w:kern w:val="3"/>
          <w:lang w:eastAsia="en-US"/>
          <w14:ligatures w14:val="none"/>
        </w:rPr>
        <w:t>Appendix E</w:t>
      </w:r>
      <w:r w:rsidRPr="00036348">
        <w:rPr>
          <w:rFonts w:ascii="Arial" w:eastAsia="Aptos" w:hAnsi="Arial" w:cs="Arial"/>
          <w:kern w:val="3"/>
          <w:lang w:eastAsia="en-US"/>
          <w14:ligatures w14:val="none"/>
        </w:rPr>
        <w:t>, evidence across studies demonstrates that social prescribing, befriending, and group-based interventions improve wellbeing and reduce loneliness (Chatterjee et al., 2018; Cattan et al., 2005; Skingley and Bungay, 2010). However, while Chatterjee et al. (2018) report improvements in wellbeing through structured interventions, Husk et al. (2020) highlight variability in outcomes depending on programme delivery, suggesting that effectiveness is not consistent across settings.</w:t>
      </w:r>
    </w:p>
    <w:p w14:paraId="51F080E4" w14:textId="77777777" w:rsidR="00AE7F21" w:rsidRDefault="00AE7F21" w:rsidP="00D51238">
      <w:pPr>
        <w:suppressAutoHyphens/>
        <w:autoSpaceDN w:val="0"/>
        <w:rPr>
          <w:rFonts w:ascii="Arial" w:eastAsia="Aptos" w:hAnsi="Arial" w:cs="Arial"/>
          <w:kern w:val="3"/>
          <w:lang w:eastAsia="en-US"/>
          <w14:ligatures w14:val="none"/>
        </w:rPr>
      </w:pPr>
    </w:p>
    <w:p w14:paraId="0EC610D1" w14:textId="48570983"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Connections to Other Themes</w:t>
      </w:r>
    </w:p>
    <w:p w14:paraId="183B929A" w14:textId="1A50F5ED" w:rsidR="00D51238"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Effectiveness is closely linked to the other three themes. Mental health outcomes (Theme 1) are the primary target of interventions, while barriers to participation (Theme 3) and digital exclusion (Theme 4) directly influence who benefits and how. For example, an intervention may be highly effective for those who can access it, but inaccessible transport, mobility limitations, or low digital literacy can prevent the most isolated older adults from participating. </w:t>
      </w:r>
      <w:r w:rsidRPr="004600FC">
        <w:rPr>
          <w:rFonts w:ascii="Arial" w:eastAsia="Aptos" w:hAnsi="Arial" w:cs="Arial"/>
          <w:kern w:val="3"/>
          <w:lang w:eastAsia="en-US"/>
          <w14:ligatures w14:val="none"/>
        </w:rPr>
        <w:lastRenderedPageBreak/>
        <w:t>Understanding these intersections reinforces the need for holistic, integrated approaches that address both individual and structural determinants of social isolation.</w:t>
      </w:r>
    </w:p>
    <w:p w14:paraId="4C6BBA8A" w14:textId="77777777" w:rsidR="0049540F" w:rsidRPr="004600FC" w:rsidRDefault="0049540F" w:rsidP="00D51238">
      <w:pPr>
        <w:suppressAutoHyphens/>
        <w:autoSpaceDN w:val="0"/>
        <w:rPr>
          <w:rFonts w:ascii="Arial" w:eastAsia="Aptos" w:hAnsi="Arial" w:cs="Arial"/>
          <w:kern w:val="3"/>
          <w:lang w:eastAsia="en-US"/>
          <w14:ligatures w14:val="none"/>
        </w:rPr>
      </w:pPr>
    </w:p>
    <w:p w14:paraId="57FB2EDD" w14:textId="451E0C77" w:rsidR="008E47E2" w:rsidRPr="00CC5394" w:rsidRDefault="008E47E2" w:rsidP="00D51238">
      <w:pPr>
        <w:suppressAutoHyphens/>
        <w:autoSpaceDN w:val="0"/>
        <w:rPr>
          <w:rFonts w:ascii="Arial" w:eastAsia="Aptos" w:hAnsi="Arial" w:cs="Arial"/>
          <w:b/>
          <w:bCs/>
          <w:kern w:val="3"/>
          <w:sz w:val="28"/>
          <w:szCs w:val="28"/>
          <w:lang w:eastAsia="en-US"/>
          <w14:ligatures w14:val="none"/>
        </w:rPr>
      </w:pPr>
      <w:r w:rsidRPr="00CC5394">
        <w:rPr>
          <w:rFonts w:ascii="Arial" w:eastAsia="Aptos" w:hAnsi="Arial" w:cs="Arial"/>
          <w:b/>
          <w:bCs/>
          <w:kern w:val="3"/>
          <w:sz w:val="28"/>
          <w:szCs w:val="28"/>
          <w:lang w:eastAsia="en-US"/>
          <w14:ligatures w14:val="none"/>
        </w:rPr>
        <w:t xml:space="preserve">4.5 Theme 3: Barriers to Participation </w:t>
      </w:r>
    </w:p>
    <w:p w14:paraId="5A41CB6B"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Definition</w:t>
      </w:r>
    </w:p>
    <w:p w14:paraId="2925C0BB" w14:textId="29C89892"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Barriers to participation are factors that prevent older adults from accessing, engaging with, or benefiting fully from community-based interventions. These obstacles may be structural, such as transport or funding limitations; personal, including physical health or cognitive decline; or psychosocial, including stigma, pride, or cultural norms (Kharicha et al., 2019</w:t>
      </w:r>
      <w:r w:rsidR="002220FF">
        <w:rPr>
          <w:rFonts w:ascii="Arial" w:eastAsia="Aptos" w:hAnsi="Arial" w:cs="Arial"/>
          <w:kern w:val="3"/>
          <w:lang w:eastAsia="en-US"/>
          <w14:ligatures w14:val="none"/>
        </w:rPr>
        <w:t>b</w:t>
      </w:r>
      <w:r w:rsidRPr="004600FC">
        <w:rPr>
          <w:rFonts w:ascii="Arial" w:eastAsia="Aptos" w:hAnsi="Arial" w:cs="Arial"/>
          <w:kern w:val="3"/>
          <w:lang w:eastAsia="en-US"/>
          <w14:ligatures w14:val="none"/>
        </w:rPr>
        <w:t>). Understanding these barriers is essential for designing effective interventions that reach the most socially isolated and vulnerable individuals.</w:t>
      </w:r>
    </w:p>
    <w:p w14:paraId="22188FBB" w14:textId="77777777" w:rsidR="008E47E2" w:rsidRPr="004600FC" w:rsidRDefault="008E47E2" w:rsidP="00D51238">
      <w:pPr>
        <w:suppressAutoHyphens/>
        <w:autoSpaceDN w:val="0"/>
        <w:rPr>
          <w:rFonts w:ascii="Arial" w:eastAsia="Aptos" w:hAnsi="Arial" w:cs="Arial"/>
          <w:kern w:val="3"/>
          <w:lang w:eastAsia="en-US"/>
          <w14:ligatures w14:val="none"/>
        </w:rPr>
      </w:pPr>
    </w:p>
    <w:p w14:paraId="776D2181"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Background Information</w:t>
      </w:r>
    </w:p>
    <w:p w14:paraId="6CC853A2" w14:textId="61CD6D27" w:rsidR="00D51238"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Community interventions are often heralded as solutions to loneliness and social isolation, yet participation remains uneven. Research demonstrates that despite the availability of services, many older adults fail to engage due to a combination of environmental, personal, and cultural factors</w:t>
      </w:r>
      <w:r w:rsidR="002104F1">
        <w:rPr>
          <w:rFonts w:ascii="Arial" w:eastAsia="Aptos" w:hAnsi="Arial" w:cs="Arial"/>
          <w:kern w:val="3"/>
          <w:lang w:eastAsia="en-US"/>
          <w14:ligatures w14:val="none"/>
        </w:rPr>
        <w:t>.</w:t>
      </w:r>
      <w:r w:rsidRPr="004600FC">
        <w:rPr>
          <w:rFonts w:ascii="Arial" w:eastAsia="Aptos" w:hAnsi="Arial" w:cs="Arial"/>
          <w:kern w:val="3"/>
          <w:lang w:eastAsia="en-US"/>
          <w14:ligatures w14:val="none"/>
        </w:rPr>
        <w:t xml:space="preserve"> </w:t>
      </w:r>
      <w:r w:rsidR="002104F1" w:rsidRPr="002104F1">
        <w:rPr>
          <w:rFonts w:ascii="Arial" w:eastAsia="Aptos" w:hAnsi="Arial" w:cs="Arial"/>
          <w:kern w:val="3"/>
          <w:lang w:eastAsia="en-US"/>
          <w14:ligatures w14:val="none"/>
        </w:rPr>
        <w:t>The literature identifies persistent structural, personal, and cultural barriers that limit participation (Shergold and Parkhurst, 2012; Age UK, 2022).</w:t>
      </w:r>
      <w:r w:rsidR="002104F1">
        <w:rPr>
          <w:rFonts w:ascii="Arial" w:eastAsia="Aptos" w:hAnsi="Arial" w:cs="Arial"/>
          <w:kern w:val="3"/>
          <w:lang w:eastAsia="en-US"/>
          <w14:ligatures w14:val="none"/>
        </w:rPr>
        <w:t xml:space="preserve"> </w:t>
      </w:r>
      <w:r w:rsidRPr="004600FC">
        <w:rPr>
          <w:rFonts w:ascii="Arial" w:eastAsia="Aptos" w:hAnsi="Arial" w:cs="Arial"/>
          <w:kern w:val="3"/>
          <w:lang w:eastAsia="en-US"/>
          <w14:ligatures w14:val="none"/>
        </w:rPr>
        <w:t>Historically, interventions were often designed without accounting for these access barriers, resulting in lower-than-expected uptake and engagement among those most in need (Goll et al., 2015; Luiu et al., 2017).</w:t>
      </w:r>
    </w:p>
    <w:p w14:paraId="5C7BD9FF" w14:textId="77777777" w:rsidR="00C0208F" w:rsidRPr="004600FC" w:rsidRDefault="00C0208F" w:rsidP="00D51238">
      <w:pPr>
        <w:suppressAutoHyphens/>
        <w:autoSpaceDN w:val="0"/>
        <w:rPr>
          <w:rFonts w:ascii="Arial" w:eastAsia="Aptos" w:hAnsi="Arial" w:cs="Arial"/>
          <w:kern w:val="3"/>
          <w:lang w:eastAsia="en-US"/>
          <w14:ligatures w14:val="none"/>
        </w:rPr>
      </w:pPr>
    </w:p>
    <w:p w14:paraId="4D0E4581"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Impact on Research Question</w:t>
      </w:r>
    </w:p>
    <w:p w14:paraId="378D46BF" w14:textId="77777777"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Barriers to participation are directly relevant to the dissertation question, as the mental health benefits of community interventions cannot be realised without engagement. By identifying these obstacles, this theme highlights the limitations of current programmes and informs strategies to improve inclusivity, accessibility, and effectiveness. Moreover, barriers intersect with mental health outcomes (Theme 1) and intervention effectiveness (Theme 2), illustrating how structural and individual challenges may limit the potential for positive change.</w:t>
      </w:r>
    </w:p>
    <w:p w14:paraId="40E684E5" w14:textId="77777777" w:rsidR="0049540F" w:rsidRDefault="0049540F" w:rsidP="00D51238">
      <w:pPr>
        <w:suppressAutoHyphens/>
        <w:autoSpaceDN w:val="0"/>
        <w:rPr>
          <w:rFonts w:ascii="Arial" w:eastAsia="Aptos" w:hAnsi="Arial" w:cs="Arial"/>
          <w:kern w:val="3"/>
          <w:lang w:eastAsia="en-US"/>
          <w14:ligatures w14:val="none"/>
        </w:rPr>
      </w:pPr>
    </w:p>
    <w:p w14:paraId="1B1B720E" w14:textId="77777777" w:rsidR="0049540F" w:rsidRDefault="0049540F" w:rsidP="00D51238">
      <w:pPr>
        <w:suppressAutoHyphens/>
        <w:autoSpaceDN w:val="0"/>
        <w:rPr>
          <w:rFonts w:ascii="Arial" w:eastAsia="Aptos" w:hAnsi="Arial" w:cs="Arial"/>
          <w:kern w:val="3"/>
          <w:lang w:eastAsia="en-US"/>
          <w14:ligatures w14:val="none"/>
        </w:rPr>
      </w:pPr>
    </w:p>
    <w:p w14:paraId="37DFAD02" w14:textId="77777777" w:rsidR="00D51238" w:rsidRPr="004600FC" w:rsidRDefault="00D51238" w:rsidP="00D51238">
      <w:pPr>
        <w:suppressAutoHyphens/>
        <w:autoSpaceDN w:val="0"/>
        <w:rPr>
          <w:rFonts w:ascii="Arial" w:eastAsia="Aptos" w:hAnsi="Arial" w:cs="Arial"/>
          <w:kern w:val="3"/>
          <w:lang w:eastAsia="en-US"/>
          <w14:ligatures w14:val="none"/>
        </w:rPr>
      </w:pPr>
    </w:p>
    <w:p w14:paraId="44EA56ED"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lastRenderedPageBreak/>
        <w:t>Statistical Information</w:t>
      </w:r>
    </w:p>
    <w:p w14:paraId="5CB10890" w14:textId="0279B136" w:rsidR="00AE7F21"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Quantitative studies show that mobility impairments reduce participation rates in community activities by up to 35% compared with older adults without physical limitations (Shankar et al., 2017). Transport barriers are similarly significant, with older adults in rural areas attending only 60% of available sessions compared to urban peers (Shergold </w:t>
      </w:r>
      <w:r w:rsidR="00307BBD">
        <w:rPr>
          <w:rFonts w:ascii="Arial" w:eastAsia="Aptos" w:hAnsi="Arial" w:cs="Arial"/>
          <w:kern w:val="3"/>
          <w:lang w:eastAsia="en-US"/>
          <w14:ligatures w14:val="none"/>
        </w:rPr>
        <w:t>and</w:t>
      </w:r>
      <w:r w:rsidRPr="004600FC">
        <w:rPr>
          <w:rFonts w:ascii="Arial" w:eastAsia="Aptos" w:hAnsi="Arial" w:cs="Arial"/>
          <w:kern w:val="3"/>
          <w:lang w:eastAsia="en-US"/>
          <w14:ligatures w14:val="none"/>
        </w:rPr>
        <w:t xml:space="preserve"> Parkhurst, 2012). Digital exclusion is prevalent among older adults, with 40</w:t>
      </w:r>
      <w:r w:rsidR="00871F45">
        <w:rPr>
          <w:rFonts w:ascii="Arial" w:eastAsia="Aptos" w:hAnsi="Arial" w:cs="Arial"/>
          <w:kern w:val="3"/>
          <w:lang w:eastAsia="en-US"/>
          <w14:ligatures w14:val="none"/>
        </w:rPr>
        <w:t>-</w:t>
      </w:r>
      <w:r w:rsidRPr="004600FC">
        <w:rPr>
          <w:rFonts w:ascii="Arial" w:eastAsia="Aptos" w:hAnsi="Arial" w:cs="Arial"/>
          <w:kern w:val="3"/>
          <w:lang w:eastAsia="en-US"/>
          <w14:ligatures w14:val="none"/>
        </w:rPr>
        <w:t>50% lacking confidence in using online platforms, restricting access to virtual interventions implemented during the COVID-19 pandemic (Seifert et al., 2020). Financial barriers also affect engagement: older adults on lower incomes are 25% less likely to participate in group-based activities that require a membership fee or transport costs (Taylor et al., 2018). Emotional and cultural barriers further compound these issues, particularly for minority ethnic groups or those experiencing stigma around loneliness (Mackenzie et al., 2019).</w:t>
      </w:r>
      <w:r w:rsidR="0049540F">
        <w:rPr>
          <w:rFonts w:ascii="Arial" w:eastAsia="Aptos" w:hAnsi="Arial" w:cs="Arial"/>
          <w:kern w:val="3"/>
          <w:lang w:eastAsia="en-US"/>
          <w14:ligatures w14:val="none"/>
        </w:rPr>
        <w:t xml:space="preserve"> </w:t>
      </w:r>
      <w:r w:rsidR="00723D96" w:rsidRPr="00723D96">
        <w:rPr>
          <w:rFonts w:ascii="Arial" w:eastAsia="Aptos" w:hAnsi="Arial" w:cs="Arial"/>
          <w:kern w:val="3"/>
          <w:lang w:eastAsia="en-US"/>
          <w14:ligatures w14:val="none"/>
        </w:rPr>
        <w:t>However, variations in how these barriers are defined and measured across studies reduce the reliability and comparability of findings</w:t>
      </w:r>
      <w:r w:rsidR="00AE7F21" w:rsidRPr="00AE7F21">
        <w:rPr>
          <w:rFonts w:ascii="Arial" w:eastAsia="Aptos" w:hAnsi="Arial" w:cs="Arial"/>
          <w:kern w:val="3"/>
          <w:lang w:eastAsia="en-US"/>
          <w14:ligatures w14:val="none"/>
        </w:rPr>
        <w:t>, indicating a need for more standardised approaches in future research.</w:t>
      </w:r>
    </w:p>
    <w:p w14:paraId="579BAF9B" w14:textId="77777777" w:rsidR="00D51238" w:rsidRPr="004600FC" w:rsidRDefault="00D51238" w:rsidP="00D51238">
      <w:pPr>
        <w:suppressAutoHyphens/>
        <w:autoSpaceDN w:val="0"/>
        <w:rPr>
          <w:rFonts w:ascii="Arial" w:eastAsia="Aptos" w:hAnsi="Arial" w:cs="Arial"/>
          <w:kern w:val="3"/>
          <w:lang w:eastAsia="en-US"/>
          <w14:ligatures w14:val="none"/>
        </w:rPr>
      </w:pPr>
    </w:p>
    <w:p w14:paraId="1BCCAFEE"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Theories, Policies, and Legislation</w:t>
      </w:r>
    </w:p>
    <w:p w14:paraId="7F31F99A" w14:textId="565B8FA4" w:rsidR="00EA2D71" w:rsidRDefault="00EA2D71" w:rsidP="00EA2D71">
      <w:pPr>
        <w:suppressAutoHyphens/>
        <w:autoSpaceDN w:val="0"/>
        <w:rPr>
          <w:rFonts w:ascii="Arial" w:eastAsia="Aptos" w:hAnsi="Arial" w:cs="Arial"/>
          <w:kern w:val="3"/>
          <w:lang w:eastAsia="en-US"/>
          <w14:ligatures w14:val="none"/>
        </w:rPr>
      </w:pPr>
      <w:r w:rsidRPr="00EA2D71">
        <w:rPr>
          <w:rFonts w:ascii="Arial" w:eastAsia="Aptos" w:hAnsi="Arial" w:cs="Arial"/>
          <w:kern w:val="3"/>
          <w:lang w:eastAsia="en-US"/>
          <w14:ligatures w14:val="none"/>
        </w:rPr>
        <w:t>Several frameworks elucidate why barriers affect engagement. The Social Ecological Model (Bronfenbrenner, 1979) emphasises that participation is influenced by factors across multiple levels, including individual factors such as health and psychological state, interpersonal support such as family, community factors such as availability of services and transport, and wider societal influences such as policy, funding, and digital infrastructure. Socioemotional Selectivity Theory (Carstensen, 1999</w:t>
      </w:r>
      <w:r w:rsidR="002220FF">
        <w:rPr>
          <w:rFonts w:ascii="Arial" w:eastAsia="Aptos" w:hAnsi="Arial" w:cs="Arial"/>
          <w:kern w:val="3"/>
          <w:lang w:eastAsia="en-US"/>
          <w14:ligatures w14:val="none"/>
        </w:rPr>
        <w:t>a</w:t>
      </w:r>
      <w:r w:rsidRPr="00EA2D71">
        <w:rPr>
          <w:rFonts w:ascii="Arial" w:eastAsia="Aptos" w:hAnsi="Arial" w:cs="Arial"/>
          <w:kern w:val="3"/>
          <w:lang w:eastAsia="en-US"/>
          <w14:ligatures w14:val="none"/>
        </w:rPr>
        <w:t>) further highlights that older adults prioritise meaningful engagement, meaning interventions perceived as irrelevant or impersonal are less likely to overcome psychosocial barriers. In addition, digital inclusion policies in the UK, including initiatives by Age UK (2021</w:t>
      </w:r>
      <w:r w:rsidR="00F1357B">
        <w:rPr>
          <w:rFonts w:ascii="Arial" w:eastAsia="Aptos" w:hAnsi="Arial" w:cs="Arial"/>
          <w:kern w:val="3"/>
          <w:lang w:eastAsia="en-US"/>
          <w14:ligatures w14:val="none"/>
        </w:rPr>
        <w:t>a</w:t>
      </w:r>
      <w:r w:rsidRPr="00EA2D71">
        <w:rPr>
          <w:rFonts w:ascii="Arial" w:eastAsia="Aptos" w:hAnsi="Arial" w:cs="Arial"/>
          <w:kern w:val="3"/>
          <w:lang w:eastAsia="en-US"/>
          <w14:ligatures w14:val="none"/>
        </w:rPr>
        <w:t>), address inequalities in access to online services, recognising that digital literacy is now a key determinant of participation.</w:t>
      </w:r>
    </w:p>
    <w:p w14:paraId="2921408D" w14:textId="77777777" w:rsidR="00C0208F" w:rsidRPr="00EA2D71" w:rsidRDefault="00C0208F" w:rsidP="00EA2D71">
      <w:pPr>
        <w:suppressAutoHyphens/>
        <w:autoSpaceDN w:val="0"/>
        <w:rPr>
          <w:rFonts w:ascii="Arial" w:eastAsia="Aptos" w:hAnsi="Arial" w:cs="Arial"/>
          <w:kern w:val="3"/>
          <w:lang w:eastAsia="en-US"/>
          <w14:ligatures w14:val="none"/>
        </w:rPr>
      </w:pPr>
    </w:p>
    <w:p w14:paraId="0974C656" w14:textId="1EE491AD" w:rsidR="002F3D2B" w:rsidRDefault="00EA2D71" w:rsidP="00CC5394">
      <w:pPr>
        <w:suppressAutoHyphens/>
        <w:autoSpaceDN w:val="0"/>
        <w:rPr>
          <w:rFonts w:ascii="Arial" w:eastAsia="Aptos" w:hAnsi="Arial" w:cs="Arial"/>
          <w:kern w:val="3"/>
          <w:lang w:eastAsia="en-US"/>
          <w14:ligatures w14:val="none"/>
        </w:rPr>
      </w:pPr>
      <w:r w:rsidRPr="00EA2D71">
        <w:rPr>
          <w:rFonts w:ascii="Arial" w:eastAsia="Aptos" w:hAnsi="Arial" w:cs="Arial"/>
          <w:kern w:val="3"/>
          <w:lang w:eastAsia="en-US"/>
          <w14:ligatures w14:val="none"/>
        </w:rPr>
        <w:t xml:space="preserve">Government policies such as the Loneliness Strategy (Department for Digital, Culture, Media </w:t>
      </w:r>
      <w:r w:rsidR="00307BBD">
        <w:rPr>
          <w:rFonts w:ascii="Arial" w:eastAsia="Aptos" w:hAnsi="Arial" w:cs="Arial"/>
          <w:kern w:val="3"/>
          <w:lang w:eastAsia="en-US"/>
          <w14:ligatures w14:val="none"/>
        </w:rPr>
        <w:t>and</w:t>
      </w:r>
      <w:r w:rsidRPr="00EA2D71">
        <w:rPr>
          <w:rFonts w:ascii="Arial" w:eastAsia="Aptos" w:hAnsi="Arial" w:cs="Arial"/>
          <w:kern w:val="3"/>
          <w:lang w:eastAsia="en-US"/>
          <w14:ligatures w14:val="none"/>
        </w:rPr>
        <w:t xml:space="preserve"> Sport, 2018) and </w:t>
      </w:r>
      <w:r w:rsidR="00036348" w:rsidRPr="00036348">
        <w:rPr>
          <w:rFonts w:ascii="Arial" w:eastAsia="Aptos" w:hAnsi="Arial" w:cs="Arial"/>
          <w:kern w:val="3"/>
          <w:lang w:eastAsia="en-US"/>
          <w14:ligatures w14:val="none"/>
        </w:rPr>
        <w:t>NHS England’s social prescribing framework (NHS</w:t>
      </w:r>
      <w:r w:rsidR="00D62608">
        <w:rPr>
          <w:rFonts w:ascii="Arial" w:eastAsia="Aptos" w:hAnsi="Arial" w:cs="Arial"/>
          <w:kern w:val="3"/>
          <w:lang w:eastAsia="en-US"/>
          <w14:ligatures w14:val="none"/>
        </w:rPr>
        <w:t xml:space="preserve"> </w:t>
      </w:r>
      <w:r w:rsidR="00D62608" w:rsidRPr="004F3555">
        <w:rPr>
          <w:rFonts w:ascii="Arial" w:eastAsia="Aptos" w:hAnsi="Arial" w:cs="Arial"/>
          <w:lang w:eastAsia="en-US"/>
        </w:rPr>
        <w:t>England</w:t>
      </w:r>
      <w:r w:rsidR="00036348" w:rsidRPr="00036348">
        <w:rPr>
          <w:rFonts w:ascii="Arial" w:eastAsia="Aptos" w:hAnsi="Arial" w:cs="Arial"/>
          <w:kern w:val="3"/>
          <w:lang w:eastAsia="en-US"/>
          <w14:ligatures w14:val="none"/>
        </w:rPr>
        <w:t>, 2021a)</w:t>
      </w:r>
      <w:r w:rsidRPr="00EA2D71">
        <w:rPr>
          <w:rFonts w:ascii="Arial" w:eastAsia="Aptos" w:hAnsi="Arial" w:cs="Arial"/>
          <w:kern w:val="3"/>
          <w:lang w:eastAsia="en-US"/>
          <w14:ligatures w14:val="none"/>
        </w:rPr>
        <w:t xml:space="preserve"> acknowledge these barriers by recommending flexible, culturally sensitive, and accessible programming. However, in practice, structural challenges, including short-term funding, limited transport, and workforce constraints, often limit effective policy implementation (Milton et al., 2021)</w:t>
      </w:r>
      <w:r w:rsidR="0049540F">
        <w:rPr>
          <w:rFonts w:ascii="Arial" w:eastAsia="Aptos" w:hAnsi="Arial" w:cs="Arial"/>
          <w:kern w:val="3"/>
          <w:lang w:eastAsia="en-US"/>
          <w14:ligatures w14:val="none"/>
        </w:rPr>
        <w:t>.</w:t>
      </w:r>
    </w:p>
    <w:p w14:paraId="746994B1" w14:textId="2E6590E7" w:rsidR="00CC5394" w:rsidRDefault="008E47E2" w:rsidP="00CC5394">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lastRenderedPageBreak/>
        <w:t>Implications</w:t>
      </w:r>
    </w:p>
    <w:p w14:paraId="26ACF2CD" w14:textId="77777777" w:rsidR="0049540F" w:rsidRDefault="00EA2D71" w:rsidP="0049540F">
      <w:pPr>
        <w:suppressAutoHyphens/>
        <w:autoSpaceDN w:val="0"/>
        <w:rPr>
          <w:rFonts w:ascii="Arial" w:eastAsia="Aptos" w:hAnsi="Arial" w:cs="Arial"/>
          <w:kern w:val="3"/>
          <w:lang w:eastAsia="en-US"/>
          <w14:ligatures w14:val="none"/>
        </w:rPr>
      </w:pPr>
      <w:r w:rsidRPr="00EA2D71">
        <w:rPr>
          <w:rFonts w:ascii="Arial" w:eastAsia="Aptos" w:hAnsi="Arial" w:cs="Arial"/>
          <w:kern w:val="3"/>
          <w:lang w:eastAsia="en-US"/>
          <w14:ligatures w14:val="none"/>
        </w:rPr>
        <w:t xml:space="preserve">Understanding barriers has both positive and negative implications. Identifying and addressing these obstacles can inform the design of more inclusive, accessible, and culturally relevant interventions. For example, transport support, hybrid activity delivery, and multilingual facilitation have been shown to increase participation among underserved groups (Khan et al., 2020; Luiu et al., 2017). However, </w:t>
      </w:r>
      <w:r w:rsidR="00F87831">
        <w:rPr>
          <w:rFonts w:ascii="Arial" w:eastAsia="Aptos" w:hAnsi="Arial" w:cs="Arial"/>
          <w:kern w:val="3"/>
          <w:lang w:eastAsia="en-US"/>
          <w14:ligatures w14:val="none"/>
        </w:rPr>
        <w:t>f</w:t>
      </w:r>
      <w:r w:rsidR="00F87831" w:rsidRPr="00F87831">
        <w:rPr>
          <w:rFonts w:ascii="Arial" w:eastAsia="Aptos" w:hAnsi="Arial" w:cs="Arial"/>
          <w:kern w:val="3"/>
          <w:lang w:eastAsia="en-US"/>
          <w14:ligatures w14:val="none"/>
        </w:rPr>
        <w:t>ailure to address these barriers risks excluding vulnerable groups and reducing the overall effectiveness of interventions (Age UK, 2022)</w:t>
      </w:r>
      <w:r w:rsidRPr="00EA2D71">
        <w:rPr>
          <w:rFonts w:ascii="Arial" w:eastAsia="Aptos" w:hAnsi="Arial" w:cs="Arial"/>
          <w:kern w:val="3"/>
          <w:lang w:eastAsia="en-US"/>
          <w14:ligatures w14:val="none"/>
        </w:rPr>
        <w:t>. The presence of multiple, interacting barriers can further exacerbate inequities in mental health outcomes, highlighting the need for comprehensive, multi-level strategies.</w:t>
      </w:r>
      <w:r w:rsidR="0049540F">
        <w:rPr>
          <w:rFonts w:ascii="Arial" w:eastAsia="Aptos" w:hAnsi="Arial" w:cs="Arial"/>
          <w:kern w:val="3"/>
          <w:lang w:eastAsia="en-US"/>
          <w14:ligatures w14:val="none"/>
        </w:rPr>
        <w:t xml:space="preserve"> </w:t>
      </w:r>
    </w:p>
    <w:p w14:paraId="0AA2AB08" w14:textId="77777777" w:rsidR="0049540F" w:rsidRDefault="0049540F" w:rsidP="0049540F">
      <w:pPr>
        <w:suppressAutoHyphens/>
        <w:autoSpaceDN w:val="0"/>
        <w:rPr>
          <w:rFonts w:ascii="Arial" w:eastAsia="Aptos" w:hAnsi="Arial" w:cs="Arial"/>
          <w:kern w:val="3"/>
          <w:lang w:eastAsia="en-US"/>
          <w14:ligatures w14:val="none"/>
        </w:rPr>
      </w:pPr>
    </w:p>
    <w:p w14:paraId="217B25D6" w14:textId="53EB72DF" w:rsidR="00557174" w:rsidRPr="0049540F" w:rsidRDefault="00557174" w:rsidP="0049540F">
      <w:pPr>
        <w:suppressAutoHyphens/>
        <w:autoSpaceDN w:val="0"/>
        <w:rPr>
          <w:rFonts w:ascii="Arial" w:eastAsia="Aptos" w:hAnsi="Arial" w:cs="Arial"/>
          <w:kern w:val="3"/>
          <w:lang w:eastAsia="en-US"/>
          <w14:ligatures w14:val="none"/>
        </w:rPr>
      </w:pPr>
      <w:r w:rsidRPr="00557174">
        <w:rPr>
          <w:rFonts w:ascii="Arial" w:eastAsia="Aptos" w:hAnsi="Arial" w:cs="Arial"/>
          <w:kern w:val="3"/>
          <w:lang w:eastAsia="en-US"/>
        </w:rPr>
        <w:t>This suggests that even well-designed interventions may fail if structural barriers are not addressed, reinforcing the need for integrated approaches that consider both individual and systemic factors.</w:t>
      </w:r>
    </w:p>
    <w:p w14:paraId="4C674149" w14:textId="77777777" w:rsidR="008E47E2" w:rsidRPr="004600FC" w:rsidRDefault="008E47E2" w:rsidP="00D51238">
      <w:pPr>
        <w:suppressAutoHyphens/>
        <w:autoSpaceDN w:val="0"/>
        <w:rPr>
          <w:rFonts w:ascii="Arial" w:eastAsia="Aptos" w:hAnsi="Arial" w:cs="Arial"/>
          <w:kern w:val="3"/>
          <w:lang w:eastAsia="en-US"/>
          <w14:ligatures w14:val="none"/>
        </w:rPr>
      </w:pPr>
    </w:p>
    <w:p w14:paraId="156F2D77" w14:textId="7D1FFE50" w:rsidR="00C50793" w:rsidRPr="00C50793" w:rsidRDefault="00C50793" w:rsidP="00C50793">
      <w:pPr>
        <w:suppressAutoHyphens/>
        <w:autoSpaceDN w:val="0"/>
        <w:rPr>
          <w:rFonts w:ascii="Arial" w:eastAsia="Aptos" w:hAnsi="Arial" w:cs="Arial"/>
          <w:b/>
          <w:bCs/>
          <w:kern w:val="3"/>
          <w:sz w:val="24"/>
          <w:szCs w:val="24"/>
          <w:lang w:eastAsia="en-US" w:bidi="en-GB"/>
          <w14:ligatures w14:val="none"/>
        </w:rPr>
      </w:pPr>
      <w:r w:rsidRPr="00C50793">
        <w:rPr>
          <w:rFonts w:ascii="Arial" w:eastAsia="Aptos" w:hAnsi="Arial" w:cs="Arial"/>
          <w:b/>
          <w:bCs/>
          <w:kern w:val="3"/>
          <w:sz w:val="24"/>
          <w:szCs w:val="24"/>
          <w:lang w:eastAsia="en-US" w:bidi="en-GB"/>
          <w14:ligatures w14:val="none"/>
        </w:rPr>
        <w:t xml:space="preserve">Evidence from the Literature </w:t>
      </w:r>
    </w:p>
    <w:p w14:paraId="354D8409" w14:textId="77777777" w:rsidR="002E33F9" w:rsidRDefault="002E33F9" w:rsidP="00D51238">
      <w:pPr>
        <w:suppressAutoHyphens/>
        <w:autoSpaceDN w:val="0"/>
        <w:rPr>
          <w:rFonts w:ascii="Arial" w:eastAsia="Aptos" w:hAnsi="Arial" w:cs="Arial"/>
          <w:kern w:val="3"/>
          <w:lang w:eastAsia="en-US" w:bidi="en-GB"/>
          <w14:ligatures w14:val="none"/>
        </w:rPr>
      </w:pPr>
      <w:r w:rsidRPr="002E33F9">
        <w:rPr>
          <w:rFonts w:ascii="Arial" w:eastAsia="Aptos" w:hAnsi="Arial" w:cs="Arial"/>
          <w:kern w:val="3"/>
          <w:lang w:eastAsia="en-US" w:bidi="en-GB"/>
          <w14:ligatures w14:val="none"/>
        </w:rPr>
        <w:t xml:space="preserve">As shown in </w:t>
      </w:r>
      <w:r w:rsidRPr="002E33F9">
        <w:rPr>
          <w:rFonts w:ascii="Arial" w:eastAsia="Aptos" w:hAnsi="Arial" w:cs="Arial"/>
          <w:b/>
          <w:bCs/>
          <w:kern w:val="3"/>
          <w:lang w:eastAsia="en-US" w:bidi="en-GB"/>
          <w14:ligatures w14:val="none"/>
        </w:rPr>
        <w:t>Appendix E</w:t>
      </w:r>
      <w:r w:rsidRPr="002E33F9">
        <w:rPr>
          <w:rFonts w:ascii="Arial" w:eastAsia="Aptos" w:hAnsi="Arial" w:cs="Arial"/>
          <w:kern w:val="3"/>
          <w:lang w:eastAsia="en-US" w:bidi="en-GB"/>
          <w14:ligatures w14:val="none"/>
        </w:rPr>
        <w:t>, physical limitations, transport barriers, digital exclusion, and cultural factors significantly restrict participation in community programmes (Shankar et al., 2017; Shergold and Parkhurst, 2012; Seifert et al., 2020; Mackenzie et al., 2019). These barriers are interconnected and often reinforced by wider structural inequalities.</w:t>
      </w:r>
    </w:p>
    <w:p w14:paraId="0E9474CC" w14:textId="77777777" w:rsidR="00AE7F21" w:rsidRDefault="00AE7F21" w:rsidP="00D51238">
      <w:pPr>
        <w:suppressAutoHyphens/>
        <w:autoSpaceDN w:val="0"/>
        <w:rPr>
          <w:rFonts w:ascii="Arial" w:eastAsia="Aptos" w:hAnsi="Arial" w:cs="Arial"/>
          <w:kern w:val="3"/>
          <w:lang w:eastAsia="en-US" w:bidi="en-GB"/>
          <w14:ligatures w14:val="none"/>
        </w:rPr>
      </w:pPr>
    </w:p>
    <w:p w14:paraId="589C83BE" w14:textId="3202ED11"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Connections to Other Themes</w:t>
      </w:r>
    </w:p>
    <w:p w14:paraId="0C97AF6B" w14:textId="0945AF9E" w:rsidR="0049540F" w:rsidRDefault="001A78EF" w:rsidP="00D51238">
      <w:pPr>
        <w:suppressAutoHyphens/>
        <w:autoSpaceDN w:val="0"/>
        <w:rPr>
          <w:rFonts w:ascii="Arial" w:eastAsia="Aptos" w:hAnsi="Arial" w:cs="Arial"/>
          <w:kern w:val="3"/>
          <w:lang w:eastAsia="en-US"/>
        </w:rPr>
      </w:pPr>
      <w:r w:rsidRPr="001A78EF">
        <w:rPr>
          <w:rFonts w:ascii="Arial" w:eastAsia="Aptos" w:hAnsi="Arial" w:cs="Arial"/>
          <w:kern w:val="3"/>
          <w:lang w:eastAsia="en-US"/>
        </w:rPr>
        <w:t xml:space="preserve">Barriers to participation are directly linked to the other themes of this dissertation. Individuals who cannot engage in community interventions are significantly more likely to experience increasing levels of loneliness, depression, and anxiety, thereby intensifying the mental health impacts </w:t>
      </w:r>
      <w:r>
        <w:rPr>
          <w:rFonts w:ascii="Arial" w:eastAsia="Aptos" w:hAnsi="Arial" w:cs="Arial"/>
          <w:kern w:val="3"/>
          <w:lang w:eastAsia="en-US"/>
        </w:rPr>
        <w:t>emphasised</w:t>
      </w:r>
      <w:r w:rsidRPr="001A78EF">
        <w:rPr>
          <w:rFonts w:ascii="Arial" w:eastAsia="Aptos" w:hAnsi="Arial" w:cs="Arial"/>
          <w:kern w:val="3"/>
          <w:lang w:eastAsia="en-US"/>
        </w:rPr>
        <w:t xml:space="preserve"> in Theme 1. </w:t>
      </w:r>
      <w:r w:rsidR="00EA2D71" w:rsidRPr="00EA2D71">
        <w:rPr>
          <w:rFonts w:ascii="Arial" w:eastAsia="Aptos" w:hAnsi="Arial" w:cs="Arial"/>
          <w:kern w:val="3"/>
          <w:lang w:eastAsia="en-US"/>
        </w:rPr>
        <w:t xml:space="preserve"> Similarly, the effectiveness of interventions discussed in Theme 2 is heavily dependent on overcoming </w:t>
      </w:r>
      <w:r w:rsidR="00EA2D71">
        <w:rPr>
          <w:rFonts w:ascii="Arial" w:eastAsia="Aptos" w:hAnsi="Arial" w:cs="Arial"/>
          <w:kern w:val="3"/>
          <w:lang w:eastAsia="en-US"/>
        </w:rPr>
        <w:t>obstacles to access and engagement</w:t>
      </w:r>
      <w:r w:rsidR="00EA2D71" w:rsidRPr="00EA2D71">
        <w:rPr>
          <w:rFonts w:ascii="Arial" w:eastAsia="Aptos" w:hAnsi="Arial" w:cs="Arial"/>
          <w:kern w:val="3"/>
          <w:lang w:eastAsia="en-US"/>
        </w:rPr>
        <w:t>, as even well-designed programmes cannot reach their intended population if barriers persist. Technological barriers also intersect with Theme 4, as digital exclusion represents a key dimension of participation challenges, highlighting the need to integrate both accessibility and digital literacy support. Understanding these interconnections supports a more holistic approach to intervention design, ensuring that programmes are not only theoretically effective but also practically accessible.</w:t>
      </w:r>
    </w:p>
    <w:p w14:paraId="32706813" w14:textId="55339379" w:rsidR="00072289" w:rsidRPr="002F3D2B" w:rsidRDefault="008E47E2" w:rsidP="00D51238">
      <w:pPr>
        <w:suppressAutoHyphens/>
        <w:autoSpaceDN w:val="0"/>
        <w:rPr>
          <w:rFonts w:ascii="Arial" w:eastAsia="Aptos" w:hAnsi="Arial" w:cs="Arial"/>
          <w:kern w:val="3"/>
          <w:lang w:eastAsia="en-US"/>
        </w:rPr>
      </w:pPr>
      <w:r w:rsidRPr="00CC5394">
        <w:rPr>
          <w:rFonts w:ascii="Arial" w:eastAsia="Aptos" w:hAnsi="Arial" w:cs="Arial"/>
          <w:b/>
          <w:bCs/>
          <w:kern w:val="3"/>
          <w:sz w:val="28"/>
          <w:szCs w:val="28"/>
          <w:lang w:eastAsia="en-US"/>
          <w14:ligatures w14:val="none"/>
        </w:rPr>
        <w:lastRenderedPageBreak/>
        <w:t xml:space="preserve">4.6 Theme 4: Digital Exclusion and Technology Engagement </w:t>
      </w:r>
    </w:p>
    <w:p w14:paraId="6CF8A926" w14:textId="38D0844E"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Definition</w:t>
      </w:r>
    </w:p>
    <w:p w14:paraId="1A7E028E" w14:textId="46C3E7DC"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Digital exclusion refers to the inability or limited capacity of individuals to access or effectively use digital technologies due to barriers such as </w:t>
      </w:r>
      <w:r w:rsidR="00D51238">
        <w:rPr>
          <w:rFonts w:ascii="Arial" w:eastAsia="Aptos" w:hAnsi="Arial" w:cs="Arial"/>
          <w:kern w:val="3"/>
          <w:lang w:eastAsia="en-US"/>
          <w14:ligatures w14:val="none"/>
        </w:rPr>
        <w:t xml:space="preserve">a </w:t>
      </w:r>
      <w:r w:rsidRPr="004600FC">
        <w:rPr>
          <w:rFonts w:ascii="Arial" w:eastAsia="Aptos" w:hAnsi="Arial" w:cs="Arial"/>
          <w:kern w:val="3"/>
          <w:lang w:eastAsia="en-US"/>
          <w14:ligatures w14:val="none"/>
        </w:rPr>
        <w:t xml:space="preserve">lack of skills, access to devices, affordability, or confidence (Holt-Lunstad et al., 2015). In older adults, digital engagement encompasses </w:t>
      </w:r>
      <w:r w:rsidR="00D51238">
        <w:rPr>
          <w:rFonts w:ascii="Arial" w:eastAsia="Aptos" w:hAnsi="Arial" w:cs="Arial"/>
          <w:kern w:val="3"/>
          <w:lang w:eastAsia="en-US"/>
          <w14:ligatures w14:val="none"/>
        </w:rPr>
        <w:t>using</w:t>
      </w:r>
      <w:r w:rsidRPr="004600FC">
        <w:rPr>
          <w:rFonts w:ascii="Arial" w:eastAsia="Aptos" w:hAnsi="Arial" w:cs="Arial"/>
          <w:kern w:val="3"/>
          <w:lang w:eastAsia="en-US"/>
          <w14:ligatures w14:val="none"/>
        </w:rPr>
        <w:t xml:space="preserve"> technology to maintain social contact, participate in community interventions, and access health and social care services. Given the increasing digitisation of services, digital exclusion can reinforce social isolation, limiting opportunities for social connection, mental stimulation, and </w:t>
      </w:r>
      <w:r w:rsidR="00072289" w:rsidRPr="004600FC">
        <w:rPr>
          <w:rFonts w:ascii="Arial" w:eastAsia="Aptos" w:hAnsi="Arial" w:cs="Arial"/>
          <w:kern w:val="3"/>
          <w:lang w:eastAsia="en-US"/>
          <w14:ligatures w14:val="none"/>
        </w:rPr>
        <w:t>well-being</w:t>
      </w:r>
      <w:r w:rsidRPr="004600FC">
        <w:rPr>
          <w:rFonts w:ascii="Arial" w:eastAsia="Aptos" w:hAnsi="Arial" w:cs="Arial"/>
          <w:kern w:val="3"/>
          <w:lang w:eastAsia="en-US"/>
          <w14:ligatures w14:val="none"/>
        </w:rPr>
        <w:t>.</w:t>
      </w:r>
    </w:p>
    <w:p w14:paraId="51F3F93A" w14:textId="77777777" w:rsidR="00D51238" w:rsidRPr="004600FC" w:rsidRDefault="00D51238" w:rsidP="00D51238">
      <w:pPr>
        <w:suppressAutoHyphens/>
        <w:autoSpaceDN w:val="0"/>
        <w:rPr>
          <w:rFonts w:ascii="Arial" w:eastAsia="Aptos" w:hAnsi="Arial" w:cs="Arial"/>
          <w:kern w:val="3"/>
          <w:lang w:eastAsia="en-US"/>
          <w14:ligatures w14:val="none"/>
        </w:rPr>
      </w:pPr>
    </w:p>
    <w:p w14:paraId="553DEB09"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Background Information</w:t>
      </w:r>
    </w:p>
    <w:p w14:paraId="436E8B37" w14:textId="11A25BB3"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The COVID-19 pandemic accelerated reliance on digital platforms for social connection, community participation, and healthcare services, including virtual social groups, telehealth, and online learning (Seifert et al., 2021). While these innovations present opportunities, older adults are disproportionately affected by digital exclusion. Factors such as limited previous exposure to technology, cognitive decline, sensory impairments, economic constraints, and lack of training contribute to this disparity (Age UK, 2021</w:t>
      </w:r>
      <w:r w:rsidR="00F1357B">
        <w:rPr>
          <w:rFonts w:ascii="Arial" w:eastAsia="Aptos" w:hAnsi="Arial" w:cs="Arial"/>
          <w:kern w:val="3"/>
          <w:lang w:eastAsia="en-US"/>
          <w14:ligatures w14:val="none"/>
        </w:rPr>
        <w:t>a</w:t>
      </w:r>
      <w:r w:rsidRPr="004600FC">
        <w:rPr>
          <w:rFonts w:ascii="Arial" w:eastAsia="Aptos" w:hAnsi="Arial" w:cs="Arial"/>
          <w:kern w:val="3"/>
          <w:lang w:eastAsia="en-US"/>
          <w14:ligatures w14:val="none"/>
        </w:rPr>
        <w:t>).</w:t>
      </w:r>
    </w:p>
    <w:p w14:paraId="08452950" w14:textId="77777777" w:rsidR="00F42F7E" w:rsidRPr="004600FC" w:rsidRDefault="00F42F7E" w:rsidP="00D51238">
      <w:pPr>
        <w:suppressAutoHyphens/>
        <w:autoSpaceDN w:val="0"/>
        <w:rPr>
          <w:rFonts w:ascii="Arial" w:eastAsia="Aptos" w:hAnsi="Arial" w:cs="Arial"/>
          <w:kern w:val="3"/>
          <w:lang w:eastAsia="en-US"/>
          <w14:ligatures w14:val="none"/>
        </w:rPr>
      </w:pPr>
    </w:p>
    <w:p w14:paraId="02DF99BF" w14:textId="6449AF26"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Historically, interventions were largely in-person, but the pandemic forced </w:t>
      </w:r>
      <w:r w:rsidR="00072289" w:rsidRPr="004600FC">
        <w:rPr>
          <w:rFonts w:ascii="Arial" w:eastAsia="Aptos" w:hAnsi="Arial" w:cs="Arial"/>
          <w:kern w:val="3"/>
          <w:lang w:eastAsia="en-US"/>
          <w14:ligatures w14:val="none"/>
        </w:rPr>
        <w:t>a rapid shift to digital</w:t>
      </w:r>
      <w:r w:rsidRPr="004600FC">
        <w:rPr>
          <w:rFonts w:ascii="Arial" w:eastAsia="Aptos" w:hAnsi="Arial" w:cs="Arial"/>
          <w:kern w:val="3"/>
          <w:lang w:eastAsia="en-US"/>
          <w14:ligatures w14:val="none"/>
        </w:rPr>
        <w:t xml:space="preserve">. Many older adults struggled to adapt due to inadequate support, highlighting the importance of tailored digital inclusion strategies (Fang et al., 2019). This background demonstrates </w:t>
      </w:r>
      <w:r w:rsidR="00D51238">
        <w:rPr>
          <w:rFonts w:ascii="Arial" w:eastAsia="Aptos" w:hAnsi="Arial" w:cs="Arial"/>
          <w:kern w:val="3"/>
          <w:lang w:eastAsia="en-US"/>
          <w14:ligatures w14:val="none"/>
        </w:rPr>
        <w:t>how technological, economic, and social determinants intersect to shape</w:t>
      </w:r>
      <w:r w:rsidRPr="004600FC">
        <w:rPr>
          <w:rFonts w:ascii="Arial" w:eastAsia="Aptos" w:hAnsi="Arial" w:cs="Arial"/>
          <w:kern w:val="3"/>
          <w:lang w:eastAsia="en-US"/>
          <w14:ligatures w14:val="none"/>
        </w:rPr>
        <w:t xml:space="preserve"> participation and mental health outcomes.</w:t>
      </w:r>
    </w:p>
    <w:p w14:paraId="69CA6C7F" w14:textId="77777777" w:rsidR="00D51238" w:rsidRPr="004600FC" w:rsidRDefault="00D51238" w:rsidP="00D51238">
      <w:pPr>
        <w:suppressAutoHyphens/>
        <w:autoSpaceDN w:val="0"/>
        <w:rPr>
          <w:rFonts w:ascii="Arial" w:eastAsia="Aptos" w:hAnsi="Arial" w:cs="Arial"/>
          <w:kern w:val="3"/>
          <w:lang w:eastAsia="en-US"/>
          <w14:ligatures w14:val="none"/>
        </w:rPr>
      </w:pPr>
    </w:p>
    <w:p w14:paraId="1723237F"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Impact on Research Question</w:t>
      </w:r>
    </w:p>
    <w:p w14:paraId="3A158C9D" w14:textId="06CA75E8" w:rsidR="008E47E2"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 xml:space="preserve">Digital exclusion is directly relevant to the dissertation’s focus on social isolation, loneliness, and mental health in older adults. When technology-based interventions are inaccessible, older adults risk further isolation, reduced cognitive engagement, and diminished social support. Conversely, effective digital engagement can enhance mental </w:t>
      </w:r>
      <w:r w:rsidR="00CD08ED">
        <w:rPr>
          <w:rFonts w:ascii="Arial" w:eastAsia="Aptos" w:hAnsi="Arial" w:cs="Arial"/>
          <w:kern w:val="3"/>
          <w:lang w:eastAsia="en-US"/>
          <w14:ligatures w14:val="none"/>
        </w:rPr>
        <w:t>well-being</w:t>
      </w:r>
      <w:r w:rsidRPr="004600FC">
        <w:rPr>
          <w:rFonts w:ascii="Arial" w:eastAsia="Aptos" w:hAnsi="Arial" w:cs="Arial"/>
          <w:kern w:val="3"/>
          <w:lang w:eastAsia="en-US"/>
          <w14:ligatures w14:val="none"/>
        </w:rPr>
        <w:t xml:space="preserve">, facilitate participation in remote community programmes, and maintain family and peer connections, illustrating a critical pathway for interventions aimed at mitigating loneliness (Holt-Lunstad et </w:t>
      </w:r>
      <w:r w:rsidRPr="004600FC">
        <w:rPr>
          <w:rFonts w:ascii="Arial" w:eastAsia="Aptos" w:hAnsi="Arial" w:cs="Arial"/>
          <w:kern w:val="3"/>
          <w:lang w:eastAsia="en-US"/>
          <w14:ligatures w14:val="none"/>
        </w:rPr>
        <w:lastRenderedPageBreak/>
        <w:t>al., 2015). Addressing digital barriers is therefore central to designing inclusive interventions that maximise impact.</w:t>
      </w:r>
    </w:p>
    <w:p w14:paraId="47C386E3" w14:textId="77777777" w:rsidR="00D51238" w:rsidRPr="004600FC" w:rsidRDefault="00D51238" w:rsidP="00D51238">
      <w:pPr>
        <w:suppressAutoHyphens/>
        <w:autoSpaceDN w:val="0"/>
        <w:rPr>
          <w:rFonts w:ascii="Arial" w:eastAsia="Aptos" w:hAnsi="Arial" w:cs="Arial"/>
          <w:kern w:val="3"/>
          <w:lang w:eastAsia="en-US"/>
          <w14:ligatures w14:val="none"/>
        </w:rPr>
      </w:pPr>
    </w:p>
    <w:p w14:paraId="53DDFB34"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Statistical Information</w:t>
      </w:r>
    </w:p>
    <w:p w14:paraId="1D8DD21D" w14:textId="1CA4A2B1" w:rsidR="00D51238" w:rsidRDefault="008E47E2" w:rsidP="00D51238">
      <w:pPr>
        <w:suppressAutoHyphens/>
        <w:autoSpaceDN w:val="0"/>
        <w:rPr>
          <w:rFonts w:ascii="Arial" w:eastAsia="Aptos" w:hAnsi="Arial" w:cs="Arial"/>
          <w:kern w:val="3"/>
          <w:lang w:eastAsia="en-US"/>
          <w14:ligatures w14:val="none"/>
        </w:rPr>
      </w:pPr>
      <w:r w:rsidRPr="004600FC">
        <w:rPr>
          <w:rFonts w:ascii="Arial" w:eastAsia="Aptos" w:hAnsi="Arial" w:cs="Arial"/>
          <w:kern w:val="3"/>
          <w:lang w:eastAsia="en-US"/>
          <w14:ligatures w14:val="none"/>
        </w:rPr>
        <w:t>Quantitative data highlights the scale of digital exclusion among older adults in the UK. Age UK (2021</w:t>
      </w:r>
      <w:r w:rsidR="00F1357B">
        <w:rPr>
          <w:rFonts w:ascii="Arial" w:eastAsia="Aptos" w:hAnsi="Arial" w:cs="Arial"/>
          <w:kern w:val="3"/>
          <w:lang w:eastAsia="en-US"/>
          <w14:ligatures w14:val="none"/>
        </w:rPr>
        <w:t>a</w:t>
      </w:r>
      <w:r w:rsidRPr="004600FC">
        <w:rPr>
          <w:rFonts w:ascii="Arial" w:eastAsia="Aptos" w:hAnsi="Arial" w:cs="Arial"/>
          <w:kern w:val="3"/>
          <w:lang w:eastAsia="en-US"/>
          <w14:ligatures w14:val="none"/>
        </w:rPr>
        <w:t>) reports that approximately 40% of adults aged 65 and over lack basic digital skills, and only 50% feel confident using online platforms. Device affordability is also a barrier, with around 30% unable to access appropriate hardware or broadband. Research indicates that older adults who are digitally excluded are 1.5 times more likely to experience loneliness than those who engage online (Seifert et al., 2021). Gender, socioeconomic status, and educational attainment further influence digital engagement, with women, low-income individuals, and those with lower education disproportionately affected (Fang et al., 2019).</w:t>
      </w:r>
    </w:p>
    <w:p w14:paraId="578473D0" w14:textId="77777777" w:rsidR="00AE7F21" w:rsidRDefault="00AE7F21" w:rsidP="00D51238">
      <w:pPr>
        <w:suppressAutoHyphens/>
        <w:autoSpaceDN w:val="0"/>
        <w:rPr>
          <w:rFonts w:ascii="Arial" w:eastAsia="Aptos" w:hAnsi="Arial" w:cs="Arial"/>
          <w:kern w:val="3"/>
          <w:lang w:eastAsia="en-US"/>
          <w14:ligatures w14:val="none"/>
        </w:rPr>
      </w:pPr>
    </w:p>
    <w:p w14:paraId="76B81891" w14:textId="441874F8" w:rsidR="00F42F7E" w:rsidRDefault="00AE7F21" w:rsidP="00D51238">
      <w:pPr>
        <w:suppressAutoHyphens/>
        <w:autoSpaceDN w:val="0"/>
        <w:rPr>
          <w:rFonts w:ascii="Arial" w:eastAsia="Aptos" w:hAnsi="Arial" w:cs="Arial"/>
          <w:kern w:val="3"/>
          <w:lang w:eastAsia="en-US"/>
          <w14:ligatures w14:val="none"/>
        </w:rPr>
      </w:pPr>
      <w:r w:rsidRPr="00AE7F21">
        <w:rPr>
          <w:rFonts w:ascii="Arial" w:eastAsia="Aptos" w:hAnsi="Arial" w:cs="Arial"/>
          <w:kern w:val="3"/>
          <w:lang w:eastAsia="en-US"/>
          <w14:ligatures w14:val="none"/>
        </w:rPr>
        <w:t>This suggests that while digital exclusion is widely recognised, inconsistencies in how digital engagement is defined and measured may affect the strength of conclusions drawn across studies.</w:t>
      </w:r>
      <w:r w:rsidR="003C1FAC">
        <w:rPr>
          <w:rFonts w:ascii="Arial" w:eastAsia="Aptos" w:hAnsi="Arial" w:cs="Arial"/>
          <w:kern w:val="3"/>
          <w:lang w:eastAsia="en-US"/>
          <w14:ligatures w14:val="none"/>
        </w:rPr>
        <w:t xml:space="preserve"> </w:t>
      </w:r>
      <w:r w:rsidR="003C1FAC" w:rsidRPr="003C1FAC">
        <w:rPr>
          <w:rFonts w:ascii="Arial" w:eastAsia="Aptos" w:hAnsi="Arial" w:cs="Arial"/>
          <w:kern w:val="3"/>
          <w:lang w:eastAsia="en-US"/>
          <w14:ligatures w14:val="none"/>
        </w:rPr>
        <w:t>However, inconsistencies in how digital engagement is measured across studies may limit the reliability of these conclusions.</w:t>
      </w:r>
    </w:p>
    <w:p w14:paraId="16A8F805" w14:textId="77777777" w:rsidR="00CC5394" w:rsidRPr="004600FC" w:rsidRDefault="00CC5394" w:rsidP="00D51238">
      <w:pPr>
        <w:suppressAutoHyphens/>
        <w:autoSpaceDN w:val="0"/>
        <w:rPr>
          <w:rFonts w:ascii="Arial" w:eastAsia="Aptos" w:hAnsi="Arial" w:cs="Arial"/>
          <w:kern w:val="3"/>
          <w:lang w:eastAsia="en-US"/>
          <w14:ligatures w14:val="none"/>
        </w:rPr>
      </w:pPr>
    </w:p>
    <w:p w14:paraId="49B50CE3"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Theories, Policies, and Legislation</w:t>
      </w:r>
    </w:p>
    <w:p w14:paraId="6A93078E" w14:textId="23736D31" w:rsidR="008E47E2" w:rsidRDefault="00C50793" w:rsidP="00D51238">
      <w:pPr>
        <w:suppressAutoHyphens/>
        <w:autoSpaceDN w:val="0"/>
        <w:rPr>
          <w:rFonts w:ascii="Arial" w:eastAsia="Aptos" w:hAnsi="Arial" w:cs="Arial"/>
          <w:kern w:val="3"/>
          <w:lang w:eastAsia="en-US"/>
          <w14:ligatures w14:val="none"/>
        </w:rPr>
      </w:pPr>
      <w:r w:rsidRPr="00C50793">
        <w:rPr>
          <w:rFonts w:ascii="Arial" w:eastAsia="Aptos" w:hAnsi="Arial" w:cs="Arial"/>
          <w:kern w:val="3"/>
          <w:lang w:eastAsia="en-US"/>
          <w14:ligatures w14:val="none"/>
        </w:rPr>
        <w:t>Several theoretical and policy frameworks elucidate digital exclusion. The Social Ecological Model (Bronfenbrenner, 1979) demonstrates that digital engagement is shaped by multiple levels, including individual factors such as skills and cognitive ability</w:t>
      </w:r>
      <w:r w:rsidR="00803EF7">
        <w:rPr>
          <w:rFonts w:ascii="Arial" w:eastAsia="Aptos" w:hAnsi="Arial" w:cs="Arial"/>
          <w:kern w:val="3"/>
          <w:lang w:eastAsia="en-US"/>
          <w14:ligatures w14:val="none"/>
        </w:rPr>
        <w:t>; interpersonal support from family or peers; community infrastructure; and wider societal influences,</w:t>
      </w:r>
      <w:r w:rsidRPr="00C50793">
        <w:rPr>
          <w:rFonts w:ascii="Arial" w:eastAsia="Aptos" w:hAnsi="Arial" w:cs="Arial"/>
          <w:kern w:val="3"/>
          <w:lang w:eastAsia="en-US"/>
          <w14:ligatures w14:val="none"/>
        </w:rPr>
        <w:t xml:space="preserve"> such as policies and funding for digital literacy programmes. Socioemotional Selectivity Theory (Carstensen, 1999</w:t>
      </w:r>
      <w:r w:rsidR="00AF029F">
        <w:rPr>
          <w:rFonts w:ascii="Arial" w:eastAsia="Aptos" w:hAnsi="Arial" w:cs="Arial"/>
          <w:kern w:val="3"/>
          <w:lang w:eastAsia="en-US"/>
          <w14:ligatures w14:val="none"/>
        </w:rPr>
        <w:t>a</w:t>
      </w:r>
      <w:r w:rsidRPr="00C50793">
        <w:rPr>
          <w:rFonts w:ascii="Arial" w:eastAsia="Aptos" w:hAnsi="Arial" w:cs="Arial"/>
          <w:kern w:val="3"/>
          <w:lang w:eastAsia="en-US"/>
          <w14:ligatures w14:val="none"/>
        </w:rPr>
        <w:t>) further suggests that older adults prioritise meaningful and emotionally relevant interactions, such as communication with family or peer groups, rather than general internet use, meaning interventions lacking relevance may see limited uptake. Policy frameworks, including the UK Government’s Digital Inclusion Strategy and initiatives led by Age UK and the Good Things Foundation, aim to reduce digital exclusion through training, subsidised devices, and accessible platforms (Age UK, 2021</w:t>
      </w:r>
      <w:r w:rsidR="00F1357B">
        <w:rPr>
          <w:rFonts w:ascii="Arial" w:eastAsia="Aptos" w:hAnsi="Arial" w:cs="Arial"/>
          <w:kern w:val="3"/>
          <w:lang w:eastAsia="en-US"/>
          <w14:ligatures w14:val="none"/>
        </w:rPr>
        <w:t>a</w:t>
      </w:r>
      <w:r w:rsidRPr="00C50793">
        <w:rPr>
          <w:rFonts w:ascii="Arial" w:eastAsia="Aptos" w:hAnsi="Arial" w:cs="Arial"/>
          <w:kern w:val="3"/>
          <w:lang w:eastAsia="en-US"/>
          <w14:ligatures w14:val="none"/>
        </w:rPr>
        <w:t>), with social prescribing guidance increasingly incorporating digital literacy support.</w:t>
      </w:r>
    </w:p>
    <w:p w14:paraId="2AF1E8FC" w14:textId="77777777" w:rsidR="00C50793" w:rsidRPr="00C50793" w:rsidRDefault="00C50793" w:rsidP="00D51238">
      <w:pPr>
        <w:suppressAutoHyphens/>
        <w:autoSpaceDN w:val="0"/>
        <w:rPr>
          <w:rFonts w:ascii="Arial" w:eastAsia="Aptos" w:hAnsi="Arial" w:cs="Arial"/>
          <w:kern w:val="3"/>
          <w:lang w:eastAsia="en-US"/>
          <w14:ligatures w14:val="none"/>
        </w:rPr>
      </w:pPr>
    </w:p>
    <w:p w14:paraId="2595C441" w14:textId="77777777"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lastRenderedPageBreak/>
        <w:t>Implications</w:t>
      </w:r>
    </w:p>
    <w:p w14:paraId="2AD3C689" w14:textId="77777777" w:rsidR="00C50793" w:rsidRDefault="00C50793" w:rsidP="00D51238">
      <w:pPr>
        <w:suppressAutoHyphens/>
        <w:autoSpaceDN w:val="0"/>
        <w:rPr>
          <w:rFonts w:ascii="Arial" w:eastAsia="Aptos" w:hAnsi="Arial" w:cs="Arial"/>
          <w:kern w:val="3"/>
          <w:lang w:eastAsia="en-US"/>
          <w14:ligatures w14:val="none"/>
        </w:rPr>
      </w:pPr>
      <w:r w:rsidRPr="00C50793">
        <w:rPr>
          <w:rFonts w:ascii="Arial" w:eastAsia="Aptos" w:hAnsi="Arial" w:cs="Arial"/>
          <w:kern w:val="3"/>
          <w:lang w:eastAsia="en-US"/>
          <w14:ligatures w14:val="none"/>
        </w:rPr>
        <w:t>Digital exclusion has both positive and negative implications. Where addressed, digital inclusion enhances access to remote interventions, promotes social contact, and supports mental and cognitive wellbeing, enabling older adults to maintain social networks and participate in virtual group activities (Fang et al., 2019). However, failure to address digital barriers exacerbates inequalities, with digitally excluded individuals experiencing greater loneliness and reduced access to interventions (Seifert et al., 2021). Moreover, reliance on online services without complementary in-person options risks marginalising vulnerable populations, particularly those with mobility, sensory, or cognitive limitations.</w:t>
      </w:r>
    </w:p>
    <w:p w14:paraId="47A1C2AF" w14:textId="77777777" w:rsidR="00C50793" w:rsidRDefault="00C50793" w:rsidP="00D51238">
      <w:pPr>
        <w:suppressAutoHyphens/>
        <w:autoSpaceDN w:val="0"/>
        <w:rPr>
          <w:rFonts w:ascii="Arial" w:eastAsia="Aptos" w:hAnsi="Arial" w:cs="Arial"/>
          <w:kern w:val="3"/>
          <w:lang w:eastAsia="en-US"/>
          <w14:ligatures w14:val="none"/>
        </w:rPr>
      </w:pPr>
    </w:p>
    <w:p w14:paraId="231A1A80" w14:textId="6FA34409" w:rsidR="002E174C" w:rsidRPr="002E174C" w:rsidRDefault="00C50793" w:rsidP="002E174C">
      <w:pPr>
        <w:suppressAutoHyphens/>
        <w:spacing w:before="240"/>
        <w:rPr>
          <w:rFonts w:ascii="Arial" w:eastAsia="Aptos" w:hAnsi="Arial" w:cs="Arial"/>
          <w:kern w:val="3"/>
          <w:lang w:eastAsia="en-US" w:bidi="en-GB"/>
        </w:rPr>
      </w:pPr>
      <w:r w:rsidRPr="00C50793">
        <w:rPr>
          <w:rFonts w:ascii="Arial" w:eastAsia="Aptos" w:hAnsi="Arial" w:cs="Arial"/>
          <w:b/>
          <w:bCs/>
          <w:kern w:val="3"/>
          <w:sz w:val="24"/>
          <w:szCs w:val="24"/>
          <w:lang w:eastAsia="en-US"/>
        </w:rPr>
        <w:t>Evidence from the Literature</w:t>
      </w:r>
    </w:p>
    <w:p w14:paraId="2CD8D6C6" w14:textId="3615F8EB" w:rsidR="002E33F9" w:rsidRDefault="002E33F9" w:rsidP="00D51238">
      <w:pPr>
        <w:suppressAutoHyphens/>
        <w:autoSpaceDN w:val="0"/>
        <w:rPr>
          <w:rFonts w:ascii="Arial" w:eastAsia="Aptos" w:hAnsi="Arial" w:cs="Arial"/>
          <w:kern w:val="3"/>
          <w:lang w:eastAsia="en-US" w:bidi="en-GB"/>
          <w14:ligatures w14:val="none"/>
        </w:rPr>
      </w:pPr>
      <w:r w:rsidRPr="002E33F9">
        <w:rPr>
          <w:rFonts w:ascii="Arial" w:eastAsia="Aptos" w:hAnsi="Arial" w:cs="Arial"/>
          <w:kern w:val="3"/>
          <w:lang w:eastAsia="en-US" w:bidi="en-GB"/>
          <w14:ligatures w14:val="none"/>
        </w:rPr>
        <w:t xml:space="preserve">As outlined in </w:t>
      </w:r>
      <w:r w:rsidRPr="002E33F9">
        <w:rPr>
          <w:rFonts w:ascii="Arial" w:eastAsia="Aptos" w:hAnsi="Arial" w:cs="Arial"/>
          <w:b/>
          <w:bCs/>
          <w:kern w:val="3"/>
          <w:lang w:eastAsia="en-US" w:bidi="en-GB"/>
          <w14:ligatures w14:val="none"/>
        </w:rPr>
        <w:t>Appendix E</w:t>
      </w:r>
      <w:r w:rsidRPr="002E33F9">
        <w:rPr>
          <w:rFonts w:ascii="Arial" w:eastAsia="Aptos" w:hAnsi="Arial" w:cs="Arial"/>
          <w:kern w:val="3"/>
          <w:lang w:eastAsia="en-US" w:bidi="en-GB"/>
          <w14:ligatures w14:val="none"/>
        </w:rPr>
        <w:t>, evidence indicates that digital exclusion is associated with increased loneliness and reduced social support, while digital literacy interventions improve engagement and confidence (Holt-Lunstad et al., 2015; Seifert et al., 2021; Fang et al., 2019; Age UK, 2021</w:t>
      </w:r>
      <w:r w:rsidR="00F1357B">
        <w:rPr>
          <w:rFonts w:ascii="Arial" w:eastAsia="Aptos" w:hAnsi="Arial" w:cs="Arial"/>
          <w:kern w:val="3"/>
          <w:lang w:eastAsia="en-US" w:bidi="en-GB"/>
          <w14:ligatures w14:val="none"/>
        </w:rPr>
        <w:t>a</w:t>
      </w:r>
      <w:r w:rsidRPr="002E33F9">
        <w:rPr>
          <w:rFonts w:ascii="Arial" w:eastAsia="Aptos" w:hAnsi="Arial" w:cs="Arial"/>
          <w:kern w:val="3"/>
          <w:lang w:eastAsia="en-US" w:bidi="en-GB"/>
          <w14:ligatures w14:val="none"/>
        </w:rPr>
        <w:t>).</w:t>
      </w:r>
    </w:p>
    <w:p w14:paraId="1697F2D2" w14:textId="77777777" w:rsidR="002F3D2B" w:rsidRDefault="002F3D2B" w:rsidP="00D51238">
      <w:pPr>
        <w:suppressAutoHyphens/>
        <w:autoSpaceDN w:val="0"/>
        <w:rPr>
          <w:rFonts w:ascii="Arial" w:eastAsia="Aptos" w:hAnsi="Arial" w:cs="Arial"/>
          <w:kern w:val="3"/>
          <w:lang w:eastAsia="en-US" w:bidi="en-GB"/>
          <w14:ligatures w14:val="none"/>
        </w:rPr>
      </w:pPr>
    </w:p>
    <w:p w14:paraId="713E434D" w14:textId="39D49EB2" w:rsidR="008E47E2" w:rsidRPr="004600FC" w:rsidRDefault="008E47E2" w:rsidP="00D51238">
      <w:pPr>
        <w:suppressAutoHyphens/>
        <w:autoSpaceDN w:val="0"/>
        <w:rPr>
          <w:rFonts w:ascii="Arial" w:eastAsia="Aptos" w:hAnsi="Arial" w:cs="Arial"/>
          <w:b/>
          <w:bCs/>
          <w:kern w:val="3"/>
          <w:sz w:val="24"/>
          <w:szCs w:val="24"/>
          <w:lang w:eastAsia="en-US"/>
          <w14:ligatures w14:val="none"/>
        </w:rPr>
      </w:pPr>
      <w:r w:rsidRPr="004600FC">
        <w:rPr>
          <w:rFonts w:ascii="Arial" w:eastAsia="Aptos" w:hAnsi="Arial" w:cs="Arial"/>
          <w:b/>
          <w:bCs/>
          <w:kern w:val="3"/>
          <w:sz w:val="24"/>
          <w:szCs w:val="24"/>
          <w:lang w:eastAsia="en-US"/>
          <w14:ligatures w14:val="none"/>
        </w:rPr>
        <w:t>Connections to Other Themes</w:t>
      </w:r>
    </w:p>
    <w:p w14:paraId="569B00F3" w14:textId="5D480479" w:rsidR="008E47E2" w:rsidRPr="004600FC" w:rsidRDefault="001C6E49" w:rsidP="008E47E2">
      <w:pPr>
        <w:suppressAutoHyphens/>
        <w:autoSpaceDN w:val="0"/>
        <w:rPr>
          <w:rFonts w:ascii="Arial" w:eastAsia="Aptos" w:hAnsi="Arial" w:cs="Arial"/>
          <w:kern w:val="3"/>
          <w:lang w:eastAsia="en-US"/>
          <w14:ligatures w14:val="none"/>
        </w:rPr>
      </w:pPr>
      <w:r w:rsidRPr="001C6E49">
        <w:rPr>
          <w:rFonts w:ascii="Arial" w:eastAsia="Aptos" w:hAnsi="Arial" w:cs="Arial"/>
          <w:kern w:val="3"/>
          <w:lang w:eastAsia="en-US"/>
          <w14:ligatures w14:val="none"/>
        </w:rPr>
        <w:t>Digital exclusion intersects with other key themes. In relation to Theme 1, lack of digital engagement exacerbates loneliness, depression, and anxiety, while meaningful online participation can buffer these effects. Regarding Theme 2, technology-supported interventions can enhance or substitute in-person activities, but only if access and training barriers are addressed. In relation to Theme 3, digital exclusion represents a specific barrier within the broader landscape of participation challenges, overlapping with socioeconomic, educational, and cognitive limitations. These interconnections highlight that digital engagement is both a standalone theme and a cross-cutting enabler critical to maximising the reach and effectiveness of community interventions.</w:t>
      </w:r>
    </w:p>
    <w:p w14:paraId="13804279" w14:textId="77777777" w:rsidR="008E47E2" w:rsidRPr="004600FC" w:rsidRDefault="008E47E2" w:rsidP="008E47E2">
      <w:pPr>
        <w:suppressAutoHyphens/>
        <w:autoSpaceDN w:val="0"/>
        <w:rPr>
          <w:rFonts w:ascii="Arial" w:eastAsia="Aptos" w:hAnsi="Arial" w:cs="Arial"/>
          <w:kern w:val="3"/>
          <w:lang w:eastAsia="en-US"/>
          <w14:ligatures w14:val="none"/>
        </w:rPr>
      </w:pPr>
    </w:p>
    <w:p w14:paraId="4D7E0A3A" w14:textId="77777777" w:rsidR="00072289" w:rsidRPr="004600FC" w:rsidRDefault="00072289" w:rsidP="008E47E2">
      <w:pPr>
        <w:suppressAutoHyphens/>
        <w:autoSpaceDN w:val="0"/>
        <w:rPr>
          <w:rFonts w:ascii="Arial" w:eastAsia="Aptos" w:hAnsi="Arial" w:cs="Arial"/>
          <w:kern w:val="3"/>
          <w:lang w:eastAsia="en-US"/>
          <w14:ligatures w14:val="none"/>
        </w:rPr>
      </w:pPr>
    </w:p>
    <w:p w14:paraId="7DB770C1" w14:textId="77777777" w:rsidR="00072289" w:rsidRPr="004600FC" w:rsidRDefault="00072289" w:rsidP="008E47E2">
      <w:pPr>
        <w:suppressAutoHyphens/>
        <w:autoSpaceDN w:val="0"/>
        <w:rPr>
          <w:rFonts w:ascii="Arial" w:eastAsia="Aptos" w:hAnsi="Arial" w:cs="Arial"/>
          <w:kern w:val="3"/>
          <w:lang w:eastAsia="en-US"/>
          <w14:ligatures w14:val="none"/>
        </w:rPr>
      </w:pPr>
    </w:p>
    <w:p w14:paraId="4AB00E14" w14:textId="77777777" w:rsidR="00072289" w:rsidRDefault="00072289" w:rsidP="008E47E2">
      <w:pPr>
        <w:suppressAutoHyphens/>
        <w:autoSpaceDN w:val="0"/>
        <w:rPr>
          <w:rFonts w:ascii="Arial" w:eastAsia="Aptos" w:hAnsi="Arial" w:cs="Arial"/>
          <w:kern w:val="3"/>
          <w:lang w:eastAsia="en-US"/>
          <w14:ligatures w14:val="none"/>
        </w:rPr>
      </w:pPr>
    </w:p>
    <w:p w14:paraId="020A6C51" w14:textId="77777777" w:rsidR="002F3D2B" w:rsidRPr="004600FC" w:rsidRDefault="002F3D2B" w:rsidP="008E47E2">
      <w:pPr>
        <w:suppressAutoHyphens/>
        <w:autoSpaceDN w:val="0"/>
        <w:rPr>
          <w:rFonts w:ascii="Arial" w:eastAsia="Aptos" w:hAnsi="Arial" w:cs="Arial"/>
          <w:kern w:val="3"/>
          <w:lang w:eastAsia="en-US"/>
          <w14:ligatures w14:val="none"/>
        </w:rPr>
      </w:pPr>
    </w:p>
    <w:p w14:paraId="3A82C76B" w14:textId="7D1AB1AF" w:rsidR="008E47E2" w:rsidRPr="00CC5394" w:rsidRDefault="008E47E2" w:rsidP="001936DD">
      <w:pPr>
        <w:suppressAutoHyphens/>
        <w:autoSpaceDN w:val="0"/>
        <w:jc w:val="center"/>
        <w:rPr>
          <w:rFonts w:ascii="Arial" w:eastAsia="Aptos" w:hAnsi="Arial" w:cs="Arial"/>
          <w:b/>
          <w:bCs/>
          <w:kern w:val="3"/>
          <w:sz w:val="32"/>
          <w:szCs w:val="32"/>
          <w:u w:val="single"/>
          <w:lang w:eastAsia="en-US"/>
          <w14:ligatures w14:val="none"/>
        </w:rPr>
      </w:pPr>
      <w:r w:rsidRPr="00CC5394">
        <w:rPr>
          <w:rFonts w:ascii="Arial" w:eastAsia="Aptos" w:hAnsi="Arial" w:cs="Arial"/>
          <w:b/>
          <w:bCs/>
          <w:kern w:val="3"/>
          <w:sz w:val="32"/>
          <w:szCs w:val="32"/>
          <w:u w:val="single"/>
          <w:lang w:eastAsia="en-US"/>
          <w14:ligatures w14:val="none"/>
        </w:rPr>
        <w:lastRenderedPageBreak/>
        <w:t xml:space="preserve">CHAPTER 5 </w:t>
      </w:r>
      <w:r w:rsidR="00871F45" w:rsidRPr="00CC5394">
        <w:rPr>
          <w:rFonts w:ascii="Arial" w:eastAsia="Aptos" w:hAnsi="Arial" w:cs="Arial"/>
          <w:b/>
          <w:bCs/>
          <w:kern w:val="3"/>
          <w:sz w:val="32"/>
          <w:szCs w:val="32"/>
          <w:u w:val="single"/>
          <w:lang w:eastAsia="en-US"/>
          <w14:ligatures w14:val="none"/>
        </w:rPr>
        <w:t>-</w:t>
      </w:r>
      <w:r w:rsidRPr="00CC5394">
        <w:rPr>
          <w:rFonts w:ascii="Arial" w:eastAsia="Aptos" w:hAnsi="Arial" w:cs="Arial"/>
          <w:b/>
          <w:bCs/>
          <w:kern w:val="3"/>
          <w:sz w:val="32"/>
          <w:szCs w:val="32"/>
          <w:u w:val="single"/>
          <w:lang w:eastAsia="en-US"/>
          <w14:ligatures w14:val="none"/>
        </w:rPr>
        <w:t xml:space="preserve"> CONCLUSION AND RECOMMENDATIONS</w:t>
      </w:r>
    </w:p>
    <w:p w14:paraId="7D1CEEED" w14:textId="77777777" w:rsidR="00072289" w:rsidRPr="004600FC" w:rsidRDefault="00072289" w:rsidP="00072289">
      <w:pPr>
        <w:suppressAutoHyphens/>
        <w:autoSpaceDN w:val="0"/>
        <w:jc w:val="center"/>
        <w:rPr>
          <w:rFonts w:ascii="Arial" w:eastAsia="Aptos" w:hAnsi="Arial" w:cs="Arial"/>
          <w:b/>
          <w:bCs/>
          <w:kern w:val="3"/>
          <w:sz w:val="28"/>
          <w:szCs w:val="28"/>
          <w:u w:val="single"/>
          <w:lang w:eastAsia="en-US"/>
          <w14:ligatures w14:val="none"/>
        </w:rPr>
      </w:pPr>
    </w:p>
    <w:p w14:paraId="462914D5" w14:textId="77777777" w:rsidR="008E47E2" w:rsidRPr="00CC5394" w:rsidRDefault="008E47E2" w:rsidP="00D51238">
      <w:pPr>
        <w:suppressAutoHyphens/>
        <w:autoSpaceDN w:val="0"/>
        <w:rPr>
          <w:rFonts w:ascii="Arial" w:eastAsia="Aptos" w:hAnsi="Arial" w:cs="Arial"/>
          <w:b/>
          <w:bCs/>
          <w:kern w:val="3"/>
          <w:sz w:val="28"/>
          <w:szCs w:val="28"/>
          <w:lang w:eastAsia="en-US"/>
          <w14:ligatures w14:val="none"/>
        </w:rPr>
      </w:pPr>
      <w:r w:rsidRPr="00CC5394">
        <w:rPr>
          <w:rFonts w:ascii="Arial" w:eastAsia="Aptos" w:hAnsi="Arial" w:cs="Arial"/>
          <w:b/>
          <w:bCs/>
          <w:kern w:val="3"/>
          <w:sz w:val="28"/>
          <w:szCs w:val="28"/>
          <w:lang w:eastAsia="en-US"/>
          <w14:ligatures w14:val="none"/>
        </w:rPr>
        <w:t>5.1 Overall Conclusion</w:t>
      </w:r>
    </w:p>
    <w:p w14:paraId="6DF4E059" w14:textId="77777777" w:rsidR="00C66F75" w:rsidRPr="00C66F75" w:rsidRDefault="00C66F75" w:rsidP="00C66F75">
      <w:pPr>
        <w:suppressAutoHyphens/>
        <w:autoSpaceDN w:val="0"/>
        <w:rPr>
          <w:rFonts w:ascii="Arial" w:eastAsia="Aptos" w:hAnsi="Arial" w:cs="Arial"/>
          <w:kern w:val="3"/>
          <w:lang w:eastAsia="en-US"/>
          <w14:ligatures w14:val="none"/>
        </w:rPr>
      </w:pPr>
      <w:r w:rsidRPr="00C66F75">
        <w:rPr>
          <w:rFonts w:ascii="Arial" w:eastAsia="Aptos" w:hAnsi="Arial" w:cs="Arial"/>
          <w:kern w:val="3"/>
          <w:lang w:eastAsia="en-US"/>
          <w14:ligatures w14:val="none"/>
        </w:rPr>
        <w:t>This dissertation examined the impact of social isolation on older adults in the UK and evaluated the effectiveness of community-based interventions in reducing loneliness and improving mental health outcomes. The findings from Chapter 4 demonstrated that social isolation has profound psychological, emotional, and cognitive consequences, including elevated risks of depression, anxiety, reduced self-esteem, and accelerated cognitive decline. The first theme highlighted the mental health impacts of loneliness, emphasising its role as a predictor of emotional distress and physiological stress responses, which can exacerbate both mental and physical health outcomes.</w:t>
      </w:r>
    </w:p>
    <w:p w14:paraId="664FA00E" w14:textId="77777777" w:rsidR="00C66F75" w:rsidRPr="00C66F75" w:rsidRDefault="00C66F75" w:rsidP="00C66F75">
      <w:pPr>
        <w:suppressAutoHyphens/>
        <w:autoSpaceDN w:val="0"/>
        <w:rPr>
          <w:rFonts w:ascii="Arial" w:eastAsia="Aptos" w:hAnsi="Arial" w:cs="Arial"/>
          <w:kern w:val="3"/>
          <w:lang w:eastAsia="en-US"/>
          <w14:ligatures w14:val="none"/>
        </w:rPr>
      </w:pPr>
    </w:p>
    <w:p w14:paraId="17BC1E51" w14:textId="77777777" w:rsidR="00C66F75" w:rsidRPr="00C66F75" w:rsidRDefault="00C66F75" w:rsidP="00C66F75">
      <w:pPr>
        <w:suppressAutoHyphens/>
        <w:autoSpaceDN w:val="0"/>
        <w:rPr>
          <w:rFonts w:ascii="Arial" w:eastAsia="Aptos" w:hAnsi="Arial" w:cs="Arial"/>
          <w:kern w:val="3"/>
          <w:lang w:eastAsia="en-US"/>
          <w14:ligatures w14:val="none"/>
        </w:rPr>
      </w:pPr>
      <w:r w:rsidRPr="00C66F75">
        <w:rPr>
          <w:rFonts w:ascii="Arial" w:eastAsia="Aptos" w:hAnsi="Arial" w:cs="Arial"/>
          <w:kern w:val="3"/>
          <w:lang w:eastAsia="en-US"/>
          <w14:ligatures w14:val="none"/>
        </w:rPr>
        <w:t>The second theme focused on the effectiveness of community-based interventions, including social prescribing, befriending services, group activities, and third-sector initiatives. Evidence suggests that these interventions can improve social connectedness, emotional well-being, and cognitive engagement, although their success depends heavily on sustained implementation, person-centred design, and cultural responsiveness. The third theme addressed the barriers to engagement, including physical limitations, transport challenges, digital exclusion, financial constraints, and emotional or cultural factors. These barriers significantly restrict participation, limiting the reach and impact of otherwise effective interventions. The fourth theme examined digital inclusion and technology engagement, highlighting both opportunities for social connection and persistent inequalities in access, skills, and confidence. Technology-based interventions show promise in enhancing participation and autonomy, but without tailored training and support, they risk reinforcing existing disparities.</w:t>
      </w:r>
    </w:p>
    <w:p w14:paraId="26E3CC1D" w14:textId="77777777" w:rsidR="00C66F75" w:rsidRPr="00C66F75" w:rsidRDefault="00C66F75" w:rsidP="00C66F75">
      <w:pPr>
        <w:suppressAutoHyphens/>
        <w:autoSpaceDN w:val="0"/>
        <w:rPr>
          <w:rFonts w:ascii="Arial" w:eastAsia="Aptos" w:hAnsi="Arial" w:cs="Arial"/>
          <w:kern w:val="3"/>
          <w:lang w:eastAsia="en-US"/>
          <w14:ligatures w14:val="none"/>
        </w:rPr>
      </w:pPr>
    </w:p>
    <w:p w14:paraId="23A12BBE" w14:textId="29B3DCDB" w:rsidR="008E47E2" w:rsidRDefault="00C66F75" w:rsidP="00C66F75">
      <w:pPr>
        <w:suppressAutoHyphens/>
        <w:autoSpaceDN w:val="0"/>
        <w:rPr>
          <w:rFonts w:ascii="Arial" w:eastAsia="Aptos" w:hAnsi="Arial" w:cs="Arial"/>
          <w:kern w:val="3"/>
          <w:lang w:eastAsia="en-US"/>
          <w14:ligatures w14:val="none"/>
        </w:rPr>
      </w:pPr>
      <w:r w:rsidRPr="00C66F75">
        <w:rPr>
          <w:rFonts w:ascii="Arial" w:eastAsia="Aptos" w:hAnsi="Arial" w:cs="Arial"/>
          <w:kern w:val="3"/>
          <w:lang w:eastAsia="en-US"/>
          <w14:ligatures w14:val="none"/>
        </w:rPr>
        <w:t xml:space="preserve">While community-based interventions demonstrate clear potential to reduce social isolation and improve mental health outcomes, their long-term effectiveness remains constrained by structural, cultural, and technological barriers, alongside inconsistent implementation, service fragmentation, and unequal access across populations. The research aimed to explore the mental health impacts of social isolation and evaluate the effectiveness of UK community interventions. These aims were fully addressed, with each objective informed by the thematic analysis and critical discussion presented in Chapter 4. However, this study is limited by its </w:t>
      </w:r>
      <w:r w:rsidRPr="00C66F75">
        <w:rPr>
          <w:rFonts w:ascii="Arial" w:eastAsia="Aptos" w:hAnsi="Arial" w:cs="Arial"/>
          <w:kern w:val="3"/>
          <w:lang w:eastAsia="en-US"/>
          <w14:ligatures w14:val="none"/>
        </w:rPr>
        <w:lastRenderedPageBreak/>
        <w:t>reliance on secondary data and variations in study design, sample size, and outcome measures, which may affect the comparability and overall reliability of findings.</w:t>
      </w:r>
      <w:r w:rsidR="0049540F">
        <w:rPr>
          <w:rFonts w:ascii="Arial" w:eastAsia="Aptos" w:hAnsi="Arial" w:cs="Arial"/>
          <w:kern w:val="3"/>
          <w:lang w:eastAsia="en-US"/>
          <w14:ligatures w14:val="none"/>
        </w:rPr>
        <w:t xml:space="preserve"> </w:t>
      </w:r>
      <w:r w:rsidRPr="00C66F75">
        <w:rPr>
          <w:rFonts w:ascii="Arial" w:eastAsia="Aptos" w:hAnsi="Arial" w:cs="Arial"/>
          <w:kern w:val="3"/>
          <w:lang w:eastAsia="en-US"/>
          <w14:ligatures w14:val="none"/>
        </w:rPr>
        <w:t>This highlights the need to move beyond individual-level interventions towards more integrated, system-level approaches that address the wider social determinants of loneliness.</w:t>
      </w:r>
    </w:p>
    <w:p w14:paraId="120488DF" w14:textId="77777777" w:rsidR="00C66F75" w:rsidRPr="004600FC" w:rsidRDefault="00C66F75" w:rsidP="00C66F75">
      <w:pPr>
        <w:suppressAutoHyphens/>
        <w:autoSpaceDN w:val="0"/>
        <w:rPr>
          <w:rFonts w:ascii="Arial" w:eastAsia="Aptos" w:hAnsi="Arial" w:cs="Arial"/>
          <w:kern w:val="3"/>
          <w:lang w:eastAsia="en-US"/>
          <w14:ligatures w14:val="none"/>
        </w:rPr>
      </w:pPr>
    </w:p>
    <w:p w14:paraId="7917EBDD" w14:textId="77777777" w:rsidR="008E47E2" w:rsidRPr="00CC5394" w:rsidRDefault="008E47E2" w:rsidP="00D51238">
      <w:pPr>
        <w:suppressAutoHyphens/>
        <w:autoSpaceDN w:val="0"/>
        <w:rPr>
          <w:rFonts w:ascii="Arial" w:eastAsia="Aptos" w:hAnsi="Arial" w:cs="Arial"/>
          <w:b/>
          <w:bCs/>
          <w:kern w:val="3"/>
          <w:sz w:val="28"/>
          <w:szCs w:val="28"/>
          <w:lang w:eastAsia="en-US"/>
          <w14:ligatures w14:val="none"/>
        </w:rPr>
      </w:pPr>
      <w:r w:rsidRPr="00CC5394">
        <w:rPr>
          <w:rFonts w:ascii="Arial" w:eastAsia="Aptos" w:hAnsi="Arial" w:cs="Arial"/>
          <w:b/>
          <w:bCs/>
          <w:kern w:val="3"/>
          <w:sz w:val="28"/>
          <w:szCs w:val="28"/>
          <w:lang w:eastAsia="en-US"/>
          <w14:ligatures w14:val="none"/>
        </w:rPr>
        <w:t>5.2 Recommendations</w:t>
      </w:r>
    </w:p>
    <w:p w14:paraId="6B82DD87" w14:textId="11D3A15B" w:rsidR="00A0167A" w:rsidRDefault="00A0167A" w:rsidP="00D51238">
      <w:pPr>
        <w:suppressAutoHyphens/>
        <w:autoSpaceDN w:val="0"/>
        <w:rPr>
          <w:rFonts w:ascii="Arial" w:eastAsia="Aptos" w:hAnsi="Arial" w:cs="Arial"/>
          <w:kern w:val="3"/>
          <w:lang w:eastAsia="en-US"/>
          <w14:ligatures w14:val="none"/>
        </w:rPr>
      </w:pPr>
      <w:r w:rsidRPr="00A0167A">
        <w:rPr>
          <w:rFonts w:ascii="Arial" w:eastAsia="Aptos" w:hAnsi="Arial" w:cs="Arial"/>
          <w:kern w:val="3"/>
          <w:lang w:eastAsia="en-US"/>
          <w14:ligatures w14:val="none"/>
        </w:rPr>
        <w:t>Based on the findings, three key recommendations are proposed</w:t>
      </w:r>
      <w:r>
        <w:rPr>
          <w:rFonts w:ascii="Arial" w:eastAsia="Aptos" w:hAnsi="Arial" w:cs="Arial"/>
          <w:kern w:val="3"/>
          <w:lang w:eastAsia="en-US"/>
          <w14:ligatures w14:val="none"/>
        </w:rPr>
        <w:t xml:space="preserve">: </w:t>
      </w:r>
    </w:p>
    <w:p w14:paraId="3771AC78" w14:textId="77777777" w:rsidR="00CE40A0" w:rsidRPr="004600FC" w:rsidRDefault="00CE40A0" w:rsidP="00D51238">
      <w:pPr>
        <w:suppressAutoHyphens/>
        <w:autoSpaceDN w:val="0"/>
        <w:rPr>
          <w:rFonts w:ascii="Arial" w:eastAsia="Aptos" w:hAnsi="Arial" w:cs="Arial"/>
          <w:kern w:val="3"/>
          <w:lang w:eastAsia="en-US"/>
          <w14:ligatures w14:val="none"/>
        </w:rPr>
      </w:pPr>
    </w:p>
    <w:p w14:paraId="1845CC4F" w14:textId="3885A6A1" w:rsidR="00803EF7" w:rsidRDefault="008E47E2" w:rsidP="002E174C">
      <w:pPr>
        <w:suppressAutoHyphens/>
        <w:autoSpaceDN w:val="0"/>
        <w:rPr>
          <w:rFonts w:ascii="Arial" w:eastAsia="Aptos" w:hAnsi="Arial" w:cs="Arial"/>
          <w:b/>
          <w:bCs/>
          <w:kern w:val="3"/>
          <w:sz w:val="28"/>
          <w:szCs w:val="28"/>
          <w:lang w:eastAsia="en-US"/>
          <w14:ligatures w14:val="none"/>
        </w:rPr>
      </w:pPr>
      <w:r w:rsidRPr="00CC5394">
        <w:rPr>
          <w:rFonts w:ascii="Arial" w:eastAsia="Aptos" w:hAnsi="Arial" w:cs="Arial"/>
          <w:b/>
          <w:bCs/>
          <w:kern w:val="3"/>
          <w:sz w:val="28"/>
          <w:szCs w:val="28"/>
          <w:lang w:eastAsia="en-US"/>
          <w14:ligatures w14:val="none"/>
        </w:rPr>
        <w:t>5.2.1 Strengthen Mental Health Support and Person-Centred Approaches</w:t>
      </w:r>
    </w:p>
    <w:p w14:paraId="58C02B9A" w14:textId="77777777" w:rsidR="00CE40A0" w:rsidRPr="00CE40A0" w:rsidRDefault="00CE40A0" w:rsidP="002E174C">
      <w:pPr>
        <w:suppressAutoHyphens/>
        <w:autoSpaceDN w:val="0"/>
        <w:rPr>
          <w:rFonts w:ascii="Arial" w:eastAsia="Aptos" w:hAnsi="Arial" w:cs="Arial"/>
          <w:b/>
          <w:bCs/>
          <w:kern w:val="3"/>
          <w:sz w:val="28"/>
          <w:szCs w:val="28"/>
          <w:lang w:eastAsia="en-US"/>
          <w14:ligatures w14:val="none"/>
        </w:rPr>
      </w:pPr>
    </w:p>
    <w:p w14:paraId="53106F2B" w14:textId="0E28EB51" w:rsidR="00CE40A0" w:rsidRDefault="001B5158" w:rsidP="002E174C">
      <w:pPr>
        <w:suppressAutoHyphens/>
        <w:autoSpaceDN w:val="0"/>
        <w:rPr>
          <w:rFonts w:ascii="Arial" w:eastAsia="Aptos" w:hAnsi="Arial" w:cs="Arial"/>
          <w:kern w:val="3"/>
          <w:lang w:eastAsia="en-US"/>
          <w14:ligatures w14:val="none"/>
        </w:rPr>
      </w:pPr>
      <w:r w:rsidRPr="001B5158">
        <w:rPr>
          <w:rFonts w:ascii="Arial" w:eastAsia="Aptos" w:hAnsi="Arial" w:cs="Arial"/>
          <w:kern w:val="3"/>
          <w:lang w:eastAsia="en-US"/>
          <w14:ligatures w14:val="none"/>
        </w:rPr>
        <w:t>As identified in Chapter 4 (Theme 1), the strong association between social isolation and mental health risks highlights the need for person-centred mental health support.</w:t>
      </w:r>
      <w:r w:rsidRPr="002E174C">
        <w:rPr>
          <w:rFonts w:ascii="Arial" w:eastAsia="Aptos" w:hAnsi="Arial" w:cs="Arial"/>
          <w:kern w:val="3"/>
          <w:lang w:eastAsia="en-US"/>
          <w14:ligatures w14:val="none"/>
        </w:rPr>
        <w:t xml:space="preserve"> </w:t>
      </w:r>
      <w:r w:rsidR="001F2D60" w:rsidRPr="001F2D60">
        <w:rPr>
          <w:rFonts w:ascii="Arial" w:eastAsia="Aptos" w:hAnsi="Arial" w:cs="Arial"/>
          <w:kern w:val="3"/>
          <w:lang w:eastAsia="en-US"/>
          <w14:ligatures w14:val="none"/>
        </w:rPr>
        <w:t>These interventions should integrate psychological support into existing community programmes, such as befriending and group activities, to address depression, anxiety, and emotional distress.</w:t>
      </w:r>
      <w:r w:rsidR="001F2D60">
        <w:rPr>
          <w:rFonts w:ascii="Arial" w:eastAsia="Aptos" w:hAnsi="Arial" w:cs="Arial"/>
          <w:kern w:val="3"/>
          <w:lang w:eastAsia="en-US"/>
          <w14:ligatures w14:val="none"/>
        </w:rPr>
        <w:t xml:space="preserve"> </w:t>
      </w:r>
      <w:r w:rsidR="002E174C" w:rsidRPr="002E174C">
        <w:rPr>
          <w:rFonts w:ascii="Arial" w:eastAsia="Aptos" w:hAnsi="Arial" w:cs="Arial"/>
          <w:kern w:val="3"/>
          <w:lang w:eastAsia="en-US"/>
          <w14:ligatures w14:val="none"/>
        </w:rPr>
        <w:t>Practical actions include training link workers, volunteers, and community staff to identify early signs of loneliness and psychological distress</w:t>
      </w:r>
      <w:r w:rsidR="00CE40A0">
        <w:rPr>
          <w:rFonts w:ascii="Arial" w:eastAsia="Aptos" w:hAnsi="Arial" w:cs="Arial"/>
          <w:kern w:val="3"/>
          <w:lang w:eastAsia="en-US"/>
          <w14:ligatures w14:val="none"/>
        </w:rPr>
        <w:t>; incorporating brief cognitive-behavioural interventions or emotional resilience workshops into community programmes; and tailoring activities to individual preferences, abilities, and interests,</w:t>
      </w:r>
      <w:r w:rsidR="002E174C" w:rsidRPr="002E174C">
        <w:rPr>
          <w:rFonts w:ascii="Arial" w:eastAsia="Aptos" w:hAnsi="Arial" w:cs="Arial"/>
          <w:kern w:val="3"/>
          <w:lang w:eastAsia="en-US"/>
          <w14:ligatures w14:val="none"/>
        </w:rPr>
        <w:t xml:space="preserve"> in line with </w:t>
      </w:r>
      <w:r w:rsidR="00C66F75">
        <w:rPr>
          <w:rFonts w:ascii="Arial" w:eastAsia="Aptos" w:hAnsi="Arial" w:cs="Arial"/>
          <w:kern w:val="3"/>
          <w:lang w:eastAsia="en-US"/>
          <w14:ligatures w14:val="none"/>
        </w:rPr>
        <w:t>s</w:t>
      </w:r>
      <w:r w:rsidR="002E174C" w:rsidRPr="002E174C">
        <w:rPr>
          <w:rFonts w:ascii="Arial" w:eastAsia="Aptos" w:hAnsi="Arial" w:cs="Arial"/>
          <w:kern w:val="3"/>
          <w:lang w:eastAsia="en-US"/>
          <w14:ligatures w14:val="none"/>
        </w:rPr>
        <w:t xml:space="preserve">ocioemotional </w:t>
      </w:r>
      <w:r w:rsidR="00C66F75">
        <w:rPr>
          <w:rFonts w:ascii="Arial" w:eastAsia="Aptos" w:hAnsi="Arial" w:cs="Arial"/>
          <w:kern w:val="3"/>
          <w:lang w:eastAsia="en-US"/>
          <w14:ligatures w14:val="none"/>
        </w:rPr>
        <w:t>s</w:t>
      </w:r>
      <w:r w:rsidR="002E174C" w:rsidRPr="002E174C">
        <w:rPr>
          <w:rFonts w:ascii="Arial" w:eastAsia="Aptos" w:hAnsi="Arial" w:cs="Arial"/>
          <w:kern w:val="3"/>
          <w:lang w:eastAsia="en-US"/>
          <w14:ligatures w14:val="none"/>
        </w:rPr>
        <w:t xml:space="preserve">electivity </w:t>
      </w:r>
      <w:r w:rsidR="00C66F75">
        <w:rPr>
          <w:rFonts w:ascii="Arial" w:eastAsia="Aptos" w:hAnsi="Arial" w:cs="Arial"/>
          <w:kern w:val="3"/>
          <w:lang w:eastAsia="en-US"/>
          <w14:ligatures w14:val="none"/>
        </w:rPr>
        <w:t>t</w:t>
      </w:r>
      <w:r w:rsidR="002E174C" w:rsidRPr="002E174C">
        <w:rPr>
          <w:rFonts w:ascii="Arial" w:eastAsia="Aptos" w:hAnsi="Arial" w:cs="Arial"/>
          <w:kern w:val="3"/>
          <w:lang w:eastAsia="en-US"/>
          <w14:ligatures w14:val="none"/>
        </w:rPr>
        <w:t xml:space="preserve">heory. </w:t>
      </w:r>
    </w:p>
    <w:p w14:paraId="4ADAF920" w14:textId="77777777" w:rsidR="009A6178" w:rsidRPr="002E174C" w:rsidRDefault="009A6178" w:rsidP="002E174C">
      <w:pPr>
        <w:suppressAutoHyphens/>
        <w:autoSpaceDN w:val="0"/>
        <w:rPr>
          <w:rFonts w:ascii="Arial" w:eastAsia="Aptos" w:hAnsi="Arial" w:cs="Arial"/>
          <w:kern w:val="3"/>
          <w:lang w:eastAsia="en-US"/>
          <w14:ligatures w14:val="none"/>
        </w:rPr>
      </w:pPr>
    </w:p>
    <w:p w14:paraId="24B6B678" w14:textId="742C9898" w:rsidR="00B01E66" w:rsidRDefault="00B01E66" w:rsidP="002E174C">
      <w:pPr>
        <w:suppressAutoHyphens/>
        <w:autoSpaceDN w:val="0"/>
        <w:rPr>
          <w:rFonts w:ascii="Arial" w:eastAsia="Aptos" w:hAnsi="Arial" w:cs="Arial"/>
          <w:kern w:val="3"/>
          <w:lang w:eastAsia="en-US"/>
          <w14:ligatures w14:val="none"/>
        </w:rPr>
      </w:pPr>
      <w:r w:rsidRPr="00B01E66">
        <w:rPr>
          <w:rFonts w:ascii="Arial" w:eastAsia="Aptos" w:hAnsi="Arial" w:cs="Arial"/>
          <w:kern w:val="3"/>
          <w:lang w:eastAsia="en-US"/>
          <w14:ligatures w14:val="none"/>
        </w:rPr>
        <w:t xml:space="preserve">However, </w:t>
      </w:r>
      <w:r w:rsidR="00D8034C">
        <w:rPr>
          <w:rFonts w:ascii="Arial" w:eastAsia="Aptos" w:hAnsi="Arial" w:cs="Arial"/>
          <w:kern w:val="3"/>
          <w:lang w:eastAsia="en-US"/>
          <w14:ligatures w14:val="none"/>
        </w:rPr>
        <w:t>b</w:t>
      </w:r>
      <w:r w:rsidR="00D8034C" w:rsidRPr="00D8034C">
        <w:rPr>
          <w:rFonts w:ascii="Arial" w:eastAsia="Aptos" w:hAnsi="Arial" w:cs="Arial"/>
          <w:kern w:val="3"/>
          <w:lang w:eastAsia="en-US"/>
          <w14:ligatures w14:val="none"/>
        </w:rPr>
        <w:t xml:space="preserve">arriers </w:t>
      </w:r>
      <w:r w:rsidR="00D8034C">
        <w:rPr>
          <w:rFonts w:ascii="Arial" w:eastAsia="Aptos" w:hAnsi="Arial" w:cs="Arial"/>
          <w:kern w:val="3"/>
          <w:lang w:eastAsia="en-US"/>
          <w14:ligatures w14:val="none"/>
        </w:rPr>
        <w:t>such as limited staff capacity can hinder personalised support; co-design with older adults and collaboration among the NHS, local authorities, and voluntary organisations</w:t>
      </w:r>
      <w:r w:rsidR="00D8034C" w:rsidRPr="00D8034C">
        <w:rPr>
          <w:rFonts w:ascii="Arial" w:eastAsia="Aptos" w:hAnsi="Arial" w:cs="Arial"/>
          <w:kern w:val="3"/>
          <w:lang w:eastAsia="en-US"/>
          <w14:ligatures w14:val="none"/>
        </w:rPr>
        <w:t xml:space="preserve"> </w:t>
      </w:r>
      <w:r w:rsidR="00CE40A0">
        <w:rPr>
          <w:rFonts w:ascii="Arial" w:eastAsia="Aptos" w:hAnsi="Arial" w:cs="Arial"/>
          <w:kern w:val="3"/>
          <w:lang w:eastAsia="en-US"/>
          <w14:ligatures w14:val="none"/>
        </w:rPr>
        <w:t>may</w:t>
      </w:r>
      <w:r w:rsidR="00D8034C" w:rsidRPr="00D8034C">
        <w:rPr>
          <w:rFonts w:ascii="Arial" w:eastAsia="Aptos" w:hAnsi="Arial" w:cs="Arial"/>
          <w:kern w:val="3"/>
          <w:lang w:eastAsia="en-US"/>
          <w14:ligatures w14:val="none"/>
        </w:rPr>
        <w:t xml:space="preserve"> help. Additionally, stigma around mental health may restrict participation, which can be reduced by </w:t>
      </w:r>
      <w:r w:rsidR="00D8034C">
        <w:rPr>
          <w:rFonts w:ascii="Arial" w:eastAsia="Aptos" w:hAnsi="Arial" w:cs="Arial"/>
          <w:kern w:val="3"/>
          <w:lang w:eastAsia="en-US"/>
          <w14:ligatures w14:val="none"/>
        </w:rPr>
        <w:t>normalising</w:t>
      </w:r>
      <w:r w:rsidR="00D8034C" w:rsidRPr="00D8034C">
        <w:rPr>
          <w:rFonts w:ascii="Arial" w:eastAsia="Aptos" w:hAnsi="Arial" w:cs="Arial"/>
          <w:kern w:val="3"/>
          <w:lang w:eastAsia="en-US"/>
          <w14:ligatures w14:val="none"/>
        </w:rPr>
        <w:t xml:space="preserve"> discussions about emotional well-being in community settings.</w:t>
      </w:r>
      <w:r w:rsidR="00D8034C">
        <w:rPr>
          <w:rFonts w:ascii="Arial" w:eastAsia="Aptos" w:hAnsi="Arial" w:cs="Arial"/>
          <w:kern w:val="3"/>
          <w:lang w:eastAsia="en-US"/>
          <w14:ligatures w14:val="none"/>
        </w:rPr>
        <w:t xml:space="preserve"> </w:t>
      </w:r>
      <w:r w:rsidR="00D8034C" w:rsidRPr="00D8034C">
        <w:rPr>
          <w:rFonts w:ascii="Arial" w:eastAsia="Aptos" w:hAnsi="Arial" w:cs="Arial"/>
          <w:kern w:val="3"/>
          <w:lang w:eastAsia="en-US"/>
          <w14:ligatures w14:val="none"/>
        </w:rPr>
        <w:t>Overall, these approaches are expected to enhance emotional well-being, self-esteem, and cognitive resilience, while reducing depressive and anxiety symptoms among socially isolated older adults.</w:t>
      </w:r>
    </w:p>
    <w:p w14:paraId="1A4E683C" w14:textId="77777777" w:rsidR="00F42F7E" w:rsidRPr="004600FC" w:rsidRDefault="00F42F7E" w:rsidP="002E174C">
      <w:pPr>
        <w:suppressAutoHyphens/>
        <w:autoSpaceDN w:val="0"/>
        <w:rPr>
          <w:rFonts w:ascii="Arial" w:eastAsia="Aptos" w:hAnsi="Arial" w:cs="Arial"/>
          <w:kern w:val="3"/>
          <w:lang w:eastAsia="en-US"/>
          <w14:ligatures w14:val="none"/>
        </w:rPr>
      </w:pPr>
    </w:p>
    <w:p w14:paraId="0CA12EC1" w14:textId="77777777" w:rsidR="008E47E2" w:rsidRPr="00CC5394" w:rsidRDefault="008E47E2" w:rsidP="00D51238">
      <w:pPr>
        <w:suppressAutoHyphens/>
        <w:autoSpaceDN w:val="0"/>
        <w:rPr>
          <w:rFonts w:ascii="Arial" w:eastAsia="Aptos" w:hAnsi="Arial" w:cs="Arial"/>
          <w:b/>
          <w:bCs/>
          <w:kern w:val="3"/>
          <w:sz w:val="28"/>
          <w:szCs w:val="28"/>
          <w:lang w:eastAsia="en-US"/>
          <w14:ligatures w14:val="none"/>
        </w:rPr>
      </w:pPr>
      <w:r w:rsidRPr="00CC5394">
        <w:rPr>
          <w:rFonts w:ascii="Arial" w:eastAsia="Aptos" w:hAnsi="Arial" w:cs="Arial"/>
          <w:b/>
          <w:bCs/>
          <w:kern w:val="3"/>
          <w:sz w:val="28"/>
          <w:szCs w:val="28"/>
          <w:lang w:eastAsia="en-US"/>
          <w14:ligatures w14:val="none"/>
        </w:rPr>
        <w:lastRenderedPageBreak/>
        <w:t>5.2.2 Reduce Barriers to Participation Through Accessibility, Transport, and Digital Inclusion</w:t>
      </w:r>
    </w:p>
    <w:p w14:paraId="625E7875" w14:textId="77777777" w:rsidR="00803EF7" w:rsidRDefault="00803EF7" w:rsidP="002E174C">
      <w:pPr>
        <w:suppressAutoHyphens/>
        <w:rPr>
          <w:rFonts w:ascii="Arial" w:eastAsia="Aptos" w:hAnsi="Arial" w:cs="Arial"/>
          <w:kern w:val="3"/>
          <w:lang w:eastAsia="en-US"/>
          <w14:ligatures w14:val="none"/>
        </w:rPr>
      </w:pPr>
    </w:p>
    <w:p w14:paraId="1424BFE8" w14:textId="40D8683C" w:rsidR="002E174C" w:rsidRDefault="006E2537" w:rsidP="002E174C">
      <w:pPr>
        <w:suppressAutoHyphens/>
        <w:rPr>
          <w:rFonts w:ascii="Arial" w:eastAsia="Aptos" w:hAnsi="Arial" w:cs="Arial"/>
          <w:kern w:val="3"/>
          <w:lang w:eastAsia="en-US"/>
          <w14:ligatures w14:val="none"/>
        </w:rPr>
      </w:pPr>
      <w:r w:rsidRPr="006E2537">
        <w:rPr>
          <w:rFonts w:ascii="Arial" w:eastAsia="Aptos" w:hAnsi="Arial" w:cs="Arial"/>
          <w:kern w:val="3"/>
          <w:lang w:eastAsia="en-US"/>
          <w14:ligatures w14:val="none"/>
        </w:rPr>
        <w:t>As identified in Chapter 4 (Themes 3 and 4), physical, environmental, and technological barriers significantly limit engagement in community interventions, underscoring the need to improve accessibility.</w:t>
      </w:r>
      <w:r w:rsidR="002E174C" w:rsidRPr="002E174C">
        <w:rPr>
          <w:rFonts w:ascii="Arial" w:eastAsia="Aptos" w:hAnsi="Arial" w:cs="Arial"/>
          <w:kern w:val="3"/>
          <w:lang w:eastAsia="en-US"/>
          <w14:ligatures w14:val="none"/>
        </w:rPr>
        <w:t xml:space="preserve"> Practical actions include expanding community transport schemes, such as volunteer driver programmes and subsidised mobility services, particularly in rural and underserved areas, ensuring venues are physically accessible, and providing home-based or hybrid options for housebound older adults. In addition, implementing digital literacy programmes, including in-home coaching and intergenerational support alongside subsidised devices and broadband, can improve engagement, while maintaining non-digital pathways ensures inclusivity.</w:t>
      </w:r>
    </w:p>
    <w:p w14:paraId="2B2B2BA9" w14:textId="77777777" w:rsidR="00871F45" w:rsidRPr="002E174C" w:rsidRDefault="00871F45" w:rsidP="002E174C">
      <w:pPr>
        <w:suppressAutoHyphens/>
        <w:rPr>
          <w:rFonts w:ascii="Arial" w:eastAsia="Aptos" w:hAnsi="Arial" w:cs="Arial"/>
          <w:kern w:val="3"/>
          <w:lang w:eastAsia="en-US"/>
          <w14:ligatures w14:val="none"/>
        </w:rPr>
      </w:pPr>
    </w:p>
    <w:p w14:paraId="255BDDF3" w14:textId="35D273DD" w:rsidR="002E174C" w:rsidRDefault="002E174C" w:rsidP="002E174C">
      <w:pPr>
        <w:suppressAutoHyphens/>
        <w:rPr>
          <w:rFonts w:ascii="Arial" w:eastAsia="Aptos" w:hAnsi="Arial" w:cs="Arial"/>
          <w:kern w:val="3"/>
          <w:lang w:eastAsia="en-US"/>
          <w14:ligatures w14:val="none"/>
        </w:rPr>
      </w:pPr>
      <w:r w:rsidRPr="002E174C">
        <w:rPr>
          <w:rFonts w:ascii="Arial" w:eastAsia="Aptos" w:hAnsi="Arial" w:cs="Arial"/>
          <w:kern w:val="3"/>
          <w:lang w:eastAsia="en-US"/>
          <w14:ligatures w14:val="none"/>
        </w:rPr>
        <w:t xml:space="preserve">Funding limitations may constrain transport and digital support; however, this can be addressed through partnerships with local councils, charities, and private organisations. Furthermore, older adults with sensory or cognitive impairments may struggle with technology, but adaptive devices, simplified interfaces, and one-to-one support </w:t>
      </w:r>
      <w:r w:rsidR="00CE40A0">
        <w:rPr>
          <w:rFonts w:ascii="Arial" w:eastAsia="Aptos" w:hAnsi="Arial" w:cs="Arial"/>
          <w:kern w:val="3"/>
          <w:lang w:eastAsia="en-US"/>
          <w14:ligatures w14:val="none"/>
        </w:rPr>
        <w:t>may</w:t>
      </w:r>
      <w:r w:rsidRPr="002E174C">
        <w:rPr>
          <w:rFonts w:ascii="Arial" w:eastAsia="Aptos" w:hAnsi="Arial" w:cs="Arial"/>
          <w:kern w:val="3"/>
          <w:lang w:eastAsia="en-US"/>
          <w14:ligatures w14:val="none"/>
        </w:rPr>
        <w:t xml:space="preserve"> help overcome these challenges.</w:t>
      </w:r>
      <w:r w:rsidR="00871F45">
        <w:rPr>
          <w:rFonts w:ascii="Arial" w:eastAsia="Aptos" w:hAnsi="Arial" w:cs="Arial"/>
          <w:kern w:val="3"/>
          <w:lang w:eastAsia="en-US"/>
          <w14:ligatures w14:val="none"/>
        </w:rPr>
        <w:t xml:space="preserve"> </w:t>
      </w:r>
      <w:r w:rsidRPr="002E174C">
        <w:rPr>
          <w:rFonts w:ascii="Arial" w:eastAsia="Aptos" w:hAnsi="Arial" w:cs="Arial"/>
          <w:kern w:val="3"/>
          <w:lang w:eastAsia="en-US"/>
          <w14:ligatures w14:val="none"/>
        </w:rPr>
        <w:t>These strategies are expected to increase participation in community interventions, enhance social connectivity, reduce digital inequalities, and improve emotional and cognitive well-being.</w:t>
      </w:r>
    </w:p>
    <w:p w14:paraId="209C39B5" w14:textId="77777777" w:rsidR="00CC5394" w:rsidRPr="00CC5394" w:rsidRDefault="00CC5394" w:rsidP="002E174C">
      <w:pPr>
        <w:suppressAutoHyphens/>
        <w:rPr>
          <w:rFonts w:ascii="Arial" w:eastAsia="Aptos" w:hAnsi="Arial" w:cs="Arial"/>
          <w:kern w:val="3"/>
          <w:lang w:eastAsia="en-US"/>
          <w14:ligatures w14:val="none"/>
        </w:rPr>
      </w:pPr>
    </w:p>
    <w:p w14:paraId="1C4A9561" w14:textId="77777777" w:rsidR="008E47E2" w:rsidRPr="00CC5394" w:rsidRDefault="008E47E2" w:rsidP="00D51238">
      <w:pPr>
        <w:suppressAutoHyphens/>
        <w:autoSpaceDN w:val="0"/>
        <w:rPr>
          <w:rFonts w:ascii="Arial" w:eastAsia="Aptos" w:hAnsi="Arial" w:cs="Arial"/>
          <w:b/>
          <w:bCs/>
          <w:kern w:val="3"/>
          <w:sz w:val="28"/>
          <w:szCs w:val="28"/>
          <w:lang w:eastAsia="en-US"/>
          <w14:ligatures w14:val="none"/>
        </w:rPr>
      </w:pPr>
      <w:r w:rsidRPr="00CC5394">
        <w:rPr>
          <w:rFonts w:ascii="Arial" w:eastAsia="Aptos" w:hAnsi="Arial" w:cs="Arial"/>
          <w:b/>
          <w:bCs/>
          <w:kern w:val="3"/>
          <w:sz w:val="28"/>
          <w:szCs w:val="28"/>
          <w:lang w:eastAsia="en-US"/>
          <w14:ligatures w14:val="none"/>
        </w:rPr>
        <w:t>5.2.3 Enhance Sustainability, Coordination, and Cultural Inclusivity of Community Interventions</w:t>
      </w:r>
    </w:p>
    <w:p w14:paraId="7C931B32" w14:textId="77777777" w:rsidR="00803EF7" w:rsidRDefault="00803EF7" w:rsidP="002E174C">
      <w:pPr>
        <w:suppressAutoHyphens/>
        <w:autoSpaceDN w:val="0"/>
        <w:rPr>
          <w:rFonts w:ascii="Arial" w:eastAsia="Aptos" w:hAnsi="Arial" w:cs="Arial"/>
          <w:kern w:val="3"/>
          <w:lang w:eastAsia="en-US"/>
          <w14:ligatures w14:val="none"/>
        </w:rPr>
      </w:pPr>
    </w:p>
    <w:p w14:paraId="709072AC" w14:textId="3AA27A77" w:rsidR="002E174C" w:rsidRDefault="001C5297" w:rsidP="002E174C">
      <w:pPr>
        <w:suppressAutoHyphens/>
        <w:autoSpaceDN w:val="0"/>
        <w:rPr>
          <w:rFonts w:ascii="Arial" w:eastAsia="Aptos" w:hAnsi="Arial" w:cs="Arial"/>
          <w:kern w:val="3"/>
          <w:lang w:eastAsia="en-US"/>
          <w14:ligatures w14:val="none"/>
        </w:rPr>
      </w:pPr>
      <w:r w:rsidRPr="001C5297">
        <w:rPr>
          <w:rFonts w:ascii="Arial" w:eastAsia="Aptos" w:hAnsi="Arial" w:cs="Arial"/>
          <w:kern w:val="3"/>
          <w:lang w:eastAsia="en-US"/>
          <w14:ligatures w14:val="none"/>
        </w:rPr>
        <w:t>As identified in Chapter 4, gaps in service provision, inconsistent funding, and limited cultural inclusivity reduce the long-term impact of community interventions</w:t>
      </w:r>
      <w:r w:rsidR="006E2537" w:rsidRPr="006E2537">
        <w:rPr>
          <w:rFonts w:ascii="Arial" w:eastAsia="Aptos" w:hAnsi="Arial" w:cs="Arial"/>
          <w:kern w:val="3"/>
          <w:lang w:eastAsia="en-US"/>
          <w14:ligatures w14:val="none"/>
        </w:rPr>
        <w:t>. To address this, long-term funding streams should be established to ensure continuity and stability, including core funding for befriending schemes and volunteer support. In addition, multi-agency working groups linking NHS services, local authorities, voluntary organisations, and cultural community leaders can improve coordination and prevent service duplication. Developing culturally sensitive interventions, such as multilingual resources, faith-based partnerships, and co-</w:t>
      </w:r>
      <w:r w:rsidR="006E2537" w:rsidRPr="006E2537">
        <w:rPr>
          <w:rFonts w:ascii="Arial" w:eastAsia="Aptos" w:hAnsi="Arial" w:cs="Arial"/>
          <w:kern w:val="3"/>
          <w:lang w:eastAsia="en-US"/>
          <w14:ligatures w14:val="none"/>
        </w:rPr>
        <w:lastRenderedPageBreak/>
        <w:t>production with diverse older adults, is also essential, alongside incorporating longitudinal evaluation frameworks to assess sustained outcomes.</w:t>
      </w:r>
    </w:p>
    <w:p w14:paraId="4E902D57" w14:textId="77777777" w:rsidR="00F42F7E" w:rsidRPr="002E174C" w:rsidRDefault="00F42F7E" w:rsidP="002E174C">
      <w:pPr>
        <w:suppressAutoHyphens/>
        <w:autoSpaceDN w:val="0"/>
        <w:rPr>
          <w:rFonts w:ascii="Arial" w:eastAsia="Aptos" w:hAnsi="Arial" w:cs="Arial"/>
          <w:kern w:val="3"/>
          <w:lang w:eastAsia="en-US"/>
          <w14:ligatures w14:val="none"/>
        </w:rPr>
      </w:pPr>
    </w:p>
    <w:p w14:paraId="6E0409A0" w14:textId="501E585C" w:rsidR="00CE40A0" w:rsidRDefault="002E174C" w:rsidP="00CE40A0">
      <w:pPr>
        <w:suppressAutoHyphens/>
        <w:autoSpaceDN w:val="0"/>
        <w:rPr>
          <w:rFonts w:ascii="Arial" w:eastAsia="Aptos" w:hAnsi="Arial" w:cs="Arial"/>
          <w:kern w:val="3"/>
          <w:lang w:eastAsia="en-US"/>
          <w14:ligatures w14:val="none"/>
        </w:rPr>
      </w:pPr>
      <w:r w:rsidRPr="002E174C">
        <w:rPr>
          <w:rFonts w:ascii="Arial" w:eastAsia="Aptos" w:hAnsi="Arial" w:cs="Arial"/>
          <w:kern w:val="3"/>
          <w:lang w:eastAsia="en-US"/>
          <w14:ligatures w14:val="none"/>
        </w:rPr>
        <w:t xml:space="preserve">Barriers such as fragmented commissioning and short-term contracts may undermine continuity, but longer-term contracts and integrated commissioning approaches can address this. Cultural and language differences may also hinder engagement; however, employing bilingual staff and culturally tailored activities can improve participation. These approaches are expected to enhance sustainability, improve equitable access, strengthen service coordination, and increase participation among underserved populations, while contributing to </w:t>
      </w:r>
      <w:r w:rsidR="005677A3">
        <w:rPr>
          <w:rFonts w:ascii="Arial" w:eastAsia="Aptos" w:hAnsi="Arial" w:cs="Arial"/>
          <w:kern w:val="3"/>
          <w:lang w:eastAsia="en-US"/>
          <w14:ligatures w14:val="none"/>
        </w:rPr>
        <w:t xml:space="preserve">a </w:t>
      </w:r>
      <w:r w:rsidR="005677A3" w:rsidRPr="002E174C">
        <w:rPr>
          <w:rFonts w:ascii="Arial" w:eastAsia="Aptos" w:hAnsi="Arial" w:cs="Arial"/>
          <w:kern w:val="3"/>
          <w:lang w:eastAsia="en-US"/>
          <w14:ligatures w14:val="none"/>
        </w:rPr>
        <w:t>stronger evidence</w:t>
      </w:r>
      <w:r w:rsidRPr="002E174C">
        <w:rPr>
          <w:rFonts w:ascii="Arial" w:eastAsia="Aptos" w:hAnsi="Arial" w:cs="Arial"/>
          <w:kern w:val="3"/>
          <w:lang w:eastAsia="en-US"/>
          <w14:ligatures w14:val="none"/>
        </w:rPr>
        <w:t xml:space="preserve"> base for policy and practice.</w:t>
      </w:r>
      <w:r w:rsidR="0049540F">
        <w:rPr>
          <w:rFonts w:ascii="Arial" w:eastAsia="Aptos" w:hAnsi="Arial" w:cs="Arial"/>
          <w:kern w:val="3"/>
          <w:lang w:eastAsia="en-US"/>
          <w14:ligatures w14:val="none"/>
        </w:rPr>
        <w:t xml:space="preserve"> </w:t>
      </w:r>
      <w:r w:rsidR="00CE40A0" w:rsidRPr="001B5158">
        <w:rPr>
          <w:rFonts w:ascii="Arial" w:eastAsia="Aptos" w:hAnsi="Arial" w:cs="Arial"/>
          <w:kern w:val="3"/>
          <w:lang w:eastAsia="en-US"/>
          <w14:ligatures w14:val="none"/>
        </w:rPr>
        <w:t>Future research should focus on longitudinal studies to assess the long-term effectiveness of interventions and explore how approaches can be adapted for diverse cultural and socioeconomic groups.</w:t>
      </w:r>
    </w:p>
    <w:p w14:paraId="7A4537D3" w14:textId="77777777" w:rsidR="00803EF7" w:rsidRDefault="00803EF7" w:rsidP="009D140C">
      <w:pPr>
        <w:suppressAutoHyphens/>
        <w:autoSpaceDN w:val="0"/>
        <w:rPr>
          <w:rFonts w:ascii="Arial" w:eastAsia="Aptos" w:hAnsi="Arial" w:cs="Arial"/>
          <w:kern w:val="3"/>
          <w:lang w:eastAsia="en-US"/>
          <w14:ligatures w14:val="none"/>
        </w:rPr>
      </w:pPr>
    </w:p>
    <w:p w14:paraId="3E3747F5" w14:textId="77777777" w:rsidR="00803EF7" w:rsidRDefault="00803EF7" w:rsidP="009D140C">
      <w:pPr>
        <w:suppressAutoHyphens/>
        <w:autoSpaceDN w:val="0"/>
        <w:rPr>
          <w:rFonts w:ascii="Arial" w:eastAsia="Aptos" w:hAnsi="Arial" w:cs="Arial"/>
          <w:kern w:val="3"/>
          <w:lang w:eastAsia="en-US"/>
          <w14:ligatures w14:val="none"/>
        </w:rPr>
      </w:pPr>
    </w:p>
    <w:p w14:paraId="5B8C1F2E" w14:textId="77777777" w:rsidR="00803EF7" w:rsidRDefault="00803EF7" w:rsidP="009D140C">
      <w:pPr>
        <w:suppressAutoHyphens/>
        <w:autoSpaceDN w:val="0"/>
        <w:rPr>
          <w:rFonts w:ascii="Arial" w:eastAsia="Aptos" w:hAnsi="Arial" w:cs="Arial"/>
          <w:kern w:val="3"/>
          <w:lang w:eastAsia="en-US"/>
          <w14:ligatures w14:val="none"/>
        </w:rPr>
      </w:pPr>
    </w:p>
    <w:p w14:paraId="6001713E" w14:textId="77777777" w:rsidR="009A6178" w:rsidRDefault="009A6178" w:rsidP="009D140C">
      <w:pPr>
        <w:suppressAutoHyphens/>
        <w:autoSpaceDN w:val="0"/>
        <w:rPr>
          <w:rFonts w:ascii="Arial" w:eastAsia="Aptos" w:hAnsi="Arial" w:cs="Arial"/>
          <w:kern w:val="3"/>
          <w:lang w:eastAsia="en-US"/>
          <w14:ligatures w14:val="none"/>
        </w:rPr>
      </w:pPr>
    </w:p>
    <w:p w14:paraId="7E1A96C9" w14:textId="77777777" w:rsidR="009A6178" w:rsidRDefault="009A6178" w:rsidP="009D140C">
      <w:pPr>
        <w:suppressAutoHyphens/>
        <w:autoSpaceDN w:val="0"/>
        <w:rPr>
          <w:rFonts w:ascii="Arial" w:eastAsia="Aptos" w:hAnsi="Arial" w:cs="Arial"/>
          <w:kern w:val="3"/>
          <w:lang w:eastAsia="en-US"/>
          <w14:ligatures w14:val="none"/>
        </w:rPr>
      </w:pPr>
    </w:p>
    <w:p w14:paraId="60031C87" w14:textId="77777777" w:rsidR="0049540F" w:rsidRDefault="0049540F" w:rsidP="009D140C">
      <w:pPr>
        <w:suppressAutoHyphens/>
        <w:autoSpaceDN w:val="0"/>
        <w:rPr>
          <w:rFonts w:ascii="Arial" w:eastAsia="Aptos" w:hAnsi="Arial" w:cs="Arial"/>
          <w:kern w:val="3"/>
          <w:lang w:eastAsia="en-US"/>
          <w14:ligatures w14:val="none"/>
        </w:rPr>
      </w:pPr>
    </w:p>
    <w:p w14:paraId="7108B29E" w14:textId="77777777" w:rsidR="0049540F" w:rsidRDefault="0049540F" w:rsidP="009D140C">
      <w:pPr>
        <w:suppressAutoHyphens/>
        <w:autoSpaceDN w:val="0"/>
        <w:rPr>
          <w:rFonts w:ascii="Arial" w:eastAsia="Aptos" w:hAnsi="Arial" w:cs="Arial"/>
          <w:kern w:val="3"/>
          <w:lang w:eastAsia="en-US"/>
          <w14:ligatures w14:val="none"/>
        </w:rPr>
      </w:pPr>
    </w:p>
    <w:p w14:paraId="5EA82BA0" w14:textId="77777777" w:rsidR="0049540F" w:rsidRDefault="0049540F" w:rsidP="009D140C">
      <w:pPr>
        <w:suppressAutoHyphens/>
        <w:autoSpaceDN w:val="0"/>
        <w:rPr>
          <w:rFonts w:ascii="Arial" w:eastAsia="Aptos" w:hAnsi="Arial" w:cs="Arial"/>
          <w:kern w:val="3"/>
          <w:lang w:eastAsia="en-US"/>
          <w14:ligatures w14:val="none"/>
        </w:rPr>
      </w:pPr>
    </w:p>
    <w:p w14:paraId="027B880E" w14:textId="77777777" w:rsidR="0049540F" w:rsidRDefault="0049540F" w:rsidP="009D140C">
      <w:pPr>
        <w:suppressAutoHyphens/>
        <w:autoSpaceDN w:val="0"/>
        <w:rPr>
          <w:rFonts w:ascii="Arial" w:eastAsia="Aptos" w:hAnsi="Arial" w:cs="Arial"/>
          <w:kern w:val="3"/>
          <w:lang w:eastAsia="en-US"/>
          <w14:ligatures w14:val="none"/>
        </w:rPr>
      </w:pPr>
    </w:p>
    <w:p w14:paraId="404748F4" w14:textId="77777777" w:rsidR="0049540F" w:rsidRDefault="0049540F" w:rsidP="009D140C">
      <w:pPr>
        <w:suppressAutoHyphens/>
        <w:autoSpaceDN w:val="0"/>
        <w:rPr>
          <w:rFonts w:ascii="Arial" w:eastAsia="Aptos" w:hAnsi="Arial" w:cs="Arial"/>
          <w:kern w:val="3"/>
          <w:lang w:eastAsia="en-US"/>
          <w14:ligatures w14:val="none"/>
        </w:rPr>
      </w:pPr>
    </w:p>
    <w:p w14:paraId="205EBC56" w14:textId="77777777" w:rsidR="0049540F" w:rsidRDefault="0049540F" w:rsidP="009D140C">
      <w:pPr>
        <w:suppressAutoHyphens/>
        <w:autoSpaceDN w:val="0"/>
        <w:rPr>
          <w:rFonts w:ascii="Arial" w:eastAsia="Aptos" w:hAnsi="Arial" w:cs="Arial"/>
          <w:kern w:val="3"/>
          <w:lang w:eastAsia="en-US"/>
          <w14:ligatures w14:val="none"/>
        </w:rPr>
      </w:pPr>
    </w:p>
    <w:p w14:paraId="5E6FA3D1" w14:textId="77777777" w:rsidR="0049540F" w:rsidRDefault="0049540F" w:rsidP="009D140C">
      <w:pPr>
        <w:suppressAutoHyphens/>
        <w:autoSpaceDN w:val="0"/>
        <w:rPr>
          <w:rFonts w:ascii="Arial" w:eastAsia="Aptos" w:hAnsi="Arial" w:cs="Arial"/>
          <w:kern w:val="3"/>
          <w:lang w:eastAsia="en-US"/>
          <w14:ligatures w14:val="none"/>
        </w:rPr>
      </w:pPr>
    </w:p>
    <w:p w14:paraId="38DA70C0" w14:textId="77777777" w:rsidR="0049540F" w:rsidRDefault="0049540F" w:rsidP="009D140C">
      <w:pPr>
        <w:suppressAutoHyphens/>
        <w:autoSpaceDN w:val="0"/>
        <w:rPr>
          <w:rFonts w:ascii="Arial" w:eastAsia="Aptos" w:hAnsi="Arial" w:cs="Arial"/>
          <w:kern w:val="3"/>
          <w:lang w:eastAsia="en-US"/>
          <w14:ligatures w14:val="none"/>
        </w:rPr>
      </w:pPr>
    </w:p>
    <w:p w14:paraId="20B79264" w14:textId="77777777" w:rsidR="0049540F" w:rsidRDefault="0049540F" w:rsidP="009D140C">
      <w:pPr>
        <w:suppressAutoHyphens/>
        <w:autoSpaceDN w:val="0"/>
        <w:rPr>
          <w:rFonts w:ascii="Arial" w:eastAsia="Aptos" w:hAnsi="Arial" w:cs="Arial"/>
          <w:kern w:val="3"/>
          <w:lang w:eastAsia="en-US"/>
          <w14:ligatures w14:val="none"/>
        </w:rPr>
      </w:pPr>
    </w:p>
    <w:p w14:paraId="35A41F8F" w14:textId="77777777" w:rsidR="0049540F" w:rsidRDefault="0049540F" w:rsidP="009D140C">
      <w:pPr>
        <w:suppressAutoHyphens/>
        <w:autoSpaceDN w:val="0"/>
        <w:rPr>
          <w:rFonts w:ascii="Arial" w:eastAsia="Aptos" w:hAnsi="Arial" w:cs="Arial"/>
          <w:kern w:val="3"/>
          <w:lang w:eastAsia="en-US"/>
          <w14:ligatures w14:val="none"/>
        </w:rPr>
      </w:pPr>
    </w:p>
    <w:p w14:paraId="561E3C3C" w14:textId="77777777" w:rsidR="00803EF7" w:rsidRPr="009A6178" w:rsidRDefault="00803EF7" w:rsidP="009A6178">
      <w:pPr>
        <w:suppressAutoHyphens/>
        <w:autoSpaceDN w:val="0"/>
        <w:jc w:val="center"/>
        <w:rPr>
          <w:rFonts w:ascii="Arial" w:eastAsia="Aptos" w:hAnsi="Arial" w:cs="Arial"/>
          <w:b/>
          <w:bCs/>
          <w:kern w:val="3"/>
          <w:sz w:val="32"/>
          <w:szCs w:val="32"/>
          <w:lang w:eastAsia="en-US"/>
          <w14:ligatures w14:val="none"/>
        </w:rPr>
      </w:pPr>
    </w:p>
    <w:p w14:paraId="20FFAA52" w14:textId="5D17A9E2" w:rsidR="00803EF7" w:rsidRPr="009A6178" w:rsidRDefault="009A6178" w:rsidP="009A6178">
      <w:pPr>
        <w:suppressAutoHyphens/>
        <w:autoSpaceDN w:val="0"/>
        <w:jc w:val="center"/>
        <w:rPr>
          <w:rFonts w:ascii="Arial" w:eastAsia="Aptos" w:hAnsi="Arial" w:cs="Arial"/>
          <w:b/>
          <w:bCs/>
          <w:kern w:val="3"/>
          <w:sz w:val="32"/>
          <w:szCs w:val="32"/>
          <w:u w:val="single"/>
          <w:lang w:eastAsia="en-US"/>
          <w14:ligatures w14:val="none"/>
        </w:rPr>
      </w:pPr>
      <w:r w:rsidRPr="009A6178">
        <w:rPr>
          <w:rFonts w:ascii="Arial" w:eastAsia="Aptos" w:hAnsi="Arial" w:cs="Arial"/>
          <w:b/>
          <w:bCs/>
          <w:kern w:val="3"/>
          <w:sz w:val="32"/>
          <w:szCs w:val="32"/>
          <w:u w:val="single"/>
          <w:lang w:eastAsia="en-US"/>
          <w14:ligatures w14:val="none"/>
        </w:rPr>
        <w:lastRenderedPageBreak/>
        <w:t>References</w:t>
      </w:r>
    </w:p>
    <w:p w14:paraId="6CAF4507" w14:textId="77777777" w:rsidR="00897F20" w:rsidRPr="002501FE" w:rsidRDefault="00897F20" w:rsidP="00A14365">
      <w:pPr>
        <w:suppressAutoHyphens/>
        <w:autoSpaceDN w:val="0"/>
        <w:spacing w:line="276" w:lineRule="auto"/>
        <w:jc w:val="left"/>
        <w:rPr>
          <w:rFonts w:eastAsia="Aptos" w:cs="Times New Roman"/>
          <w:kern w:val="3"/>
          <w:sz w:val="24"/>
          <w:szCs w:val="24"/>
          <w:lang w:eastAsia="en-US"/>
          <w14:ligatures w14:val="none"/>
        </w:rPr>
      </w:pPr>
    </w:p>
    <w:p w14:paraId="1AF7FD27" w14:textId="048F8798" w:rsidR="00897F20" w:rsidRDefault="00897F20" w:rsidP="00A14365">
      <w:pPr>
        <w:suppressAutoHyphens/>
        <w:autoSpaceDN w:val="0"/>
        <w:ind w:left="360"/>
        <w:rPr>
          <w:rFonts w:ascii="Arial" w:eastAsia="DengXian" w:hAnsi="Arial" w:cs="Arial"/>
          <w:kern w:val="3"/>
          <w14:ligatures w14:val="none"/>
        </w:rPr>
      </w:pPr>
      <w:r w:rsidRPr="002501FE">
        <w:rPr>
          <w:rFonts w:ascii="Arial" w:eastAsia="DengXian" w:hAnsi="Arial" w:cs="Arial"/>
          <w:kern w:val="3"/>
          <w14:ligatures w14:val="none"/>
        </w:rPr>
        <w:t xml:space="preserve">Age UK, 2019. </w:t>
      </w:r>
      <w:r w:rsidRPr="00A70E0D">
        <w:rPr>
          <w:rFonts w:ascii="Italic" w:eastAsia="DengXian" w:hAnsi="Italic" w:cs="Arial"/>
          <w:i/>
          <w:iCs/>
          <w:kern w:val="3"/>
          <w14:ligatures w14:val="none"/>
        </w:rPr>
        <w:t>Befriending programmes and community support: older adults’ experiences</w:t>
      </w:r>
      <w:r w:rsidRPr="00A70E0D">
        <w:rPr>
          <w:rFonts w:ascii="Arial" w:eastAsia="DengXian" w:hAnsi="Arial" w:cs="Arial"/>
          <w:i/>
          <w:iCs/>
          <w:kern w:val="3"/>
          <w14:ligatures w14:val="none"/>
        </w:rPr>
        <w:t>.</w:t>
      </w:r>
      <w:r w:rsidRPr="002501FE">
        <w:rPr>
          <w:rFonts w:ascii="Arial" w:eastAsia="DengXian" w:hAnsi="Arial" w:cs="Arial"/>
          <w:kern w:val="3"/>
          <w14:ligatures w14:val="none"/>
        </w:rPr>
        <w:t xml:space="preserve"> London: Age UK.</w:t>
      </w:r>
      <w:r w:rsidR="00FE749F">
        <w:rPr>
          <w:rFonts w:ascii="Arial" w:eastAsia="DengXian" w:hAnsi="Arial" w:cs="Arial"/>
          <w:kern w:val="3"/>
          <w14:ligatures w14:val="none"/>
        </w:rPr>
        <w:t xml:space="preserve"> Available at: </w:t>
      </w:r>
      <w:hyperlink r:id="rId9" w:history="1">
        <w:r w:rsidR="00FE749F" w:rsidRPr="009E68F3">
          <w:rPr>
            <w:rStyle w:val="Hyperlink"/>
            <w:rFonts w:ascii="Arial" w:eastAsia="DengXian" w:hAnsi="Arial" w:cs="Arial"/>
            <w:kern w:val="3"/>
            <w14:ligatures w14:val="none"/>
          </w:rPr>
          <w:t>https://www.ageuk.org.uk/services/befriending-services/</w:t>
        </w:r>
      </w:hyperlink>
      <w:r w:rsidR="00FE749F">
        <w:rPr>
          <w:rFonts w:ascii="Arial" w:eastAsia="DengXian" w:hAnsi="Arial" w:cs="Arial"/>
          <w:kern w:val="3"/>
          <w14:ligatures w14:val="none"/>
        </w:rPr>
        <w:t xml:space="preserve"> (Accessed: 09 February 2025).</w:t>
      </w:r>
    </w:p>
    <w:p w14:paraId="36B79251" w14:textId="2C1A35D2"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Age UK, 2020. </w:t>
      </w:r>
      <w:r w:rsidRPr="00A70E0D">
        <w:rPr>
          <w:rFonts w:ascii="Italic" w:eastAsia="DengXian" w:hAnsi="Italic" w:cs="Arial"/>
          <w:i/>
          <w:iCs/>
          <w:kern w:val="3"/>
          <w14:ligatures w14:val="none"/>
        </w:rPr>
        <w:t>Barriers to participation in community services for older people</w:t>
      </w:r>
      <w:r w:rsidRPr="002501FE">
        <w:rPr>
          <w:rFonts w:ascii="Arial" w:eastAsia="DengXian" w:hAnsi="Arial" w:cs="Arial"/>
          <w:kern w:val="3"/>
          <w14:ligatures w14:val="none"/>
        </w:rPr>
        <w:t>. London: Age UK.</w:t>
      </w:r>
      <w:r w:rsidR="00FE749F">
        <w:rPr>
          <w:rFonts w:ascii="Arial" w:eastAsia="DengXian" w:hAnsi="Arial" w:cs="Arial"/>
          <w:kern w:val="3"/>
          <w14:ligatures w14:val="none"/>
        </w:rPr>
        <w:t xml:space="preserve"> Available at: </w:t>
      </w:r>
      <w:hyperlink r:id="rId10" w:history="1">
        <w:r w:rsidR="00FE749F" w:rsidRPr="009E68F3">
          <w:rPr>
            <w:rStyle w:val="Hyperlink"/>
            <w:rFonts w:ascii="Arial" w:eastAsia="DengXian" w:hAnsi="Arial" w:cs="Arial"/>
            <w:kern w:val="3"/>
            <w14:ligatures w14:val="none"/>
          </w:rPr>
          <w:t>https://www.ageuk.org.uk/london/projects-campaigns/age-friendly-london/social-community-participation/</w:t>
        </w:r>
      </w:hyperlink>
      <w:r w:rsidR="00FE749F">
        <w:rPr>
          <w:rFonts w:ascii="Arial" w:eastAsia="DengXian" w:hAnsi="Arial" w:cs="Arial"/>
          <w:kern w:val="3"/>
          <w14:ligatures w14:val="none"/>
        </w:rPr>
        <w:t xml:space="preserve"> (Accessed:24 January 2026).</w:t>
      </w:r>
    </w:p>
    <w:p w14:paraId="3B74FC67" w14:textId="041DE176"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Age UK, 2021</w:t>
      </w:r>
      <w:r>
        <w:rPr>
          <w:rFonts w:ascii="Arial" w:eastAsia="DengXian" w:hAnsi="Arial" w:cs="Arial"/>
          <w:kern w:val="3"/>
          <w14:ligatures w14:val="none"/>
        </w:rPr>
        <w:t>a</w:t>
      </w:r>
      <w:r w:rsidRPr="002501FE">
        <w:rPr>
          <w:rFonts w:ascii="Arial" w:eastAsia="DengXian" w:hAnsi="Arial" w:cs="Arial"/>
          <w:kern w:val="3"/>
          <w14:ligatures w14:val="none"/>
        </w:rPr>
        <w:t xml:space="preserve">. </w:t>
      </w:r>
      <w:r w:rsidRPr="00A70E0D">
        <w:rPr>
          <w:rFonts w:ascii="Italic" w:eastAsia="DengXian" w:hAnsi="Italic" w:cs="Arial"/>
          <w:i/>
          <w:iCs/>
          <w:kern w:val="3"/>
          <w14:ligatures w14:val="none"/>
        </w:rPr>
        <w:t>Digital inclusion and older adults: bridging the digital divide</w:t>
      </w:r>
      <w:r w:rsidRPr="002501FE">
        <w:rPr>
          <w:rFonts w:ascii="Arial" w:eastAsia="DengXian" w:hAnsi="Arial" w:cs="Arial"/>
          <w:kern w:val="3"/>
          <w14:ligatures w14:val="none"/>
        </w:rPr>
        <w:t>. London: Age UK.</w:t>
      </w:r>
      <w:r w:rsidR="00FE749F">
        <w:rPr>
          <w:rFonts w:ascii="Arial" w:eastAsia="DengXian" w:hAnsi="Arial" w:cs="Arial"/>
          <w:kern w:val="3"/>
          <w14:ligatures w14:val="none"/>
        </w:rPr>
        <w:t xml:space="preserve"> Available at: </w:t>
      </w:r>
      <w:hyperlink r:id="rId11" w:history="1">
        <w:r w:rsidR="00FE749F" w:rsidRPr="009E68F3">
          <w:rPr>
            <w:rStyle w:val="Hyperlink"/>
            <w:rFonts w:ascii="Arial" w:eastAsia="DengXian" w:hAnsi="Arial" w:cs="Arial"/>
            <w:kern w:val="3"/>
            <w14:ligatures w14:val="none"/>
          </w:rPr>
          <w:t>https://www.ageuk.org.uk/hythelymingeashford/about-us/news/bridging-the-digital-divide--supporting-offline-and-overlooked-older-adults/</w:t>
        </w:r>
      </w:hyperlink>
      <w:r w:rsidR="00FE749F">
        <w:rPr>
          <w:rFonts w:ascii="Arial" w:eastAsia="DengXian" w:hAnsi="Arial" w:cs="Arial"/>
          <w:kern w:val="3"/>
          <w14:ligatures w14:val="none"/>
        </w:rPr>
        <w:t xml:space="preserve"> (Accessed: 10 January 2026).</w:t>
      </w:r>
    </w:p>
    <w:p w14:paraId="1203C021" w14:textId="5326243D"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Age UK, 2021</w:t>
      </w:r>
      <w:r>
        <w:rPr>
          <w:rFonts w:ascii="Arial" w:eastAsia="DengXian" w:hAnsi="Arial" w:cs="Arial"/>
          <w:kern w:val="3"/>
          <w14:ligatures w14:val="none"/>
        </w:rPr>
        <w:t>b</w:t>
      </w:r>
      <w:r w:rsidRPr="002501FE">
        <w:rPr>
          <w:rFonts w:ascii="Arial" w:eastAsia="DengXian" w:hAnsi="Arial" w:cs="Arial"/>
          <w:kern w:val="3"/>
          <w14:ligatures w14:val="none"/>
        </w:rPr>
        <w:t xml:space="preserve">. </w:t>
      </w:r>
      <w:r w:rsidRPr="00A70E0D">
        <w:rPr>
          <w:rFonts w:ascii="Italic" w:eastAsia="DengXian" w:hAnsi="Italic" w:cs="Arial"/>
          <w:i/>
          <w:iCs/>
          <w:kern w:val="3"/>
          <w14:ligatures w14:val="none"/>
        </w:rPr>
        <w:t>Loneliness and social isolation in later life</w:t>
      </w:r>
      <w:r w:rsidRPr="002501FE">
        <w:rPr>
          <w:rFonts w:ascii="Arial" w:eastAsia="DengXian" w:hAnsi="Arial" w:cs="Arial"/>
          <w:kern w:val="3"/>
          <w14:ligatures w14:val="none"/>
        </w:rPr>
        <w:t>. London: Age UK.</w:t>
      </w:r>
      <w:r w:rsidR="00FE749F">
        <w:rPr>
          <w:rFonts w:ascii="Arial" w:eastAsia="DengXian" w:hAnsi="Arial" w:cs="Arial"/>
          <w:kern w:val="3"/>
          <w14:ligatures w14:val="none"/>
        </w:rPr>
        <w:t xml:space="preserve"> Available at: </w:t>
      </w:r>
      <w:hyperlink r:id="rId12" w:history="1">
        <w:r w:rsidR="00FE749F" w:rsidRPr="009E68F3">
          <w:rPr>
            <w:rStyle w:val="Hyperlink"/>
            <w:rFonts w:ascii="Arial" w:eastAsia="DengXian" w:hAnsi="Arial" w:cs="Arial"/>
            <w:kern w:val="3"/>
            <w14:ligatures w14:val="none"/>
          </w:rPr>
          <w:t>https://www.ageuk.org.uk/our-impact/policy-research/loneliness-research-and-resources/</w:t>
        </w:r>
      </w:hyperlink>
      <w:r w:rsidR="00FE749F">
        <w:rPr>
          <w:rFonts w:ascii="Arial" w:eastAsia="DengXian" w:hAnsi="Arial" w:cs="Arial"/>
          <w:kern w:val="3"/>
          <w14:ligatures w14:val="none"/>
        </w:rPr>
        <w:t xml:space="preserve"> (Accessed: 20 January 2026).</w:t>
      </w:r>
    </w:p>
    <w:p w14:paraId="34EE7B1F" w14:textId="286E1EA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Age UK, 2022. </w:t>
      </w:r>
      <w:r w:rsidRPr="00A70E0D">
        <w:rPr>
          <w:rFonts w:ascii="Italic" w:eastAsia="DengXian" w:hAnsi="Italic" w:cs="Arial"/>
          <w:i/>
          <w:iCs/>
          <w:kern w:val="3"/>
          <w14:ligatures w14:val="none"/>
        </w:rPr>
        <w:t>State of the older population in the UK: social engagement and wellbeing</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London: Age UK.</w:t>
      </w:r>
      <w:r w:rsidR="00FE749F">
        <w:rPr>
          <w:rFonts w:ascii="Arial" w:eastAsia="DengXian" w:hAnsi="Arial" w:cs="Arial"/>
          <w:kern w:val="3"/>
          <w14:ligatures w14:val="none"/>
        </w:rPr>
        <w:t xml:space="preserve"> Available at: </w:t>
      </w:r>
      <w:hyperlink r:id="rId13" w:history="1">
        <w:r w:rsidR="00FE749F" w:rsidRPr="009E68F3">
          <w:rPr>
            <w:rStyle w:val="Hyperlink"/>
            <w:rFonts w:ascii="Arial" w:eastAsia="DengXian" w:hAnsi="Arial" w:cs="Arial"/>
            <w:kern w:val="3"/>
            <w14:ligatures w14:val="none"/>
          </w:rPr>
          <w:t>https://www.ageuk.org.uk/london/about-us/media-centre/facts-and-figures/</w:t>
        </w:r>
      </w:hyperlink>
      <w:r w:rsidR="00FE749F">
        <w:rPr>
          <w:rFonts w:ascii="Arial" w:eastAsia="DengXian" w:hAnsi="Arial" w:cs="Arial"/>
          <w:kern w:val="3"/>
          <w14:ligatures w14:val="none"/>
        </w:rPr>
        <w:t xml:space="preserve"> (Accessed: 23 January 2026).</w:t>
      </w:r>
    </w:p>
    <w:p w14:paraId="3BF61287" w14:textId="52678316"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Age UK, 2023. </w:t>
      </w:r>
      <w:r w:rsidRPr="00A70E0D">
        <w:rPr>
          <w:rFonts w:ascii="Italic" w:eastAsia="DengXian" w:hAnsi="Italic" w:cs="Arial"/>
          <w:i/>
          <w:iCs/>
          <w:kern w:val="3"/>
          <w14:ligatures w14:val="none"/>
        </w:rPr>
        <w:t>Community interventions and social support for older adults in the UK</w:t>
      </w:r>
      <w:r w:rsidRPr="002501FE">
        <w:rPr>
          <w:rFonts w:ascii="Arial" w:eastAsia="DengXian" w:hAnsi="Arial" w:cs="Arial"/>
          <w:kern w:val="3"/>
          <w14:ligatures w14:val="none"/>
        </w:rPr>
        <w:t>. London: Age UK.</w:t>
      </w:r>
      <w:r w:rsidR="00FE749F">
        <w:rPr>
          <w:rFonts w:ascii="Arial" w:eastAsia="DengXian" w:hAnsi="Arial" w:cs="Arial"/>
          <w:kern w:val="3"/>
          <w14:ligatures w14:val="none"/>
        </w:rPr>
        <w:t xml:space="preserve"> Available at: </w:t>
      </w:r>
      <w:hyperlink r:id="rId14" w:history="1">
        <w:r w:rsidR="00FE749F" w:rsidRPr="009E68F3">
          <w:rPr>
            <w:rStyle w:val="Hyperlink"/>
            <w:rFonts w:ascii="Arial" w:eastAsia="DengXian" w:hAnsi="Arial" w:cs="Arial"/>
            <w:kern w:val="3"/>
            <w14:ligatures w14:val="none"/>
          </w:rPr>
          <w:t>https://www.ageuk.org.uk/london/projects-campaigns/age-friendly-london/social-community-participation/</w:t>
        </w:r>
      </w:hyperlink>
      <w:r w:rsidR="00FE749F">
        <w:rPr>
          <w:rFonts w:ascii="Arial" w:eastAsia="DengXian" w:hAnsi="Arial" w:cs="Arial"/>
          <w:kern w:val="3"/>
          <w14:ligatures w14:val="none"/>
        </w:rPr>
        <w:t xml:space="preserve"> (Accessed: 20 January 2026).</w:t>
      </w:r>
    </w:p>
    <w:p w14:paraId="6A319CB5" w14:textId="393771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Age UK, 2024. </w:t>
      </w:r>
      <w:r w:rsidRPr="008B4165">
        <w:rPr>
          <w:rFonts w:ascii="Italic" w:eastAsia="DengXian" w:hAnsi="Italic" w:cs="Arial"/>
          <w:i/>
          <w:iCs/>
          <w:kern w:val="3"/>
          <w14:ligatures w14:val="none"/>
        </w:rPr>
        <w:t>State of the older population: social engagement and wellbeing</w:t>
      </w:r>
      <w:r w:rsidRPr="002501FE">
        <w:rPr>
          <w:rFonts w:ascii="Arial" w:eastAsia="DengXian" w:hAnsi="Arial" w:cs="Arial"/>
          <w:kern w:val="3"/>
          <w14:ligatures w14:val="none"/>
        </w:rPr>
        <w:t>. London: Age UK.</w:t>
      </w:r>
      <w:r w:rsidR="00FE749F">
        <w:rPr>
          <w:rFonts w:ascii="Arial" w:eastAsia="DengXian" w:hAnsi="Arial" w:cs="Arial"/>
          <w:kern w:val="3"/>
          <w14:ligatures w14:val="none"/>
        </w:rPr>
        <w:t xml:space="preserve"> Available at: </w:t>
      </w:r>
      <w:hyperlink r:id="rId15" w:history="1">
        <w:r w:rsidR="00FE749F" w:rsidRPr="009E68F3">
          <w:rPr>
            <w:rStyle w:val="Hyperlink"/>
            <w:rFonts w:ascii="Arial" w:eastAsia="DengXian" w:hAnsi="Arial" w:cs="Arial"/>
            <w:kern w:val="3"/>
            <w14:ligatures w14:val="none"/>
          </w:rPr>
          <w:t>https://www.ageuk.org.uk/discover/2024/september/state-of-health-and-care-of-older-people-in-england-2024/</w:t>
        </w:r>
      </w:hyperlink>
      <w:r w:rsidR="00FE749F">
        <w:rPr>
          <w:rFonts w:ascii="Arial" w:eastAsia="DengXian" w:hAnsi="Arial" w:cs="Arial"/>
          <w:kern w:val="3"/>
          <w14:ligatures w14:val="none"/>
        </w:rPr>
        <w:t xml:space="preserve"> (Accessed: 25 January 2026).</w:t>
      </w:r>
    </w:p>
    <w:p w14:paraId="0C55B987"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Bagnall, A.M., South, J., Hulme, C., Woodall, J., Vinall-Collier, K., Raine, G., Kinsella, K., Dixey, R., Harris, L. &amp; Wright, N.M.J., 2019. </w:t>
      </w:r>
      <w:r w:rsidRPr="001E2CB8">
        <w:rPr>
          <w:rFonts w:ascii="Italic" w:eastAsia="DengXian" w:hAnsi="Italic" w:cs="Arial"/>
          <w:i/>
          <w:iCs/>
          <w:kern w:val="3"/>
          <w14:ligatures w14:val="none"/>
        </w:rPr>
        <w:t>A systematic review of interventions to reduce social isolation and loneliness among older people</w:t>
      </w:r>
      <w:r w:rsidRPr="002501FE">
        <w:rPr>
          <w:rFonts w:ascii="Arial" w:eastAsia="DengXian" w:hAnsi="Arial" w:cs="Arial"/>
          <w:kern w:val="3"/>
          <w14:ligatures w14:val="none"/>
        </w:rPr>
        <w:t>. Public Health Research, 7(2), pp.1-180.</w:t>
      </w:r>
    </w:p>
    <w:p w14:paraId="4FBB277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Barbosa Neves, B., Franz, R., Judges, R., Beermann, C. &amp; Baecker, R., 2019. </w:t>
      </w:r>
      <w:r w:rsidRPr="007520F4">
        <w:rPr>
          <w:rFonts w:ascii="Italic" w:eastAsia="DengXian" w:hAnsi="Italic" w:cs="Arial"/>
          <w:i/>
          <w:iCs/>
          <w:kern w:val="3"/>
          <w14:ligatures w14:val="none"/>
        </w:rPr>
        <w:t>Social capital and digital engagement: older adults’ participation in online communities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Journal of Ageing Studies, 48, pp.1–10.</w:t>
      </w:r>
    </w:p>
    <w:p w14:paraId="59E6D02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 xml:space="preserve">Beckett, K., Taylor, N., &amp; Cartwright, H., 2014. </w:t>
      </w:r>
      <w:r w:rsidRPr="004D5FDD">
        <w:rPr>
          <w:rFonts w:ascii="Italic" w:eastAsia="DengXian" w:hAnsi="Italic" w:cs="Arial"/>
          <w:i/>
          <w:iCs/>
          <w:kern w:val="3"/>
          <w14:ligatures w14:val="none"/>
        </w:rPr>
        <w:t>Loneliness and social isolation among older adults in rural area</w:t>
      </w:r>
      <w:r w:rsidRPr="00792D8D">
        <w:rPr>
          <w:rFonts w:ascii="Italic" w:eastAsia="DengXian" w:hAnsi="Italic" w:cs="Arial"/>
          <w:i/>
          <w:iCs/>
          <w:kern w:val="3"/>
          <w14:ligatures w14:val="none"/>
        </w:rPr>
        <w:t>s</w:t>
      </w:r>
      <w:r w:rsidRPr="00792D8D">
        <w:rPr>
          <w:rFonts w:ascii="Arial" w:eastAsia="DengXian" w:hAnsi="Arial" w:cs="Arial"/>
          <w:i/>
          <w:iCs/>
          <w:kern w:val="3"/>
          <w14:ligatures w14:val="none"/>
        </w:rPr>
        <w:t>.</w:t>
      </w:r>
      <w:r w:rsidRPr="008B4165">
        <w:rPr>
          <w:rFonts w:ascii="Arial" w:eastAsia="DengXian" w:hAnsi="Arial" w:cs="Arial"/>
          <w:i/>
          <w:iCs/>
          <w:kern w:val="3"/>
          <w14:ligatures w14:val="none"/>
        </w:rPr>
        <w:t xml:space="preserve"> </w:t>
      </w:r>
      <w:r w:rsidRPr="002501FE">
        <w:rPr>
          <w:rFonts w:ascii="Arial" w:eastAsia="DengXian" w:hAnsi="Arial" w:cs="Arial"/>
          <w:kern w:val="3"/>
          <w14:ligatures w14:val="none"/>
        </w:rPr>
        <w:t>Journal of Rural Health, 30(3), pp.257-265.</w:t>
      </w:r>
    </w:p>
    <w:p w14:paraId="06CB8D8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Bickerdike, L., Booth, A., Wilson, P.M., Farley, K. &amp; Wright, K., 2017. </w:t>
      </w:r>
      <w:r w:rsidRPr="000E04A0">
        <w:rPr>
          <w:rFonts w:ascii="Italic" w:eastAsia="DengXian" w:hAnsi="Italic" w:cs="Arial"/>
          <w:i/>
          <w:iCs/>
          <w:kern w:val="3"/>
          <w14:ligatures w14:val="none"/>
        </w:rPr>
        <w:t>Social prescribing: less rhetoric and more reality</w:t>
      </w:r>
      <w:r w:rsidRPr="002501FE">
        <w:rPr>
          <w:rFonts w:ascii="Arial" w:eastAsia="DengXian" w:hAnsi="Arial" w:cs="Arial"/>
          <w:kern w:val="3"/>
          <w14:ligatures w14:val="none"/>
        </w:rPr>
        <w:t>. BMJ Open, 7(4), e013384.</w:t>
      </w:r>
    </w:p>
    <w:p w14:paraId="4A006FF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Blazer, D.G., 2013. </w:t>
      </w:r>
      <w:r w:rsidRPr="00DB2F49">
        <w:rPr>
          <w:rFonts w:ascii="Italic" w:eastAsia="DengXian" w:hAnsi="Italic" w:cs="Arial"/>
          <w:i/>
          <w:iCs/>
          <w:kern w:val="3"/>
          <w14:ligatures w14:val="none"/>
        </w:rPr>
        <w:t>Depression in late life: review and commentary</w:t>
      </w:r>
      <w:r w:rsidRPr="00223D03">
        <w:rPr>
          <w:rFonts w:ascii="Italic" w:eastAsia="DengXian" w:hAnsi="Italic" w:cs="Arial"/>
          <w:i/>
          <w:iCs/>
          <w:kern w:val="3"/>
          <w14:ligatures w14:val="none"/>
        </w:rPr>
        <w:t>.</w:t>
      </w:r>
      <w:r w:rsidRPr="002501FE">
        <w:rPr>
          <w:rFonts w:ascii="Arial" w:eastAsia="DengXian" w:hAnsi="Arial" w:cs="Arial"/>
          <w:kern w:val="3"/>
          <w14:ligatures w14:val="none"/>
        </w:rPr>
        <w:t xml:space="preserve"> The Journals of Gerontology Series A: Biological Sciences and Medical Sciences, 68(3), pp.249-265.</w:t>
      </w:r>
    </w:p>
    <w:p w14:paraId="0DD367D7"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Booth, A., Sutton, A. &amp; Papaioannou, D., 2016. </w:t>
      </w:r>
      <w:r w:rsidRPr="00D1707C">
        <w:rPr>
          <w:rFonts w:ascii="Italic" w:eastAsia="DengXian" w:hAnsi="Italic" w:cs="Arial"/>
          <w:i/>
          <w:iCs/>
          <w:kern w:val="3"/>
          <w14:ligatures w14:val="none"/>
        </w:rPr>
        <w:t>Systematic approaches to a successful literature review</w:t>
      </w:r>
      <w:r w:rsidRPr="002501FE">
        <w:rPr>
          <w:rFonts w:ascii="Arial" w:eastAsia="DengXian" w:hAnsi="Arial" w:cs="Arial"/>
          <w:kern w:val="3"/>
          <w14:ligatures w14:val="none"/>
        </w:rPr>
        <w:t>. 2nd ed. London: Sage.</w:t>
      </w:r>
    </w:p>
    <w:p w14:paraId="02435D2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Braun, V. &amp; Clarke, V., 2006. </w:t>
      </w:r>
      <w:r w:rsidRPr="00922495">
        <w:rPr>
          <w:rFonts w:ascii="Italic" w:eastAsia="DengXian" w:hAnsi="Italic" w:cs="Arial"/>
          <w:i/>
          <w:iCs/>
          <w:kern w:val="3"/>
          <w14:ligatures w14:val="none"/>
        </w:rPr>
        <w:t>Using thematic analysis in psychology</w:t>
      </w:r>
      <w:r w:rsidRPr="002501FE">
        <w:rPr>
          <w:rFonts w:ascii="Arial" w:eastAsia="DengXian" w:hAnsi="Arial" w:cs="Arial"/>
          <w:kern w:val="3"/>
          <w14:ligatures w14:val="none"/>
        </w:rPr>
        <w:t>. Qualitative Research in Psychology, 3(2), pp.77-101.</w:t>
      </w:r>
    </w:p>
    <w:p w14:paraId="6D5A586B"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Bronfenbrenner, U., 1979. </w:t>
      </w:r>
      <w:r w:rsidRPr="000E055B">
        <w:rPr>
          <w:rFonts w:ascii="Italic" w:eastAsia="DengXian" w:hAnsi="Italic" w:cs="Arial"/>
          <w:i/>
          <w:iCs/>
          <w:kern w:val="3"/>
          <w14:ligatures w14:val="none"/>
        </w:rPr>
        <w:t>The ecology of human development: experiments by nature and design</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Cambridge, MA: Harvard University Press.</w:t>
      </w:r>
    </w:p>
    <w:p w14:paraId="3DFEEF3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Cacioppo, J.T. &amp; Cacioppo, S., 2018. </w:t>
      </w:r>
      <w:r w:rsidRPr="00CD6191">
        <w:rPr>
          <w:rFonts w:ascii="Italic" w:eastAsia="DengXian" w:hAnsi="Italic" w:cs="Arial"/>
          <w:i/>
          <w:iCs/>
          <w:kern w:val="3"/>
          <w14:ligatures w14:val="none"/>
        </w:rPr>
        <w:t>Loneliness in older adults</w:t>
      </w:r>
      <w:r w:rsidRPr="00CD6191">
        <w:rPr>
          <w:rFonts w:ascii="Italic" w:eastAsia="DengXian" w:hAnsi="Italic" w:cs="Arial" w:hint="eastAsia"/>
          <w:i/>
          <w:iCs/>
          <w:kern w:val="3"/>
          <w14:ligatures w14:val="none"/>
        </w:rPr>
        <w:t>:</w:t>
      </w:r>
      <w:r w:rsidRPr="00CD6191">
        <w:rPr>
          <w:rFonts w:ascii="Italic" w:eastAsia="DengXian" w:hAnsi="Italic" w:cs="Arial"/>
          <w:i/>
          <w:iCs/>
          <w:kern w:val="3"/>
          <w14:ligatures w14:val="none"/>
        </w:rPr>
        <w:t xml:space="preserve"> causes and consequences</w:t>
      </w:r>
      <w:r w:rsidRPr="00223D03">
        <w:rPr>
          <w:rFonts w:ascii="Arial" w:eastAsia="DengXian" w:hAnsi="Arial" w:cs="Arial"/>
          <w:i/>
          <w:iCs/>
          <w:kern w:val="3"/>
          <w14:ligatures w14:val="none"/>
        </w:rPr>
        <w:t xml:space="preserve">. </w:t>
      </w:r>
      <w:r w:rsidRPr="002501FE">
        <w:rPr>
          <w:rFonts w:ascii="Arial" w:eastAsia="DengXian" w:hAnsi="Arial" w:cs="Arial"/>
          <w:kern w:val="3"/>
          <w14:ligatures w14:val="none"/>
        </w:rPr>
        <w:t>Current Directions in Psychological Science, 27(6), pp.456-460.</w:t>
      </w:r>
    </w:p>
    <w:p w14:paraId="782CFD5B"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Cacioppo, J.T., Cacioppo, S., Capitanio, J.P. &amp; Cole, S.W., 2015. </w:t>
      </w:r>
      <w:r w:rsidRPr="00C12DAF">
        <w:rPr>
          <w:rFonts w:ascii="Italic" w:eastAsia="DengXian" w:hAnsi="Italic" w:cs="Arial"/>
          <w:i/>
          <w:iCs/>
          <w:kern w:val="3"/>
          <w14:ligatures w14:val="none"/>
        </w:rPr>
        <w:t>The neuroendocrinology of social isolation</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Annual Review of Psychology, 66, pp.733-767.</w:t>
      </w:r>
    </w:p>
    <w:p w14:paraId="7100721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Carnes, D., Sohanpal, R., Frostick, C., Hull, S., Palmer, S., Mathur, R., &amp; Gidlow, B., 2017. </w:t>
      </w:r>
      <w:r w:rsidRPr="00384252">
        <w:rPr>
          <w:rFonts w:ascii="Italic" w:eastAsia="DengXian" w:hAnsi="Italic" w:cs="Arial"/>
          <w:i/>
          <w:iCs/>
          <w:kern w:val="3"/>
          <w14:ligatures w14:val="none"/>
        </w:rPr>
        <w:t>The impact of social prescribing on well-being: a mixed-method evaluation</w:t>
      </w:r>
      <w:r w:rsidRPr="002501FE">
        <w:rPr>
          <w:rFonts w:ascii="Arial" w:eastAsia="DengXian" w:hAnsi="Arial" w:cs="Arial"/>
          <w:kern w:val="3"/>
          <w14:ligatures w14:val="none"/>
        </w:rPr>
        <w:t>. BMC Health Services Research, 17, p.835.</w:t>
      </w:r>
    </w:p>
    <w:p w14:paraId="3926854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Carstensen, L.L., 1999</w:t>
      </w:r>
      <w:r>
        <w:rPr>
          <w:rFonts w:ascii="Arial" w:eastAsia="DengXian" w:hAnsi="Arial" w:cs="Arial"/>
          <w:kern w:val="3"/>
          <w14:ligatures w14:val="none"/>
        </w:rPr>
        <w:t>a</w:t>
      </w:r>
      <w:r w:rsidRPr="002501FE">
        <w:rPr>
          <w:rFonts w:ascii="Arial" w:eastAsia="DengXian" w:hAnsi="Arial" w:cs="Arial"/>
          <w:kern w:val="3"/>
          <w14:ligatures w14:val="none"/>
        </w:rPr>
        <w:t xml:space="preserve">. </w:t>
      </w:r>
      <w:r w:rsidRPr="006A35A7">
        <w:rPr>
          <w:rFonts w:ascii="Italic" w:eastAsia="DengXian" w:hAnsi="Italic" w:cs="Arial"/>
          <w:i/>
          <w:iCs/>
          <w:kern w:val="3"/>
          <w14:ligatures w14:val="none"/>
        </w:rPr>
        <w:t>Social and emotional patterns in adulthood: support for socioemotional selectivity theory</w:t>
      </w:r>
      <w:r w:rsidRPr="002501FE">
        <w:rPr>
          <w:rFonts w:ascii="Arial" w:eastAsia="DengXian" w:hAnsi="Arial" w:cs="Arial"/>
          <w:kern w:val="3"/>
          <w14:ligatures w14:val="none"/>
        </w:rPr>
        <w:t>. Psychology and Ageing, 14(3), pp.331-338.</w:t>
      </w:r>
    </w:p>
    <w:p w14:paraId="15D48875"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Carstensen, L.L., Isaacowitz, D.M. &amp; Charles, S.T., 1999</w:t>
      </w:r>
      <w:r>
        <w:rPr>
          <w:rFonts w:ascii="Arial" w:eastAsia="DengXian" w:hAnsi="Arial" w:cs="Arial"/>
          <w:kern w:val="3"/>
          <w14:ligatures w14:val="none"/>
        </w:rPr>
        <w:t>b</w:t>
      </w:r>
      <w:r w:rsidRPr="002501FE">
        <w:rPr>
          <w:rFonts w:ascii="Arial" w:eastAsia="DengXian" w:hAnsi="Arial" w:cs="Arial"/>
          <w:kern w:val="3"/>
          <w14:ligatures w14:val="none"/>
        </w:rPr>
        <w:t xml:space="preserve">. </w:t>
      </w:r>
      <w:r w:rsidRPr="003761A8">
        <w:rPr>
          <w:rFonts w:ascii="Italic" w:eastAsia="DengXian" w:hAnsi="Italic" w:cs="Arial"/>
          <w:i/>
          <w:iCs/>
          <w:kern w:val="3"/>
          <w14:ligatures w14:val="none"/>
        </w:rPr>
        <w:t>Taking time seriously: a theory of socioemotional selectivity</w:t>
      </w:r>
      <w:r w:rsidRPr="002501FE">
        <w:rPr>
          <w:rFonts w:ascii="Arial" w:eastAsia="DengXian" w:hAnsi="Arial" w:cs="Arial"/>
          <w:kern w:val="3"/>
          <w14:ligatures w14:val="none"/>
        </w:rPr>
        <w:t>. American Psychologist, 54(3), pp.165-181.</w:t>
      </w:r>
    </w:p>
    <w:p w14:paraId="1583ADC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Cattan, M., White, M., Bond, J. &amp; Learmouth, A., 2005. </w:t>
      </w:r>
      <w:r w:rsidRPr="00F30770">
        <w:rPr>
          <w:rFonts w:ascii="Italic" w:eastAsia="DengXian" w:hAnsi="Italic" w:cs="Arial"/>
          <w:i/>
          <w:iCs/>
          <w:kern w:val="3"/>
          <w14:ligatures w14:val="none"/>
        </w:rPr>
        <w:t>Preventing social isolation and loneliness among older people: a systematic review of health promotion interventions.</w:t>
      </w:r>
      <w:r w:rsidRPr="002501FE">
        <w:rPr>
          <w:rFonts w:ascii="Arial" w:eastAsia="DengXian" w:hAnsi="Arial" w:cs="Arial"/>
          <w:kern w:val="3"/>
          <w14:ligatures w14:val="none"/>
        </w:rPr>
        <w:t xml:space="preserve"> Ageing &amp; Society, 25(1), pp.41-67.</w:t>
      </w:r>
    </w:p>
    <w:p w14:paraId="178DCBA1"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Chatterjee, H.J., Camic, P.M., Lockyer, B. &amp; Thomson, L.J.M., 2018. </w:t>
      </w:r>
      <w:r w:rsidRPr="00D6365E">
        <w:rPr>
          <w:rFonts w:ascii="Italic" w:eastAsia="DengXian" w:hAnsi="Italic" w:cs="Arial"/>
          <w:i/>
          <w:iCs/>
          <w:kern w:val="3"/>
          <w14:ligatures w14:val="none"/>
        </w:rPr>
        <w:t>Social prescribing: a review of community-based interventions aimed at reducing loneliness and improving well-being</w:t>
      </w:r>
      <w:r w:rsidRPr="002501FE">
        <w:rPr>
          <w:rFonts w:ascii="Arial" w:eastAsia="DengXian" w:hAnsi="Arial" w:cs="Arial"/>
          <w:kern w:val="3"/>
          <w14:ligatures w14:val="none"/>
        </w:rPr>
        <w:t>. Perspectives in Public Health, 138(6), pp.347-354.</w:t>
      </w:r>
    </w:p>
    <w:p w14:paraId="35C99211"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Cochrane, 2022. </w:t>
      </w:r>
      <w:r w:rsidRPr="006B4274">
        <w:rPr>
          <w:rFonts w:ascii="Italic" w:eastAsia="DengXian" w:hAnsi="Italic" w:cs="Arial"/>
          <w:i/>
          <w:iCs/>
          <w:kern w:val="3"/>
          <w14:ligatures w14:val="none"/>
        </w:rPr>
        <w:t>Cochrane handbook for systematic reviews of interventions</w:t>
      </w:r>
      <w:r w:rsidRPr="002501FE">
        <w:rPr>
          <w:rFonts w:ascii="Arial" w:eastAsia="DengXian" w:hAnsi="Arial" w:cs="Arial"/>
          <w:kern w:val="3"/>
          <w14:ligatures w14:val="none"/>
        </w:rPr>
        <w:t>. Version 7. London: Cochrane.</w:t>
      </w:r>
    </w:p>
    <w:p w14:paraId="10F560F5"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 xml:space="preserve">Cooke, A., Smith, D. &amp; Booth, A., 2012. </w:t>
      </w:r>
      <w:r w:rsidRPr="00491F36">
        <w:rPr>
          <w:rFonts w:ascii="Italic" w:eastAsia="DengXian" w:hAnsi="Italic" w:cs="Arial"/>
          <w:i/>
          <w:iCs/>
          <w:kern w:val="3"/>
          <w14:ligatures w14:val="none"/>
        </w:rPr>
        <w:t>Beyond PICO: the SPIDER tool for qualitative evidence synthesis</w:t>
      </w:r>
      <w:r w:rsidRPr="00B94BC7">
        <w:rPr>
          <w:rFonts w:ascii="Arial" w:eastAsia="DengXian" w:hAnsi="Arial" w:cs="Arial"/>
          <w:i/>
          <w:iCs/>
          <w:kern w:val="3"/>
          <w14:ligatures w14:val="none"/>
        </w:rPr>
        <w:t>.</w:t>
      </w:r>
      <w:r w:rsidRPr="002501FE">
        <w:rPr>
          <w:rFonts w:ascii="Arial" w:eastAsia="DengXian" w:hAnsi="Arial" w:cs="Arial"/>
          <w:kern w:val="3"/>
          <w14:ligatures w14:val="none"/>
        </w:rPr>
        <w:t xml:space="preserve"> Qualitative Health Research, 22(10), pp.1435-1443.</w:t>
      </w:r>
    </w:p>
    <w:p w14:paraId="3095551F"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Cooper, H., 2016. </w:t>
      </w:r>
      <w:r w:rsidRPr="00AE12CE">
        <w:rPr>
          <w:rFonts w:ascii="Italic" w:eastAsia="DengXian" w:hAnsi="Italic" w:cs="Arial"/>
          <w:i/>
          <w:iCs/>
          <w:kern w:val="3"/>
          <w14:ligatures w14:val="none"/>
        </w:rPr>
        <w:t>Research synthesis and meta-analysis: a step-by-step approach</w:t>
      </w:r>
      <w:r w:rsidRPr="002501FE">
        <w:rPr>
          <w:rFonts w:ascii="Arial" w:eastAsia="DengXian" w:hAnsi="Arial" w:cs="Arial"/>
          <w:kern w:val="3"/>
          <w14:ligatures w14:val="none"/>
        </w:rPr>
        <w:t>. 5th ed. Thousand Oaks, CA: Sage.</w:t>
      </w:r>
    </w:p>
    <w:p w14:paraId="6BEF4FF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Cornwell, B. &amp; Waite, L.J., 2009. </w:t>
      </w:r>
      <w:r w:rsidRPr="001359D7">
        <w:rPr>
          <w:rFonts w:ascii="Italic" w:eastAsia="DengXian" w:hAnsi="Italic" w:cs="Arial"/>
          <w:i/>
          <w:iCs/>
          <w:kern w:val="3"/>
          <w14:ligatures w14:val="none"/>
        </w:rPr>
        <w:t>Social disconnectedness, perceived isolation, and health among older adults</w:t>
      </w:r>
      <w:r w:rsidRPr="00B94BC7">
        <w:rPr>
          <w:rFonts w:ascii="Arial" w:eastAsia="DengXian" w:hAnsi="Arial" w:cs="Arial"/>
          <w:i/>
          <w:iCs/>
          <w:kern w:val="3"/>
          <w14:ligatures w14:val="none"/>
        </w:rPr>
        <w:t xml:space="preserve">. </w:t>
      </w:r>
      <w:r w:rsidRPr="002501FE">
        <w:rPr>
          <w:rFonts w:ascii="Arial" w:eastAsia="DengXian" w:hAnsi="Arial" w:cs="Arial"/>
          <w:kern w:val="3"/>
          <w14:ligatures w14:val="none"/>
        </w:rPr>
        <w:t>Journal of Health and Social Behaviour, 50(1), pp.31-48.</w:t>
      </w:r>
    </w:p>
    <w:p w14:paraId="56DC92E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Coughlan, M., Cronin, P. &amp; Ryan, F., 2013. </w:t>
      </w:r>
      <w:r w:rsidRPr="00F964E9">
        <w:rPr>
          <w:rFonts w:ascii="Italic" w:eastAsia="DengXian" w:hAnsi="Italic" w:cs="Arial"/>
          <w:i/>
          <w:iCs/>
          <w:kern w:val="3"/>
          <w14:ligatures w14:val="none"/>
        </w:rPr>
        <w:t>Step-by-step guide to critiquing research</w:t>
      </w:r>
      <w:r w:rsidRPr="002501FE">
        <w:rPr>
          <w:rFonts w:ascii="Arial" w:eastAsia="DengXian" w:hAnsi="Arial" w:cs="Arial"/>
          <w:kern w:val="3"/>
          <w14:ligatures w14:val="none"/>
        </w:rPr>
        <w:t>. British Journal of Nursing, 22(12), pp.662-667.</w:t>
      </w:r>
    </w:p>
    <w:p w14:paraId="66FD44D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Courtin, E. &amp; Knapp, M., 2017</w:t>
      </w:r>
      <w:r w:rsidRPr="00212B46">
        <w:rPr>
          <w:rFonts w:ascii="Arial" w:eastAsia="DengXian" w:hAnsi="Arial" w:cs="Arial"/>
          <w:i/>
          <w:iCs/>
          <w:kern w:val="3"/>
          <w14:ligatures w14:val="none"/>
        </w:rPr>
        <w:t xml:space="preserve">. </w:t>
      </w:r>
      <w:r w:rsidRPr="00E833E0">
        <w:rPr>
          <w:rFonts w:ascii="Italic" w:eastAsia="DengXian" w:hAnsi="Italic" w:cs="Arial"/>
          <w:i/>
          <w:iCs/>
          <w:kern w:val="3"/>
          <w14:ligatures w14:val="none"/>
        </w:rPr>
        <w:t>Social isolation, loneliness and health in old age: a scoping review</w:t>
      </w:r>
      <w:r w:rsidRPr="00212B46">
        <w:rPr>
          <w:rFonts w:ascii="Italic" w:eastAsia="DengXian" w:hAnsi="Italic" w:cs="Arial"/>
          <w:i/>
          <w:iCs/>
          <w:kern w:val="3"/>
          <w14:ligatures w14:val="none"/>
        </w:rPr>
        <w:t>.</w:t>
      </w:r>
      <w:r w:rsidRPr="002501FE">
        <w:rPr>
          <w:rFonts w:ascii="Arial" w:eastAsia="DengXian" w:hAnsi="Arial" w:cs="Arial"/>
          <w:kern w:val="3"/>
          <w14:ligatures w14:val="none"/>
        </w:rPr>
        <w:t xml:space="preserve"> Health &amp; Social Care in the Community, 25(3), pp.799-812.</w:t>
      </w:r>
    </w:p>
    <w:p w14:paraId="1D47F063"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Creighton, M., Olaya, B., Zaninotto, P., Gilbert, S., Demakakos, P., 2019. </w:t>
      </w:r>
      <w:r w:rsidRPr="000B4926">
        <w:rPr>
          <w:rFonts w:ascii="Italic" w:eastAsia="DengXian" w:hAnsi="Italic" w:cs="Arial"/>
          <w:i/>
          <w:iCs/>
          <w:kern w:val="3"/>
          <w14:ligatures w14:val="none"/>
        </w:rPr>
        <w:t>Social isolation, loneliness, and depressive symptoms in older adults: findings from the English Longitudinal Study of Ageing</w:t>
      </w:r>
      <w:r w:rsidRPr="002501FE">
        <w:rPr>
          <w:rFonts w:ascii="Arial" w:eastAsia="DengXian" w:hAnsi="Arial" w:cs="Arial"/>
          <w:kern w:val="3"/>
          <w14:ligatures w14:val="none"/>
        </w:rPr>
        <w:t>. BMC Geriatrics, 19, p.259.</w:t>
      </w:r>
    </w:p>
    <w:p w14:paraId="6BDDC37B" w14:textId="6CFE5E5C"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Cudjoe, T.K.M. &amp; Kotwal, A.A., 2020. </w:t>
      </w:r>
      <w:r w:rsidRPr="00926873">
        <w:rPr>
          <w:rFonts w:ascii="Italic" w:eastAsia="DengXian" w:hAnsi="Italic" w:cs="Arial"/>
          <w:i/>
          <w:iCs/>
          <w:kern w:val="3"/>
          <w14:ligatures w14:val="none"/>
        </w:rPr>
        <w:t>Understanding the association between social isolation and health in older adults</w:t>
      </w:r>
      <w:r w:rsidRPr="002501FE">
        <w:rPr>
          <w:rFonts w:ascii="Arial" w:eastAsia="DengXian" w:hAnsi="Arial" w:cs="Arial"/>
          <w:kern w:val="3"/>
          <w14:ligatures w14:val="none"/>
        </w:rPr>
        <w:t>. Current Opinion in Psychology, 32, pp.17</w:t>
      </w:r>
      <w:r w:rsidR="008F2640">
        <w:rPr>
          <w:rFonts w:ascii="Arial" w:eastAsia="DengXian" w:hAnsi="Arial" w:cs="Arial"/>
          <w:kern w:val="3"/>
          <w14:ligatures w14:val="none"/>
        </w:rPr>
        <w:t>-</w:t>
      </w:r>
      <w:r w:rsidRPr="002501FE">
        <w:rPr>
          <w:rFonts w:ascii="Arial" w:eastAsia="DengXian" w:hAnsi="Arial" w:cs="Arial"/>
          <w:kern w:val="3"/>
          <w14:ligatures w14:val="none"/>
        </w:rPr>
        <w:t>22.</w:t>
      </w:r>
    </w:p>
    <w:p w14:paraId="35A12465" w14:textId="15B98923"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DCMS (Department for Digital, Culture, Media &amp; Sport), 2018. </w:t>
      </w:r>
      <w:r w:rsidRPr="00212B46">
        <w:rPr>
          <w:rFonts w:ascii="Italic" w:eastAsia="DengXian" w:hAnsi="Italic" w:cs="Arial"/>
          <w:i/>
          <w:iCs/>
          <w:kern w:val="3"/>
          <w14:ligatures w14:val="none"/>
        </w:rPr>
        <w:t>A connected society: a strategy for tackling loneliness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London: DCMS.</w:t>
      </w:r>
      <w:r w:rsidR="00B94BC7">
        <w:rPr>
          <w:rFonts w:ascii="Arial" w:eastAsia="DengXian" w:hAnsi="Arial" w:cs="Arial"/>
          <w:kern w:val="3"/>
          <w14:ligatures w14:val="none"/>
        </w:rPr>
        <w:t xml:space="preserve"> Available at: </w:t>
      </w:r>
      <w:hyperlink r:id="rId16" w:history="1">
        <w:r w:rsidR="00B94BC7" w:rsidRPr="009E68F3">
          <w:rPr>
            <w:rStyle w:val="Hyperlink"/>
            <w:rFonts w:ascii="Arial" w:eastAsia="DengXian" w:hAnsi="Arial" w:cs="Arial"/>
            <w:kern w:val="3"/>
            <w14:ligatures w14:val="none"/>
          </w:rPr>
          <w:t>https://www.gov.uk/government/publications/a-connected-society-a-strategy-for-tackling-loneliness</w:t>
        </w:r>
      </w:hyperlink>
      <w:r w:rsidR="00B94BC7">
        <w:rPr>
          <w:rFonts w:ascii="Arial" w:eastAsia="DengXian" w:hAnsi="Arial" w:cs="Arial"/>
          <w:kern w:val="3"/>
          <w14:ligatures w14:val="none"/>
        </w:rPr>
        <w:t xml:space="preserve"> ( Accessed: 13 January 2026).</w:t>
      </w:r>
    </w:p>
    <w:p w14:paraId="01FE00F3"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Dickens, A.P., Richards, S.H., Greaves, C.J. &amp; Campbell, J.L., 2011. </w:t>
      </w:r>
      <w:r w:rsidRPr="008F2640">
        <w:rPr>
          <w:rFonts w:ascii="Italic" w:eastAsia="DengXian" w:hAnsi="Italic" w:cs="Arial"/>
          <w:i/>
          <w:iCs/>
          <w:kern w:val="3"/>
          <w14:ligatures w14:val="none"/>
        </w:rPr>
        <w:t>Interventions targeting social isolation in older people: a systematic review</w:t>
      </w:r>
      <w:r w:rsidRPr="002501FE">
        <w:rPr>
          <w:rFonts w:ascii="Arial" w:eastAsia="DengXian" w:hAnsi="Arial" w:cs="Arial"/>
          <w:kern w:val="3"/>
          <w14:ligatures w14:val="none"/>
        </w:rPr>
        <w:t>. BMC Public Health, 11, p.647.</w:t>
      </w:r>
    </w:p>
    <w:p w14:paraId="08771DFB"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Donovan, N.J., Wu, Q., Rentz, D.M., Sperling, R.A. &amp; Marshall, G.A., 2017. </w:t>
      </w:r>
      <w:r w:rsidRPr="008C2314">
        <w:rPr>
          <w:rFonts w:ascii="Italic" w:eastAsia="DengXian" w:hAnsi="Italic" w:cs="Arial"/>
          <w:i/>
          <w:iCs/>
          <w:kern w:val="3"/>
          <w14:ligatures w14:val="none"/>
        </w:rPr>
        <w:t>Loneliness, depression and cognitive function in older adults: results from the Harvard Ageing Brain Study</w:t>
      </w:r>
      <w:r w:rsidRPr="002501FE">
        <w:rPr>
          <w:rFonts w:ascii="Arial" w:eastAsia="DengXian" w:hAnsi="Arial" w:cs="Arial"/>
          <w:kern w:val="3"/>
          <w14:ligatures w14:val="none"/>
        </w:rPr>
        <w:t>. Journal of Gerontology: Psychological Sciences, 72(5), pp.689-696.</w:t>
      </w:r>
    </w:p>
    <w:p w14:paraId="5CC5E666"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Drinkwater, C. &amp; Bracher, M., 2022. </w:t>
      </w:r>
      <w:r w:rsidRPr="004304A9">
        <w:rPr>
          <w:rFonts w:ascii="Italic" w:eastAsia="DengXian" w:hAnsi="Italic" w:cs="Arial"/>
          <w:i/>
          <w:iCs/>
          <w:kern w:val="3"/>
          <w14:ligatures w14:val="none"/>
        </w:rPr>
        <w:t>Evaluating the long-term impact of social prescribing on wellbeing in older adults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Journal of Integrated Care, 30(1), pp.35-45.</w:t>
      </w:r>
    </w:p>
    <w:p w14:paraId="2F24BB13"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Drinkwater, C., Wildman, J. &amp; Moffatt, S., 2019. </w:t>
      </w:r>
      <w:r w:rsidRPr="001D527C">
        <w:rPr>
          <w:rFonts w:ascii="Italic" w:eastAsia="DengXian" w:hAnsi="Italic" w:cs="Arial"/>
          <w:i/>
          <w:iCs/>
          <w:kern w:val="3"/>
          <w14:ligatures w14:val="none"/>
        </w:rPr>
        <w:t>Social prescribing</w:t>
      </w:r>
      <w:r w:rsidRPr="002501FE">
        <w:rPr>
          <w:rFonts w:ascii="Arial" w:eastAsia="DengXian" w:hAnsi="Arial" w:cs="Arial"/>
          <w:kern w:val="3"/>
          <w14:ligatures w14:val="none"/>
        </w:rPr>
        <w:t>. BMJ, 364, l1285.</w:t>
      </w:r>
    </w:p>
    <w:p w14:paraId="2F29A544"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Durcan, D. &amp; Bell, R., 2020. </w:t>
      </w:r>
      <w:r w:rsidRPr="00C853B1">
        <w:rPr>
          <w:rFonts w:ascii="Italic" w:eastAsia="DengXian" w:hAnsi="Italic" w:cs="Arial"/>
          <w:i/>
          <w:iCs/>
          <w:kern w:val="3"/>
          <w14:ligatures w14:val="none"/>
        </w:rPr>
        <w:t>Loneliness: literature review and policy recommendations</w:t>
      </w:r>
      <w:r w:rsidRPr="001D527C">
        <w:rPr>
          <w:rFonts w:ascii="Arial" w:eastAsia="DengXian" w:hAnsi="Arial" w:cs="Arial"/>
          <w:i/>
          <w:iCs/>
          <w:kern w:val="3"/>
          <w14:ligatures w14:val="none"/>
        </w:rPr>
        <w:t>.</w:t>
      </w:r>
      <w:r w:rsidRPr="002501FE">
        <w:rPr>
          <w:rFonts w:ascii="Arial" w:eastAsia="DengXian" w:hAnsi="Arial" w:cs="Arial"/>
          <w:kern w:val="3"/>
          <w14:ligatures w14:val="none"/>
        </w:rPr>
        <w:t xml:space="preserve"> London: Centre for Mental Health.</w:t>
      </w:r>
    </w:p>
    <w:p w14:paraId="6BB5E19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Egger, M., Smith, G.D. &amp; Phillips, A.N., 1997. </w:t>
      </w:r>
      <w:r w:rsidRPr="001D527C">
        <w:rPr>
          <w:rFonts w:ascii="Italic" w:eastAsia="DengXian" w:hAnsi="Italic" w:cs="Arial"/>
          <w:i/>
          <w:iCs/>
          <w:kern w:val="3"/>
          <w14:ligatures w14:val="none"/>
        </w:rPr>
        <w:t>Meta-analysis: principles and procedures</w:t>
      </w:r>
      <w:r w:rsidRPr="002501FE">
        <w:rPr>
          <w:rFonts w:ascii="Arial" w:eastAsia="DengXian" w:hAnsi="Arial" w:cs="Arial"/>
          <w:kern w:val="3"/>
          <w14:ligatures w14:val="none"/>
        </w:rPr>
        <w:t>. BMJ, 315, pp.1533-1537.</w:t>
      </w:r>
    </w:p>
    <w:p w14:paraId="3B9D41EA"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 xml:space="preserve">Fakoya, O., McCorry, N.K. &amp; Donnelly, M., 2020. </w:t>
      </w:r>
      <w:r w:rsidRPr="004F0457">
        <w:rPr>
          <w:rFonts w:ascii="Italic" w:eastAsia="DengXian" w:hAnsi="Italic" w:cs="Arial"/>
          <w:i/>
          <w:iCs/>
          <w:kern w:val="3"/>
          <w14:ligatures w14:val="none"/>
        </w:rPr>
        <w:t>Social isolation and loneliness interventions for older adults: a scoping review</w:t>
      </w:r>
      <w:r w:rsidRPr="002501FE">
        <w:rPr>
          <w:rFonts w:ascii="Arial" w:eastAsia="DengXian" w:hAnsi="Arial" w:cs="Arial"/>
          <w:kern w:val="3"/>
          <w14:ligatures w14:val="none"/>
        </w:rPr>
        <w:t>. Health &amp; Social Care in the Community, 28(5), pp.1431</w:t>
      </w:r>
      <w:r>
        <w:rPr>
          <w:rFonts w:ascii="Arial" w:eastAsia="DengXian" w:hAnsi="Arial" w:cs="Arial"/>
          <w:kern w:val="3"/>
          <w14:ligatures w14:val="none"/>
        </w:rPr>
        <w:t>-</w:t>
      </w:r>
      <w:r w:rsidRPr="002501FE">
        <w:rPr>
          <w:rFonts w:ascii="Arial" w:eastAsia="DengXian" w:hAnsi="Arial" w:cs="Arial"/>
          <w:kern w:val="3"/>
          <w14:ligatures w14:val="none"/>
        </w:rPr>
        <w:t>1443.</w:t>
      </w:r>
    </w:p>
    <w:p w14:paraId="1AF68DD8"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Fang, M.L., Canham, S.L., Battersby, L., Sixsmith, J., Wada, M. &amp; Sixsmith, A., 2019. </w:t>
      </w:r>
      <w:r w:rsidRPr="00F7615A">
        <w:rPr>
          <w:rFonts w:ascii="Italic" w:eastAsia="DengXian" w:hAnsi="Italic" w:cs="Arial"/>
          <w:i/>
          <w:iCs/>
          <w:kern w:val="3"/>
          <w14:ligatures w14:val="none"/>
        </w:rPr>
        <w:t>Exploring older adults’ experiences with digital technology in social participation</w:t>
      </w:r>
      <w:r w:rsidRPr="00F7615A">
        <w:rPr>
          <w:rFonts w:ascii="Arial" w:eastAsia="DengXian" w:hAnsi="Arial" w:cs="Arial"/>
          <w:i/>
          <w:iCs/>
          <w:kern w:val="3"/>
          <w14:ligatures w14:val="none"/>
        </w:rPr>
        <w:t>.</w:t>
      </w:r>
      <w:r w:rsidRPr="001D527C">
        <w:rPr>
          <w:rFonts w:ascii="Arial" w:eastAsia="DengXian" w:hAnsi="Arial" w:cs="Arial"/>
          <w:i/>
          <w:iCs/>
          <w:kern w:val="3"/>
          <w14:ligatures w14:val="none"/>
        </w:rPr>
        <w:t xml:space="preserve"> </w:t>
      </w:r>
      <w:r w:rsidRPr="002501FE">
        <w:rPr>
          <w:rFonts w:ascii="Arial" w:eastAsia="DengXian" w:hAnsi="Arial" w:cs="Arial"/>
          <w:kern w:val="3"/>
          <w14:ligatures w14:val="none"/>
        </w:rPr>
        <w:t>Gerontology &amp; Geriatric Medicine, 5, pp.1-10.</w:t>
      </w:r>
    </w:p>
    <w:p w14:paraId="7FAC5727"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Fountain, C., Browne, V., Abouyannis, M. &amp; Robertson, S., 2019. </w:t>
      </w:r>
      <w:r w:rsidRPr="0063632D">
        <w:rPr>
          <w:rFonts w:ascii="Italic" w:eastAsia="DengXian" w:hAnsi="Italic" w:cs="Arial"/>
          <w:i/>
          <w:iCs/>
          <w:kern w:val="3"/>
          <w14:ligatures w14:val="none"/>
        </w:rPr>
        <w:t>Barriers to mental health care for older adults: a qualitative study.</w:t>
      </w:r>
      <w:r w:rsidRPr="002501FE">
        <w:rPr>
          <w:rFonts w:ascii="Italic" w:eastAsia="DengXian" w:hAnsi="Italic" w:cs="Arial"/>
          <w:i/>
          <w:iCs/>
          <w:kern w:val="3"/>
          <w14:ligatures w14:val="none"/>
        </w:rPr>
        <w:t xml:space="preserve"> </w:t>
      </w:r>
      <w:r w:rsidRPr="002501FE">
        <w:rPr>
          <w:rFonts w:ascii="Arial" w:eastAsia="DengXian" w:hAnsi="Arial" w:cs="Arial"/>
          <w:kern w:val="3"/>
          <w14:ligatures w14:val="none"/>
        </w:rPr>
        <w:t>International Journal of Geriatric Psychiatry, 34(12), pp.1791-1800.</w:t>
      </w:r>
    </w:p>
    <w:p w14:paraId="1198828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Fratiglioni, L., Paillard-Borg, S. &amp; Winblad, B., 2004. </w:t>
      </w:r>
      <w:r w:rsidRPr="006D3E41">
        <w:rPr>
          <w:rFonts w:ascii="Italic" w:eastAsia="DengXian" w:hAnsi="Italic" w:cs="Arial"/>
          <w:i/>
          <w:iCs/>
          <w:kern w:val="3"/>
          <w14:ligatures w14:val="none"/>
        </w:rPr>
        <w:t>An active and socially integrated lifestyle in late life might protect against dementia</w:t>
      </w:r>
      <w:r w:rsidRPr="006D3E41">
        <w:rPr>
          <w:rFonts w:ascii="Arial" w:eastAsia="DengXian" w:hAnsi="Arial" w:cs="Arial"/>
          <w:i/>
          <w:iCs/>
          <w:kern w:val="3"/>
          <w14:ligatures w14:val="none"/>
        </w:rPr>
        <w:t>.</w:t>
      </w:r>
      <w:r w:rsidRPr="002501FE">
        <w:rPr>
          <w:rFonts w:ascii="Arial" w:eastAsia="DengXian" w:hAnsi="Arial" w:cs="Arial"/>
          <w:kern w:val="3"/>
          <w14:ligatures w14:val="none"/>
        </w:rPr>
        <w:t xml:space="preserve"> The Lancet Neurology, 3(6), pp.343-353.</w:t>
      </w:r>
    </w:p>
    <w:p w14:paraId="22D37B23" w14:textId="449127F1"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Gardiner, C., Geldenhuys, G. &amp; Gott, M., 2018. </w:t>
      </w:r>
      <w:r w:rsidRPr="002705E3">
        <w:rPr>
          <w:rFonts w:ascii="Italic" w:eastAsia="DengXian" w:hAnsi="Italic" w:cs="Arial"/>
          <w:i/>
          <w:iCs/>
          <w:kern w:val="3"/>
          <w14:ligatures w14:val="none"/>
        </w:rPr>
        <w:t>Interventions to reduce social isolation and loneliness among older people: an integrative review</w:t>
      </w:r>
      <w:r w:rsidRPr="002501FE">
        <w:rPr>
          <w:rFonts w:ascii="Arial" w:eastAsia="DengXian" w:hAnsi="Arial" w:cs="Arial"/>
          <w:kern w:val="3"/>
          <w14:ligatures w14:val="none"/>
        </w:rPr>
        <w:t>. Health &amp; Social Care in the Community, 26(2), pp.147</w:t>
      </w:r>
      <w:r w:rsidR="001D527C">
        <w:rPr>
          <w:rFonts w:ascii="Arial" w:eastAsia="DengXian" w:hAnsi="Arial" w:cs="Arial"/>
          <w:kern w:val="3"/>
          <w14:ligatures w14:val="none"/>
        </w:rPr>
        <w:t>-</w:t>
      </w:r>
      <w:r w:rsidRPr="002501FE">
        <w:rPr>
          <w:rFonts w:ascii="Arial" w:eastAsia="DengXian" w:hAnsi="Arial" w:cs="Arial"/>
          <w:kern w:val="3"/>
          <w14:ligatures w14:val="none"/>
        </w:rPr>
        <w:t>157.</w:t>
      </w:r>
    </w:p>
    <w:p w14:paraId="2627B340"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Ge, L., Yap, C.W., Ong, R. &amp; Heng, B.H., 2021. </w:t>
      </w:r>
      <w:r w:rsidRPr="00745534">
        <w:rPr>
          <w:rFonts w:ascii="Italic" w:eastAsia="DengXian" w:hAnsi="Italic" w:cs="Arial"/>
          <w:i/>
          <w:iCs/>
          <w:kern w:val="3"/>
          <w14:ligatures w14:val="none"/>
        </w:rPr>
        <w:t>Loneliness, social isolation, and mental health among older adults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International Journal of Environmental Research and Public Health, 18(7), p.3603.</w:t>
      </w:r>
    </w:p>
    <w:p w14:paraId="5C14674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Giebel, C., Hanna, K., Cannon, J., Shenton, J., Mason, S., Tetlow, H., Limbert, S., Callaghan, S., Whittington, R., Rogers, C., Komuravelli, A., &amp; Gabbay, M., 2021. </w:t>
      </w:r>
      <w:r w:rsidRPr="00006759">
        <w:rPr>
          <w:rFonts w:ascii="Italic" w:eastAsia="DengXian" w:hAnsi="Italic" w:cs="Arial"/>
          <w:i/>
          <w:iCs/>
          <w:kern w:val="3"/>
          <w14:ligatures w14:val="none"/>
        </w:rPr>
        <w:t>Effects of COVID-19 related social support service closures on people with dementia and unpaid carers: a qualitative stud</w:t>
      </w:r>
      <w:r w:rsidRPr="002501FE">
        <w:rPr>
          <w:rFonts w:ascii="Italic" w:eastAsia="DengXian" w:hAnsi="Italic" w:cs="Arial"/>
          <w:i/>
          <w:iCs/>
          <w:kern w:val="3"/>
          <w14:ligatures w14:val="none"/>
        </w:rPr>
        <w:t xml:space="preserve">y. </w:t>
      </w:r>
      <w:r w:rsidRPr="002501FE">
        <w:rPr>
          <w:rFonts w:ascii="Arial" w:eastAsia="DengXian" w:hAnsi="Arial" w:cs="Arial"/>
          <w:kern w:val="3"/>
          <w14:ligatures w14:val="none"/>
        </w:rPr>
        <w:t>Ageing &amp; Mental Health, 25(7), pp.1281-1288.</w:t>
      </w:r>
    </w:p>
    <w:p w14:paraId="15CBF900"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Goll, J.C., Charlesworth, G., Scior, K. &amp; Stott, J., 2015. </w:t>
      </w:r>
      <w:r w:rsidRPr="00F16F68">
        <w:rPr>
          <w:rFonts w:ascii="Italic" w:eastAsia="DengXian" w:hAnsi="Italic" w:cs="Arial"/>
          <w:i/>
          <w:iCs/>
          <w:kern w:val="3"/>
          <w14:ligatures w14:val="none"/>
        </w:rPr>
        <w:t>Barriers to social participation among older adults: a systematic review</w:t>
      </w:r>
      <w:r w:rsidRPr="002501FE">
        <w:rPr>
          <w:rFonts w:ascii="Arial" w:eastAsia="DengXian" w:hAnsi="Arial" w:cs="Arial"/>
          <w:kern w:val="3"/>
          <w14:ligatures w14:val="none"/>
        </w:rPr>
        <w:t>. Ageing and Society, 35(9), pp.2015-2041.</w:t>
      </w:r>
    </w:p>
    <w:p w14:paraId="4D1C2A6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Goodman, A., Lamping, D. &amp; Ploubidis, G.B., 2020. </w:t>
      </w:r>
      <w:r w:rsidRPr="00B51612">
        <w:rPr>
          <w:rFonts w:ascii="Italic" w:eastAsia="DengXian" w:hAnsi="Italic" w:cs="Arial"/>
          <w:i/>
          <w:iCs/>
          <w:kern w:val="3"/>
          <w14:ligatures w14:val="none"/>
        </w:rPr>
        <w:t>Long-term evaluation of community-based interventions: lessons for policy and practice</w:t>
      </w:r>
      <w:r w:rsidRPr="002501FE">
        <w:rPr>
          <w:rFonts w:ascii="Arial" w:eastAsia="DengXian" w:hAnsi="Arial" w:cs="Arial"/>
          <w:kern w:val="3"/>
          <w14:ligatures w14:val="none"/>
        </w:rPr>
        <w:t>. Journal of Social Policy, 49(2), pp.305-327.</w:t>
      </w:r>
    </w:p>
    <w:p w14:paraId="4C945EA1"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Goodman, A., McNeill, A., Nesti, M. &amp; O’Connor, D., 2021. </w:t>
      </w:r>
      <w:r w:rsidRPr="004E3BF0">
        <w:rPr>
          <w:rFonts w:ascii="Italic" w:eastAsia="DengXian" w:hAnsi="Italic" w:cs="Arial"/>
          <w:i/>
          <w:iCs/>
          <w:kern w:val="3"/>
          <w14:ligatures w14:val="none"/>
        </w:rPr>
        <w:t>Measuring loneliness: methodological challenges and implications</w:t>
      </w:r>
      <w:r w:rsidRPr="002501FE">
        <w:rPr>
          <w:rFonts w:ascii="Arial" w:eastAsia="DengXian" w:hAnsi="Arial" w:cs="Arial"/>
          <w:kern w:val="3"/>
          <w14:ligatures w14:val="none"/>
        </w:rPr>
        <w:t>. Social Indicators Research, 153, pp.225-242.</w:t>
      </w:r>
    </w:p>
    <w:p w14:paraId="5130500B"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Halevi, G., Moed, H.F. &amp; Bar-Ilan, J., 2017. </w:t>
      </w:r>
      <w:r w:rsidRPr="00C977D5">
        <w:rPr>
          <w:rFonts w:ascii="Italic" w:eastAsia="DengXian" w:hAnsi="Italic" w:cs="Arial"/>
          <w:i/>
          <w:iCs/>
          <w:kern w:val="3"/>
          <w14:ligatures w14:val="none"/>
        </w:rPr>
        <w:t>Suitability of Google Scholar as a source of scientific information and as a source for systematic reviews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Scientometrics, 112, pp.371-394.</w:t>
      </w:r>
    </w:p>
    <w:p w14:paraId="308073F5"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 xml:space="preserve">Haslam, C., Cruwys, T., Haslam, S.A., Dingle, G. &amp; Chang, M.X.L., 2014. </w:t>
      </w:r>
      <w:r w:rsidRPr="00F569EA">
        <w:rPr>
          <w:rFonts w:ascii="Italic" w:eastAsia="DengXian" w:hAnsi="Italic" w:cs="Arial"/>
          <w:i/>
          <w:iCs/>
          <w:kern w:val="3"/>
          <w14:ligatures w14:val="none"/>
        </w:rPr>
        <w:t>Groups 4 health: evidence that a social-identity intervention that builds and strengthens social group membership improves mental health</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Journal of Affective Disorders, 159, pp.139-146.</w:t>
      </w:r>
    </w:p>
    <w:p w14:paraId="4AED55D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Hawkley, L.C. &amp; Cacioppo, J.T., 2010. </w:t>
      </w:r>
      <w:r w:rsidRPr="008B71DD">
        <w:rPr>
          <w:rFonts w:ascii="Italic" w:eastAsia="DengXian" w:hAnsi="Italic" w:cs="Arial"/>
          <w:i/>
          <w:iCs/>
          <w:kern w:val="3"/>
          <w14:ligatures w14:val="none"/>
        </w:rPr>
        <w:t>Loneliness matters: a theoretical and empirical review of consequences and mechanisms</w:t>
      </w:r>
      <w:r w:rsidRPr="002501FE">
        <w:rPr>
          <w:rFonts w:ascii="Arial" w:eastAsia="DengXian" w:hAnsi="Arial" w:cs="Arial"/>
          <w:kern w:val="3"/>
          <w14:ligatures w14:val="none"/>
        </w:rPr>
        <w:t>. Annals of Behavioural Medicine, 40(2), pp.218–227.</w:t>
      </w:r>
    </w:p>
    <w:p w14:paraId="0E022EA3"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Hemingway, H. &amp; Jack, C., 2013. </w:t>
      </w:r>
      <w:r w:rsidRPr="003C2CD6">
        <w:rPr>
          <w:rFonts w:ascii="Italic" w:eastAsia="DengXian" w:hAnsi="Italic" w:cs="Arial"/>
          <w:i/>
          <w:iCs/>
          <w:kern w:val="3"/>
          <w14:ligatures w14:val="none"/>
        </w:rPr>
        <w:t>Standardising outcomes in public health interventions: a methodological review</w:t>
      </w:r>
      <w:r w:rsidRPr="002501FE">
        <w:rPr>
          <w:rFonts w:ascii="Arial" w:eastAsia="DengXian" w:hAnsi="Arial" w:cs="Arial"/>
          <w:kern w:val="3"/>
          <w14:ligatures w14:val="none"/>
        </w:rPr>
        <w:t>. Public Health, 127(1), pp.1-9.</w:t>
      </w:r>
    </w:p>
    <w:p w14:paraId="676C3D58"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Hoffmann, T.C., Glasziou, P.P., Boutron, I., Milne, R., Perera, R., Moher, D., Altman, D.G., Barbour, V., Macdonald, H., Johnston, M., Lamb, S.E., Dixon-Woods, M., McCulloch, P., Wyatt, J.C., Chan, A.W. &amp; Michie, S., 2014. </w:t>
      </w:r>
      <w:r w:rsidRPr="0063317F">
        <w:rPr>
          <w:rFonts w:ascii="Italic" w:eastAsia="DengXian" w:hAnsi="Italic" w:cs="Arial"/>
          <w:i/>
          <w:iCs/>
          <w:kern w:val="3"/>
          <w14:ligatures w14:val="none"/>
        </w:rPr>
        <w:t>Better reporting of interventions: template for intervention description and replication (TIDieR) checklist and guide</w:t>
      </w:r>
      <w:r w:rsidRPr="002501FE">
        <w:rPr>
          <w:rFonts w:ascii="Arial" w:eastAsia="DengXian" w:hAnsi="Arial" w:cs="Arial"/>
          <w:kern w:val="3"/>
          <w14:ligatures w14:val="none"/>
        </w:rPr>
        <w:t>. BMJ, 348, g1687.</w:t>
      </w:r>
    </w:p>
    <w:p w14:paraId="3E7A3714"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Holt-Lunstad, J., 2018. </w:t>
      </w:r>
      <w:r w:rsidRPr="00F744F2">
        <w:rPr>
          <w:rFonts w:ascii="Italic" w:eastAsia="DengXian" w:hAnsi="Italic" w:cs="Arial"/>
          <w:i/>
          <w:iCs/>
          <w:kern w:val="3"/>
          <w14:ligatures w14:val="none"/>
        </w:rPr>
        <w:t>Why social relationships are important for physical health: a systems approach to understanding and modifying risk</w:t>
      </w:r>
      <w:r w:rsidRPr="002501FE">
        <w:rPr>
          <w:rFonts w:ascii="Arial" w:eastAsia="DengXian" w:hAnsi="Arial" w:cs="Arial"/>
          <w:kern w:val="3"/>
          <w14:ligatures w14:val="none"/>
        </w:rPr>
        <w:t>. Annual Review of Psychology, 69, pp.437-458.</w:t>
      </w:r>
    </w:p>
    <w:p w14:paraId="719FD97F"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Holt-Lunstad, J., 2021. </w:t>
      </w:r>
      <w:r w:rsidRPr="006767F8">
        <w:rPr>
          <w:rFonts w:ascii="Italic" w:eastAsia="DengXian" w:hAnsi="Italic" w:cs="Arial"/>
          <w:i/>
          <w:iCs/>
          <w:kern w:val="3"/>
          <w14:ligatures w14:val="none"/>
        </w:rPr>
        <w:t>Loneliness and social isolation as public health risk</w:t>
      </w:r>
      <w:r w:rsidRPr="0056378C">
        <w:rPr>
          <w:rFonts w:ascii="Italic" w:eastAsia="DengXian" w:hAnsi="Italic" w:cs="Arial"/>
          <w:i/>
          <w:iCs/>
          <w:kern w:val="3"/>
          <w14:ligatures w14:val="none"/>
        </w:rPr>
        <w:t>s</w:t>
      </w:r>
      <w:r w:rsidRPr="002501FE">
        <w:rPr>
          <w:rFonts w:ascii="Arial" w:eastAsia="DengXian" w:hAnsi="Arial" w:cs="Arial"/>
          <w:kern w:val="3"/>
          <w14:ligatures w14:val="none"/>
        </w:rPr>
        <w:t>. American Psychologist, 76(9), pp.1295</w:t>
      </w:r>
      <w:r>
        <w:rPr>
          <w:rFonts w:ascii="Arial" w:eastAsia="DengXian" w:hAnsi="Arial" w:cs="Arial"/>
          <w:kern w:val="3"/>
          <w14:ligatures w14:val="none"/>
        </w:rPr>
        <w:t>-</w:t>
      </w:r>
      <w:r w:rsidRPr="002501FE">
        <w:rPr>
          <w:rFonts w:ascii="Arial" w:eastAsia="DengXian" w:hAnsi="Arial" w:cs="Arial"/>
          <w:kern w:val="3"/>
          <w14:ligatures w14:val="none"/>
        </w:rPr>
        <w:t>1307.</w:t>
      </w:r>
    </w:p>
    <w:p w14:paraId="1C67D82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Holt-Lunstad, J., Smith, T.B. &amp; Layton, J.B., 2015. </w:t>
      </w:r>
      <w:r w:rsidRPr="00257D07">
        <w:rPr>
          <w:rFonts w:ascii="Italic" w:eastAsia="DengXian" w:hAnsi="Italic" w:cs="Arial"/>
          <w:i/>
          <w:iCs/>
          <w:kern w:val="3"/>
          <w14:ligatures w14:val="none"/>
        </w:rPr>
        <w:t>Social relationships and mortality risk: a meta-analytic review</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PLoS Medicine, 7(7), e1000316. </w:t>
      </w:r>
    </w:p>
    <w:p w14:paraId="56DCCD59"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Holt-Lunstad, J., Smith, T.B., Baker, M., Harris, T. &amp; Stephenson, D., 2010. </w:t>
      </w:r>
      <w:r w:rsidRPr="00692C69">
        <w:rPr>
          <w:rFonts w:ascii="Italic" w:eastAsia="DengXian" w:hAnsi="Italic" w:cs="Arial"/>
          <w:i/>
          <w:iCs/>
          <w:kern w:val="3"/>
          <w14:ligatures w14:val="none"/>
        </w:rPr>
        <w:t>Loneliness and social isolation as risk factors for mortality: a meta-analytic review</w:t>
      </w:r>
      <w:r w:rsidRPr="002501FE">
        <w:rPr>
          <w:rFonts w:ascii="Arial" w:eastAsia="DengXian" w:hAnsi="Arial" w:cs="Arial"/>
          <w:kern w:val="3"/>
          <w14:ligatures w14:val="none"/>
        </w:rPr>
        <w:t>. Perspectives on Psychological Science, 10(2), pp.227-237.</w:t>
      </w:r>
    </w:p>
    <w:p w14:paraId="6FBEC677"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Holt-Lunstad, J., Smith, T.B., Baker, M., Harris, T. &amp; Stephenson, D., 2020. </w:t>
      </w:r>
      <w:r w:rsidRPr="00030641">
        <w:rPr>
          <w:rFonts w:ascii="Italic" w:eastAsia="DengXian" w:hAnsi="Italic" w:cs="Arial"/>
          <w:i/>
          <w:iCs/>
          <w:kern w:val="3"/>
          <w14:ligatures w14:val="none"/>
        </w:rPr>
        <w:t>Loneliness and social isolation as risk factors for mortality: a meta-analytic review</w:t>
      </w:r>
      <w:r w:rsidRPr="002501FE">
        <w:rPr>
          <w:rFonts w:ascii="Arial" w:eastAsia="DengXian" w:hAnsi="Arial" w:cs="Arial"/>
          <w:kern w:val="3"/>
          <w14:ligatures w14:val="none"/>
        </w:rPr>
        <w:t>. Perspectives on Psychological Science, 15(1), pp.1-36.</w:t>
      </w:r>
    </w:p>
    <w:p w14:paraId="04D0BC18"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Holwerda, T.J., Deeg, D.J., Beekman, A.T., van Tilburg, T.G., Stek, M.L., Jonker, C. &amp; Schoevers, R.A., 2014. </w:t>
      </w:r>
      <w:r w:rsidRPr="00FD5E26">
        <w:rPr>
          <w:rFonts w:ascii="Italic" w:eastAsia="DengXian" w:hAnsi="Italic" w:cs="Arial"/>
          <w:i/>
          <w:iCs/>
          <w:kern w:val="3"/>
          <w14:ligatures w14:val="none"/>
        </w:rPr>
        <w:t>Feelings of loneliness, but not social isolation, predict dementia onset</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Journal of Neurology, Neurosurgery &amp; Psychiatry, 85(2), pp.135-142.</w:t>
      </w:r>
    </w:p>
    <w:p w14:paraId="56CC97B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Hughes, M.E., Waite, L.J., Hawkley, L.C. &amp; Cacioppo, J.T., 2004. </w:t>
      </w:r>
      <w:r w:rsidRPr="008600B6">
        <w:rPr>
          <w:rFonts w:ascii="Italic" w:eastAsia="DengXian" w:hAnsi="Italic" w:cs="Arial"/>
          <w:i/>
          <w:iCs/>
          <w:kern w:val="3"/>
          <w14:ligatures w14:val="none"/>
        </w:rPr>
        <w:t>A short scale for measuring loneliness in large surveys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Research on </w:t>
      </w:r>
      <w:r>
        <w:rPr>
          <w:rFonts w:ascii="Arial" w:eastAsia="DengXian" w:hAnsi="Arial" w:cs="Arial"/>
          <w:kern w:val="3"/>
          <w14:ligatures w14:val="none"/>
        </w:rPr>
        <w:t>Ageing</w:t>
      </w:r>
      <w:r w:rsidRPr="002501FE">
        <w:rPr>
          <w:rFonts w:ascii="Arial" w:eastAsia="DengXian" w:hAnsi="Arial" w:cs="Arial"/>
          <w:kern w:val="3"/>
          <w14:ligatures w14:val="none"/>
        </w:rPr>
        <w:t>, 26(6), pp.655-672.</w:t>
      </w:r>
    </w:p>
    <w:p w14:paraId="01E6489E" w14:textId="77777777" w:rsidR="00897F20" w:rsidRDefault="00897F20" w:rsidP="00A14365">
      <w:pPr>
        <w:suppressAutoHyphens/>
        <w:autoSpaceDN w:val="0"/>
        <w:ind w:left="360"/>
        <w:rPr>
          <w:rFonts w:ascii="Arial" w:eastAsia="DengXian" w:hAnsi="Arial" w:cs="Arial"/>
          <w:kern w:val="3"/>
          <w14:ligatures w14:val="none"/>
        </w:rPr>
      </w:pPr>
      <w:r w:rsidRPr="002501FE">
        <w:rPr>
          <w:rFonts w:ascii="Arial" w:eastAsia="DengXian" w:hAnsi="Arial" w:cs="Arial"/>
          <w:kern w:val="3"/>
          <w14:ligatures w14:val="none"/>
        </w:rPr>
        <w:t xml:space="preserve">Husk, K., Elston, J., Gradinger, F., Callaghan, L. &amp; Asthana, S., 2020. </w:t>
      </w:r>
      <w:r w:rsidRPr="00FD46CA">
        <w:rPr>
          <w:rFonts w:ascii="Italic" w:eastAsia="DengXian" w:hAnsi="Italic" w:cs="Arial"/>
          <w:i/>
          <w:iCs/>
          <w:kern w:val="3"/>
          <w14:ligatures w14:val="none"/>
        </w:rPr>
        <w:t>Social prescribing: where is the evidence</w:t>
      </w:r>
      <w:r w:rsidRPr="0056378C">
        <w:rPr>
          <w:rFonts w:ascii="Italic" w:eastAsia="DengXian" w:hAnsi="Italic" w:cs="Arial"/>
          <w:i/>
          <w:iCs/>
          <w:kern w:val="3"/>
          <w14:ligatures w14:val="none"/>
        </w:rPr>
        <w:t>?</w:t>
      </w:r>
      <w:r w:rsidRPr="002501FE">
        <w:rPr>
          <w:rFonts w:ascii="Arial" w:eastAsia="DengXian" w:hAnsi="Arial" w:cs="Arial"/>
          <w:kern w:val="3"/>
          <w14:ligatures w14:val="none"/>
        </w:rPr>
        <w:t xml:space="preserve"> British Journal of General Practice, 70(695), pp.6-7.</w:t>
      </w:r>
    </w:p>
    <w:p w14:paraId="7A7C7AC9" w14:textId="77777777" w:rsidR="00897F20" w:rsidRPr="00DA61F9" w:rsidRDefault="00897F20" w:rsidP="00DA61F9">
      <w:pPr>
        <w:suppressAutoHyphens/>
        <w:autoSpaceDN w:val="0"/>
        <w:ind w:left="360"/>
        <w:rPr>
          <w:rFonts w:eastAsia="Aptos" w:cs="Times New Roman"/>
          <w:kern w:val="3"/>
          <w:sz w:val="24"/>
          <w:szCs w:val="24"/>
          <w:lang w:eastAsia="en-US"/>
          <w14:ligatures w14:val="none"/>
        </w:rPr>
      </w:pPr>
      <w:r w:rsidRPr="00DA61F9">
        <w:rPr>
          <w:rFonts w:eastAsia="Aptos" w:cs="Times New Roman"/>
          <w:kern w:val="3"/>
          <w:sz w:val="24"/>
          <w:szCs w:val="24"/>
          <w:lang w:eastAsia="en-US"/>
          <w14:ligatures w14:val="none"/>
        </w:rPr>
        <w:lastRenderedPageBreak/>
        <w:t xml:space="preserve">Independent Age, 2026. </w:t>
      </w:r>
      <w:r w:rsidRPr="0056378C">
        <w:rPr>
          <w:rFonts w:ascii="Italic" w:eastAsia="Aptos" w:hAnsi="Italic" w:cs="Times New Roman"/>
          <w:i/>
          <w:iCs/>
          <w:kern w:val="3"/>
          <w:sz w:val="24"/>
          <w:szCs w:val="24"/>
          <w:lang w:eastAsia="en-US"/>
          <w14:ligatures w14:val="none"/>
        </w:rPr>
        <w:t>Independent Age - information and advice for older people.</w:t>
      </w:r>
      <w:r w:rsidRPr="00DA61F9">
        <w:rPr>
          <w:rFonts w:eastAsia="Aptos" w:cs="Times New Roman"/>
          <w:kern w:val="3"/>
          <w:sz w:val="24"/>
          <w:szCs w:val="24"/>
          <w:lang w:eastAsia="en-US"/>
          <w14:ligatures w14:val="none"/>
        </w:rPr>
        <w:t xml:space="preserve"> Available at: </w:t>
      </w:r>
      <w:hyperlink r:id="rId17" w:history="1">
        <w:r w:rsidRPr="009E68F3">
          <w:rPr>
            <w:rStyle w:val="Hyperlink"/>
            <w:rFonts w:eastAsia="Aptos" w:cs="Times New Roman"/>
            <w:kern w:val="3"/>
            <w:sz w:val="24"/>
            <w:szCs w:val="24"/>
            <w:lang w:eastAsia="en-US"/>
            <w14:ligatures w14:val="none"/>
          </w:rPr>
          <w:t>https://www.independentage.org/</w:t>
        </w:r>
      </w:hyperlink>
      <w:r>
        <w:rPr>
          <w:rFonts w:eastAsia="Aptos" w:cs="Times New Roman"/>
          <w:kern w:val="3"/>
          <w:sz w:val="24"/>
          <w:szCs w:val="24"/>
          <w:lang w:eastAsia="en-US"/>
          <w14:ligatures w14:val="none"/>
        </w:rPr>
        <w:t xml:space="preserve"> (Accessed: 01 February 2026).</w:t>
      </w:r>
    </w:p>
    <w:p w14:paraId="147F635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Johnson, K.A. &amp; Mutchler, J.E., 2014. </w:t>
      </w:r>
      <w:r w:rsidRPr="0097457A">
        <w:rPr>
          <w:rFonts w:ascii="Italic" w:eastAsia="DengXian" w:hAnsi="Italic" w:cs="Arial"/>
          <w:i/>
          <w:iCs/>
          <w:kern w:val="3"/>
          <w14:ligatures w14:val="none"/>
        </w:rPr>
        <w:t>Activity engagement and wellbeing in later life: the benefits of group participation</w:t>
      </w:r>
      <w:r w:rsidRPr="002501FE">
        <w:rPr>
          <w:rFonts w:ascii="Arial" w:eastAsia="DengXian" w:hAnsi="Arial" w:cs="Arial"/>
          <w:kern w:val="3"/>
          <w14:ligatures w14:val="none"/>
        </w:rPr>
        <w:t xml:space="preserve">. Research on </w:t>
      </w:r>
      <w:r>
        <w:rPr>
          <w:rFonts w:ascii="Arial" w:eastAsia="DengXian" w:hAnsi="Arial" w:cs="Arial"/>
          <w:kern w:val="3"/>
          <w14:ligatures w14:val="none"/>
        </w:rPr>
        <w:t>Ageing</w:t>
      </w:r>
      <w:r w:rsidRPr="002501FE">
        <w:rPr>
          <w:rFonts w:ascii="Arial" w:eastAsia="DengXian" w:hAnsi="Arial" w:cs="Arial"/>
          <w:kern w:val="3"/>
          <w14:ligatures w14:val="none"/>
        </w:rPr>
        <w:t>, 36(2), pp.204-229.</w:t>
      </w:r>
    </w:p>
    <w:p w14:paraId="7613B861"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Khan, R., Mahmood, S., &amp; Ali, S., 2020. </w:t>
      </w:r>
      <w:r w:rsidRPr="008207CD">
        <w:rPr>
          <w:rFonts w:ascii="Italic" w:eastAsia="DengXian" w:hAnsi="Italic" w:cs="Arial"/>
          <w:i/>
          <w:iCs/>
          <w:kern w:val="3"/>
          <w14:ligatures w14:val="none"/>
        </w:rPr>
        <w:t>Strategies to enhance accessibility in community interventions for older adults</w:t>
      </w:r>
      <w:r w:rsidRPr="00736E44">
        <w:rPr>
          <w:rFonts w:ascii="Arial" w:eastAsia="DengXian" w:hAnsi="Arial" w:cs="Arial"/>
          <w:i/>
          <w:iCs/>
          <w:kern w:val="3"/>
          <w14:ligatures w14:val="none"/>
        </w:rPr>
        <w:t>.</w:t>
      </w:r>
      <w:r w:rsidRPr="002501FE">
        <w:rPr>
          <w:rFonts w:ascii="Arial" w:eastAsia="DengXian" w:hAnsi="Arial" w:cs="Arial"/>
          <w:kern w:val="3"/>
          <w14:ligatures w14:val="none"/>
        </w:rPr>
        <w:t xml:space="preserve"> Journal of Community Health, 45(6), pp.1180-1188.</w:t>
      </w:r>
    </w:p>
    <w:p w14:paraId="15AB6A87"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Kharicha, K., Iliffe, S., Harari, D., Swift, C. &amp; Stuck, A.E., 2019</w:t>
      </w:r>
      <w:r>
        <w:rPr>
          <w:rFonts w:ascii="Arial" w:eastAsia="DengXian" w:hAnsi="Arial" w:cs="Arial"/>
          <w:kern w:val="3"/>
          <w14:ligatures w14:val="none"/>
        </w:rPr>
        <w:t>a</w:t>
      </w:r>
      <w:r w:rsidRPr="002501FE">
        <w:rPr>
          <w:rFonts w:ascii="Arial" w:eastAsia="DengXian" w:hAnsi="Arial" w:cs="Arial"/>
          <w:kern w:val="3"/>
          <w14:ligatures w14:val="none"/>
        </w:rPr>
        <w:t xml:space="preserve">. </w:t>
      </w:r>
      <w:r w:rsidRPr="00BC390F">
        <w:rPr>
          <w:rFonts w:ascii="Italic" w:eastAsia="DengXian" w:hAnsi="Italic" w:cs="Arial"/>
          <w:i/>
          <w:iCs/>
          <w:kern w:val="3"/>
          <w14:ligatures w14:val="none"/>
        </w:rPr>
        <w:t>Older adults and social participation: barriers and enablers</w:t>
      </w:r>
      <w:r w:rsidRPr="002501FE">
        <w:rPr>
          <w:rFonts w:ascii="Arial" w:eastAsia="DengXian" w:hAnsi="Arial" w:cs="Arial"/>
          <w:kern w:val="3"/>
          <w14:ligatures w14:val="none"/>
        </w:rPr>
        <w:t>. BMC Geriatrics, 19(1), p.141.</w:t>
      </w:r>
    </w:p>
    <w:p w14:paraId="6C22887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Kharicha, K., Iliffe, S., Harari, D., Swift, C., Gillmann, G. and Stuck, A.E., 2019</w:t>
      </w:r>
      <w:r>
        <w:rPr>
          <w:rFonts w:ascii="Arial" w:eastAsia="DengXian" w:hAnsi="Arial" w:cs="Arial"/>
          <w:kern w:val="3"/>
          <w14:ligatures w14:val="none"/>
        </w:rPr>
        <w:t>b</w:t>
      </w:r>
      <w:r w:rsidRPr="002501FE">
        <w:rPr>
          <w:rFonts w:ascii="Arial" w:eastAsia="DengXian" w:hAnsi="Arial" w:cs="Arial"/>
          <w:kern w:val="3"/>
          <w14:ligatures w14:val="none"/>
        </w:rPr>
        <w:t xml:space="preserve">. </w:t>
      </w:r>
      <w:r w:rsidRPr="005E3736">
        <w:rPr>
          <w:rFonts w:ascii="Italic" w:eastAsia="DengXian" w:hAnsi="Italic" w:cs="Arial"/>
          <w:i/>
          <w:iCs/>
          <w:kern w:val="3"/>
          <w14:ligatures w14:val="none"/>
        </w:rPr>
        <w:t>Health risk appraisal in older people: evaluating social participation and health outcomes</w:t>
      </w:r>
      <w:r w:rsidRPr="002501FE">
        <w:rPr>
          <w:rFonts w:ascii="Arial" w:eastAsia="DengXian" w:hAnsi="Arial" w:cs="Arial"/>
          <w:kern w:val="3"/>
          <w14:ligatures w14:val="none"/>
        </w:rPr>
        <w:t>. BMC Geriatrics, 19, p.95.</w:t>
      </w:r>
    </w:p>
    <w:p w14:paraId="03DB469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Kuiper, J.S., Zuidersma, M., Oude Voshaar, R.C., Zuidema, S.U., van den Heuvel, E.R., Stolk, R.P. &amp; Smidt, N., 2015. </w:t>
      </w:r>
      <w:r w:rsidRPr="00401B44">
        <w:rPr>
          <w:rFonts w:ascii="Italic" w:eastAsia="DengXian" w:hAnsi="Italic" w:cs="Arial"/>
          <w:i/>
          <w:iCs/>
          <w:kern w:val="3"/>
          <w14:ligatures w14:val="none"/>
        </w:rPr>
        <w:t>Social relationships and cognitive decline: a systematic review and meta-analysis of longitudinal cohort studies</w:t>
      </w:r>
      <w:r w:rsidRPr="0056378C">
        <w:rPr>
          <w:rFonts w:ascii="Arial" w:eastAsia="DengXian" w:hAnsi="Arial" w:cs="Arial"/>
          <w:i/>
          <w:iCs/>
          <w:kern w:val="3"/>
          <w14:ligatures w14:val="none"/>
        </w:rPr>
        <w:t>.</w:t>
      </w:r>
      <w:r w:rsidRPr="002501FE">
        <w:rPr>
          <w:rFonts w:ascii="Arial" w:eastAsia="DengXian" w:hAnsi="Arial" w:cs="Arial"/>
          <w:kern w:val="3"/>
          <w14:ligatures w14:val="none"/>
        </w:rPr>
        <w:t xml:space="preserve"> International Journal of Epidemiology, 45(4), pp.1169-1206.</w:t>
      </w:r>
    </w:p>
    <w:p w14:paraId="0E307377"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Lee, C., Ingham, B. &amp; Martin, J., 2021. </w:t>
      </w:r>
      <w:r w:rsidRPr="00027F68">
        <w:rPr>
          <w:rFonts w:ascii="Italic" w:eastAsia="DengXian" w:hAnsi="Italic" w:cs="Arial"/>
          <w:i/>
          <w:iCs/>
          <w:kern w:val="3"/>
          <w14:ligatures w14:val="none"/>
        </w:rPr>
        <w:t>Befriending schemes for socially isolated older adults: effectiveness and best practice</w:t>
      </w:r>
      <w:r w:rsidRPr="00027F68">
        <w:rPr>
          <w:rFonts w:ascii="Arial" w:eastAsia="DengXian" w:hAnsi="Arial" w:cs="Arial"/>
          <w:i/>
          <w:iCs/>
          <w:kern w:val="3"/>
          <w14:ligatures w14:val="none"/>
        </w:rPr>
        <w:t>.</w:t>
      </w:r>
      <w:r w:rsidRPr="002501FE">
        <w:rPr>
          <w:rFonts w:ascii="Arial" w:eastAsia="DengXian" w:hAnsi="Arial" w:cs="Arial"/>
          <w:kern w:val="3"/>
          <w14:ligatures w14:val="none"/>
        </w:rPr>
        <w:t xml:space="preserve"> Ageing &amp; Society, 41(12), pp.2810</w:t>
      </w:r>
      <w:r>
        <w:rPr>
          <w:rFonts w:ascii="Arial" w:eastAsia="DengXian" w:hAnsi="Arial" w:cs="Arial"/>
          <w:kern w:val="3"/>
          <w14:ligatures w14:val="none"/>
        </w:rPr>
        <w:t>-</w:t>
      </w:r>
      <w:r w:rsidRPr="002501FE">
        <w:rPr>
          <w:rFonts w:ascii="Arial" w:eastAsia="DengXian" w:hAnsi="Arial" w:cs="Arial"/>
          <w:kern w:val="3"/>
          <w14:ligatures w14:val="none"/>
        </w:rPr>
        <w:t>2832.</w:t>
      </w:r>
    </w:p>
    <w:p w14:paraId="73CA56D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Lee, K., Choi, J., Smith, R., &amp; Wilson, A., 2022. </w:t>
      </w:r>
      <w:r w:rsidRPr="007C013E">
        <w:rPr>
          <w:rFonts w:ascii="Italic" w:eastAsia="DengXian" w:hAnsi="Italic" w:cs="Arial"/>
          <w:i/>
          <w:iCs/>
          <w:kern w:val="3"/>
          <w14:ligatures w14:val="none"/>
        </w:rPr>
        <w:t>Community interventions for older adults’ mental health: a UK review</w:t>
      </w:r>
      <w:r w:rsidRPr="002501FE">
        <w:rPr>
          <w:rFonts w:ascii="Arial" w:eastAsia="DengXian" w:hAnsi="Arial" w:cs="Arial"/>
          <w:kern w:val="3"/>
          <w14:ligatures w14:val="none"/>
        </w:rPr>
        <w:t>. Journal of Ageing &amp; Social Policy, 34(2), pp.123-142.</w:t>
      </w:r>
    </w:p>
    <w:p w14:paraId="3471B824" w14:textId="7EBF4131"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Leigh-Hunt, N., Bagguley, D., Bash, K., Turner, V., Turnbull, S., Valtorta, N. &amp; Caan, W., 2017. </w:t>
      </w:r>
      <w:r w:rsidRPr="00AF5198">
        <w:rPr>
          <w:rFonts w:ascii="Italic" w:eastAsia="DengXian" w:hAnsi="Italic" w:cs="Arial"/>
          <w:i/>
          <w:iCs/>
          <w:kern w:val="3"/>
          <w14:ligatures w14:val="none"/>
        </w:rPr>
        <w:t>An overview of systematic reviews on the public health consequences of social isolation and loneliness</w:t>
      </w:r>
      <w:r w:rsidRPr="002501FE">
        <w:rPr>
          <w:rFonts w:ascii="Arial" w:eastAsia="DengXian" w:hAnsi="Arial" w:cs="Arial"/>
          <w:kern w:val="3"/>
          <w14:ligatures w14:val="none"/>
        </w:rPr>
        <w:t>. Public Health, 152, pp.157</w:t>
      </w:r>
      <w:r>
        <w:rPr>
          <w:rFonts w:ascii="Arial" w:eastAsia="DengXian" w:hAnsi="Arial" w:cs="Arial"/>
          <w:kern w:val="3"/>
          <w14:ligatures w14:val="none"/>
        </w:rPr>
        <w:t>-</w:t>
      </w:r>
      <w:r w:rsidRPr="002501FE">
        <w:rPr>
          <w:rFonts w:ascii="Arial" w:eastAsia="DengXian" w:hAnsi="Arial" w:cs="Arial"/>
          <w:kern w:val="3"/>
          <w14:ligatures w14:val="none"/>
        </w:rPr>
        <w:t>171.</w:t>
      </w:r>
    </w:p>
    <w:p w14:paraId="09B20EA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Levac, D., Colquhoun, H. &amp; O’Brien, K.K., 2010. </w:t>
      </w:r>
      <w:r w:rsidRPr="00CF643E">
        <w:rPr>
          <w:rFonts w:ascii="Italic" w:eastAsia="DengXian" w:hAnsi="Italic" w:cs="Arial"/>
          <w:i/>
          <w:iCs/>
          <w:kern w:val="3"/>
          <w14:ligatures w14:val="none"/>
        </w:rPr>
        <w:t>Scoping studies: advancing the methodology</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Implementation Science, 5, p.69.</w:t>
      </w:r>
    </w:p>
    <w:p w14:paraId="0EE9D546"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Lewin, S., Glenton, C. &amp; Oxman, A.D., 2010. </w:t>
      </w:r>
      <w:r w:rsidRPr="00373E4C">
        <w:rPr>
          <w:rFonts w:ascii="Italic" w:eastAsia="DengXian" w:hAnsi="Italic" w:cs="Arial"/>
          <w:i/>
          <w:iCs/>
          <w:kern w:val="3"/>
          <w14:ligatures w14:val="none"/>
        </w:rPr>
        <w:t>Use of qualitative methods alongside randomised controlled trials of complex healthcare interventions: methodological study</w:t>
      </w:r>
      <w:r w:rsidRPr="00373E4C">
        <w:rPr>
          <w:rFonts w:ascii="Arial" w:eastAsia="DengXian" w:hAnsi="Arial" w:cs="Arial"/>
          <w:i/>
          <w:iCs/>
          <w:kern w:val="3"/>
          <w14:ligatures w14:val="none"/>
        </w:rPr>
        <w:t>.</w:t>
      </w:r>
      <w:r w:rsidRPr="002501FE">
        <w:rPr>
          <w:rFonts w:ascii="Arial" w:eastAsia="DengXian" w:hAnsi="Arial" w:cs="Arial"/>
          <w:kern w:val="3"/>
          <w14:ligatures w14:val="none"/>
        </w:rPr>
        <w:t xml:space="preserve"> BMJ, 340, c186.</w:t>
      </w:r>
    </w:p>
    <w:p w14:paraId="3BA78A6A"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Liberati, A., Altman, D.G., Tetzlaff, J., Mulrow, C., Gøtzsche, P.C., Ioannidis, J.P., Clarke, M., Devereaux, P.J., Kleijnen, J. &amp; Moher, D., 2009. </w:t>
      </w:r>
      <w:r w:rsidRPr="00E9485C">
        <w:rPr>
          <w:rFonts w:ascii="Italic" w:eastAsia="DengXian" w:hAnsi="Italic" w:cs="Arial"/>
          <w:i/>
          <w:iCs/>
          <w:kern w:val="3"/>
          <w14:ligatures w14:val="none"/>
        </w:rPr>
        <w:t>The PRISMA statement for reporting systematic reviews and meta-analyses of studies that evaluate healthcare interventions: explanation and elaboratio</w:t>
      </w:r>
      <w:r w:rsidRPr="00C12916">
        <w:rPr>
          <w:rFonts w:ascii="Italic" w:eastAsia="DengXian" w:hAnsi="Italic" w:cs="Arial"/>
          <w:i/>
          <w:iCs/>
          <w:kern w:val="3"/>
          <w14:ligatures w14:val="none"/>
        </w:rPr>
        <w:t>n</w:t>
      </w:r>
      <w:r w:rsidRPr="002501FE">
        <w:rPr>
          <w:rFonts w:ascii="Arial" w:eastAsia="DengXian" w:hAnsi="Arial" w:cs="Arial"/>
          <w:kern w:val="3"/>
          <w14:ligatures w14:val="none"/>
        </w:rPr>
        <w:t>. BMJ, 339, b2700.</w:t>
      </w:r>
    </w:p>
    <w:p w14:paraId="2575CFE3"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 xml:space="preserve">Lim, M.H., Eres, R., Vasan, S. &amp; Gleeson, J.F., 2020. </w:t>
      </w:r>
      <w:r w:rsidRPr="00D6070E">
        <w:rPr>
          <w:rFonts w:ascii="Italic" w:eastAsia="DengXian" w:hAnsi="Italic" w:cs="Arial"/>
          <w:i/>
          <w:iCs/>
          <w:kern w:val="3"/>
          <w14:ligatures w14:val="none"/>
        </w:rPr>
        <w:t>Loneliness over time: the role of depression, anxiety, and social engagement</w:t>
      </w:r>
      <w:r w:rsidRPr="00D6070E">
        <w:rPr>
          <w:rFonts w:ascii="Arial" w:eastAsia="DengXian" w:hAnsi="Arial" w:cs="Arial"/>
          <w:i/>
          <w:iCs/>
          <w:kern w:val="3"/>
          <w14:ligatures w14:val="none"/>
        </w:rPr>
        <w:t>.</w:t>
      </w:r>
      <w:r w:rsidRPr="002501FE">
        <w:rPr>
          <w:rFonts w:ascii="Arial" w:eastAsia="DengXian" w:hAnsi="Arial" w:cs="Arial"/>
          <w:kern w:val="3"/>
          <w14:ligatures w14:val="none"/>
        </w:rPr>
        <w:t xml:space="preserve"> International Journal of Environmental Research and Public Health, 17(9), p.3330.</w:t>
      </w:r>
    </w:p>
    <w:p w14:paraId="33B506F7"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Livingston, G., Huntley, J., Sommerlad, A., Ames, D., Ballard, C., Banerjee, S., Brayne, C., Burns, A., Cohen-Mansfield, J., Cooper, C., Costafreda, S.G., Dias, A., Fox, N., Gitlin, L.N., Howard, R., Kales, H.C., Larson, E.B., Ogunniyi, A., Orgeta, V., Ritchie, K., Rockwood, K., Sampson, E.L., Samus, Q., Schneider, L., Selbæk, G., Teri, L., Mukadam, N., 2020. </w:t>
      </w:r>
      <w:r w:rsidRPr="00402663">
        <w:rPr>
          <w:rFonts w:ascii="Italic" w:eastAsia="DengXian" w:hAnsi="Italic" w:cs="Arial"/>
          <w:i/>
          <w:iCs/>
          <w:kern w:val="3"/>
          <w14:ligatures w14:val="none"/>
        </w:rPr>
        <w:t>Dementia prevention, intervention, and care: 2020 report of the Lancet Commission</w:t>
      </w:r>
      <w:r w:rsidRPr="002501FE">
        <w:rPr>
          <w:rFonts w:ascii="Arial" w:eastAsia="DengXian" w:hAnsi="Arial" w:cs="Arial"/>
          <w:kern w:val="3"/>
          <w14:ligatures w14:val="none"/>
        </w:rPr>
        <w:t>. The Lancet, 396(10248), pp.413-446.</w:t>
      </w:r>
    </w:p>
    <w:p w14:paraId="42D900DB" w14:textId="37AD4C8F"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Local Government Association, 2020. </w:t>
      </w:r>
      <w:r w:rsidRPr="009D4E58">
        <w:rPr>
          <w:rFonts w:ascii="Italic" w:eastAsia="DengXian" w:hAnsi="Italic" w:cs="Arial"/>
          <w:i/>
          <w:iCs/>
          <w:kern w:val="3"/>
          <w14:ligatures w14:val="none"/>
        </w:rPr>
        <w:t>Promoting community wellbeing for older people</w:t>
      </w:r>
      <w:r w:rsidRPr="002501FE">
        <w:rPr>
          <w:rFonts w:ascii="Arial" w:eastAsia="DengXian" w:hAnsi="Arial" w:cs="Arial"/>
          <w:kern w:val="3"/>
          <w14:ligatures w14:val="none"/>
        </w:rPr>
        <w:t>. London: LGA.</w:t>
      </w:r>
      <w:r w:rsidR="00C12916">
        <w:rPr>
          <w:rFonts w:ascii="Arial" w:eastAsia="DengXian" w:hAnsi="Arial" w:cs="Arial"/>
          <w:kern w:val="3"/>
          <w14:ligatures w14:val="none"/>
        </w:rPr>
        <w:t xml:space="preserve"> Available at: </w:t>
      </w:r>
      <w:hyperlink r:id="rId18" w:history="1">
        <w:r w:rsidR="00C12916" w:rsidRPr="009E68F3">
          <w:rPr>
            <w:rStyle w:val="Hyperlink"/>
            <w:rFonts w:ascii="Arial" w:eastAsia="DengXian" w:hAnsi="Arial" w:cs="Arial"/>
            <w:kern w:val="3"/>
            <w14:ligatures w14:val="none"/>
          </w:rPr>
          <w:t>https://www.local.gov.uk/lga-business-plan-2020-update/adult-social-care-health-wellbeing</w:t>
        </w:r>
      </w:hyperlink>
      <w:r w:rsidR="00C12916">
        <w:rPr>
          <w:rFonts w:ascii="Arial" w:eastAsia="DengXian" w:hAnsi="Arial" w:cs="Arial"/>
          <w:kern w:val="3"/>
          <w14:ligatures w14:val="none"/>
        </w:rPr>
        <w:t xml:space="preserve"> ( Accessed: 20 January 20226).</w:t>
      </w:r>
    </w:p>
    <w:p w14:paraId="1A02A435"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Luiu, C., Polverino, F., &amp; Bagnoli, L., 2017. </w:t>
      </w:r>
      <w:r w:rsidRPr="00593049">
        <w:rPr>
          <w:rFonts w:ascii="Italic" w:eastAsia="DengXian" w:hAnsi="Italic" w:cs="Arial"/>
          <w:i/>
          <w:iCs/>
          <w:kern w:val="3"/>
          <w14:ligatures w14:val="none"/>
        </w:rPr>
        <w:t>Understanding non-participation in community-based health intervention</w:t>
      </w:r>
      <w:r w:rsidRPr="002501FE">
        <w:rPr>
          <w:rFonts w:ascii="Italic" w:eastAsia="DengXian" w:hAnsi="Italic" w:cs="Arial"/>
          <w:i/>
          <w:iCs/>
          <w:kern w:val="3"/>
          <w14:ligatures w14:val="none"/>
        </w:rPr>
        <w:t>s.</w:t>
      </w:r>
      <w:r w:rsidRPr="002501FE">
        <w:rPr>
          <w:rFonts w:ascii="Arial" w:eastAsia="DengXian" w:hAnsi="Arial" w:cs="Arial"/>
          <w:kern w:val="3"/>
          <w14:ligatures w14:val="none"/>
        </w:rPr>
        <w:t xml:space="preserve"> Health &amp; Social Care in the Community, 25(2), pp.579-589.</w:t>
      </w:r>
    </w:p>
    <w:p w14:paraId="72624624"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Mackenzie, A., McKenzie, K., &amp; Forde, R., 2019. </w:t>
      </w:r>
      <w:r w:rsidRPr="00CC52B6">
        <w:rPr>
          <w:rFonts w:ascii="Italic" w:eastAsia="DengXian" w:hAnsi="Italic" w:cs="Arial"/>
          <w:i/>
          <w:iCs/>
          <w:kern w:val="3"/>
          <w14:ligatures w14:val="none"/>
        </w:rPr>
        <w:t>Cultural barriers to social participation in older adults: a UK perspective</w:t>
      </w:r>
      <w:r w:rsidRPr="00CC52B6">
        <w:rPr>
          <w:rFonts w:ascii="Arial" w:eastAsia="DengXian" w:hAnsi="Arial" w:cs="Arial"/>
          <w:i/>
          <w:iCs/>
          <w:kern w:val="3"/>
          <w14:ligatures w14:val="none"/>
        </w:rPr>
        <w:t>.</w:t>
      </w:r>
      <w:r w:rsidRPr="002501FE">
        <w:rPr>
          <w:rFonts w:ascii="Arial" w:eastAsia="DengXian" w:hAnsi="Arial" w:cs="Arial"/>
          <w:kern w:val="3"/>
          <w14:ligatures w14:val="none"/>
        </w:rPr>
        <w:t xml:space="preserve"> Ageing and Society, 39(7), pp.1400-1420.</w:t>
      </w:r>
    </w:p>
    <w:p w14:paraId="3F29B875"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Masi, C.M., Chen, H.-Y., Hawkley, L.C. &amp; Cacioppo, J.T., 2011. </w:t>
      </w:r>
      <w:r w:rsidRPr="00074DC9">
        <w:rPr>
          <w:rFonts w:ascii="Italic" w:eastAsia="DengXian" w:hAnsi="Italic" w:cs="Arial"/>
          <w:i/>
          <w:iCs/>
          <w:kern w:val="3"/>
          <w14:ligatures w14:val="none"/>
        </w:rPr>
        <w:t>A meta-analysis of interventions to reduce loneliness</w:t>
      </w:r>
      <w:r w:rsidRPr="00074DC9">
        <w:rPr>
          <w:rFonts w:ascii="Arial" w:eastAsia="DengXian" w:hAnsi="Arial" w:cs="Arial"/>
          <w:i/>
          <w:iCs/>
          <w:kern w:val="3"/>
          <w14:ligatures w14:val="none"/>
        </w:rPr>
        <w:t>.</w:t>
      </w:r>
      <w:r w:rsidRPr="002501FE">
        <w:rPr>
          <w:rFonts w:ascii="Arial" w:eastAsia="DengXian" w:hAnsi="Arial" w:cs="Arial"/>
          <w:kern w:val="3"/>
          <w14:ligatures w14:val="none"/>
        </w:rPr>
        <w:t xml:space="preserve"> Personality and Social Psychology Review, 15(3), pp.219-266.</w:t>
      </w:r>
    </w:p>
    <w:p w14:paraId="3E963134"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McKinlay, A., Harris, M., Coombs, S., et al., 2021. </w:t>
      </w:r>
      <w:r w:rsidRPr="00303CD4">
        <w:rPr>
          <w:rFonts w:ascii="Italic" w:eastAsia="DengXian" w:hAnsi="Italic" w:cs="Arial"/>
          <w:i/>
          <w:iCs/>
          <w:kern w:val="3"/>
          <w14:ligatures w14:val="none"/>
        </w:rPr>
        <w:t>Older adults and loneliness: evidence-based interventions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Ageing &amp; Society, 41(12), pp.2850-2875.</w:t>
      </w:r>
    </w:p>
    <w:p w14:paraId="22EA636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Meriam Library, </w:t>
      </w:r>
      <w:r>
        <w:rPr>
          <w:rFonts w:ascii="Arial" w:eastAsia="DengXian" w:hAnsi="Arial" w:cs="Arial"/>
          <w:kern w:val="3"/>
          <w14:ligatures w14:val="none"/>
        </w:rPr>
        <w:t>(</w:t>
      </w:r>
      <w:r w:rsidRPr="002501FE">
        <w:rPr>
          <w:rFonts w:ascii="Arial" w:eastAsia="DengXian" w:hAnsi="Arial" w:cs="Arial"/>
          <w:kern w:val="3"/>
          <w14:ligatures w14:val="none"/>
        </w:rPr>
        <w:t>n.d</w:t>
      </w:r>
      <w:r>
        <w:rPr>
          <w:rFonts w:ascii="Arial" w:eastAsia="DengXian" w:hAnsi="Arial" w:cs="Arial"/>
          <w:kern w:val="3"/>
          <w14:ligatures w14:val="none"/>
        </w:rPr>
        <w:t>)</w:t>
      </w:r>
      <w:r w:rsidRPr="002501FE">
        <w:rPr>
          <w:rFonts w:ascii="Arial" w:eastAsia="DengXian" w:hAnsi="Arial" w:cs="Arial"/>
          <w:kern w:val="3"/>
          <w14:ligatures w14:val="none"/>
        </w:rPr>
        <w:t xml:space="preserve">. </w:t>
      </w:r>
      <w:r w:rsidRPr="00B5668E">
        <w:rPr>
          <w:rFonts w:ascii="Italic" w:eastAsia="DengXian" w:hAnsi="Italic" w:cs="Arial"/>
          <w:i/>
          <w:iCs/>
          <w:kern w:val="3"/>
          <w14:ligatures w14:val="none"/>
        </w:rPr>
        <w:t>Evaluating information: The CRAAP test</w:t>
      </w:r>
      <w:r w:rsidRPr="002501FE">
        <w:rPr>
          <w:rFonts w:ascii="Arial" w:eastAsia="DengXian" w:hAnsi="Arial" w:cs="Arial"/>
          <w:kern w:val="3"/>
          <w14:ligatures w14:val="none"/>
        </w:rPr>
        <w:t>. California State University, Chico: Meriam Library.</w:t>
      </w:r>
    </w:p>
    <w:p w14:paraId="14F4DD4F"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Milton, B., Cleveland, S., Rees, J., 2021</w:t>
      </w:r>
      <w:r w:rsidRPr="002501FE">
        <w:rPr>
          <w:rFonts w:ascii="Italic" w:eastAsia="DengXian" w:hAnsi="Italic" w:cs="Arial"/>
          <w:i/>
          <w:iCs/>
          <w:kern w:val="3"/>
          <w14:ligatures w14:val="none"/>
        </w:rPr>
        <w:t xml:space="preserve">. </w:t>
      </w:r>
      <w:r w:rsidRPr="00B051B6">
        <w:rPr>
          <w:rFonts w:ascii="Italic" w:eastAsia="DengXian" w:hAnsi="Italic" w:cs="Arial"/>
          <w:i/>
          <w:iCs/>
          <w:kern w:val="3"/>
          <w14:ligatures w14:val="none"/>
        </w:rPr>
        <w:t>Delivering effective social prescribing: lessons from the UK</w:t>
      </w:r>
      <w:r w:rsidRPr="002501FE">
        <w:rPr>
          <w:rFonts w:ascii="Arial" w:eastAsia="DengXian" w:hAnsi="Arial" w:cs="Arial"/>
          <w:kern w:val="3"/>
          <w14:ligatures w14:val="none"/>
        </w:rPr>
        <w:t>. Journal of Public Health, 43(2), pp.234-241.</w:t>
      </w:r>
    </w:p>
    <w:p w14:paraId="10DAE696"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Mitchell, A.J., Bird, V., Rizzo, M. &amp; Meader, N., 2013. </w:t>
      </w:r>
      <w:r w:rsidRPr="00A3612A">
        <w:rPr>
          <w:rFonts w:ascii="Italic" w:eastAsia="DengXian" w:hAnsi="Italic" w:cs="Arial"/>
          <w:i/>
          <w:iCs/>
          <w:kern w:val="3"/>
          <w14:ligatures w14:val="none"/>
        </w:rPr>
        <w:t>Diagnostic accuracy of depression screening tools in older adults: systematic review and meta-analysi</w:t>
      </w:r>
      <w:r w:rsidRPr="00D70654">
        <w:rPr>
          <w:rFonts w:ascii="Italic" w:eastAsia="DengXian" w:hAnsi="Italic" w:cs="Arial"/>
          <w:i/>
          <w:iCs/>
          <w:kern w:val="3"/>
          <w14:ligatures w14:val="none"/>
        </w:rPr>
        <w:t>s</w:t>
      </w:r>
      <w:r w:rsidRPr="002501FE">
        <w:rPr>
          <w:rFonts w:ascii="Arial" w:eastAsia="DengXian" w:hAnsi="Arial" w:cs="Arial"/>
          <w:kern w:val="3"/>
          <w14:ligatures w14:val="none"/>
        </w:rPr>
        <w:t>. International Journal of Geriatric Psychiatry, 28(10), pp.902-920.</w:t>
      </w:r>
    </w:p>
    <w:p w14:paraId="38CCB586"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Moher, D., Liberati, A., Tetzlaff, J. &amp; Altman, D.G., 2009. </w:t>
      </w:r>
      <w:r w:rsidRPr="007F49C5">
        <w:rPr>
          <w:rFonts w:ascii="Italic" w:eastAsia="DengXian" w:hAnsi="Italic" w:cs="Arial"/>
          <w:i/>
          <w:iCs/>
          <w:kern w:val="3"/>
          <w14:ligatures w14:val="none"/>
        </w:rPr>
        <w:t>Preferred reporting items for systematic reviews and meta-analyses: the PRISMA statement</w:t>
      </w:r>
      <w:r w:rsidRPr="002501FE">
        <w:rPr>
          <w:rFonts w:ascii="Arial" w:eastAsia="DengXian" w:hAnsi="Arial" w:cs="Arial"/>
          <w:kern w:val="3"/>
          <w14:ligatures w14:val="none"/>
        </w:rPr>
        <w:t>. PLoS Medicine, 6(7), e1000097.</w:t>
      </w:r>
    </w:p>
    <w:p w14:paraId="205CB5E4"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 xml:space="preserve">Newall, N.E. &amp; Menec, V.H., 2019. </w:t>
      </w:r>
      <w:r w:rsidRPr="00A60640">
        <w:rPr>
          <w:rFonts w:ascii="Italic" w:eastAsia="DengXian" w:hAnsi="Italic" w:cs="Arial"/>
          <w:i/>
          <w:iCs/>
          <w:kern w:val="3"/>
          <w14:ligatures w14:val="none"/>
        </w:rPr>
        <w:t>Loneliness and social isolation of older adults: why it matters and what to do</w:t>
      </w:r>
      <w:r w:rsidRPr="00A60640">
        <w:rPr>
          <w:rFonts w:ascii="Arial" w:eastAsia="DengXian" w:hAnsi="Arial" w:cs="Arial"/>
          <w:i/>
          <w:iCs/>
          <w:kern w:val="3"/>
          <w14:ligatures w14:val="none"/>
        </w:rPr>
        <w:t>.</w:t>
      </w:r>
      <w:r w:rsidRPr="002501FE">
        <w:rPr>
          <w:rFonts w:ascii="Arial" w:eastAsia="DengXian" w:hAnsi="Arial" w:cs="Arial"/>
          <w:kern w:val="3"/>
          <w14:ligatures w14:val="none"/>
        </w:rPr>
        <w:t xml:space="preserve"> Canadian Journal on Ageing, 38(1), pp.1-11.</w:t>
      </w:r>
    </w:p>
    <w:p w14:paraId="1FBAA7FF" w14:textId="4856D83C"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NHS England, 2019. </w:t>
      </w:r>
      <w:r w:rsidRPr="009D4E58">
        <w:rPr>
          <w:rFonts w:ascii="Italic" w:eastAsia="DengXian" w:hAnsi="Italic" w:cs="Arial"/>
          <w:i/>
          <w:iCs/>
          <w:kern w:val="3"/>
          <w14:ligatures w14:val="none"/>
        </w:rPr>
        <w:t>Healthy ageing and social engagement: guidance for primary care</w:t>
      </w:r>
      <w:r w:rsidRPr="00D70654">
        <w:rPr>
          <w:rFonts w:ascii="Arial" w:eastAsia="DengXian" w:hAnsi="Arial" w:cs="Arial"/>
          <w:i/>
          <w:iCs/>
          <w:kern w:val="3"/>
          <w14:ligatures w14:val="none"/>
        </w:rPr>
        <w:t>.</w:t>
      </w:r>
      <w:r w:rsidRPr="002501FE">
        <w:rPr>
          <w:rFonts w:ascii="Arial" w:eastAsia="DengXian" w:hAnsi="Arial" w:cs="Arial"/>
          <w:kern w:val="3"/>
          <w14:ligatures w14:val="none"/>
        </w:rPr>
        <w:t xml:space="preserve"> London: NHS England.</w:t>
      </w:r>
      <w:r w:rsidR="00C12916">
        <w:rPr>
          <w:rFonts w:ascii="Arial" w:eastAsia="DengXian" w:hAnsi="Arial" w:cs="Arial"/>
          <w:kern w:val="3"/>
          <w14:ligatures w14:val="none"/>
        </w:rPr>
        <w:t xml:space="preserve"> Available at: </w:t>
      </w:r>
      <w:hyperlink r:id="rId19" w:history="1">
        <w:r w:rsidR="00C12916" w:rsidRPr="009E68F3">
          <w:rPr>
            <w:rStyle w:val="Hyperlink"/>
            <w:rFonts w:ascii="Arial" w:eastAsia="DengXian" w:hAnsi="Arial" w:cs="Arial"/>
            <w:kern w:val="3"/>
            <w14:ligatures w14:val="none"/>
          </w:rPr>
          <w:t>https://www.england.nhs.uk/ourwork/clinical-policy/older-people/healthy-ageing-caring/</w:t>
        </w:r>
      </w:hyperlink>
      <w:r w:rsidR="00C12916">
        <w:rPr>
          <w:rFonts w:ascii="Arial" w:eastAsia="DengXian" w:hAnsi="Arial" w:cs="Arial"/>
          <w:kern w:val="3"/>
          <w14:ligatures w14:val="none"/>
        </w:rPr>
        <w:t xml:space="preserve"> ( Accessed: 17 March 2026).</w:t>
      </w:r>
    </w:p>
    <w:p w14:paraId="56CBB601" w14:textId="681BDF85"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NHS England, 2021</w:t>
      </w:r>
      <w:r>
        <w:rPr>
          <w:rFonts w:ascii="Arial" w:eastAsia="DengXian" w:hAnsi="Arial" w:cs="Arial"/>
          <w:kern w:val="3"/>
          <w14:ligatures w14:val="none"/>
        </w:rPr>
        <w:t>a</w:t>
      </w:r>
      <w:r w:rsidRPr="002501FE">
        <w:rPr>
          <w:rFonts w:ascii="Arial" w:eastAsia="DengXian" w:hAnsi="Arial" w:cs="Arial"/>
          <w:kern w:val="3"/>
          <w14:ligatures w14:val="none"/>
        </w:rPr>
        <w:t xml:space="preserve">. </w:t>
      </w:r>
      <w:r w:rsidRPr="009D4E58">
        <w:rPr>
          <w:rFonts w:ascii="Italic" w:eastAsia="DengXian" w:hAnsi="Italic" w:cs="Arial"/>
          <w:i/>
          <w:iCs/>
          <w:kern w:val="3"/>
          <w14:ligatures w14:val="none"/>
        </w:rPr>
        <w:t>Social prescribing and community-based interventions for improving mental health</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London: NHS England.</w:t>
      </w:r>
      <w:r w:rsidR="00C12916">
        <w:rPr>
          <w:rFonts w:ascii="Arial" w:eastAsia="DengXian" w:hAnsi="Arial" w:cs="Arial"/>
          <w:kern w:val="3"/>
          <w14:ligatures w14:val="none"/>
        </w:rPr>
        <w:t xml:space="preserve"> Available at: </w:t>
      </w:r>
      <w:hyperlink r:id="rId20" w:history="1">
        <w:r w:rsidR="00C12916" w:rsidRPr="009E68F3">
          <w:rPr>
            <w:rStyle w:val="Hyperlink"/>
            <w:rFonts w:ascii="Arial" w:eastAsia="DengXian" w:hAnsi="Arial" w:cs="Arial"/>
            <w:kern w:val="3"/>
            <w14:ligatures w14:val="none"/>
          </w:rPr>
          <w:t>https://www.gov.uk/government/publications/social-prescribing-applying-all-our-health/social-prescribing-applying-all-our-health</w:t>
        </w:r>
      </w:hyperlink>
      <w:r w:rsidR="00C12916">
        <w:rPr>
          <w:rFonts w:ascii="Arial" w:eastAsia="DengXian" w:hAnsi="Arial" w:cs="Arial"/>
          <w:kern w:val="3"/>
          <w14:ligatures w14:val="none"/>
        </w:rPr>
        <w:t xml:space="preserve"> ( Accessed: 26 March 2026).</w:t>
      </w:r>
    </w:p>
    <w:p w14:paraId="6012326E" w14:textId="301A5F4D"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NHS England, 2021</w:t>
      </w:r>
      <w:r>
        <w:rPr>
          <w:rFonts w:ascii="Arial" w:eastAsia="DengXian" w:hAnsi="Arial" w:cs="Arial"/>
          <w:kern w:val="3"/>
          <w14:ligatures w14:val="none"/>
        </w:rPr>
        <w:t>b</w:t>
      </w:r>
      <w:r w:rsidRPr="002501FE">
        <w:rPr>
          <w:rFonts w:ascii="Arial" w:eastAsia="DengXian" w:hAnsi="Arial" w:cs="Arial"/>
          <w:kern w:val="3"/>
          <w14:ligatures w14:val="none"/>
        </w:rPr>
        <w:t xml:space="preserve">. </w:t>
      </w:r>
      <w:r w:rsidRPr="0042137D">
        <w:rPr>
          <w:rFonts w:ascii="Italic" w:eastAsia="DengXian" w:hAnsi="Italic" w:cs="Arial"/>
          <w:i/>
          <w:iCs/>
          <w:kern w:val="3"/>
          <w14:ligatures w14:val="none"/>
        </w:rPr>
        <w:t>Social prescribing and personalised care: implementation framework</w:t>
      </w:r>
      <w:r w:rsidRPr="00184AC6">
        <w:rPr>
          <w:rFonts w:ascii="Italic" w:eastAsia="DengXian" w:hAnsi="Italic" w:cs="Arial"/>
          <w:i/>
          <w:iCs/>
          <w:kern w:val="3"/>
          <w14:ligatures w14:val="none"/>
        </w:rPr>
        <w:t>.</w:t>
      </w:r>
      <w:r w:rsidRPr="002501FE">
        <w:rPr>
          <w:rFonts w:ascii="Arial" w:eastAsia="DengXian" w:hAnsi="Arial" w:cs="Arial"/>
          <w:kern w:val="3"/>
          <w14:ligatures w14:val="none"/>
        </w:rPr>
        <w:t xml:space="preserve"> London: NHS England.</w:t>
      </w:r>
      <w:r w:rsidR="00C12916">
        <w:rPr>
          <w:rFonts w:ascii="Arial" w:eastAsia="DengXian" w:hAnsi="Arial" w:cs="Arial"/>
          <w:kern w:val="3"/>
          <w14:ligatures w14:val="none"/>
        </w:rPr>
        <w:t xml:space="preserve"> Available at: </w:t>
      </w:r>
      <w:hyperlink r:id="rId21" w:history="1">
        <w:r w:rsidR="00C12916" w:rsidRPr="009E68F3">
          <w:rPr>
            <w:rStyle w:val="Hyperlink"/>
            <w:rFonts w:ascii="Arial" w:eastAsia="DengXian" w:hAnsi="Arial" w:cs="Arial"/>
            <w:kern w:val="3"/>
            <w14:ligatures w14:val="none"/>
          </w:rPr>
          <w:t>https://www.england.nhs.uk/personalisedcare/social-prescribing/green-social-prescribing/</w:t>
        </w:r>
      </w:hyperlink>
      <w:r w:rsidR="00C12916">
        <w:rPr>
          <w:rFonts w:ascii="Arial" w:eastAsia="DengXian" w:hAnsi="Arial" w:cs="Arial"/>
          <w:kern w:val="3"/>
          <w14:ligatures w14:val="none"/>
        </w:rPr>
        <w:t xml:space="preserve"> (Accessed: 28 March 2026).</w:t>
      </w:r>
    </w:p>
    <w:p w14:paraId="35259FA5" w14:textId="3716B5FE"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NHS England, 2023. </w:t>
      </w:r>
      <w:r w:rsidRPr="00184AC6">
        <w:rPr>
          <w:rFonts w:ascii="Italic" w:eastAsia="DengXian" w:hAnsi="Italic" w:cs="Arial"/>
          <w:i/>
          <w:iCs/>
          <w:kern w:val="3"/>
          <w14:ligatures w14:val="none"/>
        </w:rPr>
        <w:t xml:space="preserve">Social prescribing and community-based support: </w:t>
      </w:r>
      <w:r w:rsidRPr="0042137D">
        <w:rPr>
          <w:rFonts w:ascii="Italic" w:eastAsia="DengXian" w:hAnsi="Italic" w:cs="Arial"/>
          <w:i/>
          <w:iCs/>
          <w:kern w:val="3"/>
          <w14:ligatures w14:val="none"/>
        </w:rPr>
        <w:t>a framework for England</w:t>
      </w:r>
      <w:r w:rsidRPr="002501FE">
        <w:rPr>
          <w:rFonts w:ascii="Arial" w:eastAsia="DengXian" w:hAnsi="Arial" w:cs="Arial"/>
          <w:kern w:val="3"/>
          <w14:ligatures w14:val="none"/>
        </w:rPr>
        <w:t>. London: NHS England.</w:t>
      </w:r>
      <w:r w:rsidR="00C12916">
        <w:rPr>
          <w:rFonts w:ascii="Arial" w:eastAsia="DengXian" w:hAnsi="Arial" w:cs="Arial"/>
          <w:kern w:val="3"/>
          <w14:ligatures w14:val="none"/>
        </w:rPr>
        <w:t xml:space="preserve"> Available at: </w:t>
      </w:r>
      <w:hyperlink r:id="rId22" w:history="1">
        <w:r w:rsidR="00C12916" w:rsidRPr="009E68F3">
          <w:rPr>
            <w:rStyle w:val="Hyperlink"/>
            <w:rFonts w:ascii="Arial" w:eastAsia="DengXian" w:hAnsi="Arial" w:cs="Arial"/>
            <w:kern w:val="3"/>
            <w14:ligatures w14:val="none"/>
          </w:rPr>
          <w:t>https://www.england.nhs.uk/publication/social-prescribing-and-community-based-support-summary-guide/</w:t>
        </w:r>
      </w:hyperlink>
      <w:r w:rsidR="00C12916">
        <w:rPr>
          <w:rFonts w:ascii="Arial" w:eastAsia="DengXian" w:hAnsi="Arial" w:cs="Arial"/>
          <w:kern w:val="3"/>
          <w14:ligatures w14:val="none"/>
        </w:rPr>
        <w:t xml:space="preserve"> ( Accessed: 27 March 2026).</w:t>
      </w:r>
    </w:p>
    <w:p w14:paraId="7F6A562D" w14:textId="185FE4A0"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NHS England, 2024. </w:t>
      </w:r>
      <w:r w:rsidRPr="0042137D">
        <w:rPr>
          <w:rFonts w:ascii="Italic" w:eastAsia="DengXian" w:hAnsi="Italic" w:cs="Arial"/>
          <w:i/>
          <w:iCs/>
          <w:kern w:val="3"/>
          <w14:ligatures w14:val="none"/>
        </w:rPr>
        <w:t>NHS Digital Library: accessing health evidence</w:t>
      </w:r>
      <w:r w:rsidRPr="002501FE">
        <w:rPr>
          <w:rFonts w:ascii="Arial" w:eastAsia="DengXian" w:hAnsi="Arial" w:cs="Arial"/>
          <w:kern w:val="3"/>
          <w14:ligatures w14:val="none"/>
        </w:rPr>
        <w:t>. London: NHS England.</w:t>
      </w:r>
      <w:r w:rsidR="00C12916">
        <w:rPr>
          <w:rFonts w:ascii="Arial" w:eastAsia="DengXian" w:hAnsi="Arial" w:cs="Arial"/>
          <w:kern w:val="3"/>
          <w14:ligatures w14:val="none"/>
        </w:rPr>
        <w:t xml:space="preserve"> Available at: </w:t>
      </w:r>
      <w:hyperlink r:id="rId23" w:history="1">
        <w:r w:rsidR="00C12916" w:rsidRPr="009E68F3">
          <w:rPr>
            <w:rStyle w:val="Hyperlink"/>
            <w:rFonts w:ascii="Arial" w:eastAsia="DengXian" w:hAnsi="Arial" w:cs="Arial"/>
            <w:kern w:val="3"/>
            <w14:ligatures w14:val="none"/>
          </w:rPr>
          <w:t>https://library.nhs.uk/</w:t>
        </w:r>
      </w:hyperlink>
      <w:r w:rsidR="00C12916">
        <w:rPr>
          <w:rFonts w:ascii="Arial" w:eastAsia="DengXian" w:hAnsi="Arial" w:cs="Arial"/>
          <w:kern w:val="3"/>
          <w14:ligatures w14:val="none"/>
        </w:rPr>
        <w:t xml:space="preserve"> (Accessed: 11 March 2026).</w:t>
      </w:r>
    </w:p>
    <w:p w14:paraId="2D79095D" w14:textId="0999CD0B"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NICE (National Institute for Health and Care Excellence), 2022. </w:t>
      </w:r>
      <w:r w:rsidRPr="00184AC6">
        <w:rPr>
          <w:rFonts w:ascii="Italic" w:eastAsia="DengXian" w:hAnsi="Italic" w:cs="Arial"/>
          <w:i/>
          <w:iCs/>
          <w:kern w:val="3"/>
          <w14:ligatures w14:val="none"/>
        </w:rPr>
        <w:t>Guidance on community-based interventions for mental health in older adul</w:t>
      </w:r>
      <w:r w:rsidRPr="002501FE">
        <w:rPr>
          <w:rFonts w:ascii="Italic" w:eastAsia="DengXian" w:hAnsi="Italic" w:cs="Arial"/>
          <w:i/>
          <w:iCs/>
          <w:kern w:val="3"/>
          <w14:ligatures w14:val="none"/>
        </w:rPr>
        <w:t>ts.</w:t>
      </w:r>
      <w:r w:rsidRPr="002501FE">
        <w:rPr>
          <w:rFonts w:ascii="Arial" w:eastAsia="DengXian" w:hAnsi="Arial" w:cs="Arial"/>
          <w:kern w:val="3"/>
          <w14:ligatures w14:val="none"/>
        </w:rPr>
        <w:t xml:space="preserve"> London: NICE.</w:t>
      </w:r>
      <w:r w:rsidR="00C12916">
        <w:rPr>
          <w:rFonts w:ascii="Arial" w:eastAsia="DengXian" w:hAnsi="Arial" w:cs="Arial"/>
          <w:kern w:val="3"/>
          <w14:ligatures w14:val="none"/>
        </w:rPr>
        <w:t xml:space="preserve"> Available at: </w:t>
      </w:r>
      <w:hyperlink r:id="rId24" w:history="1">
        <w:r w:rsidR="00C12916" w:rsidRPr="009E68F3">
          <w:rPr>
            <w:rStyle w:val="Hyperlink"/>
            <w:rFonts w:ascii="Arial" w:eastAsia="DengXian" w:hAnsi="Arial" w:cs="Arial"/>
            <w:kern w:val="3"/>
            <w14:ligatures w14:val="none"/>
          </w:rPr>
          <w:t>https://www.nice.org.uk/guidance/ng32</w:t>
        </w:r>
      </w:hyperlink>
      <w:r w:rsidR="00C12916">
        <w:rPr>
          <w:rFonts w:ascii="Arial" w:eastAsia="DengXian" w:hAnsi="Arial" w:cs="Arial"/>
          <w:kern w:val="3"/>
          <w14:ligatures w14:val="none"/>
        </w:rPr>
        <w:t xml:space="preserve"> (Accessed: 17 March 2026).</w:t>
      </w:r>
    </w:p>
    <w:p w14:paraId="176908EF"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Nielsen, S.S. &amp; Rehm, J., 2018. </w:t>
      </w:r>
      <w:r w:rsidRPr="00581FC0">
        <w:rPr>
          <w:rFonts w:ascii="Italic" w:eastAsia="DengXian" w:hAnsi="Italic" w:cs="Arial"/>
          <w:i/>
          <w:iCs/>
          <w:kern w:val="3"/>
          <w14:ligatures w14:val="none"/>
        </w:rPr>
        <w:t>Ethnic minority older adults and social isolation: barriers and opportuniti</w:t>
      </w:r>
      <w:r w:rsidRPr="00184AC6">
        <w:rPr>
          <w:rFonts w:ascii="Italic" w:eastAsia="DengXian" w:hAnsi="Italic" w:cs="Arial"/>
          <w:i/>
          <w:iCs/>
          <w:kern w:val="3"/>
          <w14:ligatures w14:val="none"/>
        </w:rPr>
        <w:t>es</w:t>
      </w:r>
      <w:r w:rsidRPr="002501FE">
        <w:rPr>
          <w:rFonts w:ascii="Arial" w:eastAsia="DengXian" w:hAnsi="Arial" w:cs="Arial"/>
          <w:kern w:val="3"/>
          <w14:ligatures w14:val="none"/>
        </w:rPr>
        <w:t>. Journal of Cross-Cultural Gerontology, 33, pp.1-18.</w:t>
      </w:r>
    </w:p>
    <w:p w14:paraId="33886BA0"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NIHR (National Institute for Health and Care Research), 2024. </w:t>
      </w:r>
      <w:r w:rsidRPr="00EE5AA2">
        <w:rPr>
          <w:rFonts w:ascii="Italic" w:eastAsia="DengXian" w:hAnsi="Italic" w:cs="Arial"/>
          <w:i/>
          <w:iCs/>
          <w:kern w:val="3"/>
          <w14:ligatures w14:val="none"/>
        </w:rPr>
        <w:t>Ethics in research involving older adults</w:t>
      </w:r>
      <w:r w:rsidRPr="002501FE">
        <w:rPr>
          <w:rFonts w:ascii="Arial" w:eastAsia="DengXian" w:hAnsi="Arial" w:cs="Arial"/>
          <w:kern w:val="3"/>
          <w14:ligatures w14:val="none"/>
        </w:rPr>
        <w:t>. London: NIHR.</w:t>
      </w:r>
    </w:p>
    <w:p w14:paraId="1395B8D0"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Nowell, L.S., Norris, J.M., White, D.E. &amp; Moules, N.J., 2017. </w:t>
      </w:r>
      <w:r w:rsidRPr="00BD433F">
        <w:rPr>
          <w:rFonts w:ascii="Italic" w:eastAsia="DengXian" w:hAnsi="Italic" w:cs="Arial"/>
          <w:i/>
          <w:iCs/>
          <w:kern w:val="3"/>
          <w14:ligatures w14:val="none"/>
        </w:rPr>
        <w:t>Thematic analysis: striving to meet the trustworthiness criteria</w:t>
      </w:r>
      <w:r w:rsidRPr="002501FE">
        <w:rPr>
          <w:rFonts w:ascii="Arial" w:eastAsia="DengXian" w:hAnsi="Arial" w:cs="Arial"/>
          <w:kern w:val="3"/>
          <w14:ligatures w14:val="none"/>
        </w:rPr>
        <w:t>. International Journal of Qualitative Methods, 16(1), pp.1-13.</w:t>
      </w:r>
    </w:p>
    <w:p w14:paraId="71DFB550"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O’Shea, N., O’Neill, C., &amp; Sweeney, J., 2021. </w:t>
      </w:r>
      <w:r w:rsidRPr="00CA5FC4">
        <w:rPr>
          <w:rFonts w:ascii="Italic" w:eastAsia="DengXian" w:hAnsi="Italic" w:cs="Arial"/>
          <w:i/>
          <w:iCs/>
          <w:kern w:val="3"/>
          <w14:ligatures w14:val="none"/>
        </w:rPr>
        <w:t>Physiological consequences of loneliness: cortisol, inflammation, and cognitive health in older adults</w:t>
      </w:r>
      <w:r w:rsidRPr="002501FE">
        <w:rPr>
          <w:rFonts w:ascii="Arial" w:eastAsia="DengXian" w:hAnsi="Arial" w:cs="Arial"/>
          <w:kern w:val="3"/>
          <w14:ligatures w14:val="none"/>
        </w:rPr>
        <w:t>. Ageing &amp; Mental Health, 25(6), pp.1070-1079.</w:t>
      </w:r>
    </w:p>
    <w:p w14:paraId="2E3BAF48"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Ofcom, 2022. </w:t>
      </w:r>
      <w:r w:rsidRPr="000A2CA6">
        <w:rPr>
          <w:rFonts w:ascii="Italic" w:eastAsia="DengXian" w:hAnsi="Italic" w:cs="Arial"/>
          <w:i/>
          <w:iCs/>
          <w:kern w:val="3"/>
          <w14:ligatures w14:val="none"/>
        </w:rPr>
        <w:t>Adults’ media use and attitudes: UK report</w:t>
      </w:r>
      <w:r w:rsidRPr="002501FE">
        <w:rPr>
          <w:rFonts w:ascii="Arial" w:eastAsia="DengXian" w:hAnsi="Arial" w:cs="Arial"/>
          <w:kern w:val="3"/>
          <w14:ligatures w14:val="none"/>
        </w:rPr>
        <w:t>. London: Office of Communications.</w:t>
      </w:r>
    </w:p>
    <w:p w14:paraId="0062FD14" w14:textId="342BCBC9" w:rsidR="0042137D" w:rsidRPr="0044781D" w:rsidRDefault="00897F20" w:rsidP="0044781D">
      <w:pPr>
        <w:suppressAutoHyphens/>
        <w:autoSpaceDN w:val="0"/>
        <w:ind w:left="360"/>
        <w:rPr>
          <w:rFonts w:ascii="Arial" w:eastAsia="DengXian" w:hAnsi="Arial" w:cs="Arial"/>
          <w:kern w:val="3"/>
          <w14:ligatures w14:val="none"/>
        </w:rPr>
      </w:pPr>
      <w:r w:rsidRPr="002501FE">
        <w:rPr>
          <w:rFonts w:ascii="Arial" w:eastAsia="DengXian" w:hAnsi="Arial" w:cs="Arial"/>
          <w:kern w:val="3"/>
          <w14:ligatures w14:val="none"/>
        </w:rPr>
        <w:lastRenderedPageBreak/>
        <w:t xml:space="preserve">Office for National Statistics, 2020. </w:t>
      </w:r>
      <w:r w:rsidRPr="00184AC6">
        <w:rPr>
          <w:rFonts w:ascii="Italic" w:eastAsia="DengXian" w:hAnsi="Italic" w:cs="Arial"/>
          <w:i/>
          <w:iCs/>
          <w:kern w:val="3"/>
          <w14:ligatures w14:val="none"/>
        </w:rPr>
        <w:t>Population projections for the UK: 2018-based statistical bulletin</w:t>
      </w:r>
      <w:r w:rsidRPr="002501FE">
        <w:rPr>
          <w:rFonts w:ascii="Arial" w:eastAsia="DengXian" w:hAnsi="Arial" w:cs="Arial"/>
          <w:kern w:val="3"/>
          <w14:ligatures w14:val="none"/>
        </w:rPr>
        <w:t>. London: ONS.</w:t>
      </w:r>
      <w:r w:rsidR="0042137D">
        <w:rPr>
          <w:rFonts w:ascii="Arial" w:eastAsia="DengXian" w:hAnsi="Arial" w:cs="Arial"/>
          <w:kern w:val="3"/>
          <w14:ligatures w14:val="none"/>
        </w:rPr>
        <w:t xml:space="preserve"> Available at: </w:t>
      </w:r>
      <w:hyperlink r:id="rId25" w:history="1">
        <w:r w:rsidR="0042137D" w:rsidRPr="009E68F3">
          <w:rPr>
            <w:rStyle w:val="Hyperlink"/>
            <w:rFonts w:ascii="Arial" w:eastAsia="DengXian" w:hAnsi="Arial" w:cs="Arial"/>
            <w:kern w:val="3"/>
            <w14:ligatures w14:val="none"/>
          </w:rPr>
          <w:t>https://www.ons.gov.uk/peoplepopulationandcommunity/populationandmigration/populationprojections/bulletins/nationalpopulationprojections/2020basedinterim</w:t>
        </w:r>
      </w:hyperlink>
      <w:r w:rsidR="0042137D">
        <w:rPr>
          <w:rFonts w:ascii="Arial" w:eastAsia="DengXian" w:hAnsi="Arial" w:cs="Arial"/>
          <w:kern w:val="3"/>
          <w14:ligatures w14:val="none"/>
        </w:rPr>
        <w:t xml:space="preserve"> (Accessed: 08 February 2026).</w:t>
      </w:r>
    </w:p>
    <w:p w14:paraId="5FF14A00" w14:textId="659220DC"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Office for National Statistics, 2021. </w:t>
      </w:r>
      <w:r w:rsidRPr="00184AC6">
        <w:rPr>
          <w:rFonts w:ascii="Italic" w:eastAsia="DengXian" w:hAnsi="Italic" w:cs="Arial"/>
          <w:i/>
          <w:iCs/>
          <w:kern w:val="3"/>
          <w14:ligatures w14:val="none"/>
        </w:rPr>
        <w:t>Loneliness in the UK: characteristics, circumstances, and trends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London: ONS.</w:t>
      </w:r>
      <w:r w:rsidR="0042137D">
        <w:rPr>
          <w:rFonts w:ascii="Arial" w:eastAsia="DengXian" w:hAnsi="Arial" w:cs="Arial"/>
          <w:kern w:val="3"/>
          <w14:ligatures w14:val="none"/>
        </w:rPr>
        <w:t xml:space="preserve"> Available at: </w:t>
      </w:r>
      <w:hyperlink r:id="rId26" w:history="1">
        <w:r w:rsidR="0042137D" w:rsidRPr="009E68F3">
          <w:rPr>
            <w:rStyle w:val="Hyperlink"/>
            <w:rFonts w:ascii="Arial" w:eastAsia="DengXian" w:hAnsi="Arial" w:cs="Arial"/>
            <w:kern w:val="3"/>
            <w14:ligatures w14:val="none"/>
          </w:rPr>
          <w:t>https://www.ons.gov.uk/peoplepopulationandcommunity/wellbeing/bulletins/publicopinionsandsocialtrendsgreatbritain/13december2023to1january2024</w:t>
        </w:r>
      </w:hyperlink>
      <w:r w:rsidR="0042137D">
        <w:rPr>
          <w:rFonts w:ascii="Arial" w:eastAsia="DengXian" w:hAnsi="Arial" w:cs="Arial"/>
          <w:kern w:val="3"/>
          <w14:ligatures w14:val="none"/>
        </w:rPr>
        <w:t xml:space="preserve"> (Accessed: 10 February 2026).</w:t>
      </w:r>
    </w:p>
    <w:p w14:paraId="46B0D444" w14:textId="3E87167E"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Office for National Statistics, 2022</w:t>
      </w:r>
      <w:r>
        <w:rPr>
          <w:rFonts w:ascii="Arial" w:eastAsia="DengXian" w:hAnsi="Arial" w:cs="Arial"/>
          <w:kern w:val="3"/>
          <w14:ligatures w14:val="none"/>
        </w:rPr>
        <w:t>a</w:t>
      </w:r>
      <w:r w:rsidRPr="002501FE">
        <w:rPr>
          <w:rFonts w:ascii="Arial" w:eastAsia="DengXian" w:hAnsi="Arial" w:cs="Arial"/>
          <w:kern w:val="3"/>
          <w14:ligatures w14:val="none"/>
        </w:rPr>
        <w:t xml:space="preserve">. </w:t>
      </w:r>
      <w:r w:rsidRPr="0042137D">
        <w:rPr>
          <w:rFonts w:ascii="Italic" w:eastAsia="DengXian" w:hAnsi="Italic" w:cs="Arial"/>
          <w:i/>
          <w:iCs/>
          <w:kern w:val="3"/>
          <w14:ligatures w14:val="none"/>
        </w:rPr>
        <w:t>Loneliness - What characteristics and circumstances are associated with feeling lonely</w:t>
      </w:r>
      <w:r w:rsidRPr="00184AC6">
        <w:rPr>
          <w:rFonts w:ascii="Italic" w:eastAsia="DengXian" w:hAnsi="Italic" w:cs="Arial"/>
          <w:i/>
          <w:iCs/>
          <w:kern w:val="3"/>
          <w14:ligatures w14:val="none"/>
        </w:rPr>
        <w:t>?</w:t>
      </w:r>
      <w:r w:rsidRPr="002501FE">
        <w:rPr>
          <w:rFonts w:ascii="Arial" w:eastAsia="DengXian" w:hAnsi="Arial" w:cs="Arial"/>
          <w:kern w:val="3"/>
          <w14:ligatures w14:val="none"/>
        </w:rPr>
        <w:t xml:space="preserve"> London: ONS.</w:t>
      </w:r>
      <w:r w:rsidR="0042137D">
        <w:rPr>
          <w:rFonts w:ascii="Arial" w:eastAsia="DengXian" w:hAnsi="Arial" w:cs="Arial"/>
          <w:kern w:val="3"/>
          <w14:ligatures w14:val="none"/>
        </w:rPr>
        <w:t xml:space="preserve"> Available at: </w:t>
      </w:r>
      <w:hyperlink r:id="rId27" w:history="1">
        <w:r w:rsidR="0042137D" w:rsidRPr="009E68F3">
          <w:rPr>
            <w:rStyle w:val="Hyperlink"/>
            <w:rFonts w:ascii="Arial" w:eastAsia="DengXian" w:hAnsi="Arial" w:cs="Arial"/>
            <w:kern w:val="3"/>
            <w14:ligatures w14:val="none"/>
          </w:rPr>
          <w:t>https://www.ons.gov.uk/peoplepopulationandcommunity/wellbeing/articles/lonelinesswhatcharacteristicsandcircumstancesareassociatedwithfeelinglonely/2018-04-10</w:t>
        </w:r>
      </w:hyperlink>
      <w:r w:rsidR="0042137D">
        <w:rPr>
          <w:rFonts w:ascii="Arial" w:eastAsia="DengXian" w:hAnsi="Arial" w:cs="Arial"/>
          <w:kern w:val="3"/>
          <w14:ligatures w14:val="none"/>
        </w:rPr>
        <w:t xml:space="preserve"> (Accessed: 19 February 2026).</w:t>
      </w:r>
    </w:p>
    <w:p w14:paraId="08CC0E9F" w14:textId="28F38AB5"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Office for National Statistics, 2022</w:t>
      </w:r>
      <w:r>
        <w:rPr>
          <w:rFonts w:ascii="Arial" w:eastAsia="DengXian" w:hAnsi="Arial" w:cs="Arial"/>
          <w:kern w:val="3"/>
          <w14:ligatures w14:val="none"/>
        </w:rPr>
        <w:t>b</w:t>
      </w:r>
      <w:r w:rsidRPr="002501FE">
        <w:rPr>
          <w:rFonts w:ascii="Arial" w:eastAsia="DengXian" w:hAnsi="Arial" w:cs="Arial"/>
          <w:kern w:val="3"/>
          <w14:ligatures w14:val="none"/>
        </w:rPr>
        <w:t xml:space="preserve">. </w:t>
      </w:r>
      <w:r w:rsidRPr="00184AC6">
        <w:rPr>
          <w:rFonts w:ascii="Italic" w:eastAsia="DengXian" w:hAnsi="Italic" w:cs="Arial"/>
          <w:i/>
          <w:iCs/>
          <w:kern w:val="3"/>
          <w14:ligatures w14:val="none"/>
        </w:rPr>
        <w:t>Loneliness in the UK: 2022 statistical report</w:t>
      </w:r>
      <w:r w:rsidRPr="00184AC6">
        <w:rPr>
          <w:rFonts w:ascii="Arial" w:eastAsia="DengXian" w:hAnsi="Arial" w:cs="Arial"/>
          <w:i/>
          <w:iCs/>
          <w:kern w:val="3"/>
          <w14:ligatures w14:val="none"/>
        </w:rPr>
        <w:t>.</w:t>
      </w:r>
      <w:r w:rsidRPr="002501FE">
        <w:rPr>
          <w:rFonts w:ascii="Arial" w:eastAsia="DengXian" w:hAnsi="Arial" w:cs="Arial"/>
          <w:kern w:val="3"/>
          <w14:ligatures w14:val="none"/>
        </w:rPr>
        <w:t xml:space="preserve"> London: ONS.</w:t>
      </w:r>
      <w:r w:rsidR="0042137D">
        <w:rPr>
          <w:rFonts w:ascii="Arial" w:eastAsia="DengXian" w:hAnsi="Arial" w:cs="Arial"/>
          <w:kern w:val="3"/>
          <w14:ligatures w14:val="none"/>
        </w:rPr>
        <w:t xml:space="preserve"> Available at: </w:t>
      </w:r>
      <w:hyperlink r:id="rId28" w:history="1">
        <w:r w:rsidR="0042137D" w:rsidRPr="009E68F3">
          <w:rPr>
            <w:rStyle w:val="Hyperlink"/>
            <w:rFonts w:ascii="Arial" w:eastAsia="DengXian" w:hAnsi="Arial" w:cs="Arial"/>
            <w:kern w:val="3"/>
            <w14:ligatures w14:val="none"/>
          </w:rPr>
          <w:t>https://www.ons.gov.uk/peoplepopulationandcommunity/wellbeing/bulletins/publicopinionsandsocialtrendsgreatbritain/january2026</w:t>
        </w:r>
      </w:hyperlink>
      <w:r w:rsidR="0042137D">
        <w:rPr>
          <w:rFonts w:ascii="Arial" w:eastAsia="DengXian" w:hAnsi="Arial" w:cs="Arial"/>
          <w:kern w:val="3"/>
          <w14:ligatures w14:val="none"/>
        </w:rPr>
        <w:t xml:space="preserve"> (Accessed: 02 February 2026).</w:t>
      </w:r>
    </w:p>
    <w:p w14:paraId="17599C0B" w14:textId="60CACB3E"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Office for National Statistics, 2023. </w:t>
      </w:r>
      <w:r w:rsidRPr="00184AC6">
        <w:rPr>
          <w:rFonts w:ascii="Italic" w:eastAsia="DengXian" w:hAnsi="Italic" w:cs="Arial"/>
          <w:i/>
          <w:iCs/>
          <w:kern w:val="3"/>
          <w14:ligatures w14:val="none"/>
        </w:rPr>
        <w:t>Living alone in the UK: trends and implications</w:t>
      </w:r>
      <w:r w:rsidRPr="002501FE">
        <w:rPr>
          <w:rFonts w:ascii="Arial" w:eastAsia="DengXian" w:hAnsi="Arial" w:cs="Arial"/>
          <w:kern w:val="3"/>
          <w14:ligatures w14:val="none"/>
        </w:rPr>
        <w:t>. London: ONS.</w:t>
      </w:r>
      <w:r w:rsidR="0042137D">
        <w:rPr>
          <w:rFonts w:ascii="Arial" w:eastAsia="DengXian" w:hAnsi="Arial" w:cs="Arial"/>
          <w:kern w:val="3"/>
          <w14:ligatures w14:val="none"/>
        </w:rPr>
        <w:t xml:space="preserve"> Available at: </w:t>
      </w:r>
      <w:hyperlink r:id="rId29" w:history="1">
        <w:r w:rsidR="0042137D" w:rsidRPr="009E68F3">
          <w:rPr>
            <w:rStyle w:val="Hyperlink"/>
            <w:rFonts w:ascii="Arial" w:eastAsia="DengXian" w:hAnsi="Arial" w:cs="Arial"/>
            <w:kern w:val="3"/>
            <w14:ligatures w14:val="none"/>
          </w:rPr>
          <w:t>https://www.ons.gov.uk/peoplepopulationandcommunity/birthsdeathsandmarriages/families/bulletins/familiesandhouseholds/2023</w:t>
        </w:r>
      </w:hyperlink>
      <w:r w:rsidR="0042137D">
        <w:rPr>
          <w:rFonts w:ascii="Arial" w:eastAsia="DengXian" w:hAnsi="Arial" w:cs="Arial"/>
          <w:kern w:val="3"/>
          <w14:ligatures w14:val="none"/>
        </w:rPr>
        <w:t xml:space="preserve"> (Accessed: 04 March 2026).</w:t>
      </w:r>
    </w:p>
    <w:p w14:paraId="63C400E6" w14:textId="65E4124A"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Office for National Statistics, 2025. </w:t>
      </w:r>
      <w:r w:rsidRPr="00184AC6">
        <w:rPr>
          <w:rFonts w:ascii="Italic" w:eastAsia="DengXian" w:hAnsi="Italic" w:cs="Arial"/>
          <w:i/>
          <w:iCs/>
          <w:kern w:val="3"/>
          <w14:ligatures w14:val="none"/>
        </w:rPr>
        <w:t>Population and health statistics for the UK</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London: ONS.</w:t>
      </w:r>
      <w:r w:rsidR="0042137D">
        <w:rPr>
          <w:rFonts w:ascii="Arial" w:eastAsia="DengXian" w:hAnsi="Arial" w:cs="Arial"/>
          <w:kern w:val="3"/>
          <w14:ligatures w14:val="none"/>
        </w:rPr>
        <w:t xml:space="preserve"> Available at: </w:t>
      </w:r>
      <w:hyperlink r:id="rId30" w:history="1">
        <w:r w:rsidR="0042137D" w:rsidRPr="009E68F3">
          <w:rPr>
            <w:rStyle w:val="Hyperlink"/>
            <w:rFonts w:ascii="Arial" w:eastAsia="DengXian" w:hAnsi="Arial" w:cs="Arial"/>
            <w:kern w:val="3"/>
            <w14:ligatures w14:val="none"/>
          </w:rPr>
          <w:t>https://www.ons.gov.uk/peoplepopulationandcommunity/populationandmigration/populationestimates</w:t>
        </w:r>
      </w:hyperlink>
      <w:r w:rsidR="0042137D">
        <w:rPr>
          <w:rFonts w:ascii="Arial" w:eastAsia="DengXian" w:hAnsi="Arial" w:cs="Arial"/>
          <w:kern w:val="3"/>
          <w14:ligatures w14:val="none"/>
        </w:rPr>
        <w:t xml:space="preserve"> (accessed: 02 March 2026).</w:t>
      </w:r>
    </w:p>
    <w:p w14:paraId="71636C84" w14:textId="3BD7A558"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OHID (Office for Health Improvement and Disparities), 2023. </w:t>
      </w:r>
      <w:r w:rsidRPr="000376E8">
        <w:rPr>
          <w:rFonts w:ascii="Italic" w:eastAsia="DengXian" w:hAnsi="Italic" w:cs="Arial"/>
          <w:i/>
          <w:iCs/>
          <w:kern w:val="3"/>
          <w14:ligatures w14:val="none"/>
        </w:rPr>
        <w:t>Public health evidence and guidance</w:t>
      </w:r>
      <w:r w:rsidRPr="002501FE">
        <w:rPr>
          <w:rFonts w:ascii="Arial" w:eastAsia="DengXian" w:hAnsi="Arial" w:cs="Arial"/>
          <w:kern w:val="3"/>
          <w14:ligatures w14:val="none"/>
        </w:rPr>
        <w:t>. London: OHID.</w:t>
      </w:r>
      <w:r w:rsidR="00773F1C">
        <w:rPr>
          <w:rFonts w:ascii="Arial" w:eastAsia="DengXian" w:hAnsi="Arial" w:cs="Arial"/>
          <w:kern w:val="3"/>
          <w14:ligatures w14:val="none"/>
        </w:rPr>
        <w:t xml:space="preserve"> Available at: </w:t>
      </w:r>
      <w:hyperlink r:id="rId31" w:history="1">
        <w:r w:rsidR="00773F1C" w:rsidRPr="009E68F3">
          <w:rPr>
            <w:rStyle w:val="Hyperlink"/>
            <w:rFonts w:ascii="Arial" w:eastAsia="DengXian" w:hAnsi="Arial" w:cs="Arial"/>
            <w:kern w:val="3"/>
            <w14:ligatures w14:val="none"/>
          </w:rPr>
          <w:t>https://www.gov.uk/government/organisations/office-for-health-improvement-and-disparities</w:t>
        </w:r>
      </w:hyperlink>
      <w:r w:rsidR="00773F1C">
        <w:rPr>
          <w:rFonts w:ascii="Arial" w:eastAsia="DengXian" w:hAnsi="Arial" w:cs="Arial"/>
          <w:kern w:val="3"/>
          <w14:ligatures w14:val="none"/>
        </w:rPr>
        <w:t xml:space="preserve"> ( Accessed: 13 January 2026).</w:t>
      </w:r>
    </w:p>
    <w:p w14:paraId="0E46F28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Patterson, M., 2017. </w:t>
      </w:r>
      <w:r w:rsidRPr="0044781D">
        <w:rPr>
          <w:rFonts w:ascii="Italic" w:eastAsia="DengXian" w:hAnsi="Italic" w:cs="Arial"/>
          <w:i/>
          <w:iCs/>
          <w:kern w:val="3"/>
          <w14:ligatures w14:val="none"/>
        </w:rPr>
        <w:t>Loneliness in ageing populations: social and policy implications</w:t>
      </w:r>
      <w:r w:rsidRPr="00773F1C">
        <w:rPr>
          <w:rFonts w:ascii="Arial" w:eastAsia="DengXian" w:hAnsi="Arial" w:cs="Arial"/>
          <w:i/>
          <w:iCs/>
          <w:kern w:val="3"/>
          <w14:ligatures w14:val="none"/>
        </w:rPr>
        <w:t>.</w:t>
      </w:r>
      <w:r w:rsidRPr="002501FE">
        <w:rPr>
          <w:rFonts w:ascii="Arial" w:eastAsia="DengXian" w:hAnsi="Arial" w:cs="Arial"/>
          <w:kern w:val="3"/>
          <w14:ligatures w14:val="none"/>
        </w:rPr>
        <w:t xml:space="preserve"> Ageing &amp; Society, 37(10), pp.2055-2075.</w:t>
      </w:r>
    </w:p>
    <w:p w14:paraId="52D3C298"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 xml:space="preserve">Perlman, D. &amp; Peplau, L.A., 1981. </w:t>
      </w:r>
      <w:r w:rsidRPr="00026231">
        <w:rPr>
          <w:rFonts w:ascii="Italic" w:eastAsia="DengXian" w:hAnsi="Italic" w:cs="Arial"/>
          <w:i/>
          <w:iCs/>
          <w:kern w:val="3"/>
          <w14:ligatures w14:val="none"/>
        </w:rPr>
        <w:t>Toward a social psychology of loneliness</w:t>
      </w:r>
      <w:r w:rsidRPr="000376E8">
        <w:rPr>
          <w:rFonts w:ascii="Arial" w:eastAsia="DengXian" w:hAnsi="Arial" w:cs="Arial"/>
          <w:i/>
          <w:iCs/>
          <w:kern w:val="3"/>
          <w14:ligatures w14:val="none"/>
        </w:rPr>
        <w:t xml:space="preserve">. </w:t>
      </w:r>
      <w:r w:rsidRPr="000376E8">
        <w:rPr>
          <w:rFonts w:ascii="Arial" w:eastAsia="DengXian" w:hAnsi="Arial" w:cs="Arial"/>
          <w:kern w:val="3"/>
          <w14:ligatures w14:val="none"/>
        </w:rPr>
        <w:t>In: S. Duck &amp; R. Gilmour, eds., Personal Relationships 3: Personal Relationships in Disorder</w:t>
      </w:r>
      <w:r w:rsidRPr="002501FE">
        <w:rPr>
          <w:rFonts w:ascii="Arial" w:eastAsia="DengXian" w:hAnsi="Arial" w:cs="Arial"/>
          <w:kern w:val="3"/>
          <w14:ligatures w14:val="none"/>
        </w:rPr>
        <w:t>. London: Academic Press, pp.31-56.</w:t>
      </w:r>
    </w:p>
    <w:p w14:paraId="20DD23FA"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Petticrew, M. &amp; Roberts, H., 2006. </w:t>
      </w:r>
      <w:r w:rsidRPr="00C219BC">
        <w:rPr>
          <w:rFonts w:ascii="Italic" w:eastAsia="DengXian" w:hAnsi="Italic" w:cs="Arial"/>
          <w:i/>
          <w:iCs/>
          <w:kern w:val="3"/>
          <w14:ligatures w14:val="none"/>
        </w:rPr>
        <w:t>Systematic reviews in the social sciences: a practical guide</w:t>
      </w:r>
      <w:r w:rsidRPr="00773F1C">
        <w:rPr>
          <w:rFonts w:ascii="Italic" w:eastAsia="DengXian" w:hAnsi="Italic" w:cs="Arial"/>
          <w:i/>
          <w:iCs/>
          <w:kern w:val="3"/>
          <w14:ligatures w14:val="none"/>
        </w:rPr>
        <w:t>.</w:t>
      </w:r>
      <w:r w:rsidRPr="00773F1C">
        <w:rPr>
          <w:rFonts w:ascii="Arial" w:eastAsia="DengXian" w:hAnsi="Arial" w:cs="Arial"/>
          <w:i/>
          <w:iCs/>
          <w:kern w:val="3"/>
          <w14:ligatures w14:val="none"/>
        </w:rPr>
        <w:t xml:space="preserve"> </w:t>
      </w:r>
      <w:r w:rsidRPr="002501FE">
        <w:rPr>
          <w:rFonts w:ascii="Arial" w:eastAsia="DengXian" w:hAnsi="Arial" w:cs="Arial"/>
          <w:kern w:val="3"/>
          <w14:ligatures w14:val="none"/>
        </w:rPr>
        <w:t>Oxford: Blackwell.</w:t>
      </w:r>
    </w:p>
    <w:p w14:paraId="5EB9F0BB"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Pettigrew, S. &amp; Roberts, M., 2008. </w:t>
      </w:r>
      <w:r w:rsidRPr="000C67D0">
        <w:rPr>
          <w:rFonts w:ascii="Italic" w:eastAsia="DengXian" w:hAnsi="Italic" w:cs="Arial"/>
          <w:i/>
          <w:iCs/>
          <w:kern w:val="3"/>
          <w14:ligatures w14:val="none"/>
        </w:rPr>
        <w:t>Addressing loneliness in older adults: the role of interventions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Health &amp; Social Care in the Community, 16(3), pp.248-256.</w:t>
      </w:r>
    </w:p>
    <w:p w14:paraId="1E5517A4"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Polley, M. &amp; Pilkington, K., 2017. </w:t>
      </w:r>
      <w:r w:rsidRPr="006D44A2">
        <w:rPr>
          <w:rFonts w:ascii="Italic" w:eastAsia="DengXian" w:hAnsi="Italic" w:cs="Arial"/>
          <w:i/>
          <w:iCs/>
          <w:kern w:val="3"/>
          <w14:ligatures w14:val="none"/>
        </w:rPr>
        <w:t>A review of the evidence assessing the impact of social prescribing on healthcare demand and cost implications</w:t>
      </w:r>
      <w:r w:rsidRPr="002501FE">
        <w:rPr>
          <w:rFonts w:ascii="Arial" w:eastAsia="DengXian" w:hAnsi="Arial" w:cs="Arial"/>
          <w:kern w:val="3"/>
          <w14:ligatures w14:val="none"/>
        </w:rPr>
        <w:t>. NIHR Journals Library, pp.1-50.</w:t>
      </w:r>
    </w:p>
    <w:p w14:paraId="4178C306"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Polley, M., Fleming, J., Anfilogoff, T. &amp; Carpenter, A., 2017. </w:t>
      </w:r>
      <w:r w:rsidRPr="00134165">
        <w:rPr>
          <w:rFonts w:ascii="Italic" w:eastAsia="DengXian" w:hAnsi="Italic" w:cs="Arial"/>
          <w:i/>
          <w:iCs/>
          <w:kern w:val="3"/>
          <w14:ligatures w14:val="none"/>
        </w:rPr>
        <w:t>Making sense of social prescribing</w:t>
      </w:r>
      <w:r w:rsidRPr="002501FE">
        <w:rPr>
          <w:rFonts w:ascii="Italic" w:eastAsia="DengXian" w:hAnsi="Italic" w:cs="Arial"/>
          <w:i/>
          <w:iCs/>
          <w:kern w:val="3"/>
          <w14:ligatures w14:val="none"/>
        </w:rPr>
        <w:t xml:space="preserve">. </w:t>
      </w:r>
      <w:r w:rsidRPr="002501FE">
        <w:rPr>
          <w:rFonts w:ascii="Arial" w:eastAsia="DengXian" w:hAnsi="Arial" w:cs="Arial"/>
          <w:kern w:val="3"/>
          <w14:ligatures w14:val="none"/>
        </w:rPr>
        <w:t>Primary Health Care Research &amp; Development, 18(4), pp.329-334.</w:t>
      </w:r>
    </w:p>
    <w:p w14:paraId="50DE8BDB"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Prince, M., Comas-Herrera, A., Knapp, M., Guerchet, M. &amp; Karagiannidou, M., 2016. </w:t>
      </w:r>
      <w:r w:rsidRPr="00DD2E75">
        <w:rPr>
          <w:rFonts w:ascii="Italic" w:eastAsia="DengXian" w:hAnsi="Italic" w:cs="Arial"/>
          <w:i/>
          <w:iCs/>
          <w:kern w:val="3"/>
          <w14:ligatures w14:val="none"/>
        </w:rPr>
        <w:t>World Alzheimer Report 2016: improving healthcare for people living with dementia</w:t>
      </w:r>
      <w:r w:rsidRPr="002501FE">
        <w:rPr>
          <w:rFonts w:ascii="Arial" w:eastAsia="DengXian" w:hAnsi="Arial" w:cs="Arial"/>
          <w:kern w:val="3"/>
          <w14:ligatures w14:val="none"/>
        </w:rPr>
        <w:t>. London: Alzheimer’s Disease International.</w:t>
      </w:r>
    </w:p>
    <w:p w14:paraId="04A81FC3"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Ramesh, B., Moreira, P. &amp; Torkzadeh, R., 2019. </w:t>
      </w:r>
      <w:r w:rsidRPr="003F732C">
        <w:rPr>
          <w:rFonts w:ascii="Italic" w:eastAsia="DengXian" w:hAnsi="Italic" w:cs="Arial"/>
          <w:i/>
          <w:iCs/>
          <w:kern w:val="3"/>
          <w14:ligatures w14:val="none"/>
        </w:rPr>
        <w:t>Database selection for comprehensive systematic review searches</w:t>
      </w:r>
      <w:r w:rsidRPr="003F732C">
        <w:rPr>
          <w:rFonts w:ascii="Arial" w:eastAsia="DengXian" w:hAnsi="Arial" w:cs="Arial"/>
          <w:i/>
          <w:iCs/>
          <w:kern w:val="3"/>
          <w14:ligatures w14:val="none"/>
        </w:rPr>
        <w:t>.</w:t>
      </w:r>
      <w:r w:rsidRPr="002501FE">
        <w:rPr>
          <w:rFonts w:ascii="Arial" w:eastAsia="DengXian" w:hAnsi="Arial" w:cs="Arial"/>
          <w:kern w:val="3"/>
          <w14:ligatures w14:val="none"/>
        </w:rPr>
        <w:t xml:space="preserve"> Information Processing &amp; Management, 56(3), pp.500-515.</w:t>
      </w:r>
    </w:p>
    <w:p w14:paraId="1A36687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RVS (Royal Voluntary Service), 2020. </w:t>
      </w:r>
      <w:r w:rsidRPr="005320C9">
        <w:rPr>
          <w:rFonts w:ascii="Italic" w:eastAsia="DengXian" w:hAnsi="Italic" w:cs="Arial"/>
          <w:i/>
          <w:iCs/>
          <w:kern w:val="3"/>
          <w14:ligatures w14:val="none"/>
        </w:rPr>
        <w:t>Volunteering and older adults: building social connections</w:t>
      </w:r>
      <w:r w:rsidRPr="002501FE">
        <w:rPr>
          <w:rFonts w:ascii="Arial" w:eastAsia="DengXian" w:hAnsi="Arial" w:cs="Arial"/>
          <w:kern w:val="3"/>
          <w14:ligatures w14:val="none"/>
        </w:rPr>
        <w:t>. London: RVS.</w:t>
      </w:r>
    </w:p>
    <w:p w14:paraId="345342C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Santini, Z.I., Jose, P.E., Cornwell, E.Y., Koyanagi, A., Nielsen, L., Hinrichsen, C., Meilstrup, C., Madsen, K.R., Koushede, V., 2020. </w:t>
      </w:r>
      <w:r w:rsidRPr="00776603">
        <w:rPr>
          <w:rFonts w:ascii="Italic" w:eastAsia="DengXian" w:hAnsi="Italic" w:cs="Arial"/>
          <w:i/>
          <w:iCs/>
          <w:kern w:val="3"/>
          <w14:ligatures w14:val="none"/>
        </w:rPr>
        <w:t>Social disconnectedness, perceived isolation, and symptoms of depression and anxiety among older Americans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Social Psychiatry and Psychiatric Epidemiology, 55, pp.125-136.</w:t>
      </w:r>
    </w:p>
    <w:p w14:paraId="79367F9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Seifert, A., Cotten, S.R. &amp; Xie, B., 2020. </w:t>
      </w:r>
      <w:r w:rsidRPr="0006173A">
        <w:rPr>
          <w:rFonts w:ascii="Italic" w:eastAsia="DengXian" w:hAnsi="Italic" w:cs="Arial"/>
          <w:i/>
          <w:iCs/>
          <w:kern w:val="3"/>
          <w14:ligatures w14:val="none"/>
        </w:rPr>
        <w:t>Digital exclusion and older adults: implications for participation in online interventions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The Gerontologist, 60(8), pp.1449-1457.</w:t>
      </w:r>
    </w:p>
    <w:p w14:paraId="3AC900B8"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Seifert, A., Cotten, S.R. &amp; Xie, B., 2021. </w:t>
      </w:r>
      <w:r w:rsidRPr="004F26AD">
        <w:rPr>
          <w:rFonts w:ascii="Italic" w:eastAsia="DengXian" w:hAnsi="Italic" w:cs="Arial"/>
          <w:i/>
          <w:iCs/>
          <w:kern w:val="3"/>
          <w14:ligatures w14:val="none"/>
        </w:rPr>
        <w:t>Digital literacy and social participation among older adults: a UK perspective during COVID-19</w:t>
      </w:r>
      <w:r w:rsidRPr="002501FE">
        <w:rPr>
          <w:rFonts w:ascii="Arial" w:eastAsia="DengXian" w:hAnsi="Arial" w:cs="Arial"/>
          <w:kern w:val="3"/>
          <w14:ligatures w14:val="none"/>
        </w:rPr>
        <w:t>. The Gerontologist, 61(1), pp.99-110.</w:t>
      </w:r>
    </w:p>
    <w:p w14:paraId="4C2D7646"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Shankar, A., McMunn, A., Banks, J. &amp; Steptoe, A., 2011. </w:t>
      </w:r>
      <w:r w:rsidRPr="0090406D">
        <w:rPr>
          <w:rFonts w:ascii="Italic" w:eastAsia="DengXian" w:hAnsi="Italic" w:cs="Arial"/>
          <w:i/>
          <w:iCs/>
          <w:kern w:val="3"/>
          <w14:ligatures w14:val="none"/>
        </w:rPr>
        <w:t>Loneliness, social isolation, and behavioural and biological health indicators in older adults</w:t>
      </w:r>
      <w:r w:rsidRPr="002501FE">
        <w:rPr>
          <w:rFonts w:ascii="Arial" w:eastAsia="DengXian" w:hAnsi="Arial" w:cs="Arial"/>
          <w:kern w:val="3"/>
          <w14:ligatures w14:val="none"/>
        </w:rPr>
        <w:t>. Health Psychology, 30(4), pp.377-385.</w:t>
      </w:r>
    </w:p>
    <w:p w14:paraId="071F36B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 xml:space="preserve">Shankar, A., McMunn, A., Banks, J. &amp; Steptoe, A., 2017. </w:t>
      </w:r>
      <w:r w:rsidRPr="00F46418">
        <w:rPr>
          <w:rFonts w:ascii="Italic" w:eastAsia="DengXian" w:hAnsi="Italic" w:cs="Arial"/>
          <w:i/>
          <w:iCs/>
          <w:kern w:val="3"/>
          <w14:ligatures w14:val="none"/>
        </w:rPr>
        <w:t>Loneliness, social isolation, and behavioural and biological health indicators in older adults</w:t>
      </w:r>
      <w:r w:rsidRPr="00F46418">
        <w:rPr>
          <w:rFonts w:ascii="Arial" w:eastAsia="DengXian" w:hAnsi="Arial" w:cs="Arial"/>
          <w:i/>
          <w:iCs/>
          <w:kern w:val="3"/>
          <w14:ligatures w14:val="none"/>
        </w:rPr>
        <w:t>.</w:t>
      </w:r>
      <w:r w:rsidRPr="002501FE">
        <w:rPr>
          <w:rFonts w:ascii="Arial" w:eastAsia="DengXian" w:hAnsi="Arial" w:cs="Arial"/>
          <w:kern w:val="3"/>
          <w14:ligatures w14:val="none"/>
        </w:rPr>
        <w:t xml:space="preserve"> Health Psychology, 36(7), pp.607-616.</w:t>
      </w:r>
    </w:p>
    <w:p w14:paraId="53820748"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Shergold, I. &amp; Parkhurst, G., 2012. </w:t>
      </w:r>
      <w:r w:rsidRPr="001E53BC">
        <w:rPr>
          <w:rFonts w:ascii="Italic" w:eastAsia="DengXian" w:hAnsi="Italic" w:cs="Arial"/>
          <w:i/>
          <w:iCs/>
          <w:kern w:val="3"/>
          <w14:ligatures w14:val="none"/>
        </w:rPr>
        <w:t>Transport-related barriers to participation in community activities among older adults in rural areas</w:t>
      </w:r>
      <w:r w:rsidRPr="002501FE">
        <w:rPr>
          <w:rFonts w:ascii="Arial" w:eastAsia="DengXian" w:hAnsi="Arial" w:cs="Arial"/>
          <w:kern w:val="3"/>
          <w14:ligatures w14:val="none"/>
        </w:rPr>
        <w:t>. Ageing &amp; Society, 32(7), pp.1047-1070.</w:t>
      </w:r>
    </w:p>
    <w:p w14:paraId="3E5E2CF9"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Shukla, A., Harper, M., Pedersen, E.R., Arango-Lasprilla, J.C. &amp; Laplante, S., 2020. </w:t>
      </w:r>
      <w:r w:rsidRPr="00773F1C">
        <w:rPr>
          <w:rFonts w:ascii="Italic" w:eastAsia="DengXian" w:hAnsi="Italic" w:cs="Arial"/>
          <w:i/>
          <w:iCs/>
          <w:kern w:val="3"/>
          <w14:ligatures w14:val="none"/>
        </w:rPr>
        <w:t>Sensory impairment and social isolation in older adults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Ageing &amp; Mental Health, 24(10), pp.1565-1572.</w:t>
      </w:r>
    </w:p>
    <w:p w14:paraId="3DF021C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Siddaway, A.P., Wood, A.M. &amp; Hedges, L.V., 2019. </w:t>
      </w:r>
      <w:r w:rsidRPr="005526EA">
        <w:rPr>
          <w:rFonts w:ascii="Italic" w:eastAsia="DengXian" w:hAnsi="Italic" w:cs="Arial"/>
          <w:i/>
          <w:iCs/>
          <w:kern w:val="3"/>
          <w14:ligatures w14:val="none"/>
        </w:rPr>
        <w:t>How to do a systematic review: a best practice guide for conducting and reporting narrative reviews, meta-analyses, and meta-syntheses</w:t>
      </w:r>
      <w:r w:rsidRPr="002501FE">
        <w:rPr>
          <w:rFonts w:ascii="Italic" w:eastAsia="DengXian" w:hAnsi="Italic" w:cs="Arial"/>
          <w:i/>
          <w:iCs/>
          <w:kern w:val="3"/>
          <w14:ligatures w14:val="none"/>
        </w:rPr>
        <w:t xml:space="preserve">. </w:t>
      </w:r>
      <w:r w:rsidRPr="002501FE">
        <w:rPr>
          <w:rFonts w:ascii="Arial" w:eastAsia="DengXian" w:hAnsi="Arial" w:cs="Arial"/>
          <w:kern w:val="3"/>
          <w14:ligatures w14:val="none"/>
        </w:rPr>
        <w:t>Annual Review of Psychology, 70, pp.747-770.</w:t>
      </w:r>
    </w:p>
    <w:p w14:paraId="404D8B0B"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Skingley, A. &amp; Bungay, H., 2010. </w:t>
      </w:r>
      <w:r w:rsidRPr="004A4C79">
        <w:rPr>
          <w:rFonts w:ascii="Italic" w:eastAsia="DengXian" w:hAnsi="Italic" w:cs="Arial"/>
          <w:i/>
          <w:iCs/>
          <w:kern w:val="3"/>
          <w14:ligatures w14:val="none"/>
        </w:rPr>
        <w:t>The impact of group singing on health and well-being for older people: a systematic review</w:t>
      </w:r>
      <w:r w:rsidRPr="002501FE">
        <w:rPr>
          <w:rFonts w:ascii="Arial" w:eastAsia="DengXian" w:hAnsi="Arial" w:cs="Arial"/>
          <w:kern w:val="3"/>
          <w14:ligatures w14:val="none"/>
        </w:rPr>
        <w:t>. Health Education, 110(5), pp.362-375.</w:t>
      </w:r>
    </w:p>
    <w:p w14:paraId="79DBE91A"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Smith, J., 2018. </w:t>
      </w:r>
      <w:r w:rsidRPr="00E60DBE">
        <w:rPr>
          <w:rFonts w:ascii="Italic" w:eastAsia="DengXian" w:hAnsi="Italic" w:cs="Arial"/>
          <w:i/>
          <w:iCs/>
          <w:kern w:val="3"/>
          <w14:ligatures w14:val="none"/>
        </w:rPr>
        <w:t>Academic referencing: principles and practice</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London: Routledge.</w:t>
      </w:r>
    </w:p>
    <w:p w14:paraId="048A8EE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Smith, J., Jones, L., Brown, K., 2017. </w:t>
      </w:r>
      <w:r w:rsidRPr="00B103B7">
        <w:rPr>
          <w:rFonts w:ascii="Italic" w:eastAsia="DengXian" w:hAnsi="Italic" w:cs="Arial"/>
          <w:i/>
          <w:iCs/>
          <w:kern w:val="3"/>
          <w14:ligatures w14:val="none"/>
        </w:rPr>
        <w:t>Group-based activity interventions for older adults: effects on social connectedness and mental wellbeing</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Journal of Applied Gerontology, 36(10), pp.1230-1247.</w:t>
      </w:r>
    </w:p>
    <w:p w14:paraId="5299AC9B"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Steptoe, A. &amp; Di Gessa, G., 2021. </w:t>
      </w:r>
      <w:r w:rsidRPr="005E4F9D">
        <w:rPr>
          <w:rFonts w:ascii="Italic" w:eastAsia="DengXian" w:hAnsi="Italic" w:cs="Arial"/>
          <w:i/>
          <w:iCs/>
          <w:kern w:val="3"/>
          <w14:ligatures w14:val="none"/>
        </w:rPr>
        <w:t>Mental health and social interactions of older adults during the COVID-19 pandemic in England</w:t>
      </w:r>
      <w:r w:rsidRPr="002501FE">
        <w:rPr>
          <w:rFonts w:ascii="Arial" w:eastAsia="DengXian" w:hAnsi="Arial" w:cs="Arial"/>
          <w:kern w:val="3"/>
          <w14:ligatures w14:val="none"/>
        </w:rPr>
        <w:t>. Journal of Epidemiology &amp; Community Health, 75, pp.620-626.</w:t>
      </w:r>
    </w:p>
    <w:p w14:paraId="6C7F8AFA"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Steptoe, A., Shankar, A., Demakakos, P. &amp; Wardle, J., 2013. </w:t>
      </w:r>
      <w:r w:rsidRPr="0021527B">
        <w:rPr>
          <w:rFonts w:ascii="Italic" w:eastAsia="DengXian" w:hAnsi="Italic" w:cs="Arial"/>
          <w:i/>
          <w:iCs/>
          <w:kern w:val="3"/>
          <w14:ligatures w14:val="none"/>
        </w:rPr>
        <w:t>Social isolation, loneliness, and all-cause mortality in older men and women</w:t>
      </w:r>
      <w:r w:rsidRPr="0021527B">
        <w:rPr>
          <w:rFonts w:ascii="Arial" w:eastAsia="DengXian" w:hAnsi="Arial" w:cs="Arial"/>
          <w:i/>
          <w:iCs/>
          <w:kern w:val="3"/>
          <w14:ligatures w14:val="none"/>
        </w:rPr>
        <w:t>.</w:t>
      </w:r>
      <w:r w:rsidRPr="002501FE">
        <w:rPr>
          <w:rFonts w:ascii="Arial" w:eastAsia="DengXian" w:hAnsi="Arial" w:cs="Arial"/>
          <w:kern w:val="3"/>
          <w14:ligatures w14:val="none"/>
        </w:rPr>
        <w:t xml:space="preserve"> Proceedings of the National Academy of Sciences, 110(15), pp.5797-5801.</w:t>
      </w:r>
    </w:p>
    <w:p w14:paraId="74037C66"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Taylor, K., Kerse, N., &amp; Whitehead, N., 2018. </w:t>
      </w:r>
      <w:r w:rsidRPr="0096494A">
        <w:rPr>
          <w:rFonts w:ascii="Italic" w:eastAsia="DengXian" w:hAnsi="Italic" w:cs="Arial"/>
          <w:i/>
          <w:iCs/>
          <w:kern w:val="3"/>
          <w14:ligatures w14:val="none"/>
        </w:rPr>
        <w:t>Financial and structural barriers to community engagement among older adults</w:t>
      </w:r>
      <w:r w:rsidRPr="000376E8">
        <w:rPr>
          <w:rFonts w:ascii="Arial" w:eastAsia="DengXian" w:hAnsi="Arial" w:cs="Arial"/>
          <w:i/>
          <w:iCs/>
          <w:kern w:val="3"/>
          <w14:ligatures w14:val="none"/>
        </w:rPr>
        <w:t>.</w:t>
      </w:r>
      <w:r w:rsidRPr="002501FE">
        <w:rPr>
          <w:rFonts w:ascii="Arial" w:eastAsia="DengXian" w:hAnsi="Arial" w:cs="Arial"/>
          <w:kern w:val="3"/>
          <w14:ligatures w14:val="none"/>
        </w:rPr>
        <w:t xml:space="preserve"> Health &amp; Social Care in the Community, 26(4), pp.548-556.</w:t>
      </w:r>
    </w:p>
    <w:p w14:paraId="44C83E54"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Taylor, R., 2018. </w:t>
      </w:r>
      <w:r w:rsidRPr="00FC6D56">
        <w:rPr>
          <w:rFonts w:ascii="Italic" w:eastAsia="DengXian" w:hAnsi="Italic" w:cs="Arial"/>
          <w:i/>
          <w:iCs/>
          <w:kern w:val="3"/>
          <w14:ligatures w14:val="none"/>
        </w:rPr>
        <w:t>Harvard referencing guide: citing sources in academic writing</w:t>
      </w:r>
      <w:r w:rsidRPr="002501FE">
        <w:rPr>
          <w:rFonts w:ascii="Arial" w:eastAsia="DengXian" w:hAnsi="Arial" w:cs="Arial"/>
          <w:kern w:val="3"/>
          <w14:ligatures w14:val="none"/>
        </w:rPr>
        <w:t>. London: Academic Press.</w:t>
      </w:r>
    </w:p>
    <w:p w14:paraId="510BFE4C" w14:textId="77777777" w:rsidR="00897F20" w:rsidRPr="00773F1C" w:rsidRDefault="00897F20" w:rsidP="00A14365">
      <w:pPr>
        <w:suppressAutoHyphens/>
        <w:autoSpaceDN w:val="0"/>
        <w:ind w:left="360"/>
        <w:rPr>
          <w:rFonts w:eastAsia="Aptos" w:cs="Times New Roman"/>
          <w:i/>
          <w:iCs/>
          <w:kern w:val="3"/>
          <w:sz w:val="24"/>
          <w:szCs w:val="24"/>
          <w:lang w:eastAsia="en-US"/>
          <w14:ligatures w14:val="none"/>
        </w:rPr>
      </w:pPr>
      <w:r w:rsidRPr="002501FE">
        <w:rPr>
          <w:rFonts w:ascii="Arial" w:eastAsia="DengXian" w:hAnsi="Arial" w:cs="Arial"/>
          <w:kern w:val="3"/>
          <w14:ligatures w14:val="none"/>
        </w:rPr>
        <w:t xml:space="preserve">Thomas, J. &amp; Harden, A., 2008. </w:t>
      </w:r>
      <w:r w:rsidRPr="00234F58">
        <w:rPr>
          <w:rFonts w:ascii="Italic" w:eastAsia="DengXian" w:hAnsi="Italic" w:cs="Arial"/>
          <w:i/>
          <w:iCs/>
          <w:kern w:val="3"/>
          <w14:ligatures w14:val="none"/>
        </w:rPr>
        <w:t>Methods for the thematic synthesis of qualitative research in systematic reviews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BMC Medical Research Methodology, 8, p.45.</w:t>
      </w:r>
    </w:p>
    <w:p w14:paraId="54278505"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773F1C">
        <w:rPr>
          <w:rFonts w:ascii="Arial" w:eastAsia="DengXian" w:hAnsi="Arial" w:cs="Arial"/>
          <w:i/>
          <w:iCs/>
          <w:kern w:val="3"/>
          <w14:ligatures w14:val="none"/>
        </w:rPr>
        <w:lastRenderedPageBreak/>
        <w:t xml:space="preserve">Tierney, S., Seers, K., Tutton, L., Harrington, R., &amp; Brown, R., 2020. </w:t>
      </w:r>
      <w:r w:rsidRPr="00181B87">
        <w:rPr>
          <w:rFonts w:ascii="Italic" w:eastAsia="DengXian" w:hAnsi="Italic" w:cs="Arial"/>
          <w:i/>
          <w:iCs/>
          <w:kern w:val="3"/>
          <w14:ligatures w14:val="none"/>
        </w:rPr>
        <w:t>Community interventions for older adults: effectiveness and sustainabilit</w:t>
      </w:r>
      <w:r w:rsidRPr="00773F1C">
        <w:rPr>
          <w:rFonts w:ascii="Italic" w:eastAsia="DengXian" w:hAnsi="Italic" w:cs="Arial"/>
          <w:i/>
          <w:iCs/>
          <w:kern w:val="3"/>
          <w14:ligatures w14:val="none"/>
        </w:rPr>
        <w:t>y</w:t>
      </w:r>
      <w:r w:rsidRPr="00773F1C">
        <w:rPr>
          <w:rFonts w:ascii="Arial" w:eastAsia="DengXian" w:hAnsi="Arial" w:cs="Arial"/>
          <w:i/>
          <w:iCs/>
          <w:kern w:val="3"/>
          <w14:ligatures w14:val="none"/>
        </w:rPr>
        <w:t>.</w:t>
      </w:r>
      <w:r w:rsidRPr="002501FE">
        <w:rPr>
          <w:rFonts w:ascii="Arial" w:eastAsia="DengXian" w:hAnsi="Arial" w:cs="Arial"/>
          <w:kern w:val="3"/>
          <w14:ligatures w14:val="none"/>
        </w:rPr>
        <w:t xml:space="preserve"> Health &amp; Social Care in the Community, 28(4), pp.1271-1280.</w:t>
      </w:r>
    </w:p>
    <w:p w14:paraId="0B2701B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Valtorta, N.K., Kanaan, M., Gilbody, S., Ronzi, S. &amp; Hanratty, B., 2016. </w:t>
      </w:r>
      <w:r w:rsidRPr="0095371F">
        <w:rPr>
          <w:rFonts w:ascii="Italic" w:eastAsia="DengXian" w:hAnsi="Italic" w:cs="Arial"/>
          <w:i/>
          <w:iCs/>
          <w:kern w:val="3"/>
          <w14:ligatures w14:val="none"/>
        </w:rPr>
        <w:t>Loneliness and social isolation as risk factors for coronary heart disease and stroke: systematic review and meta-analysis of longitudinal observational studies</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Heart, 102(13), pp.1009-1016.</w:t>
      </w:r>
    </w:p>
    <w:p w14:paraId="727A58DE"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Victor, C.R. &amp; Bowling, A., 2012. </w:t>
      </w:r>
      <w:r w:rsidRPr="002E7C01">
        <w:rPr>
          <w:rFonts w:ascii="Italic" w:eastAsia="DengXian" w:hAnsi="Italic" w:cs="Arial"/>
          <w:i/>
          <w:iCs/>
          <w:kern w:val="3"/>
          <w14:ligatures w14:val="none"/>
        </w:rPr>
        <w:t>A longitudinal analysis of loneliness among older people in Great Britain</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Journal of Psychology, 146(3), pp.313-331.</w:t>
      </w:r>
    </w:p>
    <w:p w14:paraId="5AB0391A"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Victor, C.R. &amp; Pikhartova, J., 2020. </w:t>
      </w:r>
      <w:r w:rsidRPr="00855FBE">
        <w:rPr>
          <w:rFonts w:ascii="Italic" w:eastAsia="DengXian" w:hAnsi="Italic" w:cs="Arial"/>
          <w:i/>
          <w:iCs/>
          <w:kern w:val="3"/>
          <w14:ligatures w14:val="none"/>
        </w:rPr>
        <w:t>Social isolation and loneliness in older adults: implications for mental health</w:t>
      </w:r>
      <w:r w:rsidRPr="002501FE">
        <w:rPr>
          <w:rFonts w:ascii="Arial" w:eastAsia="DengXian" w:hAnsi="Arial" w:cs="Arial"/>
          <w:kern w:val="3"/>
          <w14:ligatures w14:val="none"/>
        </w:rPr>
        <w:t>. International Journal of Environmental Research and Public Health, 17(9), p.3142.</w:t>
      </w:r>
    </w:p>
    <w:p w14:paraId="358B8F69"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Victor, C.R. &amp; Yang, K., 2012. </w:t>
      </w:r>
      <w:r w:rsidRPr="00714FBB">
        <w:rPr>
          <w:rFonts w:ascii="Italic" w:eastAsia="DengXian" w:hAnsi="Italic" w:cs="Arial"/>
          <w:i/>
          <w:iCs/>
          <w:kern w:val="3"/>
          <w14:ligatures w14:val="none"/>
        </w:rPr>
        <w:t>The prevalence of loneliness among older adults in Great Britain: results from the English Longitudinal Study of Ageing</w:t>
      </w:r>
      <w:r w:rsidRPr="002501FE">
        <w:rPr>
          <w:rFonts w:ascii="Italic" w:eastAsia="DengXian" w:hAnsi="Italic" w:cs="Arial"/>
          <w:i/>
          <w:iCs/>
          <w:kern w:val="3"/>
          <w14:ligatures w14:val="none"/>
        </w:rPr>
        <w:t>.</w:t>
      </w:r>
      <w:r w:rsidRPr="002501FE">
        <w:rPr>
          <w:rFonts w:ascii="Arial" w:eastAsia="DengXian" w:hAnsi="Arial" w:cs="Arial"/>
          <w:kern w:val="3"/>
          <w14:ligatures w14:val="none"/>
        </w:rPr>
        <w:t xml:space="preserve"> Ageing &amp; Society, 32(3), pp.407-426.</w:t>
      </w:r>
    </w:p>
    <w:p w14:paraId="46097760"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Victor, C.R., Burholt, V. &amp; Martin, W., 2018. </w:t>
      </w:r>
      <w:r w:rsidRPr="00AC14AF">
        <w:rPr>
          <w:rFonts w:ascii="Italic" w:eastAsia="DengXian" w:hAnsi="Italic" w:cs="Arial"/>
          <w:i/>
          <w:iCs/>
          <w:kern w:val="3"/>
          <w14:ligatures w14:val="none"/>
        </w:rPr>
        <w:t>Loneliness and social isolation: a survey of older people in England</w:t>
      </w:r>
      <w:r w:rsidRPr="002501FE">
        <w:rPr>
          <w:rFonts w:ascii="Arial" w:eastAsia="DengXian" w:hAnsi="Arial" w:cs="Arial"/>
          <w:kern w:val="3"/>
          <w14:ligatures w14:val="none"/>
        </w:rPr>
        <w:t>. Ageing &amp; Society, 38(9), pp.1856-1882.</w:t>
      </w:r>
    </w:p>
    <w:p w14:paraId="74357B9C"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Victor, C.R., Scambler, S., Bowling, A. &amp; Bond, J., 2005. </w:t>
      </w:r>
      <w:r w:rsidRPr="00FD5644">
        <w:rPr>
          <w:rFonts w:ascii="Italic" w:eastAsia="DengXian" w:hAnsi="Italic" w:cs="Arial"/>
          <w:i/>
          <w:iCs/>
          <w:kern w:val="3"/>
          <w14:ligatures w14:val="none"/>
        </w:rPr>
        <w:t>The prevalence of, and risk factors for, loneliness in later life: a survey of older people in Great Britain</w:t>
      </w:r>
      <w:r w:rsidRPr="002501FE">
        <w:rPr>
          <w:rFonts w:ascii="Arial" w:eastAsia="DengXian" w:hAnsi="Arial" w:cs="Arial"/>
          <w:kern w:val="3"/>
          <w14:ligatures w14:val="none"/>
        </w:rPr>
        <w:t>. Ageing &amp; Society, 25(3), pp.357-375.</w:t>
      </w:r>
    </w:p>
    <w:p w14:paraId="42D3F26D"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Waffenschmidt, S., Knelangen, M., Sieben, W., Bühn, S. &amp; Pieper, D., 2019. </w:t>
      </w:r>
      <w:r w:rsidRPr="00914FF1">
        <w:rPr>
          <w:rFonts w:ascii="Italic" w:eastAsia="DengXian" w:hAnsi="Italic" w:cs="Arial"/>
          <w:i/>
          <w:iCs/>
          <w:kern w:val="3"/>
          <w14:ligatures w14:val="none"/>
        </w:rPr>
        <w:t>Single screening versus double screening for study selection in systematic reviews: a methodological review</w:t>
      </w:r>
      <w:r w:rsidRPr="00914FF1">
        <w:rPr>
          <w:rFonts w:ascii="Arial" w:eastAsia="DengXian" w:hAnsi="Arial" w:cs="Arial"/>
          <w:i/>
          <w:iCs/>
          <w:kern w:val="3"/>
          <w14:ligatures w14:val="none"/>
        </w:rPr>
        <w:t>.</w:t>
      </w:r>
      <w:r w:rsidRPr="002501FE">
        <w:rPr>
          <w:rFonts w:ascii="Arial" w:eastAsia="DengXian" w:hAnsi="Arial" w:cs="Arial"/>
          <w:kern w:val="3"/>
          <w14:ligatures w14:val="none"/>
        </w:rPr>
        <w:t xml:space="preserve"> BMC Medical Research Methodology, 19, p.132.</w:t>
      </w:r>
    </w:p>
    <w:p w14:paraId="58082905"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Westwood, S., 2020. </w:t>
      </w:r>
      <w:r w:rsidRPr="00BF2A0B">
        <w:rPr>
          <w:rFonts w:ascii="Italic" w:eastAsia="DengXian" w:hAnsi="Italic" w:cs="Arial"/>
          <w:i/>
          <w:iCs/>
          <w:kern w:val="3"/>
          <w14:ligatures w14:val="none"/>
        </w:rPr>
        <w:t>Mental health inequalities in socially isolated older adults: ethnicity, disability, and socioeconomic status</w:t>
      </w:r>
      <w:r w:rsidRPr="002501FE">
        <w:rPr>
          <w:rFonts w:ascii="Arial" w:eastAsia="DengXian" w:hAnsi="Arial" w:cs="Arial"/>
          <w:kern w:val="3"/>
          <w14:ligatures w14:val="none"/>
        </w:rPr>
        <w:t>. Journal of Gerontology: Social Sciences, 75(8), pp.1651-1660.</w:t>
      </w:r>
    </w:p>
    <w:p w14:paraId="4C1A9476" w14:textId="77777777" w:rsidR="00897F20" w:rsidRPr="0019437D" w:rsidRDefault="00897F20" w:rsidP="00A14365">
      <w:pPr>
        <w:suppressAutoHyphens/>
        <w:autoSpaceDN w:val="0"/>
        <w:ind w:left="360"/>
        <w:rPr>
          <w:rFonts w:eastAsia="Aptos" w:cs="Times New Roman"/>
          <w:i/>
          <w:iCs/>
          <w:kern w:val="3"/>
          <w:sz w:val="24"/>
          <w:szCs w:val="24"/>
          <w:lang w:eastAsia="en-US"/>
          <w14:ligatures w14:val="none"/>
        </w:rPr>
      </w:pPr>
      <w:r w:rsidRPr="002501FE">
        <w:rPr>
          <w:rFonts w:ascii="Arial" w:eastAsia="DengXian" w:hAnsi="Arial" w:cs="Arial"/>
          <w:kern w:val="3"/>
          <w14:ligatures w14:val="none"/>
        </w:rPr>
        <w:t xml:space="preserve">Wildman, J., Sturdy, S., Allan, H., 2019. </w:t>
      </w:r>
      <w:r w:rsidRPr="005503DE">
        <w:rPr>
          <w:rFonts w:ascii="Italic" w:eastAsia="DengXian" w:hAnsi="Italic" w:cs="Arial"/>
          <w:i/>
          <w:iCs/>
          <w:kern w:val="3"/>
          <w14:ligatures w14:val="none"/>
        </w:rPr>
        <w:t>Evaluating the effectiveness of social prescribing interventions for older adults: evidence from UK programmes</w:t>
      </w:r>
      <w:r w:rsidRPr="002501FE">
        <w:rPr>
          <w:rFonts w:ascii="Arial" w:eastAsia="DengXian" w:hAnsi="Arial" w:cs="Arial"/>
          <w:kern w:val="3"/>
          <w14:ligatures w14:val="none"/>
        </w:rPr>
        <w:t>. Health &amp; Social Care in the Community, 27(5), pp.1250-1262.</w:t>
      </w:r>
    </w:p>
    <w:p w14:paraId="32BE3F12"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19437D">
        <w:rPr>
          <w:rFonts w:ascii="Arial" w:eastAsia="DengXian" w:hAnsi="Arial" w:cs="Arial"/>
          <w:i/>
          <w:iCs/>
          <w:kern w:val="3"/>
          <w14:ligatures w14:val="none"/>
        </w:rPr>
        <w:t xml:space="preserve">Windle, G., Francis, J. &amp; Coomber, R., 2011. </w:t>
      </w:r>
      <w:r w:rsidRPr="00E61715">
        <w:rPr>
          <w:rFonts w:ascii="Italic" w:eastAsia="DengXian" w:hAnsi="Italic" w:cs="Arial"/>
          <w:i/>
          <w:iCs/>
          <w:kern w:val="3"/>
          <w14:ligatures w14:val="none"/>
        </w:rPr>
        <w:t>Preventing loneliness and social isolation: interventions and outcomes</w:t>
      </w:r>
      <w:r w:rsidRPr="0019437D">
        <w:rPr>
          <w:rFonts w:ascii="Italic" w:eastAsia="DengXian" w:hAnsi="Italic" w:cs="Arial"/>
          <w:i/>
          <w:iCs/>
          <w:kern w:val="3"/>
          <w14:ligatures w14:val="none"/>
        </w:rPr>
        <w:t>.</w:t>
      </w:r>
      <w:r w:rsidRPr="002501FE">
        <w:rPr>
          <w:rFonts w:ascii="Italic" w:eastAsia="DengXian" w:hAnsi="Italic" w:cs="Arial"/>
          <w:i/>
          <w:iCs/>
          <w:kern w:val="3"/>
          <w14:ligatures w14:val="none"/>
        </w:rPr>
        <w:t xml:space="preserve"> </w:t>
      </w:r>
      <w:r w:rsidRPr="002501FE">
        <w:rPr>
          <w:rFonts w:ascii="Arial" w:eastAsia="DengXian" w:hAnsi="Arial" w:cs="Arial"/>
          <w:kern w:val="3"/>
          <w14:ligatures w14:val="none"/>
        </w:rPr>
        <w:t>London: Social Care Institute for Excellence.</w:t>
      </w:r>
    </w:p>
    <w:p w14:paraId="478664F7" w14:textId="77777777"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lastRenderedPageBreak/>
        <w:t>Windle, G., Hughes, A., Linck, P., Russell, I., &amp; Woods, B., 2014</w:t>
      </w:r>
      <w:r w:rsidRPr="002501FE">
        <w:rPr>
          <w:rFonts w:ascii="Italic" w:eastAsia="DengXian" w:hAnsi="Italic" w:cs="Arial"/>
          <w:i/>
          <w:iCs/>
          <w:kern w:val="3"/>
          <w14:ligatures w14:val="none"/>
        </w:rPr>
        <w:t xml:space="preserve">. </w:t>
      </w:r>
      <w:r w:rsidRPr="005352D1">
        <w:rPr>
          <w:rFonts w:ascii="Italic" w:eastAsia="DengXian" w:hAnsi="Italic" w:cs="Arial"/>
          <w:i/>
          <w:iCs/>
          <w:kern w:val="3"/>
          <w14:ligatures w14:val="none"/>
        </w:rPr>
        <w:t>Is volunteering a public health intervention? A systematic review and meta-analysis of the health and survival of volunteers</w:t>
      </w:r>
      <w:r w:rsidRPr="002501FE">
        <w:rPr>
          <w:rFonts w:ascii="Arial" w:eastAsia="DengXian" w:hAnsi="Arial" w:cs="Arial"/>
          <w:kern w:val="3"/>
          <w14:ligatures w14:val="none"/>
        </w:rPr>
        <w:t>. BMC Public Health, 14, p.773.</w:t>
      </w:r>
    </w:p>
    <w:p w14:paraId="09DC1FE4" w14:textId="6288629E" w:rsidR="00897F20" w:rsidRPr="002501FE" w:rsidRDefault="00897F20" w:rsidP="00A14365">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World Health Organisation, 2021. </w:t>
      </w:r>
      <w:r w:rsidRPr="00085A77">
        <w:rPr>
          <w:rFonts w:ascii="Italic" w:eastAsia="DengXian" w:hAnsi="Italic" w:cs="Arial"/>
          <w:i/>
          <w:iCs/>
          <w:kern w:val="3"/>
          <w14:ligatures w14:val="none"/>
        </w:rPr>
        <w:t>Mental health and older adults: social determinants and interventions</w:t>
      </w:r>
      <w:r w:rsidRPr="002501FE">
        <w:rPr>
          <w:rFonts w:ascii="Arial" w:eastAsia="DengXian" w:hAnsi="Arial" w:cs="Arial"/>
          <w:kern w:val="3"/>
          <w14:ligatures w14:val="none"/>
        </w:rPr>
        <w:t>. Geneva: WHO.</w:t>
      </w:r>
      <w:r w:rsidR="00773F1C">
        <w:rPr>
          <w:rFonts w:ascii="Arial" w:eastAsia="DengXian" w:hAnsi="Arial" w:cs="Arial"/>
          <w:kern w:val="3"/>
          <w14:ligatures w14:val="none"/>
        </w:rPr>
        <w:t xml:space="preserve"> Available at: </w:t>
      </w:r>
      <w:hyperlink r:id="rId32" w:history="1">
        <w:r w:rsidR="00773F1C" w:rsidRPr="009E68F3">
          <w:rPr>
            <w:rStyle w:val="Hyperlink"/>
            <w:rFonts w:ascii="Arial" w:eastAsia="DengXian" w:hAnsi="Arial" w:cs="Arial"/>
            <w:kern w:val="3"/>
            <w14:ligatures w14:val="none"/>
          </w:rPr>
          <w:t>https://www.who.int/news-room/fact-sheets/detail/mental-health-of-older-adults</w:t>
        </w:r>
      </w:hyperlink>
      <w:r w:rsidR="00773F1C">
        <w:rPr>
          <w:rFonts w:ascii="Arial" w:eastAsia="DengXian" w:hAnsi="Arial" w:cs="Arial"/>
          <w:kern w:val="3"/>
          <w14:ligatures w14:val="none"/>
        </w:rPr>
        <w:t xml:space="preserve"> ( Accessed: 18 February 2026). </w:t>
      </w:r>
    </w:p>
    <w:p w14:paraId="578AEF2C" w14:textId="2E9BC5F8" w:rsidR="00AF029F" w:rsidRPr="00773F1C" w:rsidRDefault="00897F20" w:rsidP="00773F1C">
      <w:pPr>
        <w:suppressAutoHyphens/>
        <w:autoSpaceDN w:val="0"/>
        <w:ind w:left="360"/>
        <w:rPr>
          <w:rFonts w:eastAsia="Aptos" w:cs="Times New Roman"/>
          <w:kern w:val="3"/>
          <w:sz w:val="24"/>
          <w:szCs w:val="24"/>
          <w:lang w:eastAsia="en-US"/>
          <w14:ligatures w14:val="none"/>
        </w:rPr>
      </w:pPr>
      <w:r w:rsidRPr="002501FE">
        <w:rPr>
          <w:rFonts w:ascii="Arial" w:eastAsia="DengXian" w:hAnsi="Arial" w:cs="Arial"/>
          <w:kern w:val="3"/>
          <w14:ligatures w14:val="none"/>
        </w:rPr>
        <w:t xml:space="preserve">Wuthrich, V.M. &amp; Frei, J., 2015. </w:t>
      </w:r>
      <w:r w:rsidRPr="003D2B7B">
        <w:rPr>
          <w:rFonts w:ascii="Italic" w:eastAsia="DengXian" w:hAnsi="Italic" w:cs="Arial"/>
          <w:i/>
          <w:iCs/>
          <w:kern w:val="3"/>
          <w14:ligatures w14:val="none"/>
        </w:rPr>
        <w:t>Barriers to treatment for older adults seeking psychological therapy.</w:t>
      </w:r>
      <w:r w:rsidRPr="002501FE">
        <w:rPr>
          <w:rFonts w:ascii="Italic" w:eastAsia="DengXian" w:hAnsi="Italic" w:cs="Arial"/>
          <w:i/>
          <w:iCs/>
          <w:kern w:val="3"/>
          <w14:ligatures w14:val="none"/>
        </w:rPr>
        <w:t xml:space="preserve"> </w:t>
      </w:r>
      <w:r w:rsidRPr="002501FE">
        <w:rPr>
          <w:rFonts w:ascii="Arial" w:eastAsia="DengXian" w:hAnsi="Arial" w:cs="Arial"/>
          <w:kern w:val="3"/>
          <w14:ligatures w14:val="none"/>
        </w:rPr>
        <w:t>International Psychogeriatrics, 27(7), pp.1227-1236.</w:t>
      </w:r>
    </w:p>
    <w:p w14:paraId="42395D4F" w14:textId="77777777" w:rsidR="006F044A" w:rsidRDefault="006F044A" w:rsidP="00435298">
      <w:pPr>
        <w:jc w:val="center"/>
        <w:rPr>
          <w:b/>
          <w:bCs/>
          <w:sz w:val="32"/>
          <w:szCs w:val="32"/>
          <w:u w:val="single"/>
        </w:rPr>
      </w:pPr>
    </w:p>
    <w:p w14:paraId="5B003CE1" w14:textId="77777777" w:rsidR="006F044A" w:rsidRDefault="006F044A" w:rsidP="00435298">
      <w:pPr>
        <w:jc w:val="center"/>
        <w:rPr>
          <w:b/>
          <w:bCs/>
          <w:sz w:val="32"/>
          <w:szCs w:val="32"/>
          <w:u w:val="single"/>
        </w:rPr>
      </w:pPr>
    </w:p>
    <w:p w14:paraId="48B860CF" w14:textId="77777777" w:rsidR="006F044A" w:rsidRDefault="006F044A" w:rsidP="00435298">
      <w:pPr>
        <w:jc w:val="center"/>
        <w:rPr>
          <w:b/>
          <w:bCs/>
          <w:sz w:val="32"/>
          <w:szCs w:val="32"/>
          <w:u w:val="single"/>
        </w:rPr>
      </w:pPr>
    </w:p>
    <w:p w14:paraId="52B92B74" w14:textId="77777777" w:rsidR="006F044A" w:rsidRDefault="006F044A" w:rsidP="00435298">
      <w:pPr>
        <w:jc w:val="center"/>
        <w:rPr>
          <w:b/>
          <w:bCs/>
          <w:sz w:val="32"/>
          <w:szCs w:val="32"/>
          <w:u w:val="single"/>
        </w:rPr>
      </w:pPr>
    </w:p>
    <w:p w14:paraId="3050B280" w14:textId="77777777" w:rsidR="006F044A" w:rsidRDefault="006F044A" w:rsidP="00435298">
      <w:pPr>
        <w:jc w:val="center"/>
        <w:rPr>
          <w:b/>
          <w:bCs/>
          <w:sz w:val="32"/>
          <w:szCs w:val="32"/>
          <w:u w:val="single"/>
        </w:rPr>
      </w:pPr>
    </w:p>
    <w:p w14:paraId="08116103" w14:textId="77777777" w:rsidR="006F044A" w:rsidRDefault="006F044A" w:rsidP="00435298">
      <w:pPr>
        <w:jc w:val="center"/>
        <w:rPr>
          <w:b/>
          <w:bCs/>
          <w:sz w:val="32"/>
          <w:szCs w:val="32"/>
          <w:u w:val="single"/>
        </w:rPr>
      </w:pPr>
    </w:p>
    <w:p w14:paraId="6E5C05FD" w14:textId="77777777" w:rsidR="006F044A" w:rsidRDefault="006F044A" w:rsidP="00435298">
      <w:pPr>
        <w:jc w:val="center"/>
        <w:rPr>
          <w:b/>
          <w:bCs/>
          <w:sz w:val="32"/>
          <w:szCs w:val="32"/>
          <w:u w:val="single"/>
        </w:rPr>
      </w:pPr>
    </w:p>
    <w:p w14:paraId="59F59375" w14:textId="77777777" w:rsidR="006F044A" w:rsidRDefault="006F044A" w:rsidP="00435298">
      <w:pPr>
        <w:jc w:val="center"/>
        <w:rPr>
          <w:b/>
          <w:bCs/>
          <w:sz w:val="32"/>
          <w:szCs w:val="32"/>
          <w:u w:val="single"/>
        </w:rPr>
      </w:pPr>
    </w:p>
    <w:p w14:paraId="1898F202" w14:textId="77777777" w:rsidR="006F044A" w:rsidRDefault="006F044A" w:rsidP="00435298">
      <w:pPr>
        <w:jc w:val="center"/>
        <w:rPr>
          <w:b/>
          <w:bCs/>
          <w:sz w:val="32"/>
          <w:szCs w:val="32"/>
          <w:u w:val="single"/>
        </w:rPr>
      </w:pPr>
    </w:p>
    <w:p w14:paraId="27176CD9" w14:textId="77777777" w:rsidR="006F044A" w:rsidRDefault="006F044A" w:rsidP="00435298">
      <w:pPr>
        <w:jc w:val="center"/>
        <w:rPr>
          <w:b/>
          <w:bCs/>
          <w:sz w:val="32"/>
          <w:szCs w:val="32"/>
          <w:u w:val="single"/>
        </w:rPr>
      </w:pPr>
    </w:p>
    <w:p w14:paraId="42855A65" w14:textId="77777777" w:rsidR="006F044A" w:rsidRDefault="006F044A" w:rsidP="00435298">
      <w:pPr>
        <w:jc w:val="center"/>
        <w:rPr>
          <w:b/>
          <w:bCs/>
          <w:sz w:val="32"/>
          <w:szCs w:val="32"/>
          <w:u w:val="single"/>
        </w:rPr>
      </w:pPr>
    </w:p>
    <w:p w14:paraId="702CC553" w14:textId="77777777" w:rsidR="006F044A" w:rsidRDefault="006F044A" w:rsidP="00435298">
      <w:pPr>
        <w:jc w:val="center"/>
        <w:rPr>
          <w:b/>
          <w:bCs/>
          <w:sz w:val="32"/>
          <w:szCs w:val="32"/>
          <w:u w:val="single"/>
        </w:rPr>
      </w:pPr>
    </w:p>
    <w:p w14:paraId="5C150557" w14:textId="77777777" w:rsidR="006F044A" w:rsidRDefault="006F044A" w:rsidP="00F573C0">
      <w:pPr>
        <w:rPr>
          <w:b/>
          <w:bCs/>
          <w:sz w:val="32"/>
          <w:szCs w:val="32"/>
          <w:u w:val="single"/>
        </w:rPr>
      </w:pPr>
    </w:p>
    <w:p w14:paraId="5D6F2DBB" w14:textId="77777777" w:rsidR="006F044A" w:rsidRDefault="006F044A" w:rsidP="00435298">
      <w:pPr>
        <w:jc w:val="center"/>
        <w:rPr>
          <w:b/>
          <w:bCs/>
          <w:sz w:val="32"/>
          <w:szCs w:val="32"/>
          <w:u w:val="single"/>
        </w:rPr>
      </w:pPr>
    </w:p>
    <w:p w14:paraId="31C47337" w14:textId="2C7D493B" w:rsidR="007454B6" w:rsidRDefault="00435298" w:rsidP="00435298">
      <w:pPr>
        <w:jc w:val="center"/>
        <w:rPr>
          <w:b/>
          <w:bCs/>
          <w:sz w:val="32"/>
          <w:szCs w:val="32"/>
          <w:u w:val="single"/>
        </w:rPr>
      </w:pPr>
      <w:r w:rsidRPr="00435298">
        <w:rPr>
          <w:b/>
          <w:bCs/>
          <w:sz w:val="32"/>
          <w:szCs w:val="32"/>
          <w:u w:val="single"/>
        </w:rPr>
        <w:lastRenderedPageBreak/>
        <w:t>APPENDIX</w:t>
      </w:r>
    </w:p>
    <w:p w14:paraId="45A7A0BE" w14:textId="77777777" w:rsidR="00435298" w:rsidRPr="005D37FA" w:rsidRDefault="00435298" w:rsidP="00435298">
      <w:pPr>
        <w:jc w:val="center"/>
        <w:rPr>
          <w:b/>
          <w:bCs/>
          <w:sz w:val="32"/>
          <w:szCs w:val="32"/>
          <w:u w:val="single"/>
        </w:rPr>
      </w:pPr>
    </w:p>
    <w:p w14:paraId="55A4242B" w14:textId="45DAC169" w:rsidR="008352CD" w:rsidRPr="005D37FA" w:rsidRDefault="008352CD" w:rsidP="008352CD">
      <w:pPr>
        <w:suppressAutoHyphens/>
        <w:autoSpaceDN w:val="0"/>
        <w:jc w:val="center"/>
        <w:rPr>
          <w:rFonts w:ascii="Arial" w:eastAsia="Aptos" w:hAnsi="Arial" w:cs="Arial"/>
          <w:b/>
          <w:bCs/>
          <w:kern w:val="3"/>
          <w:sz w:val="28"/>
          <w:szCs w:val="28"/>
          <w:u w:val="single"/>
          <w:lang w:eastAsia="en-US"/>
          <w14:ligatures w14:val="none"/>
        </w:rPr>
      </w:pPr>
      <w:r w:rsidRPr="005D37FA">
        <w:rPr>
          <w:rFonts w:ascii="Arial" w:eastAsia="Aptos" w:hAnsi="Arial" w:cs="Arial"/>
          <w:b/>
          <w:bCs/>
          <w:kern w:val="3"/>
          <w:sz w:val="28"/>
          <w:szCs w:val="28"/>
          <w:u w:val="single"/>
          <w:lang w:eastAsia="en-US"/>
          <w14:ligatures w14:val="none"/>
        </w:rPr>
        <w:t xml:space="preserve">Appendix A: PRISMA Flow Diagram </w:t>
      </w:r>
      <w:r w:rsidR="000F4514" w:rsidRPr="005D37FA">
        <w:rPr>
          <w:rFonts w:ascii="Arial" w:eastAsia="Aptos" w:hAnsi="Arial" w:cs="Arial"/>
          <w:b/>
          <w:bCs/>
          <w:kern w:val="3"/>
          <w:sz w:val="28"/>
          <w:szCs w:val="28"/>
          <w:u w:val="single"/>
          <w:lang w:eastAsia="en-US"/>
          <w14:ligatures w14:val="none"/>
        </w:rPr>
        <w:t>-</w:t>
      </w:r>
      <w:r w:rsidRPr="005D37FA">
        <w:rPr>
          <w:rFonts w:ascii="Arial" w:eastAsia="Aptos" w:hAnsi="Arial" w:cs="Arial"/>
          <w:b/>
          <w:bCs/>
          <w:kern w:val="3"/>
          <w:sz w:val="28"/>
          <w:szCs w:val="28"/>
          <w:u w:val="single"/>
          <w:lang w:eastAsia="en-US"/>
          <w14:ligatures w14:val="none"/>
        </w:rPr>
        <w:t xml:space="preserve"> Study Selection Process</w:t>
      </w:r>
      <w:r w:rsidR="00B25ECC" w:rsidRPr="005D37FA">
        <w:rPr>
          <w:rFonts w:ascii="Arial" w:eastAsia="Aptos" w:hAnsi="Arial" w:cs="Arial"/>
          <w:b/>
          <w:bCs/>
          <w:kern w:val="3"/>
          <w:sz w:val="28"/>
          <w:szCs w:val="28"/>
          <w:u w:val="single"/>
          <w:lang w:eastAsia="en-US"/>
          <w14:ligatures w14:val="none"/>
        </w:rPr>
        <w:t xml:space="preserve"> (Chapter 1)</w:t>
      </w:r>
    </w:p>
    <w:p w14:paraId="2A3F88E8" w14:textId="77777777" w:rsidR="008352CD" w:rsidRPr="00893AE3" w:rsidRDefault="008352CD" w:rsidP="008C38C3">
      <w:pPr>
        <w:rPr>
          <w:rFonts w:ascii="Arial" w:hAnsi="Arial" w:cs="Arial"/>
        </w:rPr>
      </w:pPr>
    </w:p>
    <w:tbl>
      <w:tblPr>
        <w:tblW w:w="9026" w:type="dxa"/>
        <w:tblCellMar>
          <w:left w:w="10" w:type="dxa"/>
          <w:right w:w="10" w:type="dxa"/>
        </w:tblCellMar>
        <w:tblLook w:val="04A0" w:firstRow="1" w:lastRow="0" w:firstColumn="1" w:lastColumn="0" w:noHBand="0" w:noVBand="1"/>
      </w:tblPr>
      <w:tblGrid>
        <w:gridCol w:w="2635"/>
        <w:gridCol w:w="1097"/>
        <w:gridCol w:w="5294"/>
      </w:tblGrid>
      <w:tr w:rsidR="008352CD" w:rsidRPr="00893AE3" w14:paraId="0F39537F" w14:textId="77777777" w:rsidTr="0050658B">
        <w:tc>
          <w:tcPr>
            <w:tcW w:w="2649" w:type="dxa"/>
            <w:tcBorders>
              <w:bottom w:val="single" w:sz="12" w:space="0" w:color="60CAF3"/>
            </w:tcBorders>
            <w:shd w:val="clear" w:color="auto" w:fill="FFFFFF"/>
            <w:tcMar>
              <w:top w:w="0" w:type="dxa"/>
              <w:left w:w="108" w:type="dxa"/>
              <w:bottom w:w="0" w:type="dxa"/>
              <w:right w:w="108" w:type="dxa"/>
            </w:tcMar>
          </w:tcPr>
          <w:p w14:paraId="1B5CC7FF" w14:textId="77777777" w:rsidR="008352CD" w:rsidRPr="00893AE3" w:rsidRDefault="008352CD" w:rsidP="008352CD">
            <w:pPr>
              <w:autoSpaceDN w:val="0"/>
              <w:spacing w:after="0" w:line="240" w:lineRule="auto"/>
              <w:jc w:val="center"/>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Stage</w:t>
            </w:r>
          </w:p>
        </w:tc>
        <w:tc>
          <w:tcPr>
            <w:tcW w:w="1039" w:type="dxa"/>
            <w:tcBorders>
              <w:bottom w:val="single" w:sz="12" w:space="0" w:color="60CAF3"/>
            </w:tcBorders>
            <w:shd w:val="clear" w:color="auto" w:fill="FFFFFF"/>
            <w:tcMar>
              <w:top w:w="0" w:type="dxa"/>
              <w:left w:w="108" w:type="dxa"/>
              <w:bottom w:w="0" w:type="dxa"/>
              <w:right w:w="108" w:type="dxa"/>
            </w:tcMar>
          </w:tcPr>
          <w:p w14:paraId="5171418D" w14:textId="77777777" w:rsidR="008352CD" w:rsidRPr="00893AE3" w:rsidRDefault="008352CD" w:rsidP="008352CD">
            <w:pPr>
              <w:autoSpaceDN w:val="0"/>
              <w:spacing w:after="0" w:line="240" w:lineRule="auto"/>
              <w:jc w:val="center"/>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Records / Articles</w:t>
            </w:r>
          </w:p>
        </w:tc>
        <w:tc>
          <w:tcPr>
            <w:tcW w:w="5338" w:type="dxa"/>
            <w:tcBorders>
              <w:bottom w:val="single" w:sz="12" w:space="0" w:color="60CAF3"/>
            </w:tcBorders>
            <w:shd w:val="clear" w:color="auto" w:fill="FFFFFF"/>
            <w:tcMar>
              <w:top w:w="0" w:type="dxa"/>
              <w:left w:w="108" w:type="dxa"/>
              <w:bottom w:w="0" w:type="dxa"/>
              <w:right w:w="108" w:type="dxa"/>
            </w:tcMar>
          </w:tcPr>
          <w:p w14:paraId="00EC95BE" w14:textId="77777777" w:rsidR="008352CD" w:rsidRPr="00893AE3" w:rsidRDefault="008352CD" w:rsidP="008352CD">
            <w:pPr>
              <w:autoSpaceDN w:val="0"/>
              <w:spacing w:after="0" w:line="240" w:lineRule="auto"/>
              <w:jc w:val="center"/>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Notes</w:t>
            </w:r>
          </w:p>
        </w:tc>
      </w:tr>
      <w:tr w:rsidR="008352CD" w:rsidRPr="00893AE3" w14:paraId="3DC6DFE6" w14:textId="77777777" w:rsidTr="0050658B">
        <w:tc>
          <w:tcPr>
            <w:tcW w:w="2649" w:type="dxa"/>
            <w:tcBorders>
              <w:top w:val="single" w:sz="2" w:space="0" w:color="60CAF3"/>
              <w:bottom w:val="single" w:sz="2" w:space="0" w:color="60CAF3"/>
              <w:right w:val="single" w:sz="2" w:space="0" w:color="60CAF3"/>
            </w:tcBorders>
            <w:shd w:val="clear" w:color="auto" w:fill="CAEDFB"/>
            <w:tcMar>
              <w:top w:w="0" w:type="dxa"/>
              <w:left w:w="108" w:type="dxa"/>
              <w:bottom w:w="0" w:type="dxa"/>
              <w:right w:w="108" w:type="dxa"/>
            </w:tcMar>
          </w:tcPr>
          <w:p w14:paraId="2544EED4" w14:textId="77777777" w:rsidR="008352CD" w:rsidRPr="00893AE3" w:rsidRDefault="008352CD" w:rsidP="008352CD">
            <w:pPr>
              <w:autoSpaceDN w:val="0"/>
              <w:spacing w:after="0" w:line="240" w:lineRule="auto"/>
              <w:jc w:val="left"/>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Identification</w:t>
            </w:r>
          </w:p>
        </w:tc>
        <w:tc>
          <w:tcPr>
            <w:tcW w:w="1039" w:type="dxa"/>
            <w:tcBorders>
              <w:top w:val="single" w:sz="2" w:space="0" w:color="60CAF3"/>
              <w:left w:val="single" w:sz="2" w:space="0" w:color="60CAF3"/>
              <w:bottom w:val="single" w:sz="2" w:space="0" w:color="60CAF3"/>
              <w:right w:val="single" w:sz="2" w:space="0" w:color="60CAF3"/>
            </w:tcBorders>
            <w:shd w:val="clear" w:color="auto" w:fill="CAEDFB"/>
            <w:tcMar>
              <w:top w:w="0" w:type="dxa"/>
              <w:left w:w="108" w:type="dxa"/>
              <w:bottom w:w="0" w:type="dxa"/>
              <w:right w:w="108" w:type="dxa"/>
            </w:tcMar>
          </w:tcPr>
          <w:p w14:paraId="608B0920"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1,245</w:t>
            </w:r>
          </w:p>
        </w:tc>
        <w:tc>
          <w:tcPr>
            <w:tcW w:w="5338" w:type="dxa"/>
            <w:tcBorders>
              <w:top w:val="single" w:sz="2" w:space="0" w:color="60CAF3"/>
              <w:left w:val="single" w:sz="2" w:space="0" w:color="60CAF3"/>
              <w:bottom w:val="single" w:sz="2" w:space="0" w:color="60CAF3"/>
            </w:tcBorders>
            <w:shd w:val="clear" w:color="auto" w:fill="CAEDFB"/>
            <w:tcMar>
              <w:top w:w="0" w:type="dxa"/>
              <w:left w:w="108" w:type="dxa"/>
              <w:bottom w:w="0" w:type="dxa"/>
              <w:right w:w="108" w:type="dxa"/>
            </w:tcMar>
          </w:tcPr>
          <w:p w14:paraId="6AC0C91D"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Total records identified across all databases and platforms</w:t>
            </w:r>
          </w:p>
          <w:p w14:paraId="50EA0B78" w14:textId="77777777"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tc>
      </w:tr>
      <w:tr w:rsidR="008352CD" w:rsidRPr="00893AE3" w14:paraId="32A11DC7" w14:textId="77777777" w:rsidTr="0050658B">
        <w:tc>
          <w:tcPr>
            <w:tcW w:w="2649" w:type="dxa"/>
            <w:tcBorders>
              <w:top w:val="single" w:sz="2" w:space="0" w:color="60CAF3"/>
              <w:bottom w:val="single" w:sz="2" w:space="0" w:color="60CAF3"/>
              <w:right w:val="single" w:sz="2" w:space="0" w:color="60CAF3"/>
            </w:tcBorders>
            <w:tcMar>
              <w:top w:w="0" w:type="dxa"/>
              <w:left w:w="108" w:type="dxa"/>
              <w:bottom w:w="0" w:type="dxa"/>
              <w:right w:w="108" w:type="dxa"/>
            </w:tcMar>
          </w:tcPr>
          <w:p w14:paraId="11884436" w14:textId="68534B09" w:rsidR="008352CD" w:rsidRPr="00893AE3" w:rsidRDefault="005D25B5" w:rsidP="008352CD">
            <w:pPr>
              <w:autoSpaceDN w:val="0"/>
              <w:spacing w:after="0" w:line="240" w:lineRule="auto"/>
              <w:jc w:val="left"/>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Records after duplicates removed</w:t>
            </w:r>
          </w:p>
        </w:tc>
        <w:tc>
          <w:tcPr>
            <w:tcW w:w="1039" w:type="dxa"/>
            <w:tcBorders>
              <w:top w:val="single" w:sz="2" w:space="0" w:color="60CAF3"/>
              <w:left w:val="single" w:sz="2" w:space="0" w:color="60CAF3"/>
              <w:bottom w:val="single" w:sz="2" w:space="0" w:color="60CAF3"/>
              <w:right w:val="single" w:sz="2" w:space="0" w:color="60CAF3"/>
            </w:tcBorders>
            <w:tcMar>
              <w:top w:w="0" w:type="dxa"/>
              <w:left w:w="108" w:type="dxa"/>
              <w:bottom w:w="0" w:type="dxa"/>
              <w:right w:w="108" w:type="dxa"/>
            </w:tcMar>
          </w:tcPr>
          <w:p w14:paraId="33AD944C"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1,010</w:t>
            </w:r>
          </w:p>
        </w:tc>
        <w:tc>
          <w:tcPr>
            <w:tcW w:w="5338" w:type="dxa"/>
            <w:tcBorders>
              <w:top w:val="single" w:sz="2" w:space="0" w:color="60CAF3"/>
              <w:left w:val="single" w:sz="2" w:space="0" w:color="60CAF3"/>
              <w:bottom w:val="single" w:sz="2" w:space="0" w:color="60CAF3"/>
            </w:tcBorders>
            <w:tcMar>
              <w:top w:w="0" w:type="dxa"/>
              <w:left w:w="108" w:type="dxa"/>
              <w:bottom w:w="0" w:type="dxa"/>
              <w:right w:w="108" w:type="dxa"/>
            </w:tcMar>
          </w:tcPr>
          <w:p w14:paraId="1D4C4FBC"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235 duplicates removed</w:t>
            </w:r>
          </w:p>
          <w:p w14:paraId="55966DDB" w14:textId="77777777"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p w14:paraId="251F08CB" w14:textId="77777777"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tc>
      </w:tr>
      <w:tr w:rsidR="008352CD" w:rsidRPr="00893AE3" w14:paraId="66705D4C" w14:textId="77777777" w:rsidTr="0050658B">
        <w:tc>
          <w:tcPr>
            <w:tcW w:w="2649" w:type="dxa"/>
            <w:tcBorders>
              <w:top w:val="single" w:sz="2" w:space="0" w:color="60CAF3"/>
              <w:bottom w:val="single" w:sz="2" w:space="0" w:color="60CAF3"/>
              <w:right w:val="single" w:sz="2" w:space="0" w:color="60CAF3"/>
            </w:tcBorders>
            <w:shd w:val="clear" w:color="auto" w:fill="CAEDFB"/>
            <w:tcMar>
              <w:top w:w="0" w:type="dxa"/>
              <w:left w:w="108" w:type="dxa"/>
              <w:bottom w:w="0" w:type="dxa"/>
              <w:right w:w="108" w:type="dxa"/>
            </w:tcMar>
          </w:tcPr>
          <w:p w14:paraId="6A002073" w14:textId="77777777" w:rsidR="008352CD" w:rsidRPr="00893AE3" w:rsidRDefault="008352CD" w:rsidP="008352CD">
            <w:pPr>
              <w:autoSpaceDN w:val="0"/>
              <w:spacing w:after="0" w:line="240" w:lineRule="auto"/>
              <w:jc w:val="left"/>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Screening (titles &amp; abstracts)</w:t>
            </w:r>
          </w:p>
        </w:tc>
        <w:tc>
          <w:tcPr>
            <w:tcW w:w="1039" w:type="dxa"/>
            <w:tcBorders>
              <w:top w:val="single" w:sz="2" w:space="0" w:color="60CAF3"/>
              <w:left w:val="single" w:sz="2" w:space="0" w:color="60CAF3"/>
              <w:bottom w:val="single" w:sz="2" w:space="0" w:color="60CAF3"/>
              <w:right w:val="single" w:sz="2" w:space="0" w:color="60CAF3"/>
            </w:tcBorders>
            <w:shd w:val="clear" w:color="auto" w:fill="CAEDFB"/>
            <w:tcMar>
              <w:top w:w="0" w:type="dxa"/>
              <w:left w:w="108" w:type="dxa"/>
              <w:bottom w:w="0" w:type="dxa"/>
              <w:right w:w="108" w:type="dxa"/>
            </w:tcMar>
          </w:tcPr>
          <w:p w14:paraId="21E9CEB8"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1,010</w:t>
            </w:r>
          </w:p>
        </w:tc>
        <w:tc>
          <w:tcPr>
            <w:tcW w:w="5338" w:type="dxa"/>
            <w:tcBorders>
              <w:top w:val="single" w:sz="2" w:space="0" w:color="60CAF3"/>
              <w:left w:val="single" w:sz="2" w:space="0" w:color="60CAF3"/>
              <w:bottom w:val="single" w:sz="2" w:space="0" w:color="60CAF3"/>
            </w:tcBorders>
            <w:shd w:val="clear" w:color="auto" w:fill="CAEDFB"/>
            <w:tcMar>
              <w:top w:w="0" w:type="dxa"/>
              <w:left w:w="108" w:type="dxa"/>
              <w:bottom w:w="0" w:type="dxa"/>
              <w:right w:w="108" w:type="dxa"/>
            </w:tcMar>
          </w:tcPr>
          <w:p w14:paraId="5926821E"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Applied inclusion/exclusion criteria</w:t>
            </w:r>
          </w:p>
          <w:p w14:paraId="705FDB73" w14:textId="77777777"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p w14:paraId="21AC34C0" w14:textId="77777777"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tc>
      </w:tr>
      <w:tr w:rsidR="008352CD" w:rsidRPr="00893AE3" w14:paraId="32795829" w14:textId="77777777" w:rsidTr="0050658B">
        <w:tc>
          <w:tcPr>
            <w:tcW w:w="2649" w:type="dxa"/>
            <w:tcBorders>
              <w:top w:val="single" w:sz="2" w:space="0" w:color="60CAF3"/>
              <w:bottom w:val="single" w:sz="2" w:space="0" w:color="60CAF3"/>
              <w:right w:val="single" w:sz="2" w:space="0" w:color="60CAF3"/>
            </w:tcBorders>
            <w:tcMar>
              <w:top w:w="0" w:type="dxa"/>
              <w:left w:w="108" w:type="dxa"/>
              <w:bottom w:w="0" w:type="dxa"/>
              <w:right w:w="108" w:type="dxa"/>
            </w:tcMar>
          </w:tcPr>
          <w:p w14:paraId="7FB82B9C" w14:textId="77777777" w:rsidR="008352CD" w:rsidRPr="00893AE3" w:rsidRDefault="008352CD" w:rsidP="008352CD">
            <w:pPr>
              <w:autoSpaceDN w:val="0"/>
              <w:spacing w:after="0" w:line="240" w:lineRule="auto"/>
              <w:jc w:val="left"/>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Records excluded</w:t>
            </w:r>
          </w:p>
        </w:tc>
        <w:tc>
          <w:tcPr>
            <w:tcW w:w="1039" w:type="dxa"/>
            <w:tcBorders>
              <w:top w:val="single" w:sz="2" w:space="0" w:color="60CAF3"/>
              <w:left w:val="single" w:sz="2" w:space="0" w:color="60CAF3"/>
              <w:bottom w:val="single" w:sz="2" w:space="0" w:color="60CAF3"/>
              <w:right w:val="single" w:sz="2" w:space="0" w:color="60CAF3"/>
            </w:tcBorders>
            <w:tcMar>
              <w:top w:w="0" w:type="dxa"/>
              <w:left w:w="108" w:type="dxa"/>
              <w:bottom w:w="0" w:type="dxa"/>
              <w:right w:w="108" w:type="dxa"/>
            </w:tcMar>
          </w:tcPr>
          <w:p w14:paraId="576DFB4D"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780</w:t>
            </w:r>
          </w:p>
        </w:tc>
        <w:tc>
          <w:tcPr>
            <w:tcW w:w="5338" w:type="dxa"/>
            <w:tcBorders>
              <w:top w:val="single" w:sz="2" w:space="0" w:color="60CAF3"/>
              <w:left w:val="single" w:sz="2" w:space="0" w:color="60CAF3"/>
              <w:bottom w:val="single" w:sz="2" w:space="0" w:color="60CAF3"/>
            </w:tcBorders>
            <w:tcMar>
              <w:top w:w="0" w:type="dxa"/>
              <w:left w:w="108" w:type="dxa"/>
              <w:bottom w:w="0" w:type="dxa"/>
              <w:right w:w="108" w:type="dxa"/>
            </w:tcMar>
          </w:tcPr>
          <w:p w14:paraId="52E27EF8"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Non-UK studies, pre-2015 publications, populations &lt;65, opinion pieces, irrelevant interventions</w:t>
            </w:r>
          </w:p>
          <w:p w14:paraId="314EAE16" w14:textId="77777777"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tc>
      </w:tr>
      <w:tr w:rsidR="008352CD" w:rsidRPr="00893AE3" w14:paraId="41B1C183" w14:textId="77777777" w:rsidTr="0050658B">
        <w:tc>
          <w:tcPr>
            <w:tcW w:w="2649" w:type="dxa"/>
            <w:tcBorders>
              <w:top w:val="single" w:sz="2" w:space="0" w:color="60CAF3"/>
              <w:bottom w:val="single" w:sz="2" w:space="0" w:color="60CAF3"/>
              <w:right w:val="single" w:sz="2" w:space="0" w:color="60CAF3"/>
            </w:tcBorders>
            <w:shd w:val="clear" w:color="auto" w:fill="CAEDFB"/>
            <w:tcMar>
              <w:top w:w="0" w:type="dxa"/>
              <w:left w:w="108" w:type="dxa"/>
              <w:bottom w:w="0" w:type="dxa"/>
              <w:right w:w="108" w:type="dxa"/>
            </w:tcMar>
          </w:tcPr>
          <w:p w14:paraId="7437F263" w14:textId="77777777" w:rsidR="008352CD" w:rsidRPr="00893AE3" w:rsidRDefault="008352CD" w:rsidP="008352CD">
            <w:pPr>
              <w:autoSpaceDN w:val="0"/>
              <w:spacing w:after="0" w:line="240" w:lineRule="auto"/>
              <w:jc w:val="left"/>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Full-text articles assessed for eligibility</w:t>
            </w:r>
          </w:p>
        </w:tc>
        <w:tc>
          <w:tcPr>
            <w:tcW w:w="1039" w:type="dxa"/>
            <w:tcBorders>
              <w:top w:val="single" w:sz="2" w:space="0" w:color="60CAF3"/>
              <w:left w:val="single" w:sz="2" w:space="0" w:color="60CAF3"/>
              <w:bottom w:val="single" w:sz="2" w:space="0" w:color="60CAF3"/>
              <w:right w:val="single" w:sz="2" w:space="0" w:color="60CAF3"/>
            </w:tcBorders>
            <w:shd w:val="clear" w:color="auto" w:fill="CAEDFB"/>
            <w:tcMar>
              <w:top w:w="0" w:type="dxa"/>
              <w:left w:w="108" w:type="dxa"/>
              <w:bottom w:w="0" w:type="dxa"/>
              <w:right w:w="108" w:type="dxa"/>
            </w:tcMar>
          </w:tcPr>
          <w:p w14:paraId="215AA379"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230</w:t>
            </w:r>
          </w:p>
        </w:tc>
        <w:tc>
          <w:tcPr>
            <w:tcW w:w="5338" w:type="dxa"/>
            <w:tcBorders>
              <w:top w:val="single" w:sz="2" w:space="0" w:color="60CAF3"/>
              <w:left w:val="single" w:sz="2" w:space="0" w:color="60CAF3"/>
              <w:bottom w:val="single" w:sz="2" w:space="0" w:color="60CAF3"/>
            </w:tcBorders>
            <w:shd w:val="clear" w:color="auto" w:fill="CAEDFB"/>
            <w:tcMar>
              <w:top w:w="0" w:type="dxa"/>
              <w:left w:w="108" w:type="dxa"/>
              <w:bottom w:w="0" w:type="dxa"/>
              <w:right w:w="108" w:type="dxa"/>
            </w:tcMar>
          </w:tcPr>
          <w:p w14:paraId="38072C36"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Reviewed for relevance, methodology transparency, and outcome measurement</w:t>
            </w:r>
          </w:p>
          <w:p w14:paraId="2D3E14D4" w14:textId="77777777"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tc>
      </w:tr>
      <w:tr w:rsidR="008352CD" w:rsidRPr="00893AE3" w14:paraId="201E414A" w14:textId="77777777" w:rsidTr="0050658B">
        <w:tc>
          <w:tcPr>
            <w:tcW w:w="2649" w:type="dxa"/>
            <w:tcBorders>
              <w:top w:val="single" w:sz="2" w:space="0" w:color="60CAF3"/>
              <w:bottom w:val="single" w:sz="2" w:space="0" w:color="60CAF3"/>
              <w:right w:val="single" w:sz="2" w:space="0" w:color="60CAF3"/>
            </w:tcBorders>
            <w:tcMar>
              <w:top w:w="0" w:type="dxa"/>
              <w:left w:w="108" w:type="dxa"/>
              <w:bottom w:w="0" w:type="dxa"/>
              <w:right w:w="108" w:type="dxa"/>
            </w:tcMar>
          </w:tcPr>
          <w:p w14:paraId="5B5996C7" w14:textId="77777777" w:rsidR="008352CD" w:rsidRPr="00893AE3" w:rsidRDefault="008352CD" w:rsidP="008352CD">
            <w:pPr>
              <w:autoSpaceDN w:val="0"/>
              <w:spacing w:after="0" w:line="240" w:lineRule="auto"/>
              <w:jc w:val="left"/>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Full-text articles excluded</w:t>
            </w:r>
          </w:p>
        </w:tc>
        <w:tc>
          <w:tcPr>
            <w:tcW w:w="1039" w:type="dxa"/>
            <w:tcBorders>
              <w:top w:val="single" w:sz="2" w:space="0" w:color="60CAF3"/>
              <w:left w:val="single" w:sz="2" w:space="0" w:color="60CAF3"/>
              <w:bottom w:val="single" w:sz="2" w:space="0" w:color="60CAF3"/>
              <w:right w:val="single" w:sz="2" w:space="0" w:color="60CAF3"/>
            </w:tcBorders>
            <w:tcMar>
              <w:top w:w="0" w:type="dxa"/>
              <w:left w:w="108" w:type="dxa"/>
              <w:bottom w:w="0" w:type="dxa"/>
              <w:right w:w="108" w:type="dxa"/>
            </w:tcMar>
          </w:tcPr>
          <w:p w14:paraId="16FA487B" w14:textId="65EC5251"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1</w:t>
            </w:r>
            <w:r w:rsidR="00E43FB2" w:rsidRPr="00893AE3">
              <w:rPr>
                <w:rFonts w:ascii="Arial" w:eastAsia="Times New Roman" w:hAnsi="Arial" w:cs="Arial"/>
                <w:kern w:val="0"/>
                <w:lang w:eastAsia="en-GB"/>
                <w14:ligatures w14:val="none"/>
              </w:rPr>
              <w:t>85</w:t>
            </w:r>
          </w:p>
        </w:tc>
        <w:tc>
          <w:tcPr>
            <w:tcW w:w="5338" w:type="dxa"/>
            <w:tcBorders>
              <w:top w:val="single" w:sz="2" w:space="0" w:color="60CAF3"/>
              <w:left w:val="single" w:sz="2" w:space="0" w:color="60CAF3"/>
              <w:bottom w:val="single" w:sz="2" w:space="0" w:color="60CAF3"/>
            </w:tcBorders>
            <w:tcMar>
              <w:top w:w="0" w:type="dxa"/>
              <w:left w:w="108" w:type="dxa"/>
              <w:bottom w:w="0" w:type="dxa"/>
              <w:right w:w="108" w:type="dxa"/>
            </w:tcMar>
          </w:tcPr>
          <w:p w14:paraId="26B8000E" w14:textId="77777777" w:rsidR="008352CD" w:rsidRPr="00893AE3" w:rsidRDefault="008352CD"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Excluded for non-relevant outcomes, unclear methodology, anecdotal-only reports</w:t>
            </w:r>
          </w:p>
          <w:p w14:paraId="1ABB57A6" w14:textId="77777777"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tc>
      </w:tr>
      <w:tr w:rsidR="008352CD" w:rsidRPr="00893AE3" w14:paraId="5FFAC41F" w14:textId="77777777" w:rsidTr="0050658B">
        <w:tc>
          <w:tcPr>
            <w:tcW w:w="2649" w:type="dxa"/>
            <w:tcBorders>
              <w:top w:val="single" w:sz="2" w:space="0" w:color="60CAF3"/>
              <w:bottom w:val="single" w:sz="2" w:space="0" w:color="60CAF3"/>
              <w:right w:val="single" w:sz="2" w:space="0" w:color="60CAF3"/>
            </w:tcBorders>
            <w:shd w:val="clear" w:color="auto" w:fill="CAEDFB"/>
            <w:tcMar>
              <w:top w:w="0" w:type="dxa"/>
              <w:left w:w="108" w:type="dxa"/>
              <w:bottom w:w="0" w:type="dxa"/>
              <w:right w:w="108" w:type="dxa"/>
            </w:tcMar>
          </w:tcPr>
          <w:p w14:paraId="43BB8062" w14:textId="77777777" w:rsidR="008352CD" w:rsidRPr="00893AE3" w:rsidRDefault="008352CD" w:rsidP="008352CD">
            <w:pPr>
              <w:autoSpaceDN w:val="0"/>
              <w:spacing w:after="0" w:line="240" w:lineRule="auto"/>
              <w:jc w:val="left"/>
              <w:rPr>
                <w:rFonts w:ascii="Arial" w:eastAsia="Times New Roman" w:hAnsi="Arial" w:cs="Arial"/>
                <w:b/>
                <w:bCs/>
                <w:kern w:val="0"/>
                <w:lang w:eastAsia="en-GB"/>
                <w14:ligatures w14:val="none"/>
              </w:rPr>
            </w:pPr>
            <w:r w:rsidRPr="00893AE3">
              <w:rPr>
                <w:rFonts w:ascii="Arial" w:eastAsia="Times New Roman" w:hAnsi="Arial" w:cs="Arial"/>
                <w:b/>
                <w:bCs/>
                <w:kern w:val="0"/>
                <w:lang w:eastAsia="en-GB"/>
                <w14:ligatures w14:val="none"/>
              </w:rPr>
              <w:t>Studies included in final synthesis</w:t>
            </w:r>
          </w:p>
        </w:tc>
        <w:tc>
          <w:tcPr>
            <w:tcW w:w="1039" w:type="dxa"/>
            <w:tcBorders>
              <w:top w:val="single" w:sz="2" w:space="0" w:color="60CAF3"/>
              <w:left w:val="single" w:sz="2" w:space="0" w:color="60CAF3"/>
              <w:bottom w:val="single" w:sz="2" w:space="0" w:color="60CAF3"/>
              <w:right w:val="single" w:sz="2" w:space="0" w:color="60CAF3"/>
            </w:tcBorders>
            <w:shd w:val="clear" w:color="auto" w:fill="CAEDFB"/>
            <w:tcMar>
              <w:top w:w="0" w:type="dxa"/>
              <w:left w:w="108" w:type="dxa"/>
              <w:bottom w:w="0" w:type="dxa"/>
              <w:right w:w="108" w:type="dxa"/>
            </w:tcMar>
          </w:tcPr>
          <w:p w14:paraId="0B391AE7" w14:textId="66E4E49F" w:rsidR="008352CD" w:rsidRPr="00893AE3" w:rsidRDefault="00E43FB2"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45</w:t>
            </w:r>
          </w:p>
        </w:tc>
        <w:tc>
          <w:tcPr>
            <w:tcW w:w="5338" w:type="dxa"/>
            <w:tcBorders>
              <w:top w:val="single" w:sz="2" w:space="0" w:color="60CAF3"/>
              <w:left w:val="single" w:sz="2" w:space="0" w:color="60CAF3"/>
              <w:bottom w:val="single" w:sz="2" w:space="0" w:color="60CAF3"/>
            </w:tcBorders>
            <w:shd w:val="clear" w:color="auto" w:fill="CAEDFB"/>
            <w:tcMar>
              <w:top w:w="0" w:type="dxa"/>
              <w:left w:w="108" w:type="dxa"/>
              <w:bottom w:w="0" w:type="dxa"/>
              <w:right w:w="108" w:type="dxa"/>
            </w:tcMar>
          </w:tcPr>
          <w:p w14:paraId="61C69086" w14:textId="77777777" w:rsidR="008352CD" w:rsidRPr="00893AE3" w:rsidRDefault="006D5659" w:rsidP="008352CD">
            <w:pPr>
              <w:autoSpaceDN w:val="0"/>
              <w:spacing w:after="0" w:line="240" w:lineRule="auto"/>
              <w:jc w:val="left"/>
              <w:rPr>
                <w:rFonts w:ascii="Arial" w:eastAsia="Times New Roman" w:hAnsi="Arial" w:cs="Arial"/>
                <w:kern w:val="0"/>
                <w:lang w:eastAsia="en-GB"/>
                <w14:ligatures w14:val="none"/>
              </w:rPr>
            </w:pPr>
            <w:r w:rsidRPr="00893AE3">
              <w:rPr>
                <w:rFonts w:ascii="Arial" w:eastAsia="Times New Roman" w:hAnsi="Arial" w:cs="Arial"/>
                <w:kern w:val="0"/>
                <w:lang w:eastAsia="en-GB"/>
                <w14:ligatures w14:val="none"/>
              </w:rPr>
              <w:t>Included in the final thematic synthesis for Chapter 4.</w:t>
            </w:r>
          </w:p>
          <w:p w14:paraId="28C9C797" w14:textId="724D996D" w:rsidR="005D25B5" w:rsidRPr="00893AE3" w:rsidRDefault="005D25B5" w:rsidP="008352CD">
            <w:pPr>
              <w:autoSpaceDN w:val="0"/>
              <w:spacing w:after="0" w:line="240" w:lineRule="auto"/>
              <w:jc w:val="left"/>
              <w:rPr>
                <w:rFonts w:ascii="Arial" w:eastAsia="Times New Roman" w:hAnsi="Arial" w:cs="Arial"/>
                <w:kern w:val="0"/>
                <w:lang w:eastAsia="en-GB"/>
                <w14:ligatures w14:val="none"/>
              </w:rPr>
            </w:pPr>
          </w:p>
        </w:tc>
      </w:tr>
    </w:tbl>
    <w:p w14:paraId="0B738603" w14:textId="77777777" w:rsidR="008352CD" w:rsidRPr="00893AE3" w:rsidRDefault="008352CD" w:rsidP="008C38C3">
      <w:pPr>
        <w:rPr>
          <w:rFonts w:ascii="Arial" w:hAnsi="Arial" w:cs="Arial"/>
        </w:rPr>
      </w:pPr>
    </w:p>
    <w:p w14:paraId="5CDDCC79" w14:textId="77777777" w:rsidR="00164F69" w:rsidRPr="00893AE3" w:rsidRDefault="00164F69" w:rsidP="008C38C3">
      <w:pPr>
        <w:rPr>
          <w:rFonts w:ascii="Arial" w:hAnsi="Arial" w:cs="Arial"/>
        </w:rPr>
      </w:pPr>
    </w:p>
    <w:p w14:paraId="6DD165E0" w14:textId="77777777" w:rsidR="00164F69" w:rsidRPr="00893AE3" w:rsidRDefault="00164F69" w:rsidP="008C38C3">
      <w:pPr>
        <w:rPr>
          <w:rFonts w:ascii="Arial" w:hAnsi="Arial" w:cs="Arial"/>
        </w:rPr>
      </w:pPr>
    </w:p>
    <w:p w14:paraId="0DE69809" w14:textId="77777777" w:rsidR="00164F69" w:rsidRPr="00893AE3" w:rsidRDefault="00164F69" w:rsidP="008C38C3">
      <w:pPr>
        <w:rPr>
          <w:rFonts w:ascii="Arial" w:hAnsi="Arial" w:cs="Arial"/>
        </w:rPr>
      </w:pPr>
    </w:p>
    <w:p w14:paraId="1850A288" w14:textId="77777777" w:rsidR="00164F69" w:rsidRPr="00893AE3" w:rsidRDefault="00164F69" w:rsidP="008C38C3">
      <w:pPr>
        <w:rPr>
          <w:rFonts w:ascii="Arial" w:hAnsi="Arial" w:cs="Arial"/>
        </w:rPr>
      </w:pPr>
    </w:p>
    <w:p w14:paraId="5DD77178" w14:textId="77777777" w:rsidR="00164F69" w:rsidRPr="00893AE3" w:rsidRDefault="00164F69" w:rsidP="008C38C3">
      <w:pPr>
        <w:rPr>
          <w:rFonts w:ascii="Arial" w:hAnsi="Arial" w:cs="Arial"/>
        </w:rPr>
      </w:pPr>
    </w:p>
    <w:p w14:paraId="1538A5DA" w14:textId="77777777" w:rsidR="00164F69" w:rsidRPr="00893AE3" w:rsidRDefault="00164F69" w:rsidP="008C38C3">
      <w:pPr>
        <w:rPr>
          <w:rFonts w:ascii="Arial" w:hAnsi="Arial" w:cs="Arial"/>
        </w:rPr>
      </w:pPr>
    </w:p>
    <w:p w14:paraId="4E251C8B" w14:textId="77777777" w:rsidR="00164F69" w:rsidRPr="00893AE3" w:rsidRDefault="00164F69" w:rsidP="008C38C3">
      <w:pPr>
        <w:rPr>
          <w:rFonts w:ascii="Arial" w:hAnsi="Arial" w:cs="Arial"/>
        </w:rPr>
      </w:pPr>
    </w:p>
    <w:p w14:paraId="15F75CF2" w14:textId="77777777" w:rsidR="00164F69" w:rsidRPr="00893AE3" w:rsidRDefault="00164F69" w:rsidP="008C38C3">
      <w:pPr>
        <w:rPr>
          <w:rFonts w:ascii="Arial" w:hAnsi="Arial" w:cs="Arial"/>
        </w:rPr>
      </w:pPr>
    </w:p>
    <w:p w14:paraId="464D7B7C" w14:textId="4805F12B" w:rsidR="00164F69" w:rsidRPr="00893AE3" w:rsidRDefault="00164F69" w:rsidP="00164F69">
      <w:pPr>
        <w:jc w:val="center"/>
        <w:rPr>
          <w:rFonts w:ascii="Arial" w:hAnsi="Arial" w:cs="Arial"/>
          <w:b/>
          <w:bCs/>
          <w:sz w:val="24"/>
          <w:szCs w:val="24"/>
          <w:u w:val="single"/>
        </w:rPr>
      </w:pPr>
      <w:r w:rsidRPr="005D37FA">
        <w:rPr>
          <w:rFonts w:ascii="Arial" w:eastAsia="Aptos" w:hAnsi="Arial" w:cs="Arial"/>
          <w:noProof/>
          <w:kern w:val="3"/>
          <w:sz w:val="28"/>
          <w:szCs w:val="28"/>
          <w:lang w:eastAsia="en-US"/>
          <w14:ligatures w14:val="none"/>
        </w:rPr>
        <w:lastRenderedPageBreak/>
        <w:drawing>
          <wp:anchor distT="0" distB="0" distL="114300" distR="114300" simplePos="0" relativeHeight="251660288" behindDoc="0" locked="0" layoutInCell="1" allowOverlap="1" wp14:anchorId="0A1A7838" wp14:editId="32EA097E">
            <wp:simplePos x="0" y="0"/>
            <wp:positionH relativeFrom="column">
              <wp:posOffset>-207010</wp:posOffset>
            </wp:positionH>
            <wp:positionV relativeFrom="paragraph">
              <wp:posOffset>434340</wp:posOffset>
            </wp:positionV>
            <wp:extent cx="6099175" cy="6900545"/>
            <wp:effectExtent l="0" t="0" r="0" b="0"/>
            <wp:wrapTopAndBottom/>
            <wp:docPr id="1027594419"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a:stretch>
                      <a:fillRect/>
                    </a:stretch>
                  </pic:blipFill>
                  <pic:spPr>
                    <a:xfrm>
                      <a:off x="0" y="0"/>
                      <a:ext cx="6099175" cy="6900545"/>
                    </a:xfrm>
                    <a:prstGeom prst="rect">
                      <a:avLst/>
                    </a:prstGeom>
                    <a:noFill/>
                    <a:ln>
                      <a:noFill/>
                      <a:prstDash/>
                    </a:ln>
                  </pic:spPr>
                </pic:pic>
              </a:graphicData>
            </a:graphic>
          </wp:anchor>
        </w:drawing>
      </w:r>
      <w:r w:rsidRPr="005D37FA">
        <w:rPr>
          <w:rFonts w:ascii="Arial" w:hAnsi="Arial" w:cs="Arial"/>
          <w:b/>
          <w:bCs/>
          <w:sz w:val="28"/>
          <w:szCs w:val="28"/>
          <w:u w:val="single"/>
        </w:rPr>
        <w:t>Appendix B: Conceptual Framework (Chapter</w:t>
      </w:r>
      <w:r w:rsidRPr="005D37FA">
        <w:rPr>
          <w:rFonts w:ascii="Arial" w:hAnsi="Arial" w:cs="Arial"/>
          <w:b/>
          <w:bCs/>
          <w:sz w:val="32"/>
          <w:szCs w:val="32"/>
          <w:u w:val="single"/>
        </w:rPr>
        <w:t xml:space="preserve"> </w:t>
      </w:r>
      <w:r w:rsidRPr="005D37FA">
        <w:rPr>
          <w:rFonts w:ascii="Arial" w:hAnsi="Arial" w:cs="Arial"/>
          <w:b/>
          <w:bCs/>
          <w:sz w:val="28"/>
          <w:szCs w:val="28"/>
          <w:u w:val="single"/>
        </w:rPr>
        <w:t>2)</w:t>
      </w:r>
    </w:p>
    <w:p w14:paraId="4E7ADDA4" w14:textId="174A4D00" w:rsidR="00164F69" w:rsidRPr="00893AE3" w:rsidRDefault="00164F69" w:rsidP="008C38C3">
      <w:pPr>
        <w:rPr>
          <w:rFonts w:ascii="Arial" w:hAnsi="Arial" w:cs="Arial"/>
        </w:rPr>
      </w:pPr>
    </w:p>
    <w:p w14:paraId="3D784D8D" w14:textId="38BC9113" w:rsidR="00164F69" w:rsidRPr="00893AE3" w:rsidRDefault="00164F69" w:rsidP="008C38C3">
      <w:pPr>
        <w:rPr>
          <w:rFonts w:ascii="Arial" w:hAnsi="Arial" w:cs="Arial"/>
        </w:rPr>
      </w:pPr>
    </w:p>
    <w:p w14:paraId="6FACF791" w14:textId="77777777" w:rsidR="00164F69" w:rsidRDefault="00164F69" w:rsidP="008C38C3">
      <w:pPr>
        <w:rPr>
          <w:rFonts w:ascii="Arial" w:hAnsi="Arial" w:cs="Arial"/>
        </w:rPr>
      </w:pPr>
    </w:p>
    <w:p w14:paraId="0C8A1004" w14:textId="77777777" w:rsidR="005D37FA" w:rsidRPr="00893AE3" w:rsidRDefault="005D37FA" w:rsidP="008C38C3">
      <w:pPr>
        <w:rPr>
          <w:rFonts w:ascii="Arial" w:hAnsi="Arial" w:cs="Arial"/>
        </w:rPr>
      </w:pPr>
    </w:p>
    <w:p w14:paraId="691973BA" w14:textId="3FEF3623" w:rsidR="00164F69" w:rsidRPr="005D37FA" w:rsidRDefault="00164F69" w:rsidP="00164F69">
      <w:pPr>
        <w:autoSpaceDN w:val="0"/>
        <w:spacing w:before="100" w:after="100" w:line="240" w:lineRule="auto"/>
        <w:jc w:val="center"/>
        <w:outlineLvl w:val="2"/>
        <w:rPr>
          <w:rFonts w:ascii="Arial" w:eastAsia="Times New Roman" w:hAnsi="Arial" w:cs="Arial"/>
          <w:b/>
          <w:bCs/>
          <w:kern w:val="0"/>
          <w:sz w:val="28"/>
          <w:szCs w:val="28"/>
          <w:u w:val="single"/>
          <w:lang w:eastAsia="en-GB"/>
          <w14:ligatures w14:val="none"/>
        </w:rPr>
      </w:pPr>
      <w:r w:rsidRPr="005D37FA">
        <w:rPr>
          <w:rFonts w:ascii="Arial" w:eastAsia="Times New Roman" w:hAnsi="Arial" w:cs="Arial"/>
          <w:b/>
          <w:bCs/>
          <w:kern w:val="0"/>
          <w:sz w:val="28"/>
          <w:szCs w:val="28"/>
          <w:u w:val="single"/>
          <w:lang w:eastAsia="en-GB"/>
          <w14:ligatures w14:val="none"/>
        </w:rPr>
        <w:lastRenderedPageBreak/>
        <w:t>Appendix C: Search Strategy Lo</w:t>
      </w:r>
      <w:r w:rsidR="009A6178" w:rsidRPr="005D37FA">
        <w:rPr>
          <w:rFonts w:ascii="Arial" w:eastAsia="Times New Roman" w:hAnsi="Arial" w:cs="Arial"/>
          <w:b/>
          <w:bCs/>
          <w:kern w:val="0"/>
          <w:sz w:val="28"/>
          <w:szCs w:val="28"/>
          <w:u w:val="single"/>
          <w:lang w:eastAsia="en-GB"/>
          <w14:ligatures w14:val="none"/>
        </w:rPr>
        <w:t>g (Chapter 3)</w:t>
      </w:r>
    </w:p>
    <w:p w14:paraId="4DB8CA47" w14:textId="77777777" w:rsidR="00194ED5" w:rsidRPr="005D37FA" w:rsidRDefault="00194ED5" w:rsidP="00164F69">
      <w:pPr>
        <w:autoSpaceDN w:val="0"/>
        <w:spacing w:before="100" w:after="100" w:line="240" w:lineRule="auto"/>
        <w:jc w:val="center"/>
        <w:outlineLvl w:val="2"/>
        <w:rPr>
          <w:rFonts w:ascii="Arial" w:eastAsia="Times New Roman" w:hAnsi="Arial" w:cs="Arial"/>
          <w:b/>
          <w:bCs/>
          <w:kern w:val="0"/>
          <w:sz w:val="28"/>
          <w:szCs w:val="28"/>
          <w:u w:val="single"/>
          <w:lang w:eastAsia="en-GB"/>
          <w14:ligatures w14:val="none"/>
        </w:rPr>
      </w:pPr>
    </w:p>
    <w:p w14:paraId="1BAFF648" w14:textId="77777777" w:rsidR="00194ED5" w:rsidRPr="00893AE3" w:rsidRDefault="00194ED5" w:rsidP="00164F69">
      <w:pPr>
        <w:autoSpaceDN w:val="0"/>
        <w:spacing w:before="100" w:after="100" w:line="240" w:lineRule="auto"/>
        <w:jc w:val="center"/>
        <w:outlineLvl w:val="2"/>
        <w:rPr>
          <w:rFonts w:ascii="Arial" w:eastAsia="Times New Roman" w:hAnsi="Arial" w:cs="Arial"/>
          <w:b/>
          <w:bCs/>
          <w:kern w:val="0"/>
          <w:sz w:val="24"/>
          <w:szCs w:val="24"/>
          <w:u w:val="single"/>
          <w:lang w:eastAsia="en-GB"/>
          <w14:ligatures w14:val="none"/>
        </w:rPr>
      </w:pPr>
    </w:p>
    <w:tbl>
      <w:tblPr>
        <w:tblStyle w:val="GridTable4-Accent5"/>
        <w:tblW w:w="9026" w:type="dxa"/>
        <w:tblLayout w:type="fixed"/>
        <w:tblLook w:val="04A0" w:firstRow="1" w:lastRow="0" w:firstColumn="1" w:lastColumn="0" w:noHBand="0" w:noVBand="1"/>
      </w:tblPr>
      <w:tblGrid>
        <w:gridCol w:w="1696"/>
        <w:gridCol w:w="2115"/>
        <w:gridCol w:w="867"/>
        <w:gridCol w:w="1413"/>
        <w:gridCol w:w="1167"/>
        <w:gridCol w:w="1768"/>
      </w:tblGrid>
      <w:tr w:rsidR="00023A30" w:rsidRPr="00893AE3" w14:paraId="2C51DC57" w14:textId="77777777" w:rsidTr="00223A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BA9A21D" w14:textId="77777777" w:rsidR="00194ED5" w:rsidRPr="005D37FA" w:rsidRDefault="00194ED5" w:rsidP="00194ED5">
            <w:pPr>
              <w:autoSpaceDN w:val="0"/>
              <w:spacing w:line="240" w:lineRule="auto"/>
              <w:jc w:val="center"/>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Database / Platform</w:t>
            </w:r>
          </w:p>
        </w:tc>
        <w:tc>
          <w:tcPr>
            <w:tcW w:w="2115" w:type="dxa"/>
          </w:tcPr>
          <w:p w14:paraId="55BCEFFA" w14:textId="77777777" w:rsidR="00194ED5" w:rsidRPr="005D37FA" w:rsidRDefault="00194ED5" w:rsidP="00194ED5">
            <w:pPr>
              <w:autoSpaceDN w:val="0"/>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Keywords / Search Strings</w:t>
            </w:r>
          </w:p>
        </w:tc>
        <w:tc>
          <w:tcPr>
            <w:tcW w:w="867" w:type="dxa"/>
          </w:tcPr>
          <w:p w14:paraId="4C4F2190" w14:textId="77777777" w:rsidR="00194ED5" w:rsidRPr="005D37FA" w:rsidRDefault="00194ED5" w:rsidP="00194ED5">
            <w:pPr>
              <w:autoSpaceDN w:val="0"/>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Boolean Operators</w:t>
            </w:r>
          </w:p>
        </w:tc>
        <w:tc>
          <w:tcPr>
            <w:tcW w:w="1413" w:type="dxa"/>
          </w:tcPr>
          <w:p w14:paraId="12C75FB1" w14:textId="77777777" w:rsidR="00194ED5" w:rsidRPr="005D37FA" w:rsidRDefault="00194ED5" w:rsidP="00194ED5">
            <w:pPr>
              <w:autoSpaceDN w:val="0"/>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Filters Applied</w:t>
            </w:r>
          </w:p>
        </w:tc>
        <w:tc>
          <w:tcPr>
            <w:tcW w:w="1167" w:type="dxa"/>
          </w:tcPr>
          <w:p w14:paraId="05AEBCA1" w14:textId="77777777" w:rsidR="00194ED5" w:rsidRPr="005D37FA" w:rsidRDefault="00194ED5" w:rsidP="00194ED5">
            <w:pPr>
              <w:autoSpaceDN w:val="0"/>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Records Retrieved</w:t>
            </w:r>
          </w:p>
        </w:tc>
        <w:tc>
          <w:tcPr>
            <w:tcW w:w="1768" w:type="dxa"/>
          </w:tcPr>
          <w:p w14:paraId="1B87303A" w14:textId="77777777" w:rsidR="00194ED5" w:rsidRPr="005D37FA" w:rsidRDefault="00194ED5" w:rsidP="00194ED5">
            <w:pPr>
              <w:autoSpaceDN w:val="0"/>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Notes</w:t>
            </w:r>
          </w:p>
        </w:tc>
      </w:tr>
      <w:tr w:rsidR="00023A30" w:rsidRPr="00893AE3" w14:paraId="1740EB73"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B7EC314" w14:textId="77777777" w:rsidR="00194ED5" w:rsidRPr="005D37FA" w:rsidRDefault="00194ED5"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EBSCOhost (CINAHL, Medline)</w:t>
            </w:r>
          </w:p>
        </w:tc>
        <w:tc>
          <w:tcPr>
            <w:tcW w:w="2115" w:type="dxa"/>
          </w:tcPr>
          <w:p w14:paraId="290ECF6D"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"Social isolation" AND "older adults" AND "UK"</w:t>
            </w:r>
          </w:p>
        </w:tc>
        <w:tc>
          <w:tcPr>
            <w:tcW w:w="867" w:type="dxa"/>
          </w:tcPr>
          <w:p w14:paraId="3838576C"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AND</w:t>
            </w:r>
          </w:p>
          <w:p w14:paraId="647EA75E"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p>
        </w:tc>
        <w:tc>
          <w:tcPr>
            <w:tcW w:w="1413" w:type="dxa"/>
          </w:tcPr>
          <w:p w14:paraId="69E7B8E2" w14:textId="193FE9B4"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UK-based, 2015</w:t>
            </w:r>
            <w:r w:rsidR="000F47BC" w:rsidRPr="005D37FA">
              <w:rPr>
                <w:rFonts w:ascii="Arial" w:eastAsia="Times New Roman" w:hAnsi="Arial" w:cs="Arial"/>
                <w:kern w:val="0"/>
                <w:lang w:eastAsia="en-GB"/>
                <w14:ligatures w14:val="none"/>
              </w:rPr>
              <w:t>-</w:t>
            </w:r>
            <w:r w:rsidRPr="005D37FA">
              <w:rPr>
                <w:rFonts w:ascii="Arial" w:eastAsia="Times New Roman" w:hAnsi="Arial" w:cs="Arial"/>
                <w:kern w:val="0"/>
                <w:lang w:eastAsia="en-GB"/>
                <w14:ligatures w14:val="none"/>
              </w:rPr>
              <w:t>202</w:t>
            </w:r>
            <w:r w:rsidR="00E46C5A" w:rsidRPr="005D37FA">
              <w:rPr>
                <w:rFonts w:ascii="Arial" w:eastAsia="Times New Roman" w:hAnsi="Arial" w:cs="Arial"/>
                <w:kern w:val="0"/>
                <w:lang w:eastAsia="en-GB"/>
                <w14:ligatures w14:val="none"/>
              </w:rPr>
              <w:t>5</w:t>
            </w:r>
            <w:r w:rsidRPr="005D37FA">
              <w:rPr>
                <w:rFonts w:ascii="Arial" w:eastAsia="Times New Roman" w:hAnsi="Arial" w:cs="Arial"/>
                <w:kern w:val="0"/>
                <w:lang w:eastAsia="en-GB"/>
                <w14:ligatures w14:val="none"/>
              </w:rPr>
              <w:t>, Age 65+, English, Peer-reviewed</w:t>
            </w:r>
          </w:p>
        </w:tc>
        <w:tc>
          <w:tcPr>
            <w:tcW w:w="1167" w:type="dxa"/>
          </w:tcPr>
          <w:p w14:paraId="79AC99FA"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220</w:t>
            </w:r>
          </w:p>
        </w:tc>
        <w:tc>
          <w:tcPr>
            <w:tcW w:w="1768" w:type="dxa"/>
          </w:tcPr>
          <w:p w14:paraId="6D9C10E4"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Nursing &amp; allied health literature</w:t>
            </w:r>
          </w:p>
        </w:tc>
      </w:tr>
      <w:tr w:rsidR="00023A30" w:rsidRPr="00893AE3" w14:paraId="1D60CD7E" w14:textId="77777777" w:rsidTr="00223AA2">
        <w:tc>
          <w:tcPr>
            <w:cnfStyle w:val="001000000000" w:firstRow="0" w:lastRow="0" w:firstColumn="1" w:lastColumn="0" w:oddVBand="0" w:evenVBand="0" w:oddHBand="0" w:evenHBand="0" w:firstRowFirstColumn="0" w:firstRowLastColumn="0" w:lastRowFirstColumn="0" w:lastRowLastColumn="0"/>
            <w:tcW w:w="1696" w:type="dxa"/>
          </w:tcPr>
          <w:p w14:paraId="30954E8E" w14:textId="77777777" w:rsidR="00194ED5" w:rsidRPr="005D37FA" w:rsidRDefault="00194ED5"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ProQuest</w:t>
            </w:r>
          </w:p>
        </w:tc>
        <w:tc>
          <w:tcPr>
            <w:tcW w:w="2115" w:type="dxa"/>
          </w:tcPr>
          <w:p w14:paraId="6FF35B2E"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"Community-based interventions" AND "mental health" AND "older adults" AND "UK"</w:t>
            </w:r>
          </w:p>
          <w:p w14:paraId="6AF364C4" w14:textId="77777777" w:rsidR="00223AA2" w:rsidRPr="005D37FA" w:rsidRDefault="00223AA2"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p>
        </w:tc>
        <w:tc>
          <w:tcPr>
            <w:tcW w:w="867" w:type="dxa"/>
          </w:tcPr>
          <w:p w14:paraId="166DA279"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AND</w:t>
            </w:r>
          </w:p>
        </w:tc>
        <w:tc>
          <w:tcPr>
            <w:tcW w:w="1413" w:type="dxa"/>
          </w:tcPr>
          <w:p w14:paraId="06FECBC2" w14:textId="3771CAE1"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UK-based, 2015</w:t>
            </w:r>
            <w:r w:rsidR="000F47BC" w:rsidRPr="005D37FA">
              <w:rPr>
                <w:rFonts w:ascii="Arial" w:eastAsia="Times New Roman" w:hAnsi="Arial" w:cs="Arial"/>
                <w:kern w:val="0"/>
                <w:lang w:eastAsia="en-GB"/>
                <w14:ligatures w14:val="none"/>
              </w:rPr>
              <w:t>-</w:t>
            </w:r>
            <w:r w:rsidRPr="005D37FA">
              <w:rPr>
                <w:rFonts w:ascii="Arial" w:eastAsia="Times New Roman" w:hAnsi="Arial" w:cs="Arial"/>
                <w:kern w:val="0"/>
                <w:lang w:eastAsia="en-GB"/>
                <w14:ligatures w14:val="none"/>
              </w:rPr>
              <w:t>202</w:t>
            </w:r>
            <w:r w:rsidR="00E46C5A" w:rsidRPr="005D37FA">
              <w:rPr>
                <w:rFonts w:ascii="Arial" w:eastAsia="Times New Roman" w:hAnsi="Arial" w:cs="Arial"/>
                <w:kern w:val="0"/>
                <w:lang w:eastAsia="en-GB"/>
                <w14:ligatures w14:val="none"/>
              </w:rPr>
              <w:t>5</w:t>
            </w:r>
            <w:r w:rsidRPr="005D37FA">
              <w:rPr>
                <w:rFonts w:ascii="Arial" w:eastAsia="Times New Roman" w:hAnsi="Arial" w:cs="Arial"/>
                <w:kern w:val="0"/>
                <w:lang w:eastAsia="en-GB"/>
                <w14:ligatures w14:val="none"/>
              </w:rPr>
              <w:t>, Age 65+, English</w:t>
            </w:r>
          </w:p>
        </w:tc>
        <w:tc>
          <w:tcPr>
            <w:tcW w:w="1167" w:type="dxa"/>
          </w:tcPr>
          <w:p w14:paraId="77DB961C"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180</w:t>
            </w:r>
          </w:p>
        </w:tc>
        <w:tc>
          <w:tcPr>
            <w:tcW w:w="1768" w:type="dxa"/>
          </w:tcPr>
          <w:p w14:paraId="3E1A98B3"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Multidisciplinary coverage</w:t>
            </w:r>
          </w:p>
        </w:tc>
      </w:tr>
      <w:tr w:rsidR="00023A30" w:rsidRPr="00893AE3" w14:paraId="2B68B59C"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5B812AC" w14:textId="77777777" w:rsidR="00194ED5" w:rsidRPr="005D37FA" w:rsidRDefault="00194ED5"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PubMed</w:t>
            </w:r>
          </w:p>
        </w:tc>
        <w:tc>
          <w:tcPr>
            <w:tcW w:w="2115" w:type="dxa"/>
          </w:tcPr>
          <w:p w14:paraId="3429E4CD"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("loneliness" OR "social disconnection") AND "older adults" AND "UK"</w:t>
            </w:r>
          </w:p>
          <w:p w14:paraId="21B1174B" w14:textId="77777777" w:rsidR="00223AA2" w:rsidRPr="005D37FA" w:rsidRDefault="00223AA2"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p>
        </w:tc>
        <w:tc>
          <w:tcPr>
            <w:tcW w:w="867" w:type="dxa"/>
          </w:tcPr>
          <w:p w14:paraId="21D764AD"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AND/OR</w:t>
            </w:r>
          </w:p>
        </w:tc>
        <w:tc>
          <w:tcPr>
            <w:tcW w:w="1413" w:type="dxa"/>
          </w:tcPr>
          <w:p w14:paraId="5F3DFED0" w14:textId="233E7B43"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UK-based, 2015</w:t>
            </w:r>
            <w:r w:rsidR="000F47BC" w:rsidRPr="005D37FA">
              <w:rPr>
                <w:rFonts w:ascii="Arial" w:eastAsia="Times New Roman" w:hAnsi="Arial" w:cs="Arial"/>
                <w:kern w:val="0"/>
                <w:lang w:eastAsia="en-GB"/>
                <w14:ligatures w14:val="none"/>
              </w:rPr>
              <w:t>-</w:t>
            </w:r>
            <w:r w:rsidRPr="005D37FA">
              <w:rPr>
                <w:rFonts w:ascii="Arial" w:eastAsia="Times New Roman" w:hAnsi="Arial" w:cs="Arial"/>
                <w:kern w:val="0"/>
                <w:lang w:eastAsia="en-GB"/>
                <w14:ligatures w14:val="none"/>
              </w:rPr>
              <w:t>202</w:t>
            </w:r>
            <w:r w:rsidR="00E46C5A" w:rsidRPr="005D37FA">
              <w:rPr>
                <w:rFonts w:ascii="Arial" w:eastAsia="Times New Roman" w:hAnsi="Arial" w:cs="Arial"/>
                <w:kern w:val="0"/>
                <w:lang w:eastAsia="en-GB"/>
                <w14:ligatures w14:val="none"/>
              </w:rPr>
              <w:t>5</w:t>
            </w:r>
            <w:r w:rsidRPr="005D37FA">
              <w:rPr>
                <w:rFonts w:ascii="Arial" w:eastAsia="Times New Roman" w:hAnsi="Arial" w:cs="Arial"/>
                <w:kern w:val="0"/>
                <w:lang w:eastAsia="en-GB"/>
                <w14:ligatures w14:val="none"/>
              </w:rPr>
              <w:t>, Age 65+, English</w:t>
            </w:r>
          </w:p>
        </w:tc>
        <w:tc>
          <w:tcPr>
            <w:tcW w:w="1167" w:type="dxa"/>
          </w:tcPr>
          <w:p w14:paraId="686553B7"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140</w:t>
            </w:r>
          </w:p>
        </w:tc>
        <w:tc>
          <w:tcPr>
            <w:tcW w:w="1768" w:type="dxa"/>
          </w:tcPr>
          <w:p w14:paraId="124991BD"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Biomedical &amp; public health focus</w:t>
            </w:r>
          </w:p>
        </w:tc>
      </w:tr>
      <w:tr w:rsidR="00023A30" w:rsidRPr="00893AE3" w14:paraId="1F95A57B" w14:textId="77777777" w:rsidTr="00223AA2">
        <w:tc>
          <w:tcPr>
            <w:cnfStyle w:val="001000000000" w:firstRow="0" w:lastRow="0" w:firstColumn="1" w:lastColumn="0" w:oddVBand="0" w:evenVBand="0" w:oddHBand="0" w:evenHBand="0" w:firstRowFirstColumn="0" w:firstRowLastColumn="0" w:lastRowFirstColumn="0" w:lastRowLastColumn="0"/>
            <w:tcW w:w="1696" w:type="dxa"/>
          </w:tcPr>
          <w:p w14:paraId="6B0BF31E" w14:textId="77777777" w:rsidR="00194ED5" w:rsidRPr="005D37FA" w:rsidRDefault="00194ED5"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Google Scholar</w:t>
            </w:r>
          </w:p>
        </w:tc>
        <w:tc>
          <w:tcPr>
            <w:tcW w:w="2115" w:type="dxa"/>
          </w:tcPr>
          <w:p w14:paraId="447AB0BF"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"Social prescribing" AND "older adults" AND "UK"</w:t>
            </w:r>
          </w:p>
        </w:tc>
        <w:tc>
          <w:tcPr>
            <w:tcW w:w="867" w:type="dxa"/>
          </w:tcPr>
          <w:p w14:paraId="31DB6A20"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AND</w:t>
            </w:r>
          </w:p>
        </w:tc>
        <w:tc>
          <w:tcPr>
            <w:tcW w:w="1413" w:type="dxa"/>
          </w:tcPr>
          <w:p w14:paraId="49832631" w14:textId="65FB2CD8"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UK-based, 2015</w:t>
            </w:r>
            <w:r w:rsidR="000F47BC" w:rsidRPr="005D37FA">
              <w:rPr>
                <w:rFonts w:ascii="Arial" w:eastAsia="Times New Roman" w:hAnsi="Arial" w:cs="Arial"/>
                <w:kern w:val="0"/>
                <w:lang w:eastAsia="en-GB"/>
                <w14:ligatures w14:val="none"/>
              </w:rPr>
              <w:t>-</w:t>
            </w:r>
            <w:r w:rsidRPr="005D37FA">
              <w:rPr>
                <w:rFonts w:ascii="Arial" w:eastAsia="Times New Roman" w:hAnsi="Arial" w:cs="Arial"/>
                <w:kern w:val="0"/>
                <w:lang w:eastAsia="en-GB"/>
                <w14:ligatures w14:val="none"/>
              </w:rPr>
              <w:t>202</w:t>
            </w:r>
            <w:r w:rsidR="00E46C5A" w:rsidRPr="005D37FA">
              <w:rPr>
                <w:rFonts w:ascii="Arial" w:eastAsia="Times New Roman" w:hAnsi="Arial" w:cs="Arial"/>
                <w:kern w:val="0"/>
                <w:lang w:eastAsia="en-GB"/>
                <w14:ligatures w14:val="none"/>
              </w:rPr>
              <w:t>5</w:t>
            </w:r>
            <w:r w:rsidRPr="005D37FA">
              <w:rPr>
                <w:rFonts w:ascii="Arial" w:eastAsia="Times New Roman" w:hAnsi="Arial" w:cs="Arial"/>
                <w:kern w:val="0"/>
                <w:lang w:eastAsia="en-GB"/>
                <w14:ligatures w14:val="none"/>
              </w:rPr>
              <w:t>, Age 65+, English</w:t>
            </w:r>
          </w:p>
        </w:tc>
        <w:tc>
          <w:tcPr>
            <w:tcW w:w="1167" w:type="dxa"/>
          </w:tcPr>
          <w:p w14:paraId="475CF41A"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200</w:t>
            </w:r>
          </w:p>
        </w:tc>
        <w:tc>
          <w:tcPr>
            <w:tcW w:w="1768" w:type="dxa"/>
          </w:tcPr>
          <w:p w14:paraId="540D5C2A"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Includes grey literature</w:t>
            </w:r>
          </w:p>
        </w:tc>
      </w:tr>
      <w:tr w:rsidR="00023A30" w:rsidRPr="00893AE3" w14:paraId="6723868A"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AFA1A94" w14:textId="77777777" w:rsidR="00194ED5" w:rsidRPr="005D37FA" w:rsidRDefault="00194ED5"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NHS Digital Library</w:t>
            </w:r>
          </w:p>
        </w:tc>
        <w:tc>
          <w:tcPr>
            <w:tcW w:w="2115" w:type="dxa"/>
          </w:tcPr>
          <w:p w14:paraId="3D04C5B0"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"Befriending programmes" AND "UK"</w:t>
            </w:r>
          </w:p>
          <w:p w14:paraId="77DA70C3" w14:textId="77777777" w:rsidR="00223AA2" w:rsidRPr="005D37FA" w:rsidRDefault="00223AA2"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p>
        </w:tc>
        <w:tc>
          <w:tcPr>
            <w:tcW w:w="867" w:type="dxa"/>
          </w:tcPr>
          <w:p w14:paraId="1224D03E"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AND</w:t>
            </w:r>
          </w:p>
        </w:tc>
        <w:tc>
          <w:tcPr>
            <w:tcW w:w="1413" w:type="dxa"/>
          </w:tcPr>
          <w:p w14:paraId="2955A77A" w14:textId="08E61116"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UK-based, 2015</w:t>
            </w:r>
            <w:r w:rsidR="000F47BC" w:rsidRPr="005D37FA">
              <w:rPr>
                <w:rFonts w:ascii="Arial" w:eastAsia="Times New Roman" w:hAnsi="Arial" w:cs="Arial"/>
                <w:kern w:val="0"/>
                <w:lang w:eastAsia="en-GB"/>
                <w14:ligatures w14:val="none"/>
              </w:rPr>
              <w:t>-</w:t>
            </w:r>
            <w:r w:rsidRPr="005D37FA">
              <w:rPr>
                <w:rFonts w:ascii="Arial" w:eastAsia="Times New Roman" w:hAnsi="Arial" w:cs="Arial"/>
                <w:kern w:val="0"/>
                <w:lang w:eastAsia="en-GB"/>
                <w14:ligatures w14:val="none"/>
              </w:rPr>
              <w:t>202</w:t>
            </w:r>
            <w:r w:rsidR="00E46C5A" w:rsidRPr="005D37FA">
              <w:rPr>
                <w:rFonts w:ascii="Arial" w:eastAsia="Times New Roman" w:hAnsi="Arial" w:cs="Arial"/>
                <w:kern w:val="0"/>
                <w:lang w:eastAsia="en-GB"/>
                <w14:ligatures w14:val="none"/>
              </w:rPr>
              <w:t>5</w:t>
            </w:r>
          </w:p>
        </w:tc>
        <w:tc>
          <w:tcPr>
            <w:tcW w:w="1167" w:type="dxa"/>
          </w:tcPr>
          <w:p w14:paraId="5606BBB3"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50</w:t>
            </w:r>
          </w:p>
        </w:tc>
        <w:tc>
          <w:tcPr>
            <w:tcW w:w="1768" w:type="dxa"/>
          </w:tcPr>
          <w:p w14:paraId="5B5BADB3"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Government and policy reports</w:t>
            </w:r>
          </w:p>
        </w:tc>
      </w:tr>
      <w:tr w:rsidR="00023A30" w:rsidRPr="00893AE3" w14:paraId="66B6BEEC" w14:textId="77777777" w:rsidTr="00223AA2">
        <w:tc>
          <w:tcPr>
            <w:cnfStyle w:val="001000000000" w:firstRow="0" w:lastRow="0" w:firstColumn="1" w:lastColumn="0" w:oddVBand="0" w:evenVBand="0" w:oddHBand="0" w:evenHBand="0" w:firstRowFirstColumn="0" w:firstRowLastColumn="0" w:lastRowFirstColumn="0" w:lastRowLastColumn="0"/>
            <w:tcW w:w="1696" w:type="dxa"/>
          </w:tcPr>
          <w:p w14:paraId="58ED4628" w14:textId="77777777" w:rsidR="00194ED5" w:rsidRPr="005D37FA" w:rsidRDefault="00194ED5"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Office for National Statistics (ONS)</w:t>
            </w:r>
          </w:p>
        </w:tc>
        <w:tc>
          <w:tcPr>
            <w:tcW w:w="2115" w:type="dxa"/>
          </w:tcPr>
          <w:p w14:paraId="21A94732"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"Older adults" AND "loneliness interventions"</w:t>
            </w:r>
          </w:p>
        </w:tc>
        <w:tc>
          <w:tcPr>
            <w:tcW w:w="867" w:type="dxa"/>
          </w:tcPr>
          <w:p w14:paraId="761D1AC2"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AND</w:t>
            </w:r>
          </w:p>
        </w:tc>
        <w:tc>
          <w:tcPr>
            <w:tcW w:w="1413" w:type="dxa"/>
          </w:tcPr>
          <w:p w14:paraId="55987D43" w14:textId="57D5F3CC"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UK-based, 2015</w:t>
            </w:r>
            <w:r w:rsidR="000F47BC" w:rsidRPr="005D37FA">
              <w:rPr>
                <w:rFonts w:ascii="Arial" w:eastAsia="Times New Roman" w:hAnsi="Arial" w:cs="Arial"/>
                <w:kern w:val="0"/>
                <w:lang w:eastAsia="en-GB"/>
                <w14:ligatures w14:val="none"/>
              </w:rPr>
              <w:t>-</w:t>
            </w:r>
            <w:r w:rsidRPr="005D37FA">
              <w:rPr>
                <w:rFonts w:ascii="Arial" w:eastAsia="Times New Roman" w:hAnsi="Arial" w:cs="Arial"/>
                <w:kern w:val="0"/>
                <w:lang w:eastAsia="en-GB"/>
                <w14:ligatures w14:val="none"/>
              </w:rPr>
              <w:t>202</w:t>
            </w:r>
            <w:r w:rsidR="00E46C5A" w:rsidRPr="005D37FA">
              <w:rPr>
                <w:rFonts w:ascii="Arial" w:eastAsia="Times New Roman" w:hAnsi="Arial" w:cs="Arial"/>
                <w:kern w:val="0"/>
                <w:lang w:eastAsia="en-GB"/>
                <w14:ligatures w14:val="none"/>
              </w:rPr>
              <w:t>5</w:t>
            </w:r>
          </w:p>
        </w:tc>
        <w:tc>
          <w:tcPr>
            <w:tcW w:w="1167" w:type="dxa"/>
          </w:tcPr>
          <w:p w14:paraId="560A45AF"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30</w:t>
            </w:r>
          </w:p>
        </w:tc>
        <w:tc>
          <w:tcPr>
            <w:tcW w:w="1768" w:type="dxa"/>
          </w:tcPr>
          <w:p w14:paraId="63203C50"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Demographic and social data</w:t>
            </w:r>
          </w:p>
        </w:tc>
      </w:tr>
      <w:tr w:rsidR="00023A30" w:rsidRPr="00893AE3" w14:paraId="33767EE5"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BC7593A" w14:textId="77777777" w:rsidR="00194ED5" w:rsidRPr="005D37FA" w:rsidRDefault="00194ED5"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Age UK</w:t>
            </w:r>
          </w:p>
        </w:tc>
        <w:tc>
          <w:tcPr>
            <w:tcW w:w="2115" w:type="dxa"/>
          </w:tcPr>
          <w:p w14:paraId="4F113A0E"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"Social isolation" AND "older adults"</w:t>
            </w:r>
          </w:p>
          <w:p w14:paraId="79B6B25A" w14:textId="77777777" w:rsidR="00223AA2" w:rsidRPr="005D37FA" w:rsidRDefault="00223AA2"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p>
        </w:tc>
        <w:tc>
          <w:tcPr>
            <w:tcW w:w="867" w:type="dxa"/>
          </w:tcPr>
          <w:p w14:paraId="70E50DF2"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AND</w:t>
            </w:r>
          </w:p>
        </w:tc>
        <w:tc>
          <w:tcPr>
            <w:tcW w:w="1413" w:type="dxa"/>
          </w:tcPr>
          <w:p w14:paraId="1E54E272" w14:textId="2521DB9B"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UK-based, 2015</w:t>
            </w:r>
            <w:r w:rsidR="000F47BC" w:rsidRPr="005D37FA">
              <w:rPr>
                <w:rFonts w:ascii="Arial" w:eastAsia="Times New Roman" w:hAnsi="Arial" w:cs="Arial"/>
                <w:kern w:val="0"/>
                <w:lang w:eastAsia="en-GB"/>
                <w14:ligatures w14:val="none"/>
              </w:rPr>
              <w:t>-</w:t>
            </w:r>
            <w:r w:rsidRPr="005D37FA">
              <w:rPr>
                <w:rFonts w:ascii="Arial" w:eastAsia="Times New Roman" w:hAnsi="Arial" w:cs="Arial"/>
                <w:kern w:val="0"/>
                <w:lang w:eastAsia="en-GB"/>
                <w14:ligatures w14:val="none"/>
              </w:rPr>
              <w:t>202</w:t>
            </w:r>
            <w:r w:rsidR="00E46C5A" w:rsidRPr="005D37FA">
              <w:rPr>
                <w:rFonts w:ascii="Arial" w:eastAsia="Times New Roman" w:hAnsi="Arial" w:cs="Arial"/>
                <w:kern w:val="0"/>
                <w:lang w:eastAsia="en-GB"/>
                <w14:ligatures w14:val="none"/>
              </w:rPr>
              <w:t>5</w:t>
            </w:r>
          </w:p>
        </w:tc>
        <w:tc>
          <w:tcPr>
            <w:tcW w:w="1167" w:type="dxa"/>
          </w:tcPr>
          <w:p w14:paraId="397FE7B0"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25</w:t>
            </w:r>
          </w:p>
        </w:tc>
        <w:tc>
          <w:tcPr>
            <w:tcW w:w="1768" w:type="dxa"/>
          </w:tcPr>
          <w:p w14:paraId="7AE80E38" w14:textId="77777777" w:rsidR="00194ED5" w:rsidRPr="005D37FA" w:rsidRDefault="00194ED5"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Policy and practice reports</w:t>
            </w:r>
          </w:p>
        </w:tc>
      </w:tr>
      <w:tr w:rsidR="00023A30" w:rsidRPr="00893AE3" w14:paraId="511B5C95" w14:textId="77777777" w:rsidTr="00223AA2">
        <w:trPr>
          <w:trHeight w:val="931"/>
        </w:trPr>
        <w:tc>
          <w:tcPr>
            <w:cnfStyle w:val="001000000000" w:firstRow="0" w:lastRow="0" w:firstColumn="1" w:lastColumn="0" w:oddVBand="0" w:evenVBand="0" w:oddHBand="0" w:evenHBand="0" w:firstRowFirstColumn="0" w:firstRowLastColumn="0" w:lastRowFirstColumn="0" w:lastRowLastColumn="0"/>
            <w:tcW w:w="1696" w:type="dxa"/>
          </w:tcPr>
          <w:p w14:paraId="63EED71A" w14:textId="77777777" w:rsidR="00194ED5" w:rsidRPr="005D37FA" w:rsidRDefault="00194ED5"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OHID</w:t>
            </w:r>
          </w:p>
        </w:tc>
        <w:tc>
          <w:tcPr>
            <w:tcW w:w="2115" w:type="dxa"/>
          </w:tcPr>
          <w:p w14:paraId="5CBEFE53" w14:textId="6F8CD0CF"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w:t>
            </w:r>
            <w:r w:rsidR="00BC7FB9" w:rsidRPr="005D37FA">
              <w:rPr>
                <w:rFonts w:ascii="Arial" w:eastAsia="Times New Roman" w:hAnsi="Arial" w:cs="Arial"/>
                <w:kern w:val="0"/>
                <w:lang w:eastAsia="en-GB"/>
                <w14:ligatures w14:val="none"/>
              </w:rPr>
              <w:t>Digital</w:t>
            </w:r>
            <w:r w:rsidRPr="005D37FA">
              <w:rPr>
                <w:rFonts w:ascii="Arial" w:eastAsia="Times New Roman" w:hAnsi="Arial" w:cs="Arial"/>
                <w:kern w:val="0"/>
                <w:lang w:eastAsia="en-GB"/>
                <w14:ligatures w14:val="none"/>
              </w:rPr>
              <w:t xml:space="preserve"> exclusion" AND "older adults" AND "UK"</w:t>
            </w:r>
          </w:p>
        </w:tc>
        <w:tc>
          <w:tcPr>
            <w:tcW w:w="867" w:type="dxa"/>
          </w:tcPr>
          <w:p w14:paraId="262F95FD"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AND</w:t>
            </w:r>
          </w:p>
        </w:tc>
        <w:tc>
          <w:tcPr>
            <w:tcW w:w="1413" w:type="dxa"/>
          </w:tcPr>
          <w:p w14:paraId="0A99CA9A" w14:textId="59EEA291"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UK-based, 2015</w:t>
            </w:r>
            <w:r w:rsidR="000F47BC" w:rsidRPr="005D37FA">
              <w:rPr>
                <w:rFonts w:ascii="Arial" w:eastAsia="Times New Roman" w:hAnsi="Arial" w:cs="Arial"/>
                <w:kern w:val="0"/>
                <w:lang w:eastAsia="en-GB"/>
                <w14:ligatures w14:val="none"/>
              </w:rPr>
              <w:t>-</w:t>
            </w:r>
            <w:r w:rsidRPr="005D37FA">
              <w:rPr>
                <w:rFonts w:ascii="Arial" w:eastAsia="Times New Roman" w:hAnsi="Arial" w:cs="Arial"/>
                <w:kern w:val="0"/>
                <w:lang w:eastAsia="en-GB"/>
                <w14:ligatures w14:val="none"/>
              </w:rPr>
              <w:t>202</w:t>
            </w:r>
            <w:r w:rsidR="00E46C5A" w:rsidRPr="005D37FA">
              <w:rPr>
                <w:rFonts w:ascii="Arial" w:eastAsia="Times New Roman" w:hAnsi="Arial" w:cs="Arial"/>
                <w:kern w:val="0"/>
                <w:lang w:eastAsia="en-GB"/>
                <w14:ligatures w14:val="none"/>
              </w:rPr>
              <w:t>5</w:t>
            </w:r>
          </w:p>
        </w:tc>
        <w:tc>
          <w:tcPr>
            <w:tcW w:w="1167" w:type="dxa"/>
          </w:tcPr>
          <w:p w14:paraId="48FE388E"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50</w:t>
            </w:r>
          </w:p>
        </w:tc>
        <w:tc>
          <w:tcPr>
            <w:tcW w:w="1768" w:type="dxa"/>
          </w:tcPr>
          <w:p w14:paraId="5BCC8BC8" w14:textId="77777777" w:rsidR="00194ED5" w:rsidRPr="005D37FA" w:rsidRDefault="00194ED5" w:rsidP="00194ED5">
            <w:pPr>
              <w:autoSpaceDN w:val="0"/>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Public health evidence</w:t>
            </w:r>
          </w:p>
        </w:tc>
      </w:tr>
      <w:tr w:rsidR="00BC7FB9" w:rsidRPr="00893AE3" w14:paraId="6625C222" w14:textId="77777777" w:rsidTr="00223AA2">
        <w:trPr>
          <w:cnfStyle w:val="000000100000" w:firstRow="0" w:lastRow="0" w:firstColumn="0" w:lastColumn="0" w:oddVBand="0" w:evenVBand="0" w:oddHBand="1" w:evenHBand="0" w:firstRowFirstColumn="0" w:firstRowLastColumn="0" w:lastRowFirstColumn="0" w:lastRowLastColumn="0"/>
          <w:trHeight w:val="931"/>
        </w:trPr>
        <w:tc>
          <w:tcPr>
            <w:cnfStyle w:val="001000000000" w:firstRow="0" w:lastRow="0" w:firstColumn="1" w:lastColumn="0" w:oddVBand="0" w:evenVBand="0" w:oddHBand="0" w:evenHBand="0" w:firstRowFirstColumn="0" w:firstRowLastColumn="0" w:lastRowFirstColumn="0" w:lastRowLastColumn="0"/>
            <w:tcW w:w="1696" w:type="dxa"/>
          </w:tcPr>
          <w:p w14:paraId="67FBD708" w14:textId="6F3C6C0B" w:rsidR="00BC7FB9" w:rsidRPr="005D37FA" w:rsidRDefault="00BC7FB9" w:rsidP="00194ED5">
            <w:pPr>
              <w:autoSpaceDN w:val="0"/>
              <w:spacing w:line="240" w:lineRule="auto"/>
              <w:jc w:val="left"/>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 xml:space="preserve">Manual </w:t>
            </w:r>
            <w:r w:rsidR="00023A30" w:rsidRPr="005D37FA">
              <w:rPr>
                <w:rFonts w:ascii="Arial" w:eastAsia="Times New Roman" w:hAnsi="Arial" w:cs="Arial"/>
                <w:kern w:val="0"/>
                <w:lang w:eastAsia="en-GB"/>
                <w14:ligatures w14:val="none"/>
              </w:rPr>
              <w:t>searches/reference</w:t>
            </w:r>
            <w:r w:rsidRPr="005D37FA">
              <w:rPr>
                <w:rFonts w:ascii="Arial" w:eastAsia="Times New Roman" w:hAnsi="Arial" w:cs="Arial"/>
                <w:kern w:val="0"/>
                <w:lang w:eastAsia="en-GB"/>
                <w14:ligatures w14:val="none"/>
              </w:rPr>
              <w:t xml:space="preserve"> list screening</w:t>
            </w:r>
          </w:p>
        </w:tc>
        <w:tc>
          <w:tcPr>
            <w:tcW w:w="2115" w:type="dxa"/>
          </w:tcPr>
          <w:p w14:paraId="43752AAB" w14:textId="79139DDA" w:rsidR="00BC7FB9" w:rsidRPr="005D37FA" w:rsidRDefault="00BC7FB9"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 xml:space="preserve">Reference lists, citation tracking, </w:t>
            </w:r>
            <w:r w:rsidR="00023A30" w:rsidRPr="005D37FA">
              <w:rPr>
                <w:rFonts w:ascii="Arial" w:eastAsia="Times New Roman" w:hAnsi="Arial" w:cs="Arial"/>
                <w:kern w:val="0"/>
                <w:lang w:eastAsia="en-GB"/>
                <w14:ligatures w14:val="none"/>
              </w:rPr>
              <w:t xml:space="preserve">and </w:t>
            </w:r>
            <w:r w:rsidRPr="005D37FA">
              <w:rPr>
                <w:rFonts w:ascii="Arial" w:eastAsia="Times New Roman" w:hAnsi="Arial" w:cs="Arial"/>
                <w:kern w:val="0"/>
                <w:lang w:eastAsia="en-GB"/>
                <w14:ligatures w14:val="none"/>
              </w:rPr>
              <w:t>organisation websites</w:t>
            </w:r>
          </w:p>
        </w:tc>
        <w:tc>
          <w:tcPr>
            <w:tcW w:w="867" w:type="dxa"/>
          </w:tcPr>
          <w:p w14:paraId="00F2B705" w14:textId="2EBFDFB6" w:rsidR="00BC7FB9" w:rsidRPr="005D37FA" w:rsidRDefault="00BC7FB9"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N/A</w:t>
            </w:r>
          </w:p>
        </w:tc>
        <w:tc>
          <w:tcPr>
            <w:tcW w:w="1413" w:type="dxa"/>
          </w:tcPr>
          <w:p w14:paraId="7A63E692" w14:textId="0D6B4174" w:rsidR="00BC7FB9" w:rsidRPr="005D37FA" w:rsidRDefault="00BC7FB9"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UK-relevant sources</w:t>
            </w:r>
          </w:p>
        </w:tc>
        <w:tc>
          <w:tcPr>
            <w:tcW w:w="1167" w:type="dxa"/>
          </w:tcPr>
          <w:p w14:paraId="6591723D" w14:textId="390CF23A" w:rsidR="00BC7FB9" w:rsidRPr="005D37FA" w:rsidRDefault="00BC7FB9"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350</w:t>
            </w:r>
          </w:p>
        </w:tc>
        <w:tc>
          <w:tcPr>
            <w:tcW w:w="1768" w:type="dxa"/>
          </w:tcPr>
          <w:p w14:paraId="17D875A4" w14:textId="2DD2111E" w:rsidR="00BC7FB9" w:rsidRPr="005D37FA" w:rsidRDefault="00BC7FB9" w:rsidP="00194ED5">
            <w:pPr>
              <w:autoSpaceDN w:val="0"/>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D37FA">
              <w:rPr>
                <w:rFonts w:ascii="Arial" w:eastAsia="Times New Roman" w:hAnsi="Arial" w:cs="Arial"/>
                <w:kern w:val="0"/>
                <w:lang w:eastAsia="en-GB"/>
                <w14:ligatures w14:val="none"/>
              </w:rPr>
              <w:t>Additional sources identified through hand searching</w:t>
            </w:r>
          </w:p>
        </w:tc>
      </w:tr>
    </w:tbl>
    <w:p w14:paraId="2836DADD" w14:textId="77777777" w:rsidR="00223AA2" w:rsidRDefault="00223AA2" w:rsidP="005D37FA">
      <w:pPr>
        <w:suppressAutoHyphens/>
        <w:autoSpaceDN w:val="0"/>
        <w:rPr>
          <w:rFonts w:ascii="Arial" w:eastAsia="Aptos" w:hAnsi="Arial" w:cs="Arial"/>
          <w:b/>
          <w:bCs/>
          <w:kern w:val="3"/>
          <w:sz w:val="28"/>
          <w:szCs w:val="28"/>
          <w:u w:val="single"/>
          <w:lang w:eastAsia="en-US"/>
          <w14:ligatures w14:val="none"/>
        </w:rPr>
      </w:pPr>
    </w:p>
    <w:p w14:paraId="20697247" w14:textId="77777777" w:rsidR="005D37FA" w:rsidRDefault="005D37FA" w:rsidP="005D37FA">
      <w:pPr>
        <w:suppressAutoHyphens/>
        <w:autoSpaceDN w:val="0"/>
        <w:rPr>
          <w:rFonts w:ascii="Arial" w:eastAsia="Aptos" w:hAnsi="Arial" w:cs="Arial"/>
          <w:b/>
          <w:bCs/>
          <w:kern w:val="3"/>
          <w:sz w:val="28"/>
          <w:szCs w:val="28"/>
          <w:u w:val="single"/>
          <w:lang w:eastAsia="en-US"/>
          <w14:ligatures w14:val="none"/>
        </w:rPr>
      </w:pPr>
    </w:p>
    <w:p w14:paraId="3586DD94" w14:textId="5097A7B0" w:rsidR="00023A30" w:rsidRPr="005D37FA" w:rsidRDefault="00023A30" w:rsidP="00023A30">
      <w:pPr>
        <w:suppressAutoHyphens/>
        <w:autoSpaceDN w:val="0"/>
        <w:jc w:val="center"/>
        <w:rPr>
          <w:rFonts w:ascii="Arial" w:eastAsia="Aptos" w:hAnsi="Arial" w:cs="Arial"/>
          <w:b/>
          <w:bCs/>
          <w:kern w:val="3"/>
          <w:sz w:val="28"/>
          <w:szCs w:val="28"/>
          <w:u w:val="single"/>
          <w:lang w:eastAsia="en-US"/>
          <w14:ligatures w14:val="none"/>
        </w:rPr>
      </w:pPr>
      <w:r w:rsidRPr="005D37FA">
        <w:rPr>
          <w:rFonts w:ascii="Arial" w:eastAsia="Aptos" w:hAnsi="Arial" w:cs="Arial"/>
          <w:b/>
          <w:bCs/>
          <w:kern w:val="3"/>
          <w:sz w:val="28"/>
          <w:szCs w:val="28"/>
          <w:u w:val="single"/>
          <w:lang w:eastAsia="en-US"/>
          <w14:ligatures w14:val="none"/>
        </w:rPr>
        <w:lastRenderedPageBreak/>
        <w:t xml:space="preserve">Appendix </w:t>
      </w:r>
      <w:r w:rsidR="001936DD" w:rsidRPr="005D37FA">
        <w:rPr>
          <w:rFonts w:ascii="Arial" w:eastAsia="Aptos" w:hAnsi="Arial" w:cs="Arial"/>
          <w:b/>
          <w:bCs/>
          <w:kern w:val="3"/>
          <w:sz w:val="28"/>
          <w:szCs w:val="28"/>
          <w:u w:val="single"/>
          <w:lang w:eastAsia="en-US"/>
          <w14:ligatures w14:val="none"/>
        </w:rPr>
        <w:t>D</w:t>
      </w:r>
      <w:r w:rsidRPr="005D37FA">
        <w:rPr>
          <w:rFonts w:ascii="Arial" w:eastAsia="Aptos" w:hAnsi="Arial" w:cs="Arial"/>
          <w:b/>
          <w:bCs/>
          <w:kern w:val="3"/>
          <w:sz w:val="28"/>
          <w:szCs w:val="28"/>
          <w:u w:val="single"/>
          <w:lang w:eastAsia="en-US"/>
          <w14:ligatures w14:val="none"/>
        </w:rPr>
        <w:t>: Source Table (</w:t>
      </w:r>
      <w:r w:rsidR="00F573C0">
        <w:rPr>
          <w:rFonts w:ascii="Arial" w:eastAsia="Aptos" w:hAnsi="Arial" w:cs="Arial"/>
          <w:b/>
          <w:bCs/>
          <w:kern w:val="3"/>
          <w:sz w:val="28"/>
          <w:szCs w:val="28"/>
          <w:u w:val="single"/>
          <w:lang w:eastAsia="en-US"/>
          <w14:ligatures w14:val="none"/>
        </w:rPr>
        <w:t>C</w:t>
      </w:r>
      <w:r w:rsidRPr="005D37FA">
        <w:rPr>
          <w:rFonts w:ascii="Arial" w:eastAsia="Aptos" w:hAnsi="Arial" w:cs="Arial"/>
          <w:b/>
          <w:bCs/>
          <w:kern w:val="3"/>
          <w:sz w:val="28"/>
          <w:szCs w:val="28"/>
          <w:u w:val="single"/>
          <w:lang w:eastAsia="en-US"/>
          <w14:ligatures w14:val="none"/>
        </w:rPr>
        <w:t>hapter 3</w:t>
      </w:r>
      <w:r w:rsidR="005D37FA" w:rsidRPr="005D37FA">
        <w:rPr>
          <w:rFonts w:ascii="Arial" w:eastAsia="Aptos" w:hAnsi="Arial" w:cs="Arial"/>
          <w:b/>
          <w:bCs/>
          <w:kern w:val="3"/>
          <w:sz w:val="28"/>
          <w:szCs w:val="28"/>
          <w:u w:val="single"/>
          <w:lang w:eastAsia="en-US"/>
          <w14:ligatures w14:val="none"/>
        </w:rPr>
        <w:t>,4</w:t>
      </w:r>
      <w:r w:rsidRPr="005D37FA">
        <w:rPr>
          <w:rFonts w:ascii="Arial" w:eastAsia="Aptos" w:hAnsi="Arial" w:cs="Arial"/>
          <w:b/>
          <w:bCs/>
          <w:kern w:val="3"/>
          <w:sz w:val="28"/>
          <w:szCs w:val="28"/>
          <w:u w:val="single"/>
          <w:lang w:eastAsia="en-US"/>
          <w14:ligatures w14:val="none"/>
        </w:rPr>
        <w:t>)</w:t>
      </w:r>
    </w:p>
    <w:p w14:paraId="0316DC24" w14:textId="77777777" w:rsidR="00223AA2" w:rsidRPr="00893AE3" w:rsidRDefault="00223AA2" w:rsidP="00023A30">
      <w:pPr>
        <w:suppressAutoHyphens/>
        <w:autoSpaceDN w:val="0"/>
        <w:jc w:val="center"/>
        <w:rPr>
          <w:rFonts w:ascii="Arial" w:eastAsia="Aptos" w:hAnsi="Arial" w:cs="Arial"/>
          <w:b/>
          <w:bCs/>
          <w:kern w:val="3"/>
          <w:sz w:val="28"/>
          <w:szCs w:val="28"/>
          <w:u w:val="single"/>
          <w:lang w:eastAsia="en-US"/>
          <w14:ligatures w14:val="none"/>
        </w:rPr>
      </w:pPr>
    </w:p>
    <w:tbl>
      <w:tblPr>
        <w:tblStyle w:val="GridTable3-Accent21"/>
        <w:tblW w:w="10490" w:type="dxa"/>
        <w:tblInd w:w="-709" w:type="dxa"/>
        <w:tblLayout w:type="fixed"/>
        <w:tblLook w:val="04A0" w:firstRow="1" w:lastRow="0" w:firstColumn="1" w:lastColumn="0" w:noHBand="0" w:noVBand="1"/>
      </w:tblPr>
      <w:tblGrid>
        <w:gridCol w:w="1418"/>
        <w:gridCol w:w="1418"/>
        <w:gridCol w:w="1417"/>
        <w:gridCol w:w="1985"/>
        <w:gridCol w:w="2508"/>
        <w:gridCol w:w="1744"/>
      </w:tblGrid>
      <w:tr w:rsidR="001936DD" w:rsidRPr="005D37FA" w14:paraId="236BB33F" w14:textId="77777777" w:rsidTr="00223AA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418" w:type="dxa"/>
          </w:tcPr>
          <w:p w14:paraId="21BB78AF" w14:textId="77777777" w:rsidR="006D5659" w:rsidRPr="005D37FA" w:rsidRDefault="006D5659" w:rsidP="006D5659">
            <w:pPr>
              <w:spacing w:line="240" w:lineRule="auto"/>
              <w:jc w:val="center"/>
              <w:rPr>
                <w:rFonts w:ascii="Arial" w:eastAsia="Times New Roman" w:hAnsi="Arial" w:cs="Arial"/>
                <w:i w:val="0"/>
                <w:iCs w:val="0"/>
                <w:kern w:val="0"/>
                <w:sz w:val="22"/>
                <w:szCs w:val="22"/>
                <w:lang w:eastAsia="en-GB"/>
              </w:rPr>
            </w:pPr>
            <w:r w:rsidRPr="005D37FA">
              <w:rPr>
                <w:rFonts w:ascii="Arial" w:eastAsia="Times New Roman" w:hAnsi="Arial" w:cs="Arial"/>
                <w:i w:val="0"/>
                <w:iCs w:val="0"/>
                <w:kern w:val="0"/>
                <w:sz w:val="22"/>
                <w:szCs w:val="22"/>
                <w:lang w:eastAsia="en-GB"/>
              </w:rPr>
              <w:t>Author(s) &amp; Year</w:t>
            </w:r>
          </w:p>
        </w:tc>
        <w:tc>
          <w:tcPr>
            <w:tcW w:w="1418" w:type="dxa"/>
          </w:tcPr>
          <w:p w14:paraId="301194DC" w14:textId="77777777" w:rsidR="006D5659" w:rsidRPr="005D37FA" w:rsidRDefault="006D5659" w:rsidP="006D5659">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Study Type / Source</w:t>
            </w:r>
          </w:p>
        </w:tc>
        <w:tc>
          <w:tcPr>
            <w:tcW w:w="1417" w:type="dxa"/>
          </w:tcPr>
          <w:p w14:paraId="2D889A1C" w14:textId="77777777" w:rsidR="006D5659" w:rsidRPr="005D37FA" w:rsidRDefault="006D5659" w:rsidP="006D5659">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Sample / Population</w:t>
            </w:r>
          </w:p>
        </w:tc>
        <w:tc>
          <w:tcPr>
            <w:tcW w:w="1985" w:type="dxa"/>
          </w:tcPr>
          <w:p w14:paraId="6C8CE402" w14:textId="77777777" w:rsidR="006D5659" w:rsidRPr="005D37FA" w:rsidRDefault="006D5659" w:rsidP="006D5659">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Intervention / Focus</w:t>
            </w:r>
          </w:p>
        </w:tc>
        <w:tc>
          <w:tcPr>
            <w:tcW w:w="2508" w:type="dxa"/>
          </w:tcPr>
          <w:p w14:paraId="741417A3" w14:textId="77777777" w:rsidR="006D5659" w:rsidRPr="005D37FA" w:rsidRDefault="006D5659" w:rsidP="006D5659">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Outcomes / Findings</w:t>
            </w:r>
          </w:p>
        </w:tc>
        <w:tc>
          <w:tcPr>
            <w:tcW w:w="1744" w:type="dxa"/>
          </w:tcPr>
          <w:p w14:paraId="41DBAC3F" w14:textId="77777777" w:rsidR="006D5659" w:rsidRPr="005D37FA" w:rsidRDefault="006D5659" w:rsidP="006D5659">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Limitations</w:t>
            </w:r>
          </w:p>
        </w:tc>
      </w:tr>
      <w:tr w:rsidR="001936DD" w:rsidRPr="005D37FA" w14:paraId="75D01806"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75C840DD" w14:textId="619D8C12"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 xml:space="preserve">Courtin </w:t>
            </w:r>
            <w:r w:rsidR="00307BBD" w:rsidRPr="005D37FA">
              <w:rPr>
                <w:rFonts w:ascii="Arial" w:hAnsi="Arial" w:cs="Arial"/>
                <w:b/>
                <w:bCs/>
                <w:i w:val="0"/>
                <w:iCs w:val="0"/>
                <w:sz w:val="22"/>
                <w:szCs w:val="22"/>
              </w:rPr>
              <w:t>and</w:t>
            </w:r>
            <w:r w:rsidRPr="005D37FA">
              <w:rPr>
                <w:rFonts w:ascii="Arial" w:hAnsi="Arial" w:cs="Arial"/>
                <w:b/>
                <w:bCs/>
                <w:i w:val="0"/>
                <w:iCs w:val="0"/>
                <w:sz w:val="22"/>
                <w:szCs w:val="22"/>
              </w:rPr>
              <w:t xml:space="preserve"> Knapp (2017)</w:t>
            </w:r>
          </w:p>
        </w:tc>
        <w:tc>
          <w:tcPr>
            <w:tcW w:w="1418" w:type="dxa"/>
          </w:tcPr>
          <w:p w14:paraId="1E6D5B58"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Scoping review</w:t>
            </w:r>
          </w:p>
        </w:tc>
        <w:tc>
          <w:tcPr>
            <w:tcW w:w="1417" w:type="dxa"/>
          </w:tcPr>
          <w:p w14:paraId="6455F896"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512E867B"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isolation and health</w:t>
            </w:r>
          </w:p>
        </w:tc>
        <w:tc>
          <w:tcPr>
            <w:tcW w:w="2508" w:type="dxa"/>
          </w:tcPr>
          <w:p w14:paraId="00E9FD6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associated with poorer mental and physical health</w:t>
            </w:r>
          </w:p>
        </w:tc>
        <w:tc>
          <w:tcPr>
            <w:tcW w:w="1744" w:type="dxa"/>
          </w:tcPr>
          <w:p w14:paraId="2BABB875"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causal evidence</w:t>
            </w:r>
          </w:p>
        </w:tc>
      </w:tr>
      <w:tr w:rsidR="001936DD" w:rsidRPr="005D37FA" w14:paraId="311F1902"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4B369A5F"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Creighton et al. (2019)</w:t>
            </w:r>
          </w:p>
        </w:tc>
        <w:tc>
          <w:tcPr>
            <w:tcW w:w="1418" w:type="dxa"/>
          </w:tcPr>
          <w:p w14:paraId="08CD1E3C"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Longitudinal study</w:t>
            </w:r>
          </w:p>
        </w:tc>
        <w:tc>
          <w:tcPr>
            <w:tcW w:w="1417" w:type="dxa"/>
          </w:tcPr>
          <w:p w14:paraId="400D909B"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 (ELSA dataset)</w:t>
            </w:r>
          </w:p>
        </w:tc>
        <w:tc>
          <w:tcPr>
            <w:tcW w:w="1985" w:type="dxa"/>
          </w:tcPr>
          <w:p w14:paraId="6371559C"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isolation and depression</w:t>
            </w:r>
          </w:p>
        </w:tc>
        <w:tc>
          <w:tcPr>
            <w:tcW w:w="2508" w:type="dxa"/>
          </w:tcPr>
          <w:p w14:paraId="0DEE3092"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Isolation linked to increased depressive symptoms</w:t>
            </w:r>
          </w:p>
        </w:tc>
        <w:tc>
          <w:tcPr>
            <w:tcW w:w="1744" w:type="dxa"/>
          </w:tcPr>
          <w:p w14:paraId="05C9FDED"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UK sample only</w:t>
            </w:r>
          </w:p>
        </w:tc>
      </w:tr>
      <w:tr w:rsidR="001936DD" w:rsidRPr="005D37FA" w14:paraId="33DBFD3B"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110F2624"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t>Cattan et al. (2005)</w:t>
            </w:r>
          </w:p>
        </w:tc>
        <w:tc>
          <w:tcPr>
            <w:tcW w:w="1418" w:type="dxa"/>
          </w:tcPr>
          <w:p w14:paraId="0D36E05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Literature review</w:t>
            </w:r>
          </w:p>
        </w:tc>
        <w:tc>
          <w:tcPr>
            <w:tcW w:w="1417" w:type="dxa"/>
          </w:tcPr>
          <w:p w14:paraId="0D4911FF"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Older adults</w:t>
            </w:r>
          </w:p>
        </w:tc>
        <w:tc>
          <w:tcPr>
            <w:tcW w:w="1985" w:type="dxa"/>
          </w:tcPr>
          <w:p w14:paraId="4744137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Social isolation &amp; interventions</w:t>
            </w:r>
          </w:p>
        </w:tc>
        <w:tc>
          <w:tcPr>
            <w:tcW w:w="2508" w:type="dxa"/>
          </w:tcPr>
          <w:p w14:paraId="19AAAB8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Ethical concerns for primary research</w:t>
            </w:r>
          </w:p>
        </w:tc>
        <w:tc>
          <w:tcPr>
            <w:tcW w:w="1744" w:type="dxa"/>
          </w:tcPr>
          <w:p w14:paraId="4383D700"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Pre-2015; older context</w:t>
            </w:r>
          </w:p>
        </w:tc>
      </w:tr>
      <w:tr w:rsidR="001936DD" w:rsidRPr="005D37FA" w14:paraId="2CE5436E"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198E9F4C"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Dickens et al. (2011)</w:t>
            </w:r>
          </w:p>
        </w:tc>
        <w:tc>
          <w:tcPr>
            <w:tcW w:w="1418" w:type="dxa"/>
          </w:tcPr>
          <w:p w14:paraId="0F81D871"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Systematic review</w:t>
            </w:r>
          </w:p>
        </w:tc>
        <w:tc>
          <w:tcPr>
            <w:tcW w:w="1417" w:type="dxa"/>
          </w:tcPr>
          <w:p w14:paraId="03591283"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0B27EC8E"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isolation interventions</w:t>
            </w:r>
          </w:p>
        </w:tc>
        <w:tc>
          <w:tcPr>
            <w:tcW w:w="2508" w:type="dxa"/>
          </w:tcPr>
          <w:p w14:paraId="15AAC992"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Community programmes reduced loneliness</w:t>
            </w:r>
          </w:p>
        </w:tc>
        <w:tc>
          <w:tcPr>
            <w:tcW w:w="1744" w:type="dxa"/>
          </w:tcPr>
          <w:p w14:paraId="5403B28A"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evidence quality</w:t>
            </w:r>
          </w:p>
        </w:tc>
      </w:tr>
      <w:tr w:rsidR="001936DD" w:rsidRPr="005D37FA" w14:paraId="10223C66"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043F6BA" w14:textId="2D04A211" w:rsidR="006D5659" w:rsidRPr="005D37FA" w:rsidRDefault="006D5659" w:rsidP="002C33DA">
            <w:pPr>
              <w:spacing w:line="240" w:lineRule="auto"/>
              <w:jc w:val="center"/>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 xml:space="preserve">Hawkley </w:t>
            </w:r>
            <w:r w:rsidR="00307BBD" w:rsidRPr="005D37FA">
              <w:rPr>
                <w:rFonts w:ascii="Arial" w:hAnsi="Arial" w:cs="Arial"/>
                <w:b/>
                <w:bCs/>
                <w:i w:val="0"/>
                <w:iCs w:val="0"/>
                <w:sz w:val="22"/>
                <w:szCs w:val="22"/>
              </w:rPr>
              <w:t>and</w:t>
            </w:r>
            <w:r w:rsidRPr="005D37FA">
              <w:rPr>
                <w:rFonts w:ascii="Arial" w:hAnsi="Arial" w:cs="Arial"/>
                <w:b/>
                <w:bCs/>
                <w:i w:val="0"/>
                <w:iCs w:val="0"/>
                <w:sz w:val="22"/>
                <w:szCs w:val="22"/>
              </w:rPr>
              <w:t xml:space="preserve"> Cacioppo (2010)</w:t>
            </w:r>
          </w:p>
        </w:tc>
        <w:tc>
          <w:tcPr>
            <w:tcW w:w="1418" w:type="dxa"/>
          </w:tcPr>
          <w:p w14:paraId="5A5D2E7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Literature review</w:t>
            </w:r>
          </w:p>
        </w:tc>
        <w:tc>
          <w:tcPr>
            <w:tcW w:w="1417" w:type="dxa"/>
          </w:tcPr>
          <w:p w14:paraId="43CD40F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Adults including older adults</w:t>
            </w:r>
          </w:p>
        </w:tc>
        <w:tc>
          <w:tcPr>
            <w:tcW w:w="1985" w:type="dxa"/>
          </w:tcPr>
          <w:p w14:paraId="3442D9A4"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and health outcomes</w:t>
            </w:r>
          </w:p>
        </w:tc>
        <w:tc>
          <w:tcPr>
            <w:tcW w:w="2508" w:type="dxa"/>
          </w:tcPr>
          <w:p w14:paraId="03A4371B"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linked to stress and mental health decline</w:t>
            </w:r>
          </w:p>
        </w:tc>
        <w:tc>
          <w:tcPr>
            <w:tcW w:w="1744" w:type="dxa"/>
          </w:tcPr>
          <w:p w14:paraId="4DE2C81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Mostly theoretical evidence</w:t>
            </w:r>
          </w:p>
        </w:tc>
      </w:tr>
      <w:tr w:rsidR="001936DD" w:rsidRPr="005D37FA" w14:paraId="308282EB" w14:textId="77777777" w:rsidTr="00223AA2">
        <w:trPr>
          <w:trHeight w:val="774"/>
        </w:trPr>
        <w:tc>
          <w:tcPr>
            <w:cnfStyle w:val="001000000000" w:firstRow="0" w:lastRow="0" w:firstColumn="1" w:lastColumn="0" w:oddVBand="0" w:evenVBand="0" w:oddHBand="0" w:evenHBand="0" w:firstRowFirstColumn="0" w:firstRowLastColumn="0" w:lastRowFirstColumn="0" w:lastRowLastColumn="0"/>
            <w:tcW w:w="1418" w:type="dxa"/>
          </w:tcPr>
          <w:p w14:paraId="0C73D113"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Holt-Lunstad (2018)</w:t>
            </w:r>
          </w:p>
        </w:tc>
        <w:tc>
          <w:tcPr>
            <w:tcW w:w="1418" w:type="dxa"/>
          </w:tcPr>
          <w:p w14:paraId="52288C5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Review study</w:t>
            </w:r>
          </w:p>
        </w:tc>
        <w:tc>
          <w:tcPr>
            <w:tcW w:w="1417" w:type="dxa"/>
          </w:tcPr>
          <w:p w14:paraId="789C8F30"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Adults including older adults</w:t>
            </w:r>
          </w:p>
        </w:tc>
        <w:tc>
          <w:tcPr>
            <w:tcW w:w="1985" w:type="dxa"/>
          </w:tcPr>
          <w:p w14:paraId="292E1D60"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relationships and health</w:t>
            </w:r>
          </w:p>
        </w:tc>
        <w:tc>
          <w:tcPr>
            <w:tcW w:w="2508" w:type="dxa"/>
          </w:tcPr>
          <w:p w14:paraId="6929A5F1"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Strong social ties improve mental and physical health</w:t>
            </w:r>
          </w:p>
        </w:tc>
        <w:tc>
          <w:tcPr>
            <w:tcW w:w="1744" w:type="dxa"/>
          </w:tcPr>
          <w:p w14:paraId="7DD005FC"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Broad population scope</w:t>
            </w:r>
          </w:p>
        </w:tc>
      </w:tr>
      <w:tr w:rsidR="001936DD" w:rsidRPr="005D37FA" w14:paraId="730F9D9C"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19E53A47"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Holt-Lunstad et al. (2010)</w:t>
            </w:r>
          </w:p>
        </w:tc>
        <w:tc>
          <w:tcPr>
            <w:tcW w:w="1418" w:type="dxa"/>
          </w:tcPr>
          <w:p w14:paraId="09F98585"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Meta-analysis</w:t>
            </w:r>
          </w:p>
        </w:tc>
        <w:tc>
          <w:tcPr>
            <w:tcW w:w="1417" w:type="dxa"/>
          </w:tcPr>
          <w:p w14:paraId="4483FCF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Adults including older adults</w:t>
            </w:r>
          </w:p>
        </w:tc>
        <w:tc>
          <w:tcPr>
            <w:tcW w:w="1985" w:type="dxa"/>
          </w:tcPr>
          <w:p w14:paraId="168D15D5"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relationships and mortality</w:t>
            </w:r>
          </w:p>
        </w:tc>
        <w:tc>
          <w:tcPr>
            <w:tcW w:w="2508" w:type="dxa"/>
          </w:tcPr>
          <w:p w14:paraId="3D8B4E64"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isolation increases mortality risk</w:t>
            </w:r>
          </w:p>
        </w:tc>
        <w:tc>
          <w:tcPr>
            <w:tcW w:w="1744" w:type="dxa"/>
          </w:tcPr>
          <w:p w14:paraId="244B2D25"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International data</w:t>
            </w:r>
          </w:p>
        </w:tc>
      </w:tr>
      <w:tr w:rsidR="001936DD" w:rsidRPr="005D37FA" w14:paraId="7A536E8A"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391E5A37"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O’Shea et al. (2021)</w:t>
            </w:r>
          </w:p>
        </w:tc>
        <w:tc>
          <w:tcPr>
            <w:tcW w:w="1418" w:type="dxa"/>
          </w:tcPr>
          <w:p w14:paraId="5C77C339"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Empirical study</w:t>
            </w:r>
          </w:p>
        </w:tc>
        <w:tc>
          <w:tcPr>
            <w:tcW w:w="1417" w:type="dxa"/>
          </w:tcPr>
          <w:p w14:paraId="79895A57"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255BA661"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Physiological effects of loneliness</w:t>
            </w:r>
          </w:p>
        </w:tc>
        <w:tc>
          <w:tcPr>
            <w:tcW w:w="2508" w:type="dxa"/>
          </w:tcPr>
          <w:p w14:paraId="480AAAE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linked to cortisol and inflammation</w:t>
            </w:r>
          </w:p>
        </w:tc>
        <w:tc>
          <w:tcPr>
            <w:tcW w:w="1744" w:type="dxa"/>
          </w:tcPr>
          <w:p w14:paraId="5C4C688A"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Small sample</w:t>
            </w:r>
          </w:p>
        </w:tc>
      </w:tr>
      <w:tr w:rsidR="001936DD" w:rsidRPr="005D37FA" w14:paraId="2E5C89A4"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6DC4A05D"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Santini et al. (2020)</w:t>
            </w:r>
          </w:p>
        </w:tc>
        <w:tc>
          <w:tcPr>
            <w:tcW w:w="1418" w:type="dxa"/>
          </w:tcPr>
          <w:p w14:paraId="2B48EFEB"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Cross-sectional study</w:t>
            </w:r>
          </w:p>
        </w:tc>
        <w:tc>
          <w:tcPr>
            <w:tcW w:w="1417" w:type="dxa"/>
          </w:tcPr>
          <w:p w14:paraId="2828E603"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440CBA2F"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isolation and mental health</w:t>
            </w:r>
          </w:p>
        </w:tc>
        <w:tc>
          <w:tcPr>
            <w:tcW w:w="2508" w:type="dxa"/>
          </w:tcPr>
          <w:p w14:paraId="374F86A6"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Isolation associated with depression and anxiety</w:t>
            </w:r>
          </w:p>
        </w:tc>
        <w:tc>
          <w:tcPr>
            <w:tcW w:w="1744" w:type="dxa"/>
          </w:tcPr>
          <w:p w14:paraId="00ED658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Cross-sectional design</w:t>
            </w:r>
          </w:p>
        </w:tc>
      </w:tr>
      <w:tr w:rsidR="001936DD" w:rsidRPr="005D37FA" w14:paraId="59595702"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2F1928C1"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t>NHS England (2024)</w:t>
            </w:r>
          </w:p>
        </w:tc>
        <w:tc>
          <w:tcPr>
            <w:tcW w:w="1418" w:type="dxa"/>
          </w:tcPr>
          <w:p w14:paraId="733D40BA"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Government health report</w:t>
            </w:r>
          </w:p>
        </w:tc>
        <w:tc>
          <w:tcPr>
            <w:tcW w:w="1417" w:type="dxa"/>
          </w:tcPr>
          <w:p w14:paraId="0FE90224"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Older adults UK</w:t>
            </w:r>
          </w:p>
        </w:tc>
        <w:tc>
          <w:tcPr>
            <w:tcW w:w="1985" w:type="dxa"/>
          </w:tcPr>
          <w:p w14:paraId="7903E3C9"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Mental health &amp; wellbeing</w:t>
            </w:r>
          </w:p>
        </w:tc>
        <w:tc>
          <w:tcPr>
            <w:tcW w:w="2508" w:type="dxa"/>
          </w:tcPr>
          <w:p w14:paraId="25468584"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Provides national stats</w:t>
            </w:r>
          </w:p>
        </w:tc>
        <w:tc>
          <w:tcPr>
            <w:tcW w:w="1744" w:type="dxa"/>
          </w:tcPr>
          <w:p w14:paraId="1D7CD739"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Limited methodological detail</w:t>
            </w:r>
          </w:p>
        </w:tc>
      </w:tr>
      <w:tr w:rsidR="001936DD" w:rsidRPr="005D37FA" w14:paraId="61CFB8B1"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36BD57F"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t>ONS (2025)</w:t>
            </w:r>
          </w:p>
        </w:tc>
        <w:tc>
          <w:tcPr>
            <w:tcW w:w="1418" w:type="dxa"/>
          </w:tcPr>
          <w:p w14:paraId="6AEA46F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Statistical data</w:t>
            </w:r>
          </w:p>
        </w:tc>
        <w:tc>
          <w:tcPr>
            <w:tcW w:w="1417" w:type="dxa"/>
          </w:tcPr>
          <w:p w14:paraId="38B09BA3"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Older adults UK</w:t>
            </w:r>
          </w:p>
        </w:tc>
        <w:tc>
          <w:tcPr>
            <w:tcW w:w="1985" w:type="dxa"/>
          </w:tcPr>
          <w:p w14:paraId="6A4FA17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Demographics &amp; prevalence</w:t>
            </w:r>
          </w:p>
        </w:tc>
        <w:tc>
          <w:tcPr>
            <w:tcW w:w="2508" w:type="dxa"/>
          </w:tcPr>
          <w:p w14:paraId="0BF1551B"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Contextual UK population data</w:t>
            </w:r>
          </w:p>
        </w:tc>
        <w:tc>
          <w:tcPr>
            <w:tcW w:w="1744" w:type="dxa"/>
          </w:tcPr>
          <w:p w14:paraId="445A933F"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Descriptive only</w:t>
            </w:r>
          </w:p>
        </w:tc>
      </w:tr>
      <w:tr w:rsidR="001936DD" w:rsidRPr="005D37FA" w14:paraId="70C8881E"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78ED5236"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t>Age UK (2024)</w:t>
            </w:r>
          </w:p>
        </w:tc>
        <w:tc>
          <w:tcPr>
            <w:tcW w:w="1418" w:type="dxa"/>
          </w:tcPr>
          <w:p w14:paraId="4377E1B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Policy report</w:t>
            </w:r>
          </w:p>
        </w:tc>
        <w:tc>
          <w:tcPr>
            <w:tcW w:w="1417" w:type="dxa"/>
          </w:tcPr>
          <w:p w14:paraId="691C273D"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Older adults UK</w:t>
            </w:r>
          </w:p>
        </w:tc>
        <w:tc>
          <w:tcPr>
            <w:tcW w:w="1985" w:type="dxa"/>
          </w:tcPr>
          <w:p w14:paraId="781A3A9B"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Social isolation, community support</w:t>
            </w:r>
          </w:p>
        </w:tc>
        <w:tc>
          <w:tcPr>
            <w:tcW w:w="2508" w:type="dxa"/>
          </w:tcPr>
          <w:p w14:paraId="21473848"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Provides programme examples</w:t>
            </w:r>
          </w:p>
        </w:tc>
        <w:tc>
          <w:tcPr>
            <w:tcW w:w="1744" w:type="dxa"/>
          </w:tcPr>
          <w:p w14:paraId="4446F241"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Not peer-reviewed</w:t>
            </w:r>
          </w:p>
        </w:tc>
      </w:tr>
      <w:tr w:rsidR="001936DD" w:rsidRPr="005D37FA" w14:paraId="177562E1"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81AE54D"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t>OHID (2023)</w:t>
            </w:r>
          </w:p>
        </w:tc>
        <w:tc>
          <w:tcPr>
            <w:tcW w:w="1418" w:type="dxa"/>
          </w:tcPr>
          <w:p w14:paraId="1ADBA54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Public health guidance</w:t>
            </w:r>
          </w:p>
        </w:tc>
        <w:tc>
          <w:tcPr>
            <w:tcW w:w="1417" w:type="dxa"/>
          </w:tcPr>
          <w:p w14:paraId="776124C8"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UK population</w:t>
            </w:r>
          </w:p>
        </w:tc>
        <w:tc>
          <w:tcPr>
            <w:tcW w:w="1985" w:type="dxa"/>
          </w:tcPr>
          <w:p w14:paraId="64CCF42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Health promotion &amp; loneliness</w:t>
            </w:r>
          </w:p>
        </w:tc>
        <w:tc>
          <w:tcPr>
            <w:tcW w:w="2508" w:type="dxa"/>
          </w:tcPr>
          <w:p w14:paraId="25BE9059"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Evidence-based recommendations</w:t>
            </w:r>
          </w:p>
        </w:tc>
        <w:tc>
          <w:tcPr>
            <w:tcW w:w="1744" w:type="dxa"/>
          </w:tcPr>
          <w:p w14:paraId="1AB47190"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Broad scope</w:t>
            </w:r>
          </w:p>
        </w:tc>
      </w:tr>
      <w:tr w:rsidR="001936DD" w:rsidRPr="005D37FA" w14:paraId="5A3D7585" w14:textId="77777777" w:rsidTr="00223AA2">
        <w:trPr>
          <w:trHeight w:val="904"/>
        </w:trPr>
        <w:tc>
          <w:tcPr>
            <w:cnfStyle w:val="001000000000" w:firstRow="0" w:lastRow="0" w:firstColumn="1" w:lastColumn="0" w:oddVBand="0" w:evenVBand="0" w:oddHBand="0" w:evenHBand="0" w:firstRowFirstColumn="0" w:firstRowLastColumn="0" w:lastRowFirstColumn="0" w:lastRowLastColumn="0"/>
            <w:tcW w:w="1418" w:type="dxa"/>
          </w:tcPr>
          <w:p w14:paraId="0D5F02BF"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Holt-Lunstad et al. (2020)</w:t>
            </w:r>
          </w:p>
        </w:tc>
        <w:tc>
          <w:tcPr>
            <w:tcW w:w="1418" w:type="dxa"/>
          </w:tcPr>
          <w:p w14:paraId="10F904EC"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Meta-analysis</w:t>
            </w:r>
          </w:p>
        </w:tc>
        <w:tc>
          <w:tcPr>
            <w:tcW w:w="1417" w:type="dxa"/>
          </w:tcPr>
          <w:p w14:paraId="3C3E99AB"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Adults</w:t>
            </w:r>
          </w:p>
        </w:tc>
        <w:tc>
          <w:tcPr>
            <w:tcW w:w="1985" w:type="dxa"/>
          </w:tcPr>
          <w:p w14:paraId="4899F6FC"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and health outcomes</w:t>
            </w:r>
          </w:p>
        </w:tc>
        <w:tc>
          <w:tcPr>
            <w:tcW w:w="2508" w:type="dxa"/>
          </w:tcPr>
          <w:p w14:paraId="55A4EE6C"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strongly linked to health decline</w:t>
            </w:r>
          </w:p>
        </w:tc>
        <w:tc>
          <w:tcPr>
            <w:tcW w:w="1744" w:type="dxa"/>
          </w:tcPr>
          <w:p w14:paraId="335B8D03"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Variation across studies</w:t>
            </w:r>
          </w:p>
        </w:tc>
      </w:tr>
      <w:tr w:rsidR="001936DD" w:rsidRPr="005D37FA" w14:paraId="106BDC06"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02D24976"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Livingston et al. (2020)</w:t>
            </w:r>
          </w:p>
        </w:tc>
        <w:tc>
          <w:tcPr>
            <w:tcW w:w="1418" w:type="dxa"/>
          </w:tcPr>
          <w:p w14:paraId="5858D4AF"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Commission report</w:t>
            </w:r>
          </w:p>
        </w:tc>
        <w:tc>
          <w:tcPr>
            <w:tcW w:w="1417" w:type="dxa"/>
          </w:tcPr>
          <w:p w14:paraId="62E42CD8"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6699413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Dementia prevention and social engagement</w:t>
            </w:r>
          </w:p>
        </w:tc>
        <w:tc>
          <w:tcPr>
            <w:tcW w:w="2508" w:type="dxa"/>
          </w:tcPr>
          <w:p w14:paraId="2066F62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interaction reduces dementia risk</w:t>
            </w:r>
          </w:p>
        </w:tc>
        <w:tc>
          <w:tcPr>
            <w:tcW w:w="1744" w:type="dxa"/>
          </w:tcPr>
          <w:p w14:paraId="28FD1719"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Global scope</w:t>
            </w:r>
          </w:p>
        </w:tc>
      </w:tr>
      <w:tr w:rsidR="001936DD" w:rsidRPr="005D37FA" w14:paraId="3C88894C"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14E47FAA" w14:textId="70B93259"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lastRenderedPageBreak/>
              <w:t xml:space="preserve">Victor </w:t>
            </w:r>
            <w:r w:rsidR="00307BBD" w:rsidRPr="005D37FA">
              <w:rPr>
                <w:rFonts w:ascii="Arial" w:eastAsia="Times New Roman" w:hAnsi="Arial" w:cs="Arial"/>
                <w:b/>
                <w:bCs/>
                <w:i w:val="0"/>
                <w:iCs w:val="0"/>
                <w:kern w:val="0"/>
                <w:sz w:val="22"/>
                <w:szCs w:val="22"/>
                <w:lang w:eastAsia="en-GB"/>
              </w:rPr>
              <w:t>and</w:t>
            </w:r>
            <w:r w:rsidRPr="005D37FA">
              <w:rPr>
                <w:rFonts w:ascii="Arial" w:eastAsia="Times New Roman" w:hAnsi="Arial" w:cs="Arial"/>
                <w:b/>
                <w:bCs/>
                <w:i w:val="0"/>
                <w:iCs w:val="0"/>
                <w:kern w:val="0"/>
                <w:sz w:val="22"/>
                <w:szCs w:val="22"/>
                <w:lang w:eastAsia="en-GB"/>
              </w:rPr>
              <w:t xml:space="preserve"> Yang (2012)</w:t>
            </w:r>
          </w:p>
        </w:tc>
        <w:tc>
          <w:tcPr>
            <w:tcW w:w="1418" w:type="dxa"/>
          </w:tcPr>
          <w:p w14:paraId="1D025A0D"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UK-based study</w:t>
            </w:r>
          </w:p>
        </w:tc>
        <w:tc>
          <w:tcPr>
            <w:tcW w:w="1417" w:type="dxa"/>
          </w:tcPr>
          <w:p w14:paraId="7E456E8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Older adults 65+</w:t>
            </w:r>
          </w:p>
        </w:tc>
        <w:tc>
          <w:tcPr>
            <w:tcW w:w="1985" w:type="dxa"/>
          </w:tcPr>
          <w:p w14:paraId="48AE07A9"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Loneliness research</w:t>
            </w:r>
          </w:p>
        </w:tc>
        <w:tc>
          <w:tcPr>
            <w:tcW w:w="2508" w:type="dxa"/>
          </w:tcPr>
          <w:p w14:paraId="5768B755"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Inclusion justification</w:t>
            </w:r>
          </w:p>
        </w:tc>
        <w:tc>
          <w:tcPr>
            <w:tcW w:w="1744" w:type="dxa"/>
          </w:tcPr>
          <w:p w14:paraId="674E2905"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Pre-2015 in some parts</w:t>
            </w:r>
          </w:p>
        </w:tc>
      </w:tr>
      <w:tr w:rsidR="001936DD" w:rsidRPr="005D37FA" w14:paraId="4EEA5444"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D07F256"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t>McKinlay et al. (2021)</w:t>
            </w:r>
          </w:p>
        </w:tc>
        <w:tc>
          <w:tcPr>
            <w:tcW w:w="1418" w:type="dxa"/>
          </w:tcPr>
          <w:p w14:paraId="14E8C34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UK study</w:t>
            </w:r>
          </w:p>
        </w:tc>
        <w:tc>
          <w:tcPr>
            <w:tcW w:w="1417" w:type="dxa"/>
          </w:tcPr>
          <w:p w14:paraId="409771AD"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Older adults 65+</w:t>
            </w:r>
          </w:p>
        </w:tc>
        <w:tc>
          <w:tcPr>
            <w:tcW w:w="1985" w:type="dxa"/>
          </w:tcPr>
          <w:p w14:paraId="0CF0C44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Mental health &amp; social isolation</w:t>
            </w:r>
          </w:p>
        </w:tc>
        <w:tc>
          <w:tcPr>
            <w:tcW w:w="2508" w:type="dxa"/>
          </w:tcPr>
          <w:p w14:paraId="0BA5B34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Supports inclusion criteria</w:t>
            </w:r>
          </w:p>
        </w:tc>
        <w:tc>
          <w:tcPr>
            <w:tcW w:w="1744" w:type="dxa"/>
          </w:tcPr>
          <w:p w14:paraId="6EDA7C95"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Specific context may vary</w:t>
            </w:r>
          </w:p>
        </w:tc>
      </w:tr>
      <w:tr w:rsidR="001936DD" w:rsidRPr="005D37FA" w14:paraId="6E230B80"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0EAFA387"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t>Lee et al. (2022)</w:t>
            </w:r>
          </w:p>
        </w:tc>
        <w:tc>
          <w:tcPr>
            <w:tcW w:w="1418" w:type="dxa"/>
          </w:tcPr>
          <w:p w14:paraId="032117F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Intervention study</w:t>
            </w:r>
          </w:p>
        </w:tc>
        <w:tc>
          <w:tcPr>
            <w:tcW w:w="1417" w:type="dxa"/>
          </w:tcPr>
          <w:p w14:paraId="27A0E86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Older adults UK</w:t>
            </w:r>
          </w:p>
        </w:tc>
        <w:tc>
          <w:tcPr>
            <w:tcW w:w="1985" w:type="dxa"/>
          </w:tcPr>
          <w:p w14:paraId="63005517"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Community-based interventions</w:t>
            </w:r>
          </w:p>
        </w:tc>
        <w:tc>
          <w:tcPr>
            <w:tcW w:w="2508" w:type="dxa"/>
          </w:tcPr>
          <w:p w14:paraId="1ECD4181"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Supports inclusion</w:t>
            </w:r>
          </w:p>
        </w:tc>
        <w:tc>
          <w:tcPr>
            <w:tcW w:w="1744" w:type="dxa"/>
          </w:tcPr>
          <w:p w14:paraId="4356A5CA"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Limited to specific interventions</w:t>
            </w:r>
          </w:p>
        </w:tc>
      </w:tr>
      <w:tr w:rsidR="001936DD" w:rsidRPr="005D37FA" w14:paraId="545F3999"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4ED1432A" w14:textId="74BE0129"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 xml:space="preserve">Steptoe </w:t>
            </w:r>
            <w:r w:rsidR="00307BBD" w:rsidRPr="005D37FA">
              <w:rPr>
                <w:rFonts w:ascii="Arial" w:hAnsi="Arial" w:cs="Arial"/>
                <w:b/>
                <w:bCs/>
                <w:i w:val="0"/>
                <w:iCs w:val="0"/>
                <w:sz w:val="22"/>
                <w:szCs w:val="22"/>
              </w:rPr>
              <w:t>and</w:t>
            </w:r>
            <w:r w:rsidRPr="005D37FA">
              <w:rPr>
                <w:rFonts w:ascii="Arial" w:hAnsi="Arial" w:cs="Arial"/>
                <w:b/>
                <w:bCs/>
                <w:i w:val="0"/>
                <w:iCs w:val="0"/>
                <w:sz w:val="22"/>
                <w:szCs w:val="22"/>
              </w:rPr>
              <w:t xml:space="preserve"> Di Gessa (2021)</w:t>
            </w:r>
          </w:p>
        </w:tc>
        <w:tc>
          <w:tcPr>
            <w:tcW w:w="1418" w:type="dxa"/>
          </w:tcPr>
          <w:p w14:paraId="4D0A7EF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Observational study</w:t>
            </w:r>
          </w:p>
        </w:tc>
        <w:tc>
          <w:tcPr>
            <w:tcW w:w="1417" w:type="dxa"/>
          </w:tcPr>
          <w:p w14:paraId="26B4D7D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 in England</w:t>
            </w:r>
          </w:p>
        </w:tc>
        <w:tc>
          <w:tcPr>
            <w:tcW w:w="1985" w:type="dxa"/>
          </w:tcPr>
          <w:p w14:paraId="02C9295A"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COVID-19 and social isolation</w:t>
            </w:r>
          </w:p>
        </w:tc>
        <w:tc>
          <w:tcPr>
            <w:tcW w:w="2508" w:type="dxa"/>
          </w:tcPr>
          <w:p w14:paraId="7A4417CA"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Pandemic increased loneliness among older adults</w:t>
            </w:r>
          </w:p>
        </w:tc>
        <w:tc>
          <w:tcPr>
            <w:tcW w:w="1744" w:type="dxa"/>
          </w:tcPr>
          <w:p w14:paraId="2151A62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Short study period</w:t>
            </w:r>
          </w:p>
        </w:tc>
      </w:tr>
      <w:tr w:rsidR="001936DD" w:rsidRPr="005D37FA" w14:paraId="3CF28915"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643174DA" w14:textId="170F976C"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 xml:space="preserve">Victor </w:t>
            </w:r>
            <w:r w:rsidR="00307BBD" w:rsidRPr="005D37FA">
              <w:rPr>
                <w:rFonts w:ascii="Arial" w:hAnsi="Arial" w:cs="Arial"/>
                <w:b/>
                <w:bCs/>
                <w:i w:val="0"/>
                <w:iCs w:val="0"/>
                <w:sz w:val="22"/>
                <w:szCs w:val="22"/>
              </w:rPr>
              <w:t>and</w:t>
            </w:r>
            <w:r w:rsidRPr="005D37FA">
              <w:rPr>
                <w:rFonts w:ascii="Arial" w:hAnsi="Arial" w:cs="Arial"/>
                <w:b/>
                <w:bCs/>
                <w:i w:val="0"/>
                <w:iCs w:val="0"/>
                <w:sz w:val="22"/>
                <w:szCs w:val="22"/>
              </w:rPr>
              <w:t xml:space="preserve"> Pikhartova (2020)</w:t>
            </w:r>
          </w:p>
        </w:tc>
        <w:tc>
          <w:tcPr>
            <w:tcW w:w="1418" w:type="dxa"/>
          </w:tcPr>
          <w:p w14:paraId="585CB9F8"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Observational study</w:t>
            </w:r>
          </w:p>
        </w:tc>
        <w:tc>
          <w:tcPr>
            <w:tcW w:w="1417" w:type="dxa"/>
          </w:tcPr>
          <w:p w14:paraId="785732B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4441653B"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isolation and mental health</w:t>
            </w:r>
          </w:p>
        </w:tc>
        <w:tc>
          <w:tcPr>
            <w:tcW w:w="2508" w:type="dxa"/>
          </w:tcPr>
          <w:p w14:paraId="1BD55EAE"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associated with depression and poor well-being</w:t>
            </w:r>
          </w:p>
        </w:tc>
        <w:tc>
          <w:tcPr>
            <w:tcW w:w="1744" w:type="dxa"/>
          </w:tcPr>
          <w:p w14:paraId="639DEF4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Self-reported measures</w:t>
            </w:r>
          </w:p>
        </w:tc>
      </w:tr>
      <w:tr w:rsidR="001936DD" w:rsidRPr="005D37FA" w14:paraId="488D2A71"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3F81CD3C"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Westwood (2020)</w:t>
            </w:r>
          </w:p>
        </w:tc>
        <w:tc>
          <w:tcPr>
            <w:tcW w:w="1418" w:type="dxa"/>
          </w:tcPr>
          <w:p w14:paraId="71AB522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Observational study</w:t>
            </w:r>
          </w:p>
        </w:tc>
        <w:tc>
          <w:tcPr>
            <w:tcW w:w="1417" w:type="dxa"/>
          </w:tcPr>
          <w:p w14:paraId="547ACC4D"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05FC79D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Mental health inequalities</w:t>
            </w:r>
          </w:p>
        </w:tc>
        <w:tc>
          <w:tcPr>
            <w:tcW w:w="2508" w:type="dxa"/>
          </w:tcPr>
          <w:p w14:paraId="41DA2A95"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Minority groups face higher loneliness risks</w:t>
            </w:r>
          </w:p>
        </w:tc>
        <w:tc>
          <w:tcPr>
            <w:tcW w:w="1744" w:type="dxa"/>
          </w:tcPr>
          <w:p w14:paraId="69A05FEE"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representation</w:t>
            </w:r>
          </w:p>
        </w:tc>
      </w:tr>
      <w:tr w:rsidR="001936DD" w:rsidRPr="005D37FA" w14:paraId="51FA56A8" w14:textId="77777777" w:rsidTr="00223AA2">
        <w:trPr>
          <w:trHeight w:val="694"/>
        </w:trPr>
        <w:tc>
          <w:tcPr>
            <w:cnfStyle w:val="001000000000" w:firstRow="0" w:lastRow="0" w:firstColumn="1" w:lastColumn="0" w:oddVBand="0" w:evenVBand="0" w:oddHBand="0" w:evenHBand="0" w:firstRowFirstColumn="0" w:firstRowLastColumn="0" w:lastRowFirstColumn="0" w:lastRowLastColumn="0"/>
            <w:tcW w:w="1418" w:type="dxa"/>
          </w:tcPr>
          <w:p w14:paraId="6AA209FD"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Shankar et al. (2011)</w:t>
            </w:r>
          </w:p>
        </w:tc>
        <w:tc>
          <w:tcPr>
            <w:tcW w:w="1418" w:type="dxa"/>
          </w:tcPr>
          <w:p w14:paraId="6566200D"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Longitudinal study</w:t>
            </w:r>
          </w:p>
        </w:tc>
        <w:tc>
          <w:tcPr>
            <w:tcW w:w="1417" w:type="dxa"/>
          </w:tcPr>
          <w:p w14:paraId="19E87734"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0631CFA0"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and health outcomes</w:t>
            </w:r>
          </w:p>
        </w:tc>
        <w:tc>
          <w:tcPr>
            <w:tcW w:w="2508" w:type="dxa"/>
          </w:tcPr>
          <w:p w14:paraId="3FF6D669"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predicts depression and poorer well-being</w:t>
            </w:r>
          </w:p>
        </w:tc>
        <w:tc>
          <w:tcPr>
            <w:tcW w:w="1744" w:type="dxa"/>
          </w:tcPr>
          <w:p w14:paraId="7B8C5734"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dataset</w:t>
            </w:r>
          </w:p>
        </w:tc>
      </w:tr>
      <w:tr w:rsidR="006D5659" w:rsidRPr="005D37FA" w14:paraId="54BFDF92"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0BDB531C"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Fang et al. (2019)</w:t>
            </w:r>
          </w:p>
        </w:tc>
        <w:tc>
          <w:tcPr>
            <w:tcW w:w="1418" w:type="dxa"/>
          </w:tcPr>
          <w:p w14:paraId="7810181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Qualitative study</w:t>
            </w:r>
          </w:p>
        </w:tc>
        <w:tc>
          <w:tcPr>
            <w:tcW w:w="1417" w:type="dxa"/>
          </w:tcPr>
          <w:p w14:paraId="1C79DA3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09B4528F"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Digital technology and social participation</w:t>
            </w:r>
          </w:p>
        </w:tc>
        <w:tc>
          <w:tcPr>
            <w:tcW w:w="2508" w:type="dxa"/>
          </w:tcPr>
          <w:p w14:paraId="65CFF9B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Digital training improves confidence and social interaction</w:t>
            </w:r>
          </w:p>
        </w:tc>
        <w:tc>
          <w:tcPr>
            <w:tcW w:w="1744" w:type="dxa"/>
          </w:tcPr>
          <w:p w14:paraId="76AC8D9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Small sample</w:t>
            </w:r>
          </w:p>
        </w:tc>
      </w:tr>
      <w:tr w:rsidR="006D5659" w:rsidRPr="005D37FA" w14:paraId="0DD98FB5"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5FF0D375"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Seifert et al. (2021)</w:t>
            </w:r>
          </w:p>
        </w:tc>
        <w:tc>
          <w:tcPr>
            <w:tcW w:w="1418" w:type="dxa"/>
          </w:tcPr>
          <w:p w14:paraId="34ED0D2A"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Mixed-methods study</w:t>
            </w:r>
          </w:p>
        </w:tc>
        <w:tc>
          <w:tcPr>
            <w:tcW w:w="1417" w:type="dxa"/>
          </w:tcPr>
          <w:p w14:paraId="051EE00D"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0C85F365"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Digital literacy programmes</w:t>
            </w:r>
          </w:p>
        </w:tc>
        <w:tc>
          <w:tcPr>
            <w:tcW w:w="2508" w:type="dxa"/>
          </w:tcPr>
          <w:p w14:paraId="09D724AA"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Improved online participation and social connection</w:t>
            </w:r>
          </w:p>
        </w:tc>
        <w:tc>
          <w:tcPr>
            <w:tcW w:w="1744" w:type="dxa"/>
          </w:tcPr>
          <w:p w14:paraId="1DA63F5D"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Digital access inequality</w:t>
            </w:r>
          </w:p>
        </w:tc>
      </w:tr>
      <w:tr w:rsidR="006D5659" w:rsidRPr="005D37FA" w14:paraId="4E9BA55D"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6E6AB9B7"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Goll et al. (2015)</w:t>
            </w:r>
          </w:p>
        </w:tc>
        <w:tc>
          <w:tcPr>
            <w:tcW w:w="1418" w:type="dxa"/>
          </w:tcPr>
          <w:p w14:paraId="0F638CB5"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Systematic review</w:t>
            </w:r>
          </w:p>
        </w:tc>
        <w:tc>
          <w:tcPr>
            <w:tcW w:w="1417" w:type="dxa"/>
          </w:tcPr>
          <w:p w14:paraId="7919AC8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68FCC0C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Barriers to social participation</w:t>
            </w:r>
          </w:p>
        </w:tc>
        <w:tc>
          <w:tcPr>
            <w:tcW w:w="2508" w:type="dxa"/>
          </w:tcPr>
          <w:p w14:paraId="437BCD49"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Mobility and health limitations reduce engagement in social activities</w:t>
            </w:r>
          </w:p>
        </w:tc>
        <w:tc>
          <w:tcPr>
            <w:tcW w:w="1744" w:type="dxa"/>
          </w:tcPr>
          <w:p w14:paraId="7F7F3831"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intervention evidence</w:t>
            </w:r>
          </w:p>
        </w:tc>
      </w:tr>
      <w:tr w:rsidR="006D5659" w:rsidRPr="005D37FA" w14:paraId="59E8C18F"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4423BA79" w14:textId="06ECF021"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Kharicha et al. (2019</w:t>
            </w:r>
            <w:r w:rsidR="002220FF" w:rsidRPr="005D37FA">
              <w:rPr>
                <w:rFonts w:ascii="Arial" w:hAnsi="Arial" w:cs="Arial"/>
                <w:b/>
                <w:bCs/>
                <w:i w:val="0"/>
                <w:iCs w:val="0"/>
                <w:sz w:val="22"/>
                <w:szCs w:val="22"/>
              </w:rPr>
              <w:t>b</w:t>
            </w:r>
            <w:r w:rsidRPr="005D37FA">
              <w:rPr>
                <w:rFonts w:ascii="Arial" w:hAnsi="Arial" w:cs="Arial"/>
                <w:b/>
                <w:bCs/>
                <w:i w:val="0"/>
                <w:iCs w:val="0"/>
                <w:sz w:val="22"/>
                <w:szCs w:val="22"/>
              </w:rPr>
              <w:t>)</w:t>
            </w:r>
          </w:p>
        </w:tc>
        <w:tc>
          <w:tcPr>
            <w:tcW w:w="1418" w:type="dxa"/>
          </w:tcPr>
          <w:p w14:paraId="29B59E0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Observational study</w:t>
            </w:r>
          </w:p>
        </w:tc>
        <w:tc>
          <w:tcPr>
            <w:tcW w:w="1417" w:type="dxa"/>
          </w:tcPr>
          <w:p w14:paraId="377D60B8"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 UK</w:t>
            </w:r>
          </w:p>
        </w:tc>
        <w:tc>
          <w:tcPr>
            <w:tcW w:w="1985" w:type="dxa"/>
          </w:tcPr>
          <w:p w14:paraId="5FF44051"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participation and health factors</w:t>
            </w:r>
          </w:p>
        </w:tc>
        <w:tc>
          <w:tcPr>
            <w:tcW w:w="2508" w:type="dxa"/>
          </w:tcPr>
          <w:p w14:paraId="38545C9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Frailty and health issues reduce social engagement</w:t>
            </w:r>
          </w:p>
        </w:tc>
        <w:tc>
          <w:tcPr>
            <w:tcW w:w="1744" w:type="dxa"/>
          </w:tcPr>
          <w:p w14:paraId="1770B552"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Cross-sectional design</w:t>
            </w:r>
          </w:p>
        </w:tc>
      </w:tr>
      <w:tr w:rsidR="006D5659" w:rsidRPr="005D37FA" w14:paraId="67B6E77D" w14:textId="77777777" w:rsidTr="00223AA2">
        <w:trPr>
          <w:cnfStyle w:val="000000100000" w:firstRow="0" w:lastRow="0" w:firstColumn="0" w:lastColumn="0" w:oddVBand="0" w:evenVBand="0" w:oddHBand="1" w:evenHBand="0" w:firstRowFirstColumn="0" w:firstRowLastColumn="0" w:lastRowFirstColumn="0" w:lastRowLastColumn="0"/>
          <w:trHeight w:val="888"/>
        </w:trPr>
        <w:tc>
          <w:tcPr>
            <w:cnfStyle w:val="001000000000" w:firstRow="0" w:lastRow="0" w:firstColumn="1" w:lastColumn="0" w:oddVBand="0" w:evenVBand="0" w:oddHBand="0" w:evenHBand="0" w:firstRowFirstColumn="0" w:firstRowLastColumn="0" w:lastRowFirstColumn="0" w:lastRowLastColumn="0"/>
            <w:tcW w:w="1418" w:type="dxa"/>
          </w:tcPr>
          <w:p w14:paraId="515682AF"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Khan et al. (2020)</w:t>
            </w:r>
          </w:p>
        </w:tc>
        <w:tc>
          <w:tcPr>
            <w:tcW w:w="1418" w:type="dxa"/>
          </w:tcPr>
          <w:p w14:paraId="7EE05773"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Intervention analysis</w:t>
            </w:r>
          </w:p>
        </w:tc>
        <w:tc>
          <w:tcPr>
            <w:tcW w:w="1417" w:type="dxa"/>
          </w:tcPr>
          <w:p w14:paraId="7F87DBD9"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1A0A0474"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Accessibility strategies for programmes</w:t>
            </w:r>
          </w:p>
        </w:tc>
        <w:tc>
          <w:tcPr>
            <w:tcW w:w="2508" w:type="dxa"/>
          </w:tcPr>
          <w:p w14:paraId="0D5989EB"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Inclusive design improves participation</w:t>
            </w:r>
          </w:p>
        </w:tc>
        <w:tc>
          <w:tcPr>
            <w:tcW w:w="1744" w:type="dxa"/>
          </w:tcPr>
          <w:p w14:paraId="3F0CC38E"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evaluation studies</w:t>
            </w:r>
          </w:p>
        </w:tc>
      </w:tr>
      <w:tr w:rsidR="006D5659" w:rsidRPr="005D37FA" w14:paraId="4432B04C"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6EDB9C7F"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Luiu et al. (2017)</w:t>
            </w:r>
          </w:p>
        </w:tc>
        <w:tc>
          <w:tcPr>
            <w:tcW w:w="1418" w:type="dxa"/>
          </w:tcPr>
          <w:p w14:paraId="7A0F982A"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Qualitative study</w:t>
            </w:r>
          </w:p>
        </w:tc>
        <w:tc>
          <w:tcPr>
            <w:tcW w:w="1417" w:type="dxa"/>
          </w:tcPr>
          <w:p w14:paraId="434D6FFB"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0CCDB93E"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Non-participation in interventions</w:t>
            </w:r>
          </w:p>
        </w:tc>
        <w:tc>
          <w:tcPr>
            <w:tcW w:w="2508" w:type="dxa"/>
          </w:tcPr>
          <w:p w14:paraId="4B4836D2"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Transport, stigma, and health barriers reduce participation</w:t>
            </w:r>
          </w:p>
        </w:tc>
        <w:tc>
          <w:tcPr>
            <w:tcW w:w="1744" w:type="dxa"/>
          </w:tcPr>
          <w:p w14:paraId="2C6BF214"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Qualitative sample only</w:t>
            </w:r>
          </w:p>
        </w:tc>
      </w:tr>
      <w:tr w:rsidR="006D5659" w:rsidRPr="005D37FA" w14:paraId="6470F7EB" w14:textId="77777777" w:rsidTr="00223AA2">
        <w:trPr>
          <w:cnfStyle w:val="000000100000" w:firstRow="0" w:lastRow="0" w:firstColumn="0" w:lastColumn="0" w:oddVBand="0" w:evenVBand="0" w:oddHBand="1" w:evenHBand="0" w:firstRowFirstColumn="0" w:firstRowLastColumn="0" w:lastRowFirstColumn="0" w:lastRowLastColumn="0"/>
          <w:trHeight w:val="1438"/>
        </w:trPr>
        <w:tc>
          <w:tcPr>
            <w:cnfStyle w:val="001000000000" w:firstRow="0" w:lastRow="0" w:firstColumn="1" w:lastColumn="0" w:oddVBand="0" w:evenVBand="0" w:oddHBand="0" w:evenHBand="0" w:firstRowFirstColumn="0" w:firstRowLastColumn="0" w:lastRowFirstColumn="0" w:lastRowLastColumn="0"/>
            <w:tcW w:w="1418" w:type="dxa"/>
          </w:tcPr>
          <w:p w14:paraId="67A234F0"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Mackenzie et al. (2019)</w:t>
            </w:r>
          </w:p>
        </w:tc>
        <w:tc>
          <w:tcPr>
            <w:tcW w:w="1418" w:type="dxa"/>
          </w:tcPr>
          <w:p w14:paraId="54D5D984"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Qualitative study</w:t>
            </w:r>
          </w:p>
        </w:tc>
        <w:tc>
          <w:tcPr>
            <w:tcW w:w="1417" w:type="dxa"/>
          </w:tcPr>
          <w:p w14:paraId="2B06803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Minority ethnic older adults</w:t>
            </w:r>
          </w:p>
        </w:tc>
        <w:tc>
          <w:tcPr>
            <w:tcW w:w="1985" w:type="dxa"/>
          </w:tcPr>
          <w:p w14:paraId="33724B20"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Cultural barriers to participation</w:t>
            </w:r>
          </w:p>
        </w:tc>
        <w:tc>
          <w:tcPr>
            <w:tcW w:w="2508" w:type="dxa"/>
          </w:tcPr>
          <w:p w14:paraId="42B8CF7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Language and cultural differences affect engagement</w:t>
            </w:r>
          </w:p>
        </w:tc>
        <w:tc>
          <w:tcPr>
            <w:tcW w:w="1744" w:type="dxa"/>
          </w:tcPr>
          <w:p w14:paraId="46FC9F1D"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Small sample</w:t>
            </w:r>
          </w:p>
        </w:tc>
      </w:tr>
      <w:tr w:rsidR="006D5659" w:rsidRPr="005D37FA" w14:paraId="7B01E5AA"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5CE3F126"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Seifert et al. (2020)</w:t>
            </w:r>
          </w:p>
        </w:tc>
        <w:tc>
          <w:tcPr>
            <w:tcW w:w="1418" w:type="dxa"/>
          </w:tcPr>
          <w:p w14:paraId="2FA72588"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Observational study</w:t>
            </w:r>
          </w:p>
        </w:tc>
        <w:tc>
          <w:tcPr>
            <w:tcW w:w="1417" w:type="dxa"/>
          </w:tcPr>
          <w:p w14:paraId="3A57AD5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50A2DC9E"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Digital exclusion</w:t>
            </w:r>
          </w:p>
        </w:tc>
        <w:tc>
          <w:tcPr>
            <w:tcW w:w="2508" w:type="dxa"/>
          </w:tcPr>
          <w:p w14:paraId="12F681B4"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Lack of digital skills limits participation in interventions</w:t>
            </w:r>
          </w:p>
        </w:tc>
        <w:tc>
          <w:tcPr>
            <w:tcW w:w="1744" w:type="dxa"/>
          </w:tcPr>
          <w:p w14:paraId="15DA83E0"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Cross-sectional data</w:t>
            </w:r>
          </w:p>
        </w:tc>
      </w:tr>
      <w:tr w:rsidR="006D5659" w:rsidRPr="005D37FA" w14:paraId="74736556"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12D49AEE" w14:textId="67D0D8ED" w:rsidR="006D5659" w:rsidRPr="005D37FA" w:rsidRDefault="006D5659" w:rsidP="006D5659">
            <w:pPr>
              <w:spacing w:line="240" w:lineRule="auto"/>
              <w:jc w:val="center"/>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 xml:space="preserve">Shergold </w:t>
            </w:r>
            <w:r w:rsidR="00307BBD" w:rsidRPr="005D37FA">
              <w:rPr>
                <w:rFonts w:ascii="Arial" w:hAnsi="Arial" w:cs="Arial"/>
                <w:b/>
                <w:bCs/>
                <w:i w:val="0"/>
                <w:iCs w:val="0"/>
                <w:sz w:val="22"/>
                <w:szCs w:val="22"/>
              </w:rPr>
              <w:t>and</w:t>
            </w:r>
            <w:r w:rsidRPr="005D37FA">
              <w:rPr>
                <w:rFonts w:ascii="Arial" w:hAnsi="Arial" w:cs="Arial"/>
                <w:b/>
                <w:bCs/>
                <w:i w:val="0"/>
                <w:iCs w:val="0"/>
                <w:sz w:val="22"/>
                <w:szCs w:val="22"/>
              </w:rPr>
              <w:t xml:space="preserve"> Parkhurst (2012)</w:t>
            </w:r>
          </w:p>
        </w:tc>
        <w:tc>
          <w:tcPr>
            <w:tcW w:w="1418" w:type="dxa"/>
          </w:tcPr>
          <w:p w14:paraId="01484CCB"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Survey study</w:t>
            </w:r>
          </w:p>
        </w:tc>
        <w:tc>
          <w:tcPr>
            <w:tcW w:w="1417" w:type="dxa"/>
          </w:tcPr>
          <w:p w14:paraId="4DB6C14A"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Rural older adults</w:t>
            </w:r>
          </w:p>
        </w:tc>
        <w:tc>
          <w:tcPr>
            <w:tcW w:w="1985" w:type="dxa"/>
          </w:tcPr>
          <w:p w14:paraId="772220E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Transport barriers</w:t>
            </w:r>
          </w:p>
        </w:tc>
        <w:tc>
          <w:tcPr>
            <w:tcW w:w="2508" w:type="dxa"/>
          </w:tcPr>
          <w:p w14:paraId="73552E3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transport reduces access to community activities</w:t>
            </w:r>
          </w:p>
        </w:tc>
        <w:tc>
          <w:tcPr>
            <w:tcW w:w="1744" w:type="dxa"/>
          </w:tcPr>
          <w:p w14:paraId="25DB986D"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Rural sample focus</w:t>
            </w:r>
          </w:p>
        </w:tc>
      </w:tr>
      <w:tr w:rsidR="006D5659" w:rsidRPr="005D37FA" w14:paraId="0768D590"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0A0388FC"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lastRenderedPageBreak/>
              <w:t>Taylor et al. (2018)</w:t>
            </w:r>
          </w:p>
        </w:tc>
        <w:tc>
          <w:tcPr>
            <w:tcW w:w="1418" w:type="dxa"/>
          </w:tcPr>
          <w:p w14:paraId="44AADF0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Observational study</w:t>
            </w:r>
          </w:p>
        </w:tc>
        <w:tc>
          <w:tcPr>
            <w:tcW w:w="1417" w:type="dxa"/>
          </w:tcPr>
          <w:p w14:paraId="6A3ABAD9"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6A1F1695"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Financial barriers to participation</w:t>
            </w:r>
          </w:p>
        </w:tc>
        <w:tc>
          <w:tcPr>
            <w:tcW w:w="2508" w:type="dxa"/>
          </w:tcPr>
          <w:p w14:paraId="45B246B8"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Lower income linked to reduced community engagement</w:t>
            </w:r>
          </w:p>
        </w:tc>
        <w:tc>
          <w:tcPr>
            <w:tcW w:w="1744" w:type="dxa"/>
          </w:tcPr>
          <w:p w14:paraId="634FCC98"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geographical scope</w:t>
            </w:r>
          </w:p>
        </w:tc>
      </w:tr>
      <w:tr w:rsidR="006D5659" w:rsidRPr="005D37FA" w14:paraId="1765327E"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BD5AFD5"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Wildman et al. (2019)</w:t>
            </w:r>
          </w:p>
        </w:tc>
        <w:tc>
          <w:tcPr>
            <w:tcW w:w="1418" w:type="dxa"/>
          </w:tcPr>
          <w:p w14:paraId="2FC752E6"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Evaluation study)</w:t>
            </w:r>
          </w:p>
        </w:tc>
        <w:tc>
          <w:tcPr>
            <w:tcW w:w="1417" w:type="dxa"/>
          </w:tcPr>
          <w:p w14:paraId="0CC41734"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59BACA9B" w14:textId="07064F07" w:rsidR="006D5659" w:rsidRPr="005D37FA" w:rsidRDefault="001936DD"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prescribing programmes</w:t>
            </w:r>
          </w:p>
        </w:tc>
        <w:tc>
          <w:tcPr>
            <w:tcW w:w="2508" w:type="dxa"/>
          </w:tcPr>
          <w:p w14:paraId="6DFB764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Increased community engagement and reduced loneliness</w:t>
            </w:r>
          </w:p>
        </w:tc>
        <w:tc>
          <w:tcPr>
            <w:tcW w:w="1744" w:type="dxa"/>
          </w:tcPr>
          <w:p w14:paraId="62F62137" w14:textId="2DE83219" w:rsidR="006D5659" w:rsidRPr="005D37FA" w:rsidRDefault="001936DD"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Local programme evaluation</w:t>
            </w:r>
          </w:p>
        </w:tc>
      </w:tr>
      <w:tr w:rsidR="006D5659" w:rsidRPr="005D37FA" w14:paraId="1DE72E2F"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204EDAC0"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Milton et al. (2021)</w:t>
            </w:r>
          </w:p>
        </w:tc>
        <w:tc>
          <w:tcPr>
            <w:tcW w:w="1418" w:type="dxa"/>
          </w:tcPr>
          <w:p w14:paraId="0C2ABC7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Policy analysis</w:t>
            </w:r>
          </w:p>
        </w:tc>
        <w:tc>
          <w:tcPr>
            <w:tcW w:w="1417" w:type="dxa"/>
          </w:tcPr>
          <w:p w14:paraId="5E8CC3F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5947F244"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prescribing delivery</w:t>
            </w:r>
          </w:p>
        </w:tc>
        <w:tc>
          <w:tcPr>
            <w:tcW w:w="2508" w:type="dxa"/>
          </w:tcPr>
          <w:p w14:paraId="3825F25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Integrated services improve access to community support</w:t>
            </w:r>
          </w:p>
        </w:tc>
        <w:tc>
          <w:tcPr>
            <w:tcW w:w="1744" w:type="dxa"/>
          </w:tcPr>
          <w:p w14:paraId="22CFEDEC"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Service variation across regions</w:t>
            </w:r>
          </w:p>
        </w:tc>
      </w:tr>
      <w:tr w:rsidR="006D5659" w:rsidRPr="005D37FA" w14:paraId="6F2C1AC2"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48E3846F" w14:textId="3EA009CE"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 xml:space="preserve">Polley </w:t>
            </w:r>
            <w:r w:rsidR="00307BBD" w:rsidRPr="005D37FA">
              <w:rPr>
                <w:rFonts w:ascii="Arial" w:hAnsi="Arial" w:cs="Arial"/>
                <w:b/>
                <w:bCs/>
                <w:i w:val="0"/>
                <w:iCs w:val="0"/>
                <w:sz w:val="22"/>
                <w:szCs w:val="22"/>
              </w:rPr>
              <w:t>and</w:t>
            </w:r>
            <w:r w:rsidRPr="005D37FA">
              <w:rPr>
                <w:rFonts w:ascii="Arial" w:hAnsi="Arial" w:cs="Arial"/>
                <w:b/>
                <w:bCs/>
                <w:i w:val="0"/>
                <w:iCs w:val="0"/>
                <w:sz w:val="22"/>
                <w:szCs w:val="22"/>
              </w:rPr>
              <w:t xml:space="preserve"> Pilkington (2017)</w:t>
            </w:r>
          </w:p>
        </w:tc>
        <w:tc>
          <w:tcPr>
            <w:tcW w:w="1418" w:type="dxa"/>
          </w:tcPr>
          <w:p w14:paraId="5B5C7B7A"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 xml:space="preserve">Evidence </w:t>
            </w:r>
            <w:proofErr w:type="gramStart"/>
            <w:r w:rsidRPr="005D37FA">
              <w:rPr>
                <w:rFonts w:ascii="Arial" w:hAnsi="Arial" w:cs="Arial"/>
                <w:sz w:val="22"/>
                <w:szCs w:val="22"/>
              </w:rPr>
              <w:t>review</w:t>
            </w:r>
            <w:proofErr w:type="gramEnd"/>
          </w:p>
        </w:tc>
        <w:tc>
          <w:tcPr>
            <w:tcW w:w="1417" w:type="dxa"/>
          </w:tcPr>
          <w:p w14:paraId="05F9D968"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Adults</w:t>
            </w:r>
          </w:p>
        </w:tc>
        <w:tc>
          <w:tcPr>
            <w:tcW w:w="1985" w:type="dxa"/>
          </w:tcPr>
          <w:p w14:paraId="5D16155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prescribing outcomes</w:t>
            </w:r>
          </w:p>
        </w:tc>
        <w:tc>
          <w:tcPr>
            <w:tcW w:w="2508" w:type="dxa"/>
          </w:tcPr>
          <w:p w14:paraId="333D8B0A"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Reduced healthcare demand and improved well-being</w:t>
            </w:r>
          </w:p>
        </w:tc>
        <w:tc>
          <w:tcPr>
            <w:tcW w:w="1744" w:type="dxa"/>
          </w:tcPr>
          <w:p w14:paraId="5B0BCFB4"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controlled trials</w:t>
            </w:r>
          </w:p>
        </w:tc>
      </w:tr>
      <w:tr w:rsidR="006D5659" w:rsidRPr="005D37FA" w14:paraId="7C589A94"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0A0B73AC" w14:textId="13A2517F"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 xml:space="preserve">Skingley </w:t>
            </w:r>
            <w:r w:rsidR="00307BBD" w:rsidRPr="005D37FA">
              <w:rPr>
                <w:rFonts w:ascii="Arial" w:hAnsi="Arial" w:cs="Arial"/>
                <w:b/>
                <w:bCs/>
                <w:i w:val="0"/>
                <w:iCs w:val="0"/>
                <w:sz w:val="22"/>
                <w:szCs w:val="22"/>
              </w:rPr>
              <w:t>and</w:t>
            </w:r>
            <w:r w:rsidRPr="005D37FA">
              <w:rPr>
                <w:rFonts w:ascii="Arial" w:hAnsi="Arial" w:cs="Arial"/>
                <w:b/>
                <w:bCs/>
                <w:i w:val="0"/>
                <w:iCs w:val="0"/>
                <w:sz w:val="22"/>
                <w:szCs w:val="22"/>
              </w:rPr>
              <w:t xml:space="preserve"> Bungay (2010)</w:t>
            </w:r>
          </w:p>
        </w:tc>
        <w:tc>
          <w:tcPr>
            <w:tcW w:w="1418" w:type="dxa"/>
          </w:tcPr>
          <w:p w14:paraId="7461563D"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Systematic review</w:t>
            </w:r>
          </w:p>
        </w:tc>
        <w:tc>
          <w:tcPr>
            <w:tcW w:w="1417" w:type="dxa"/>
          </w:tcPr>
          <w:p w14:paraId="55364A4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1ECDA51F"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Group singing interventions</w:t>
            </w:r>
          </w:p>
        </w:tc>
        <w:tc>
          <w:tcPr>
            <w:tcW w:w="2508" w:type="dxa"/>
          </w:tcPr>
          <w:p w14:paraId="524469BB"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Singing groups improved mood and social connection</w:t>
            </w:r>
          </w:p>
        </w:tc>
        <w:tc>
          <w:tcPr>
            <w:tcW w:w="1744" w:type="dxa"/>
          </w:tcPr>
          <w:p w14:paraId="2599121D"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Small study samples</w:t>
            </w:r>
          </w:p>
        </w:tc>
      </w:tr>
      <w:tr w:rsidR="006D5659" w:rsidRPr="005D37FA" w14:paraId="11C2B73D"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6E2F1ADF"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Fakoya et al. (2020)</w:t>
            </w:r>
          </w:p>
        </w:tc>
        <w:tc>
          <w:tcPr>
            <w:tcW w:w="1418" w:type="dxa"/>
          </w:tcPr>
          <w:p w14:paraId="2026C7A3"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Systematic review</w:t>
            </w:r>
          </w:p>
        </w:tc>
        <w:tc>
          <w:tcPr>
            <w:tcW w:w="1417" w:type="dxa"/>
          </w:tcPr>
          <w:p w14:paraId="0AC57DFA"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557E976B"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Loneliness interventions</w:t>
            </w:r>
          </w:p>
        </w:tc>
        <w:tc>
          <w:tcPr>
            <w:tcW w:w="2508" w:type="dxa"/>
          </w:tcPr>
          <w:p w14:paraId="7483B52A"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Community programmes showed positive effects on loneliness</w:t>
            </w:r>
          </w:p>
        </w:tc>
        <w:tc>
          <w:tcPr>
            <w:tcW w:w="1744" w:type="dxa"/>
          </w:tcPr>
          <w:p w14:paraId="7BCA0F8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Methodological differences across studies</w:t>
            </w:r>
          </w:p>
        </w:tc>
      </w:tr>
      <w:tr w:rsidR="006D5659" w:rsidRPr="005D37FA" w14:paraId="5429B771"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75FC691D"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Goodman et al. (2020)</w:t>
            </w:r>
          </w:p>
        </w:tc>
        <w:tc>
          <w:tcPr>
            <w:tcW w:w="1418" w:type="dxa"/>
          </w:tcPr>
          <w:p w14:paraId="6F59621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Systematic review</w:t>
            </w:r>
          </w:p>
        </w:tc>
        <w:tc>
          <w:tcPr>
            <w:tcW w:w="1417" w:type="dxa"/>
          </w:tcPr>
          <w:p w14:paraId="5314DD34"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6276ED6E"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Community intervention implementation</w:t>
            </w:r>
          </w:p>
        </w:tc>
        <w:tc>
          <w:tcPr>
            <w:tcW w:w="2508" w:type="dxa"/>
          </w:tcPr>
          <w:p w14:paraId="077F7120"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Effective programmes require strong coordination and support</w:t>
            </w:r>
          </w:p>
        </w:tc>
        <w:tc>
          <w:tcPr>
            <w:tcW w:w="1744" w:type="dxa"/>
          </w:tcPr>
          <w:p w14:paraId="3F239C23"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Implementation challenges</w:t>
            </w:r>
          </w:p>
        </w:tc>
      </w:tr>
      <w:tr w:rsidR="006D5659" w:rsidRPr="005D37FA" w14:paraId="5A4DE983"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F6F43E3"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Husk et al. (2020)</w:t>
            </w:r>
          </w:p>
        </w:tc>
        <w:tc>
          <w:tcPr>
            <w:tcW w:w="1418" w:type="dxa"/>
          </w:tcPr>
          <w:p w14:paraId="4A8C5380"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 xml:space="preserve">Evidence </w:t>
            </w:r>
            <w:proofErr w:type="gramStart"/>
            <w:r w:rsidRPr="005D37FA">
              <w:rPr>
                <w:rFonts w:ascii="Arial" w:hAnsi="Arial" w:cs="Arial"/>
                <w:sz w:val="22"/>
                <w:szCs w:val="22"/>
              </w:rPr>
              <w:t>review</w:t>
            </w:r>
            <w:proofErr w:type="gramEnd"/>
          </w:p>
        </w:tc>
        <w:tc>
          <w:tcPr>
            <w:tcW w:w="1417" w:type="dxa"/>
          </w:tcPr>
          <w:p w14:paraId="046C2EE5"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Adults including older adults</w:t>
            </w:r>
          </w:p>
        </w:tc>
        <w:tc>
          <w:tcPr>
            <w:tcW w:w="1985" w:type="dxa"/>
          </w:tcPr>
          <w:p w14:paraId="454FAF0E"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prescribing evidence</w:t>
            </w:r>
          </w:p>
        </w:tc>
        <w:tc>
          <w:tcPr>
            <w:tcW w:w="2508" w:type="dxa"/>
          </w:tcPr>
          <w:p w14:paraId="1CFB77D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Evidence suggests potential benefits for well-being</w:t>
            </w:r>
          </w:p>
        </w:tc>
        <w:tc>
          <w:tcPr>
            <w:tcW w:w="1744" w:type="dxa"/>
          </w:tcPr>
          <w:p w14:paraId="76313F14"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robust evaluations</w:t>
            </w:r>
          </w:p>
        </w:tc>
      </w:tr>
      <w:tr w:rsidR="006D5659" w:rsidRPr="005D37FA" w14:paraId="56D2B1F5"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5F45E9B3"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Chatterjee et al. (2018)</w:t>
            </w:r>
          </w:p>
        </w:tc>
        <w:tc>
          <w:tcPr>
            <w:tcW w:w="1418" w:type="dxa"/>
          </w:tcPr>
          <w:p w14:paraId="182373F6"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Evaluation study</w:t>
            </w:r>
          </w:p>
        </w:tc>
        <w:tc>
          <w:tcPr>
            <w:tcW w:w="1417" w:type="dxa"/>
          </w:tcPr>
          <w:p w14:paraId="2324687B"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46C8EE6E"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prescribing programmes</w:t>
            </w:r>
          </w:p>
        </w:tc>
        <w:tc>
          <w:tcPr>
            <w:tcW w:w="2508" w:type="dxa"/>
          </w:tcPr>
          <w:p w14:paraId="256FD132"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Participation improved well-being and reduced loneliness</w:t>
            </w:r>
          </w:p>
        </w:tc>
        <w:tc>
          <w:tcPr>
            <w:tcW w:w="1744" w:type="dxa"/>
          </w:tcPr>
          <w:p w14:paraId="4DB93FD5"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Small sample size</w:t>
            </w:r>
          </w:p>
        </w:tc>
      </w:tr>
      <w:tr w:rsidR="006D5659" w:rsidRPr="005D37FA" w14:paraId="33B7E960"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6C01ED33"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Drinkwater et al. (2019)</w:t>
            </w:r>
          </w:p>
        </w:tc>
        <w:tc>
          <w:tcPr>
            <w:tcW w:w="1418" w:type="dxa"/>
          </w:tcPr>
          <w:p w14:paraId="20F5BEA2" w14:textId="674AF605"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Policy/evaluation study</w:t>
            </w:r>
          </w:p>
        </w:tc>
        <w:tc>
          <w:tcPr>
            <w:tcW w:w="1417" w:type="dxa"/>
          </w:tcPr>
          <w:p w14:paraId="0E9EFF22"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Adults including older adults</w:t>
            </w:r>
          </w:p>
        </w:tc>
        <w:tc>
          <w:tcPr>
            <w:tcW w:w="1985" w:type="dxa"/>
          </w:tcPr>
          <w:p w14:paraId="04AE6A43"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prescribing</w:t>
            </w:r>
          </w:p>
        </w:tc>
        <w:tc>
          <w:tcPr>
            <w:tcW w:w="2508" w:type="dxa"/>
          </w:tcPr>
          <w:p w14:paraId="322F3494"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Community activities improved social participation</w:t>
            </w:r>
          </w:p>
        </w:tc>
        <w:tc>
          <w:tcPr>
            <w:tcW w:w="1744" w:type="dxa"/>
          </w:tcPr>
          <w:p w14:paraId="5800D9FF"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Limited long-term evidence</w:t>
            </w:r>
          </w:p>
        </w:tc>
      </w:tr>
      <w:tr w:rsidR="006D5659" w:rsidRPr="005D37FA" w14:paraId="5E05C67D" w14:textId="77777777" w:rsidTr="00223AA2">
        <w:tc>
          <w:tcPr>
            <w:cnfStyle w:val="001000000000" w:firstRow="0" w:lastRow="0" w:firstColumn="1" w:lastColumn="0" w:oddVBand="0" w:evenVBand="0" w:oddHBand="0" w:evenHBand="0" w:firstRowFirstColumn="0" w:firstRowLastColumn="0" w:lastRowFirstColumn="0" w:lastRowLastColumn="0"/>
            <w:tcW w:w="1418" w:type="dxa"/>
          </w:tcPr>
          <w:p w14:paraId="3180C445" w14:textId="4087E8FD"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hAnsi="Arial" w:cs="Arial"/>
                <w:b/>
                <w:bCs/>
                <w:i w:val="0"/>
                <w:iCs w:val="0"/>
                <w:sz w:val="22"/>
                <w:szCs w:val="22"/>
              </w:rPr>
              <w:t xml:space="preserve">Drinkwater </w:t>
            </w:r>
            <w:r w:rsidR="00307BBD" w:rsidRPr="005D37FA">
              <w:rPr>
                <w:rFonts w:ascii="Arial" w:hAnsi="Arial" w:cs="Arial"/>
                <w:b/>
                <w:bCs/>
                <w:i w:val="0"/>
                <w:iCs w:val="0"/>
                <w:sz w:val="22"/>
                <w:szCs w:val="22"/>
              </w:rPr>
              <w:t>and</w:t>
            </w:r>
            <w:r w:rsidRPr="005D37FA">
              <w:rPr>
                <w:rFonts w:ascii="Arial" w:hAnsi="Arial" w:cs="Arial"/>
                <w:b/>
                <w:bCs/>
                <w:i w:val="0"/>
                <w:iCs w:val="0"/>
                <w:sz w:val="22"/>
                <w:szCs w:val="22"/>
              </w:rPr>
              <w:t xml:space="preserve"> Bracher (2022)</w:t>
            </w:r>
          </w:p>
        </w:tc>
        <w:tc>
          <w:tcPr>
            <w:tcW w:w="1418" w:type="dxa"/>
          </w:tcPr>
          <w:p w14:paraId="33F64DFA"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Evaluation study</w:t>
            </w:r>
          </w:p>
        </w:tc>
        <w:tc>
          <w:tcPr>
            <w:tcW w:w="1417" w:type="dxa"/>
          </w:tcPr>
          <w:p w14:paraId="0B1A5188"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Older adults</w:t>
            </w:r>
          </w:p>
        </w:tc>
        <w:tc>
          <w:tcPr>
            <w:tcW w:w="1985" w:type="dxa"/>
          </w:tcPr>
          <w:p w14:paraId="0BB67C7E"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Social prescribing impact</w:t>
            </w:r>
          </w:p>
        </w:tc>
        <w:tc>
          <w:tcPr>
            <w:tcW w:w="2508" w:type="dxa"/>
          </w:tcPr>
          <w:p w14:paraId="72D29615"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Participants reported improved well-being and reduced isolation</w:t>
            </w:r>
          </w:p>
        </w:tc>
        <w:tc>
          <w:tcPr>
            <w:tcW w:w="1744" w:type="dxa"/>
          </w:tcPr>
          <w:p w14:paraId="13D49932" w14:textId="77777777" w:rsidR="006D5659" w:rsidRPr="005D37FA" w:rsidRDefault="006D5659" w:rsidP="006D565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hAnsi="Arial" w:cs="Arial"/>
                <w:sz w:val="22"/>
                <w:szCs w:val="22"/>
              </w:rPr>
              <w:t>Short follow-up period</w:t>
            </w:r>
          </w:p>
        </w:tc>
      </w:tr>
      <w:tr w:rsidR="001936DD" w:rsidRPr="005D37FA" w14:paraId="5F2F5B6B"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1E9C9383" w14:textId="77777777" w:rsidR="006D5659" w:rsidRPr="005D37FA" w:rsidRDefault="006D5659" w:rsidP="006D5659">
            <w:pPr>
              <w:spacing w:line="240" w:lineRule="auto"/>
              <w:jc w:val="right"/>
              <w:rPr>
                <w:rFonts w:ascii="Arial" w:eastAsia="Times New Roman" w:hAnsi="Arial" w:cs="Arial"/>
                <w:b/>
                <w:bCs/>
                <w:i w:val="0"/>
                <w:iCs w:val="0"/>
                <w:kern w:val="0"/>
                <w:sz w:val="22"/>
                <w:szCs w:val="22"/>
                <w:lang w:eastAsia="en-GB"/>
              </w:rPr>
            </w:pPr>
            <w:r w:rsidRPr="005D37FA">
              <w:rPr>
                <w:rFonts w:ascii="Arial" w:eastAsia="Times New Roman" w:hAnsi="Arial" w:cs="Arial"/>
                <w:b/>
                <w:bCs/>
                <w:i w:val="0"/>
                <w:iCs w:val="0"/>
                <w:kern w:val="0"/>
                <w:sz w:val="22"/>
                <w:szCs w:val="22"/>
                <w:lang w:eastAsia="en-GB"/>
              </w:rPr>
              <w:t>Holt-Lunstad et al. (2015)</w:t>
            </w:r>
          </w:p>
        </w:tc>
        <w:tc>
          <w:tcPr>
            <w:tcW w:w="1418" w:type="dxa"/>
          </w:tcPr>
          <w:p w14:paraId="77D3C3DB"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Loneliness &amp; health meta-analysis</w:t>
            </w:r>
          </w:p>
        </w:tc>
        <w:tc>
          <w:tcPr>
            <w:tcW w:w="1417" w:type="dxa"/>
          </w:tcPr>
          <w:p w14:paraId="120D9C67"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Older adults</w:t>
            </w:r>
          </w:p>
        </w:tc>
        <w:tc>
          <w:tcPr>
            <w:tcW w:w="1985" w:type="dxa"/>
          </w:tcPr>
          <w:p w14:paraId="2F35C800"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Social isolation impact</w:t>
            </w:r>
          </w:p>
        </w:tc>
        <w:tc>
          <w:tcPr>
            <w:tcW w:w="2508" w:type="dxa"/>
          </w:tcPr>
          <w:p w14:paraId="3D4684C3"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Exclusion justification</w:t>
            </w:r>
          </w:p>
        </w:tc>
        <w:tc>
          <w:tcPr>
            <w:tcW w:w="1744" w:type="dxa"/>
          </w:tcPr>
          <w:p w14:paraId="556001BC" w14:textId="77777777" w:rsidR="006D5659" w:rsidRPr="005D37FA" w:rsidRDefault="006D5659" w:rsidP="006D5659">
            <w:pPr>
              <w:spacing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rPr>
            </w:pPr>
            <w:r w:rsidRPr="005D37FA">
              <w:rPr>
                <w:rFonts w:ascii="Arial" w:eastAsia="Times New Roman" w:hAnsi="Arial" w:cs="Arial"/>
                <w:kern w:val="0"/>
                <w:sz w:val="22"/>
                <w:szCs w:val="22"/>
                <w:lang w:eastAsia="en-GB"/>
              </w:rPr>
              <w:t>International study</w:t>
            </w:r>
          </w:p>
        </w:tc>
      </w:tr>
    </w:tbl>
    <w:p w14:paraId="2AB74DE7" w14:textId="77777777" w:rsidR="00023A30" w:rsidRPr="005D37FA" w:rsidRDefault="00023A30" w:rsidP="008C38C3">
      <w:pPr>
        <w:rPr>
          <w:rFonts w:ascii="Arial" w:hAnsi="Arial" w:cs="Arial"/>
        </w:rPr>
      </w:pPr>
    </w:p>
    <w:p w14:paraId="1FB8F37D" w14:textId="77777777" w:rsidR="00023A30" w:rsidRPr="00893AE3" w:rsidRDefault="00023A30" w:rsidP="008C38C3">
      <w:pPr>
        <w:rPr>
          <w:rFonts w:ascii="Arial" w:hAnsi="Arial" w:cs="Arial"/>
        </w:rPr>
      </w:pPr>
    </w:p>
    <w:p w14:paraId="0DEB4633" w14:textId="77777777" w:rsidR="00FB4F60" w:rsidRDefault="00FB4F60" w:rsidP="008C38C3">
      <w:pPr>
        <w:rPr>
          <w:rFonts w:ascii="Arial" w:hAnsi="Arial" w:cs="Arial"/>
        </w:rPr>
      </w:pPr>
    </w:p>
    <w:p w14:paraId="483BAE84" w14:textId="77777777" w:rsidR="005D37FA" w:rsidRPr="00893AE3" w:rsidRDefault="005D37FA" w:rsidP="008C38C3">
      <w:pPr>
        <w:rPr>
          <w:rFonts w:ascii="Arial" w:hAnsi="Arial" w:cs="Arial"/>
        </w:rPr>
      </w:pPr>
    </w:p>
    <w:p w14:paraId="51EE7A44" w14:textId="77777777" w:rsidR="00FB4F60" w:rsidRPr="00893AE3" w:rsidRDefault="00FB4F60" w:rsidP="008C38C3">
      <w:pPr>
        <w:rPr>
          <w:rFonts w:ascii="Arial" w:hAnsi="Arial" w:cs="Arial"/>
        </w:rPr>
      </w:pPr>
    </w:p>
    <w:p w14:paraId="4E33468F" w14:textId="77777777" w:rsidR="00FB4F60" w:rsidRPr="00893AE3" w:rsidRDefault="00FB4F60" w:rsidP="008C38C3">
      <w:pPr>
        <w:rPr>
          <w:rFonts w:ascii="Arial" w:hAnsi="Arial" w:cs="Arial"/>
        </w:rPr>
      </w:pPr>
    </w:p>
    <w:p w14:paraId="096928ED" w14:textId="4189AC67" w:rsidR="00FB4F60" w:rsidRPr="005D37FA" w:rsidRDefault="00FB4F60" w:rsidP="00FB4F60">
      <w:pPr>
        <w:jc w:val="center"/>
        <w:rPr>
          <w:rFonts w:ascii="Arial" w:hAnsi="Arial" w:cs="Arial"/>
          <w:b/>
          <w:bCs/>
          <w:sz w:val="28"/>
          <w:szCs w:val="28"/>
          <w:u w:val="single"/>
        </w:rPr>
      </w:pPr>
      <w:r w:rsidRPr="005D37FA">
        <w:rPr>
          <w:rFonts w:ascii="Arial" w:hAnsi="Arial" w:cs="Arial"/>
          <w:b/>
          <w:bCs/>
          <w:sz w:val="28"/>
          <w:szCs w:val="28"/>
          <w:u w:val="single"/>
        </w:rPr>
        <w:lastRenderedPageBreak/>
        <w:t xml:space="preserve">Appendix </w:t>
      </w:r>
      <w:r w:rsidR="00F50F90" w:rsidRPr="005D37FA">
        <w:rPr>
          <w:rFonts w:ascii="Arial" w:hAnsi="Arial" w:cs="Arial"/>
          <w:b/>
          <w:bCs/>
          <w:sz w:val="28"/>
          <w:szCs w:val="28"/>
          <w:u w:val="single"/>
        </w:rPr>
        <w:t>E</w:t>
      </w:r>
      <w:r w:rsidRPr="005D37FA">
        <w:rPr>
          <w:rFonts w:ascii="Arial" w:hAnsi="Arial" w:cs="Arial"/>
          <w:b/>
          <w:bCs/>
          <w:sz w:val="28"/>
          <w:szCs w:val="28"/>
          <w:u w:val="single"/>
        </w:rPr>
        <w:t>: Results Summary Sheet (</w:t>
      </w:r>
      <w:r w:rsidR="005D37FA" w:rsidRPr="005D37FA">
        <w:rPr>
          <w:rFonts w:ascii="Arial" w:hAnsi="Arial" w:cs="Arial"/>
          <w:b/>
          <w:bCs/>
          <w:sz w:val="28"/>
          <w:szCs w:val="28"/>
          <w:u w:val="single"/>
        </w:rPr>
        <w:t>Chapter 3,4)</w:t>
      </w:r>
    </w:p>
    <w:p w14:paraId="54DC9D05" w14:textId="77777777" w:rsidR="00FB4F60" w:rsidRPr="00893AE3" w:rsidRDefault="00FB4F60" w:rsidP="00FB4F60">
      <w:pPr>
        <w:jc w:val="center"/>
        <w:rPr>
          <w:rFonts w:ascii="Arial" w:hAnsi="Arial" w:cs="Arial"/>
          <w:b/>
          <w:bCs/>
          <w:u w:val="single"/>
        </w:rPr>
      </w:pPr>
    </w:p>
    <w:tbl>
      <w:tblPr>
        <w:tblStyle w:val="GridTable4-Accent1"/>
        <w:tblW w:w="10065" w:type="dxa"/>
        <w:tblInd w:w="-572" w:type="dxa"/>
        <w:tblLook w:val="04A0" w:firstRow="1" w:lastRow="0" w:firstColumn="1" w:lastColumn="0" w:noHBand="0" w:noVBand="1"/>
      </w:tblPr>
      <w:tblGrid>
        <w:gridCol w:w="2841"/>
        <w:gridCol w:w="1837"/>
        <w:gridCol w:w="3408"/>
        <w:gridCol w:w="1979"/>
      </w:tblGrid>
      <w:tr w:rsidR="00FB4F60" w:rsidRPr="00893AE3" w14:paraId="007EAEF4" w14:textId="77777777" w:rsidTr="00223A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4F1E0664" w14:textId="11B5C466" w:rsidR="00FB4F60" w:rsidRPr="00893AE3" w:rsidRDefault="00FB4F60" w:rsidP="00FB4F60">
            <w:pPr>
              <w:jc w:val="center"/>
              <w:rPr>
                <w:rFonts w:ascii="Arial" w:hAnsi="Arial" w:cs="Arial"/>
                <w:b w:val="0"/>
                <w:bCs w:val="0"/>
                <w:sz w:val="24"/>
                <w:szCs w:val="24"/>
              </w:rPr>
            </w:pPr>
            <w:r w:rsidRPr="00893AE3">
              <w:rPr>
                <w:rFonts w:ascii="Arial" w:hAnsi="Arial" w:cs="Arial"/>
                <w:b w:val="0"/>
                <w:bCs w:val="0"/>
                <w:sz w:val="24"/>
                <w:szCs w:val="24"/>
              </w:rPr>
              <w:t>Study</w:t>
            </w:r>
          </w:p>
        </w:tc>
        <w:tc>
          <w:tcPr>
            <w:tcW w:w="1837" w:type="dxa"/>
          </w:tcPr>
          <w:p w14:paraId="4DE80C7C" w14:textId="053C3987" w:rsidR="00FB4F60" w:rsidRPr="00893AE3" w:rsidRDefault="00FB4F60" w:rsidP="00FB4F6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3AE3">
              <w:rPr>
                <w:rFonts w:ascii="Arial" w:hAnsi="Arial" w:cs="Arial"/>
                <w:b w:val="0"/>
                <w:bCs w:val="0"/>
                <w:sz w:val="24"/>
                <w:szCs w:val="24"/>
              </w:rPr>
              <w:t>Study Type</w:t>
            </w:r>
          </w:p>
        </w:tc>
        <w:tc>
          <w:tcPr>
            <w:tcW w:w="3408" w:type="dxa"/>
          </w:tcPr>
          <w:p w14:paraId="5A33C8F0" w14:textId="7277938E" w:rsidR="00FB4F60" w:rsidRPr="00893AE3" w:rsidRDefault="00FB4F60" w:rsidP="00FB4F6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3AE3">
              <w:rPr>
                <w:rFonts w:ascii="Arial" w:hAnsi="Arial" w:cs="Arial"/>
                <w:b w:val="0"/>
                <w:bCs w:val="0"/>
                <w:sz w:val="24"/>
                <w:szCs w:val="24"/>
              </w:rPr>
              <w:t>Key Finding</w:t>
            </w:r>
          </w:p>
        </w:tc>
        <w:tc>
          <w:tcPr>
            <w:tcW w:w="1979" w:type="dxa"/>
          </w:tcPr>
          <w:p w14:paraId="0FB07B81" w14:textId="7064B288" w:rsidR="00FB4F60" w:rsidRPr="00893AE3" w:rsidRDefault="00FB4F60" w:rsidP="00FB4F6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3AE3">
              <w:rPr>
                <w:rFonts w:ascii="Arial" w:hAnsi="Arial" w:cs="Arial"/>
                <w:b w:val="0"/>
                <w:bCs w:val="0"/>
                <w:sz w:val="24"/>
                <w:szCs w:val="24"/>
              </w:rPr>
              <w:t>Theme</w:t>
            </w:r>
          </w:p>
        </w:tc>
      </w:tr>
      <w:tr w:rsidR="00FB4F60" w:rsidRPr="00893AE3" w14:paraId="07ECCD3F"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170A64C4" w14:textId="12A60B71" w:rsidR="00FB4F60" w:rsidRPr="005D37FA" w:rsidRDefault="00FB4F60" w:rsidP="00FB4F60">
            <w:pPr>
              <w:jc w:val="center"/>
              <w:rPr>
                <w:rFonts w:ascii="Arial" w:hAnsi="Arial" w:cs="Arial"/>
                <w:b w:val="0"/>
                <w:bCs w:val="0"/>
                <w:u w:val="single"/>
              </w:rPr>
            </w:pPr>
            <w:r w:rsidRPr="005D37FA">
              <w:rPr>
                <w:rFonts w:ascii="Arial" w:hAnsi="Arial" w:cs="Arial"/>
              </w:rPr>
              <w:t xml:space="preserve">Courtin </w:t>
            </w:r>
            <w:r w:rsidR="00307BBD" w:rsidRPr="005D37FA">
              <w:rPr>
                <w:rFonts w:ascii="Arial" w:hAnsi="Arial" w:cs="Arial"/>
              </w:rPr>
              <w:t>and</w:t>
            </w:r>
            <w:r w:rsidRPr="005D37FA">
              <w:rPr>
                <w:rFonts w:ascii="Arial" w:hAnsi="Arial" w:cs="Arial"/>
              </w:rPr>
              <w:t xml:space="preserve"> Knapp (2017)</w:t>
            </w:r>
          </w:p>
        </w:tc>
        <w:tc>
          <w:tcPr>
            <w:tcW w:w="1837" w:type="dxa"/>
          </w:tcPr>
          <w:p w14:paraId="04C8676F" w14:textId="4E6679F4"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Scoping review</w:t>
            </w:r>
          </w:p>
        </w:tc>
        <w:tc>
          <w:tcPr>
            <w:tcW w:w="3408" w:type="dxa"/>
          </w:tcPr>
          <w:p w14:paraId="1734BD18" w14:textId="4C616972"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Social isolation associated with poorer mental and physical health in older adults</w:t>
            </w:r>
          </w:p>
        </w:tc>
        <w:tc>
          <w:tcPr>
            <w:tcW w:w="1979" w:type="dxa"/>
          </w:tcPr>
          <w:p w14:paraId="5D47008B" w14:textId="3CFF4B16"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 xml:space="preserve">Theme </w:t>
            </w:r>
            <w:r w:rsidR="002501FE" w:rsidRPr="005D37FA">
              <w:rPr>
                <w:rFonts w:ascii="Arial" w:hAnsi="Arial" w:cs="Arial"/>
              </w:rPr>
              <w:t>1 Mental</w:t>
            </w:r>
            <w:r w:rsidRPr="005D37FA">
              <w:rPr>
                <w:rFonts w:ascii="Arial" w:hAnsi="Arial" w:cs="Arial"/>
              </w:rPr>
              <w:t xml:space="preserve"> health impacts</w:t>
            </w:r>
          </w:p>
        </w:tc>
      </w:tr>
      <w:tr w:rsidR="00FB4F60" w:rsidRPr="00893AE3" w14:paraId="7D6AE5EA" w14:textId="77777777" w:rsidTr="00223AA2">
        <w:tc>
          <w:tcPr>
            <w:cnfStyle w:val="001000000000" w:firstRow="0" w:lastRow="0" w:firstColumn="1" w:lastColumn="0" w:oddVBand="0" w:evenVBand="0" w:oddHBand="0" w:evenHBand="0" w:firstRowFirstColumn="0" w:firstRowLastColumn="0" w:lastRowFirstColumn="0" w:lastRowLastColumn="0"/>
            <w:tcW w:w="2841" w:type="dxa"/>
          </w:tcPr>
          <w:p w14:paraId="228AA588" w14:textId="202056E9" w:rsidR="00FB4F60" w:rsidRPr="005D37FA" w:rsidRDefault="00FB4F60" w:rsidP="00FB4F60">
            <w:pPr>
              <w:jc w:val="center"/>
              <w:rPr>
                <w:rFonts w:ascii="Arial" w:hAnsi="Arial" w:cs="Arial"/>
                <w:b w:val="0"/>
                <w:bCs w:val="0"/>
                <w:u w:val="single"/>
              </w:rPr>
            </w:pPr>
            <w:r w:rsidRPr="005D37FA">
              <w:rPr>
                <w:rFonts w:ascii="Arial" w:hAnsi="Arial" w:cs="Arial"/>
              </w:rPr>
              <w:t>Creighton et al. (2019)</w:t>
            </w:r>
          </w:p>
        </w:tc>
        <w:tc>
          <w:tcPr>
            <w:tcW w:w="1837" w:type="dxa"/>
          </w:tcPr>
          <w:p w14:paraId="3BFD1C5C" w14:textId="13B2DBF9"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Longitudinal study</w:t>
            </w:r>
          </w:p>
        </w:tc>
        <w:tc>
          <w:tcPr>
            <w:tcW w:w="3408" w:type="dxa"/>
          </w:tcPr>
          <w:p w14:paraId="7835D9F9" w14:textId="4FADA331"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Social isolation predicts depressive symptoms in older adults (ELSA data)</w:t>
            </w:r>
          </w:p>
        </w:tc>
        <w:tc>
          <w:tcPr>
            <w:tcW w:w="1979" w:type="dxa"/>
          </w:tcPr>
          <w:p w14:paraId="44F81C85" w14:textId="20EDEC2C"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 xml:space="preserve">Theme </w:t>
            </w:r>
            <w:r w:rsidR="002501FE" w:rsidRPr="005D37FA">
              <w:rPr>
                <w:rFonts w:ascii="Arial" w:hAnsi="Arial" w:cs="Arial"/>
              </w:rPr>
              <w:t>1 Mental</w:t>
            </w:r>
            <w:r w:rsidRPr="005D37FA">
              <w:rPr>
                <w:rFonts w:ascii="Arial" w:hAnsi="Arial" w:cs="Arial"/>
              </w:rPr>
              <w:t xml:space="preserve"> health impacts</w:t>
            </w:r>
          </w:p>
        </w:tc>
      </w:tr>
      <w:tr w:rsidR="00FB4F60" w:rsidRPr="00893AE3" w14:paraId="63F7B5D0"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09034CC7" w14:textId="4F981FCD" w:rsidR="00FB4F60" w:rsidRPr="005D37FA" w:rsidRDefault="00FB4F60" w:rsidP="00FB4F60">
            <w:pPr>
              <w:jc w:val="center"/>
              <w:rPr>
                <w:rFonts w:ascii="Arial" w:hAnsi="Arial" w:cs="Arial"/>
                <w:b w:val="0"/>
                <w:bCs w:val="0"/>
                <w:u w:val="single"/>
              </w:rPr>
            </w:pPr>
            <w:r w:rsidRPr="005D37FA">
              <w:rPr>
                <w:rFonts w:ascii="Arial" w:hAnsi="Arial" w:cs="Arial"/>
              </w:rPr>
              <w:t>Santini et al. (2020)</w:t>
            </w:r>
          </w:p>
        </w:tc>
        <w:tc>
          <w:tcPr>
            <w:tcW w:w="1837" w:type="dxa"/>
          </w:tcPr>
          <w:p w14:paraId="5EA5310D" w14:textId="1A08CE45"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Cross-sectional study</w:t>
            </w:r>
          </w:p>
        </w:tc>
        <w:tc>
          <w:tcPr>
            <w:tcW w:w="3408" w:type="dxa"/>
          </w:tcPr>
          <w:p w14:paraId="0257B9DC" w14:textId="5EDDFBE4"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Loneliness linked with increased depression and anxiety</w:t>
            </w:r>
          </w:p>
        </w:tc>
        <w:tc>
          <w:tcPr>
            <w:tcW w:w="1979" w:type="dxa"/>
          </w:tcPr>
          <w:p w14:paraId="7A81E33E" w14:textId="03F1DC1C"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 xml:space="preserve">Theme </w:t>
            </w:r>
            <w:r w:rsidR="002501FE" w:rsidRPr="005D37FA">
              <w:rPr>
                <w:rFonts w:ascii="Arial" w:hAnsi="Arial" w:cs="Arial"/>
              </w:rPr>
              <w:t>1 Mental</w:t>
            </w:r>
            <w:r w:rsidRPr="005D37FA">
              <w:rPr>
                <w:rFonts w:ascii="Arial" w:hAnsi="Arial" w:cs="Arial"/>
              </w:rPr>
              <w:t xml:space="preserve"> health impacts</w:t>
            </w:r>
          </w:p>
        </w:tc>
      </w:tr>
      <w:tr w:rsidR="00FB4F60" w:rsidRPr="00893AE3" w14:paraId="446D5599" w14:textId="77777777" w:rsidTr="00223AA2">
        <w:tc>
          <w:tcPr>
            <w:cnfStyle w:val="001000000000" w:firstRow="0" w:lastRow="0" w:firstColumn="1" w:lastColumn="0" w:oddVBand="0" w:evenVBand="0" w:oddHBand="0" w:evenHBand="0" w:firstRowFirstColumn="0" w:firstRowLastColumn="0" w:lastRowFirstColumn="0" w:lastRowLastColumn="0"/>
            <w:tcW w:w="2841" w:type="dxa"/>
          </w:tcPr>
          <w:p w14:paraId="3106D9E2" w14:textId="4719A429" w:rsidR="00FB4F60" w:rsidRPr="005D37FA" w:rsidRDefault="00FB4F60" w:rsidP="00FB4F60">
            <w:pPr>
              <w:jc w:val="center"/>
              <w:rPr>
                <w:rFonts w:ascii="Arial" w:hAnsi="Arial" w:cs="Arial"/>
                <w:b w:val="0"/>
                <w:bCs w:val="0"/>
                <w:u w:val="single"/>
              </w:rPr>
            </w:pPr>
            <w:r w:rsidRPr="005D37FA">
              <w:rPr>
                <w:rFonts w:ascii="Arial" w:hAnsi="Arial" w:cs="Arial"/>
              </w:rPr>
              <w:t xml:space="preserve">Steptoe </w:t>
            </w:r>
            <w:r w:rsidR="00307BBD" w:rsidRPr="005D37FA">
              <w:rPr>
                <w:rFonts w:ascii="Arial" w:hAnsi="Arial" w:cs="Arial"/>
              </w:rPr>
              <w:t>and</w:t>
            </w:r>
            <w:r w:rsidRPr="005D37FA">
              <w:rPr>
                <w:rFonts w:ascii="Arial" w:hAnsi="Arial" w:cs="Arial"/>
              </w:rPr>
              <w:t xml:space="preserve"> Di Gessa (2021)</w:t>
            </w:r>
          </w:p>
        </w:tc>
        <w:tc>
          <w:tcPr>
            <w:tcW w:w="1837" w:type="dxa"/>
          </w:tcPr>
          <w:p w14:paraId="6EE18D76" w14:textId="524E9053"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Observational study</w:t>
            </w:r>
          </w:p>
        </w:tc>
        <w:tc>
          <w:tcPr>
            <w:tcW w:w="3408" w:type="dxa"/>
          </w:tcPr>
          <w:p w14:paraId="5DFCEA51" w14:textId="2B039EDD"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COVID-19 increased loneliness and psychological distress among older adults</w:t>
            </w:r>
          </w:p>
        </w:tc>
        <w:tc>
          <w:tcPr>
            <w:tcW w:w="1979" w:type="dxa"/>
          </w:tcPr>
          <w:p w14:paraId="4AB60868" w14:textId="3233DB4B"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 xml:space="preserve">Theme </w:t>
            </w:r>
            <w:r w:rsidR="002501FE" w:rsidRPr="005D37FA">
              <w:rPr>
                <w:rFonts w:ascii="Arial" w:hAnsi="Arial" w:cs="Arial"/>
              </w:rPr>
              <w:t>1 Mental</w:t>
            </w:r>
            <w:r w:rsidRPr="005D37FA">
              <w:rPr>
                <w:rFonts w:ascii="Arial" w:hAnsi="Arial" w:cs="Arial"/>
              </w:rPr>
              <w:t xml:space="preserve"> health impacts</w:t>
            </w:r>
          </w:p>
        </w:tc>
      </w:tr>
      <w:tr w:rsidR="00FB4F60" w:rsidRPr="00893AE3" w14:paraId="4D37C8BB"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3179A3ED" w14:textId="66DDCB87" w:rsidR="00FB4F60" w:rsidRPr="005D37FA" w:rsidRDefault="00FB4F60" w:rsidP="00FB4F60">
            <w:pPr>
              <w:jc w:val="center"/>
              <w:rPr>
                <w:rFonts w:ascii="Arial" w:hAnsi="Arial" w:cs="Arial"/>
                <w:b w:val="0"/>
                <w:bCs w:val="0"/>
                <w:u w:val="single"/>
              </w:rPr>
            </w:pPr>
            <w:r w:rsidRPr="005D37FA">
              <w:rPr>
                <w:rFonts w:ascii="Arial" w:hAnsi="Arial" w:cs="Arial"/>
              </w:rPr>
              <w:t xml:space="preserve">Victor </w:t>
            </w:r>
            <w:r w:rsidR="00307BBD" w:rsidRPr="005D37FA">
              <w:rPr>
                <w:rFonts w:ascii="Arial" w:hAnsi="Arial" w:cs="Arial"/>
              </w:rPr>
              <w:t>and</w:t>
            </w:r>
            <w:r w:rsidRPr="005D37FA">
              <w:rPr>
                <w:rFonts w:ascii="Arial" w:hAnsi="Arial" w:cs="Arial"/>
              </w:rPr>
              <w:t xml:space="preserve"> Pikhartova (2020)</w:t>
            </w:r>
          </w:p>
        </w:tc>
        <w:tc>
          <w:tcPr>
            <w:tcW w:w="1837" w:type="dxa"/>
          </w:tcPr>
          <w:p w14:paraId="229290AB" w14:textId="28480ABE"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Observational study</w:t>
            </w:r>
          </w:p>
        </w:tc>
        <w:tc>
          <w:tcPr>
            <w:tcW w:w="3408" w:type="dxa"/>
          </w:tcPr>
          <w:p w14:paraId="6BC4B43B" w14:textId="6E12D542"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Loneliness associated with reduced well-being and increased mental health risks</w:t>
            </w:r>
          </w:p>
        </w:tc>
        <w:tc>
          <w:tcPr>
            <w:tcW w:w="1979" w:type="dxa"/>
          </w:tcPr>
          <w:p w14:paraId="7443198A" w14:textId="1BD61F5C"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Theme 1 Mental health impacts</w:t>
            </w:r>
          </w:p>
        </w:tc>
      </w:tr>
      <w:tr w:rsidR="00FB4F60" w:rsidRPr="00893AE3" w14:paraId="27D3700A" w14:textId="77777777" w:rsidTr="00223AA2">
        <w:tc>
          <w:tcPr>
            <w:cnfStyle w:val="001000000000" w:firstRow="0" w:lastRow="0" w:firstColumn="1" w:lastColumn="0" w:oddVBand="0" w:evenVBand="0" w:oddHBand="0" w:evenHBand="0" w:firstRowFirstColumn="0" w:firstRowLastColumn="0" w:lastRowFirstColumn="0" w:lastRowLastColumn="0"/>
            <w:tcW w:w="2841" w:type="dxa"/>
          </w:tcPr>
          <w:p w14:paraId="701C82AD" w14:textId="75863C29" w:rsidR="00FB4F60" w:rsidRPr="005D37FA" w:rsidRDefault="00FB4F60" w:rsidP="00FB4F60">
            <w:pPr>
              <w:jc w:val="center"/>
              <w:rPr>
                <w:rFonts w:ascii="Arial" w:hAnsi="Arial" w:cs="Arial"/>
                <w:b w:val="0"/>
                <w:bCs w:val="0"/>
                <w:u w:val="single"/>
              </w:rPr>
            </w:pPr>
            <w:r w:rsidRPr="005D37FA">
              <w:rPr>
                <w:rFonts w:ascii="Arial" w:hAnsi="Arial" w:cs="Arial"/>
              </w:rPr>
              <w:t>Livingston et al. (2020)</w:t>
            </w:r>
          </w:p>
        </w:tc>
        <w:tc>
          <w:tcPr>
            <w:tcW w:w="1837" w:type="dxa"/>
          </w:tcPr>
          <w:p w14:paraId="10CE1166" w14:textId="39BEF91D"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Commission report</w:t>
            </w:r>
          </w:p>
        </w:tc>
        <w:tc>
          <w:tcPr>
            <w:tcW w:w="3408" w:type="dxa"/>
          </w:tcPr>
          <w:p w14:paraId="4C7E34EB" w14:textId="6E67B010"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Social engagement linked to reduced dementia risk</w:t>
            </w:r>
          </w:p>
        </w:tc>
        <w:tc>
          <w:tcPr>
            <w:tcW w:w="1979" w:type="dxa"/>
          </w:tcPr>
          <w:p w14:paraId="20C1046C" w14:textId="4DB621D0"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Theme 1 Mental health impacts</w:t>
            </w:r>
          </w:p>
        </w:tc>
      </w:tr>
      <w:tr w:rsidR="00FB4F60" w:rsidRPr="00893AE3" w14:paraId="1AB283A3"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757DEA13" w14:textId="4450D2B7" w:rsidR="00FB4F60" w:rsidRPr="005D37FA" w:rsidRDefault="00FB4F60" w:rsidP="00FB4F60">
            <w:pPr>
              <w:jc w:val="center"/>
              <w:rPr>
                <w:rFonts w:ascii="Arial" w:hAnsi="Arial" w:cs="Arial"/>
                <w:b w:val="0"/>
                <w:bCs w:val="0"/>
                <w:u w:val="single"/>
              </w:rPr>
            </w:pPr>
            <w:r w:rsidRPr="005D37FA">
              <w:rPr>
                <w:rFonts w:ascii="Arial" w:hAnsi="Arial" w:cs="Arial"/>
              </w:rPr>
              <w:t>Chatterjee et al. (2018)</w:t>
            </w:r>
          </w:p>
        </w:tc>
        <w:tc>
          <w:tcPr>
            <w:tcW w:w="1837" w:type="dxa"/>
          </w:tcPr>
          <w:p w14:paraId="7A89CED0" w14:textId="6BB097BC"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Quantitative study</w:t>
            </w:r>
          </w:p>
        </w:tc>
        <w:tc>
          <w:tcPr>
            <w:tcW w:w="3408" w:type="dxa"/>
          </w:tcPr>
          <w:p w14:paraId="13D001C5" w14:textId="70B9FEA8"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Social prescribing improves wellbeing and reduces loneliness</w:t>
            </w:r>
          </w:p>
        </w:tc>
        <w:tc>
          <w:tcPr>
            <w:tcW w:w="1979" w:type="dxa"/>
          </w:tcPr>
          <w:p w14:paraId="2DE08DF4" w14:textId="6EBE0FC8"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Theme 2 Community interventions</w:t>
            </w:r>
          </w:p>
        </w:tc>
      </w:tr>
      <w:tr w:rsidR="00FB4F60" w:rsidRPr="00893AE3" w14:paraId="0EBDE21F" w14:textId="77777777" w:rsidTr="00223AA2">
        <w:tc>
          <w:tcPr>
            <w:cnfStyle w:val="001000000000" w:firstRow="0" w:lastRow="0" w:firstColumn="1" w:lastColumn="0" w:oddVBand="0" w:evenVBand="0" w:oddHBand="0" w:evenHBand="0" w:firstRowFirstColumn="0" w:firstRowLastColumn="0" w:lastRowFirstColumn="0" w:lastRowLastColumn="0"/>
            <w:tcW w:w="2841" w:type="dxa"/>
          </w:tcPr>
          <w:p w14:paraId="44BA1B46" w14:textId="4D0F2BAA" w:rsidR="00FB4F60" w:rsidRPr="005D37FA" w:rsidRDefault="00FB4F60" w:rsidP="00FB4F60">
            <w:pPr>
              <w:jc w:val="center"/>
              <w:rPr>
                <w:rFonts w:ascii="Arial" w:hAnsi="Arial" w:cs="Arial"/>
                <w:b w:val="0"/>
                <w:bCs w:val="0"/>
                <w:u w:val="single"/>
              </w:rPr>
            </w:pPr>
            <w:r w:rsidRPr="005D37FA">
              <w:rPr>
                <w:rFonts w:ascii="Arial" w:hAnsi="Arial" w:cs="Arial"/>
              </w:rPr>
              <w:t>Wildman et al. (2019)</w:t>
            </w:r>
          </w:p>
        </w:tc>
        <w:tc>
          <w:tcPr>
            <w:tcW w:w="1837" w:type="dxa"/>
          </w:tcPr>
          <w:p w14:paraId="32B5200D" w14:textId="5A0B02EE"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Evaluation study</w:t>
            </w:r>
          </w:p>
        </w:tc>
        <w:tc>
          <w:tcPr>
            <w:tcW w:w="3408" w:type="dxa"/>
          </w:tcPr>
          <w:p w14:paraId="699B6178" w14:textId="737C4D0F"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Social prescribing programmes increase community engagement</w:t>
            </w:r>
          </w:p>
        </w:tc>
        <w:tc>
          <w:tcPr>
            <w:tcW w:w="1979" w:type="dxa"/>
          </w:tcPr>
          <w:p w14:paraId="08F73521" w14:textId="7168E9B0"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Theme 2 Community interventions</w:t>
            </w:r>
          </w:p>
        </w:tc>
      </w:tr>
      <w:tr w:rsidR="00FB4F60" w:rsidRPr="00893AE3" w14:paraId="6D208C99"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25987C68" w14:textId="63C12A3D" w:rsidR="00FB4F60" w:rsidRPr="005D37FA" w:rsidRDefault="00FB4F60" w:rsidP="00FB4F60">
            <w:pPr>
              <w:jc w:val="center"/>
              <w:rPr>
                <w:rFonts w:ascii="Arial" w:hAnsi="Arial" w:cs="Arial"/>
                <w:b w:val="0"/>
                <w:bCs w:val="0"/>
                <w:u w:val="single"/>
              </w:rPr>
            </w:pPr>
            <w:r w:rsidRPr="005D37FA">
              <w:rPr>
                <w:rFonts w:ascii="Arial" w:hAnsi="Arial" w:cs="Arial"/>
              </w:rPr>
              <w:t xml:space="preserve">Skingley </w:t>
            </w:r>
            <w:r w:rsidR="00307BBD" w:rsidRPr="005D37FA">
              <w:rPr>
                <w:rFonts w:ascii="Arial" w:hAnsi="Arial" w:cs="Arial"/>
              </w:rPr>
              <w:t>and</w:t>
            </w:r>
            <w:r w:rsidRPr="005D37FA">
              <w:rPr>
                <w:rFonts w:ascii="Arial" w:hAnsi="Arial" w:cs="Arial"/>
              </w:rPr>
              <w:t xml:space="preserve"> Bungay (2010)</w:t>
            </w:r>
          </w:p>
        </w:tc>
        <w:tc>
          <w:tcPr>
            <w:tcW w:w="1837" w:type="dxa"/>
          </w:tcPr>
          <w:p w14:paraId="65E95DA6" w14:textId="277A32ED"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Systematic review</w:t>
            </w:r>
          </w:p>
        </w:tc>
        <w:tc>
          <w:tcPr>
            <w:tcW w:w="3408" w:type="dxa"/>
          </w:tcPr>
          <w:p w14:paraId="44BA882A" w14:textId="16006326"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Group singing improves mood and social connection</w:t>
            </w:r>
          </w:p>
        </w:tc>
        <w:tc>
          <w:tcPr>
            <w:tcW w:w="1979" w:type="dxa"/>
          </w:tcPr>
          <w:p w14:paraId="43068B73" w14:textId="39A33246"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Theme 2 Community interventions</w:t>
            </w:r>
          </w:p>
        </w:tc>
      </w:tr>
      <w:tr w:rsidR="00FB4F60" w:rsidRPr="00893AE3" w14:paraId="33A1AC4F" w14:textId="77777777" w:rsidTr="00223AA2">
        <w:tc>
          <w:tcPr>
            <w:cnfStyle w:val="001000000000" w:firstRow="0" w:lastRow="0" w:firstColumn="1" w:lastColumn="0" w:oddVBand="0" w:evenVBand="0" w:oddHBand="0" w:evenHBand="0" w:firstRowFirstColumn="0" w:firstRowLastColumn="0" w:lastRowFirstColumn="0" w:lastRowLastColumn="0"/>
            <w:tcW w:w="2841" w:type="dxa"/>
          </w:tcPr>
          <w:p w14:paraId="14BEB0E9" w14:textId="1B9E6000" w:rsidR="00FB4F60" w:rsidRPr="005D37FA" w:rsidRDefault="00FB4F60" w:rsidP="00FB4F60">
            <w:pPr>
              <w:jc w:val="center"/>
              <w:rPr>
                <w:rFonts w:ascii="Arial" w:hAnsi="Arial" w:cs="Arial"/>
                <w:b w:val="0"/>
                <w:bCs w:val="0"/>
                <w:u w:val="single"/>
              </w:rPr>
            </w:pPr>
            <w:r w:rsidRPr="005D37FA">
              <w:rPr>
                <w:rFonts w:ascii="Arial" w:hAnsi="Arial" w:cs="Arial"/>
              </w:rPr>
              <w:t>Husk et al. (2020)</w:t>
            </w:r>
          </w:p>
        </w:tc>
        <w:tc>
          <w:tcPr>
            <w:tcW w:w="1837" w:type="dxa"/>
          </w:tcPr>
          <w:p w14:paraId="7295A0B3" w14:textId="25D58FBB"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 xml:space="preserve">Evidence </w:t>
            </w:r>
            <w:proofErr w:type="gramStart"/>
            <w:r w:rsidRPr="005D37FA">
              <w:rPr>
                <w:rFonts w:ascii="Arial" w:hAnsi="Arial" w:cs="Arial"/>
              </w:rPr>
              <w:t>review</w:t>
            </w:r>
            <w:proofErr w:type="gramEnd"/>
          </w:p>
        </w:tc>
        <w:tc>
          <w:tcPr>
            <w:tcW w:w="3408" w:type="dxa"/>
          </w:tcPr>
          <w:p w14:paraId="7142ECDC" w14:textId="16976F6D"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Social prescribing supports emotional well-being and social participation</w:t>
            </w:r>
          </w:p>
        </w:tc>
        <w:tc>
          <w:tcPr>
            <w:tcW w:w="1979" w:type="dxa"/>
          </w:tcPr>
          <w:p w14:paraId="2F859B40" w14:textId="06C5D357"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Theme 2 Community interventions</w:t>
            </w:r>
          </w:p>
        </w:tc>
      </w:tr>
      <w:tr w:rsidR="00FB4F60" w:rsidRPr="00893AE3" w14:paraId="3058AF00"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5C5C262B" w14:textId="0F36C2D9" w:rsidR="00FB4F60" w:rsidRPr="005D37FA" w:rsidRDefault="00FB4F60" w:rsidP="00FB4F60">
            <w:pPr>
              <w:jc w:val="center"/>
              <w:rPr>
                <w:rFonts w:ascii="Arial" w:hAnsi="Arial" w:cs="Arial"/>
                <w:b w:val="0"/>
                <w:bCs w:val="0"/>
                <w:u w:val="single"/>
              </w:rPr>
            </w:pPr>
            <w:r w:rsidRPr="005D37FA">
              <w:rPr>
                <w:rFonts w:ascii="Arial" w:hAnsi="Arial" w:cs="Arial"/>
              </w:rPr>
              <w:t>Goll et al. (2015)</w:t>
            </w:r>
          </w:p>
        </w:tc>
        <w:tc>
          <w:tcPr>
            <w:tcW w:w="1837" w:type="dxa"/>
          </w:tcPr>
          <w:p w14:paraId="563126CC" w14:textId="42DDBADA"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Systematic review</w:t>
            </w:r>
          </w:p>
        </w:tc>
        <w:tc>
          <w:tcPr>
            <w:tcW w:w="3408" w:type="dxa"/>
          </w:tcPr>
          <w:p w14:paraId="36AA3E85" w14:textId="4F5603A1"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Health limitations and mobility issues reduce participation in social activities</w:t>
            </w:r>
          </w:p>
        </w:tc>
        <w:tc>
          <w:tcPr>
            <w:tcW w:w="1979" w:type="dxa"/>
          </w:tcPr>
          <w:p w14:paraId="3C2D4910" w14:textId="1E8839E4"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Theme 3 Barriers to participation</w:t>
            </w:r>
          </w:p>
        </w:tc>
      </w:tr>
      <w:tr w:rsidR="00FB4F60" w:rsidRPr="00893AE3" w14:paraId="25051FA7" w14:textId="77777777" w:rsidTr="00223AA2">
        <w:tc>
          <w:tcPr>
            <w:cnfStyle w:val="001000000000" w:firstRow="0" w:lastRow="0" w:firstColumn="1" w:lastColumn="0" w:oddVBand="0" w:evenVBand="0" w:oddHBand="0" w:evenHBand="0" w:firstRowFirstColumn="0" w:firstRowLastColumn="0" w:lastRowFirstColumn="0" w:lastRowLastColumn="0"/>
            <w:tcW w:w="2841" w:type="dxa"/>
          </w:tcPr>
          <w:p w14:paraId="553E51B7" w14:textId="4AC4CD26" w:rsidR="00FB4F60" w:rsidRPr="005D37FA" w:rsidRDefault="00FB4F60" w:rsidP="00FB4F60">
            <w:pPr>
              <w:jc w:val="center"/>
              <w:rPr>
                <w:rFonts w:ascii="Arial" w:hAnsi="Arial" w:cs="Arial"/>
                <w:b w:val="0"/>
                <w:bCs w:val="0"/>
                <w:u w:val="single"/>
              </w:rPr>
            </w:pPr>
            <w:r w:rsidRPr="005D37FA">
              <w:rPr>
                <w:rFonts w:ascii="Arial" w:hAnsi="Arial" w:cs="Arial"/>
              </w:rPr>
              <w:lastRenderedPageBreak/>
              <w:t>Kharicha et al. (2019</w:t>
            </w:r>
            <w:r w:rsidR="002220FF" w:rsidRPr="005D37FA">
              <w:rPr>
                <w:rFonts w:ascii="Arial" w:hAnsi="Arial" w:cs="Arial"/>
              </w:rPr>
              <w:t>b</w:t>
            </w:r>
            <w:r w:rsidRPr="005D37FA">
              <w:rPr>
                <w:rFonts w:ascii="Arial" w:hAnsi="Arial" w:cs="Arial"/>
              </w:rPr>
              <w:t>)</w:t>
            </w:r>
          </w:p>
        </w:tc>
        <w:tc>
          <w:tcPr>
            <w:tcW w:w="1837" w:type="dxa"/>
          </w:tcPr>
          <w:p w14:paraId="52D1B498" w14:textId="37109243"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Observational study</w:t>
            </w:r>
          </w:p>
        </w:tc>
        <w:tc>
          <w:tcPr>
            <w:tcW w:w="3408" w:type="dxa"/>
          </w:tcPr>
          <w:p w14:paraId="520A0043" w14:textId="11C7D78E"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Frailty and health conditions reduce community engagement</w:t>
            </w:r>
          </w:p>
        </w:tc>
        <w:tc>
          <w:tcPr>
            <w:tcW w:w="1979" w:type="dxa"/>
          </w:tcPr>
          <w:p w14:paraId="64B8EA65" w14:textId="356283AE"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Theme 3 Barriers to participation</w:t>
            </w:r>
          </w:p>
        </w:tc>
      </w:tr>
      <w:tr w:rsidR="00FB4F60" w:rsidRPr="00893AE3" w14:paraId="56E6FD8E"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509BFFEA" w14:textId="1EE137B2" w:rsidR="00FB4F60" w:rsidRPr="005D37FA" w:rsidRDefault="00FB4F60" w:rsidP="00FB4F60">
            <w:pPr>
              <w:jc w:val="center"/>
              <w:rPr>
                <w:rFonts w:ascii="Arial" w:hAnsi="Arial" w:cs="Arial"/>
                <w:b w:val="0"/>
                <w:bCs w:val="0"/>
                <w:u w:val="single"/>
              </w:rPr>
            </w:pPr>
            <w:r w:rsidRPr="005D37FA">
              <w:rPr>
                <w:rFonts w:ascii="Arial" w:hAnsi="Arial" w:cs="Arial"/>
              </w:rPr>
              <w:t xml:space="preserve">Shergold </w:t>
            </w:r>
            <w:r w:rsidR="00307BBD" w:rsidRPr="005D37FA">
              <w:rPr>
                <w:rFonts w:ascii="Arial" w:hAnsi="Arial" w:cs="Arial"/>
              </w:rPr>
              <w:t>and</w:t>
            </w:r>
            <w:r w:rsidRPr="005D37FA">
              <w:rPr>
                <w:rFonts w:ascii="Arial" w:hAnsi="Arial" w:cs="Arial"/>
              </w:rPr>
              <w:t xml:space="preserve"> Parkhurst (2012)</w:t>
            </w:r>
          </w:p>
        </w:tc>
        <w:tc>
          <w:tcPr>
            <w:tcW w:w="1837" w:type="dxa"/>
          </w:tcPr>
          <w:p w14:paraId="0BB5A155" w14:textId="750C3543"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Survey study</w:t>
            </w:r>
          </w:p>
        </w:tc>
        <w:tc>
          <w:tcPr>
            <w:tcW w:w="3408" w:type="dxa"/>
          </w:tcPr>
          <w:p w14:paraId="51FAEDE1" w14:textId="706432D0"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Transport barriers limit access to community activities</w:t>
            </w:r>
          </w:p>
        </w:tc>
        <w:tc>
          <w:tcPr>
            <w:tcW w:w="1979" w:type="dxa"/>
          </w:tcPr>
          <w:p w14:paraId="2284ACD4" w14:textId="541A1755"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Theme 3 Barriers to participation</w:t>
            </w:r>
          </w:p>
        </w:tc>
      </w:tr>
      <w:tr w:rsidR="00FB4F60" w:rsidRPr="00893AE3" w14:paraId="2D3F4944" w14:textId="77777777" w:rsidTr="00223AA2">
        <w:trPr>
          <w:trHeight w:val="1169"/>
        </w:trPr>
        <w:tc>
          <w:tcPr>
            <w:cnfStyle w:val="001000000000" w:firstRow="0" w:lastRow="0" w:firstColumn="1" w:lastColumn="0" w:oddVBand="0" w:evenVBand="0" w:oddHBand="0" w:evenHBand="0" w:firstRowFirstColumn="0" w:firstRowLastColumn="0" w:lastRowFirstColumn="0" w:lastRowLastColumn="0"/>
            <w:tcW w:w="2841" w:type="dxa"/>
          </w:tcPr>
          <w:p w14:paraId="769A27CB" w14:textId="0D4CDC0A" w:rsidR="00FB4F60" w:rsidRPr="005D37FA" w:rsidRDefault="00FB4F60" w:rsidP="00FB4F60">
            <w:pPr>
              <w:jc w:val="center"/>
              <w:rPr>
                <w:rFonts w:ascii="Arial" w:hAnsi="Arial" w:cs="Arial"/>
                <w:b w:val="0"/>
                <w:bCs w:val="0"/>
                <w:u w:val="single"/>
              </w:rPr>
            </w:pPr>
            <w:r w:rsidRPr="005D37FA">
              <w:rPr>
                <w:rFonts w:ascii="Arial" w:hAnsi="Arial" w:cs="Arial"/>
              </w:rPr>
              <w:t>Mackenzie et al. (2019)</w:t>
            </w:r>
          </w:p>
        </w:tc>
        <w:tc>
          <w:tcPr>
            <w:tcW w:w="1837" w:type="dxa"/>
          </w:tcPr>
          <w:p w14:paraId="12F59694" w14:textId="58A2342A"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Qualitative study</w:t>
            </w:r>
          </w:p>
        </w:tc>
        <w:tc>
          <w:tcPr>
            <w:tcW w:w="3408" w:type="dxa"/>
          </w:tcPr>
          <w:p w14:paraId="729E5ABE" w14:textId="61B80280"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Cultural and language barriers limit participation among minority groups</w:t>
            </w:r>
          </w:p>
        </w:tc>
        <w:tc>
          <w:tcPr>
            <w:tcW w:w="1979" w:type="dxa"/>
          </w:tcPr>
          <w:p w14:paraId="400C26F5" w14:textId="7CF33270"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Theme 3 Barriers to participation</w:t>
            </w:r>
          </w:p>
        </w:tc>
      </w:tr>
      <w:tr w:rsidR="00FB4F60" w:rsidRPr="00893AE3" w14:paraId="14B887D0"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6FEA7B62" w14:textId="4C7DC020" w:rsidR="00FB4F60" w:rsidRPr="005D37FA" w:rsidRDefault="00FB4F60" w:rsidP="00FB4F60">
            <w:pPr>
              <w:jc w:val="center"/>
              <w:rPr>
                <w:rFonts w:ascii="Arial" w:hAnsi="Arial" w:cs="Arial"/>
                <w:b w:val="0"/>
                <w:bCs w:val="0"/>
                <w:u w:val="single"/>
              </w:rPr>
            </w:pPr>
            <w:r w:rsidRPr="005D37FA">
              <w:rPr>
                <w:rFonts w:ascii="Arial" w:hAnsi="Arial" w:cs="Arial"/>
              </w:rPr>
              <w:t>Seifert et al. (2020)</w:t>
            </w:r>
          </w:p>
        </w:tc>
        <w:tc>
          <w:tcPr>
            <w:tcW w:w="1837" w:type="dxa"/>
          </w:tcPr>
          <w:p w14:paraId="118C5BF6" w14:textId="0F405F53"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Observational study</w:t>
            </w:r>
          </w:p>
        </w:tc>
        <w:tc>
          <w:tcPr>
            <w:tcW w:w="3408" w:type="dxa"/>
          </w:tcPr>
          <w:p w14:paraId="50B09B7F" w14:textId="3395A282"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Digital exclusion reduces participation in online interventions</w:t>
            </w:r>
          </w:p>
        </w:tc>
        <w:tc>
          <w:tcPr>
            <w:tcW w:w="1979" w:type="dxa"/>
          </w:tcPr>
          <w:p w14:paraId="224A3AA5" w14:textId="12ECF025"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Theme 3 Barriers to participation</w:t>
            </w:r>
          </w:p>
        </w:tc>
      </w:tr>
      <w:tr w:rsidR="00FB4F60" w:rsidRPr="00893AE3" w14:paraId="7C33C495" w14:textId="77777777" w:rsidTr="00223AA2">
        <w:tc>
          <w:tcPr>
            <w:cnfStyle w:val="001000000000" w:firstRow="0" w:lastRow="0" w:firstColumn="1" w:lastColumn="0" w:oddVBand="0" w:evenVBand="0" w:oddHBand="0" w:evenHBand="0" w:firstRowFirstColumn="0" w:firstRowLastColumn="0" w:lastRowFirstColumn="0" w:lastRowLastColumn="0"/>
            <w:tcW w:w="2841" w:type="dxa"/>
          </w:tcPr>
          <w:p w14:paraId="063EEF10" w14:textId="18577E4D" w:rsidR="00FB4F60" w:rsidRPr="005D37FA" w:rsidRDefault="00FB4F60" w:rsidP="00FB4F60">
            <w:pPr>
              <w:jc w:val="center"/>
              <w:rPr>
                <w:rFonts w:ascii="Arial" w:hAnsi="Arial" w:cs="Arial"/>
                <w:b w:val="0"/>
                <w:bCs w:val="0"/>
                <w:u w:val="single"/>
              </w:rPr>
            </w:pPr>
            <w:r w:rsidRPr="005D37FA">
              <w:rPr>
                <w:rFonts w:ascii="Arial" w:hAnsi="Arial" w:cs="Arial"/>
              </w:rPr>
              <w:t>Seifert et al. (2021)</w:t>
            </w:r>
          </w:p>
        </w:tc>
        <w:tc>
          <w:tcPr>
            <w:tcW w:w="1837" w:type="dxa"/>
          </w:tcPr>
          <w:p w14:paraId="3765EAA4" w14:textId="6F950997"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Mixed-methods study</w:t>
            </w:r>
          </w:p>
        </w:tc>
        <w:tc>
          <w:tcPr>
            <w:tcW w:w="3408" w:type="dxa"/>
          </w:tcPr>
          <w:p w14:paraId="5BE76766" w14:textId="439DD9D8"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Digital literacy programmes increase online social engagement</w:t>
            </w:r>
          </w:p>
        </w:tc>
        <w:tc>
          <w:tcPr>
            <w:tcW w:w="1979" w:type="dxa"/>
          </w:tcPr>
          <w:p w14:paraId="57769B61" w14:textId="6A1B64E7"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Theme 4 Digital exclusion</w:t>
            </w:r>
          </w:p>
        </w:tc>
      </w:tr>
      <w:tr w:rsidR="00FB4F60" w:rsidRPr="00893AE3" w14:paraId="13161EDE" w14:textId="77777777" w:rsidTr="00223A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41" w:type="dxa"/>
          </w:tcPr>
          <w:p w14:paraId="4B8D5F9D" w14:textId="3902D579" w:rsidR="00FB4F60" w:rsidRPr="005D37FA" w:rsidRDefault="00FB4F60" w:rsidP="00FB4F60">
            <w:pPr>
              <w:jc w:val="center"/>
              <w:rPr>
                <w:rFonts w:ascii="Arial" w:hAnsi="Arial" w:cs="Arial"/>
                <w:b w:val="0"/>
                <w:bCs w:val="0"/>
                <w:u w:val="single"/>
              </w:rPr>
            </w:pPr>
            <w:r w:rsidRPr="005D37FA">
              <w:rPr>
                <w:rFonts w:ascii="Arial" w:hAnsi="Arial" w:cs="Arial"/>
              </w:rPr>
              <w:t>Fang et al. (2019)</w:t>
            </w:r>
          </w:p>
        </w:tc>
        <w:tc>
          <w:tcPr>
            <w:tcW w:w="1837" w:type="dxa"/>
          </w:tcPr>
          <w:p w14:paraId="0999E9B9" w14:textId="3CC460D8"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Qualitative study</w:t>
            </w:r>
          </w:p>
        </w:tc>
        <w:tc>
          <w:tcPr>
            <w:tcW w:w="3408" w:type="dxa"/>
          </w:tcPr>
          <w:p w14:paraId="70A80FF5" w14:textId="54C408CC"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Digital training improves confidence and online social participation</w:t>
            </w:r>
          </w:p>
        </w:tc>
        <w:tc>
          <w:tcPr>
            <w:tcW w:w="1979" w:type="dxa"/>
          </w:tcPr>
          <w:p w14:paraId="7A791B38" w14:textId="1EDD0C13" w:rsidR="00FB4F60" w:rsidRPr="005D37FA" w:rsidRDefault="00FB4F60" w:rsidP="00FB4F60">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5D37FA">
              <w:rPr>
                <w:rFonts w:ascii="Arial" w:hAnsi="Arial" w:cs="Arial"/>
              </w:rPr>
              <w:t xml:space="preserve">Theme </w:t>
            </w:r>
            <w:r w:rsidR="002501FE" w:rsidRPr="005D37FA">
              <w:rPr>
                <w:rFonts w:ascii="Arial" w:hAnsi="Arial" w:cs="Arial"/>
              </w:rPr>
              <w:t>4 Digital</w:t>
            </w:r>
            <w:r w:rsidRPr="005D37FA">
              <w:rPr>
                <w:rFonts w:ascii="Arial" w:hAnsi="Arial" w:cs="Arial"/>
              </w:rPr>
              <w:t xml:space="preserve"> exclusion</w:t>
            </w:r>
          </w:p>
        </w:tc>
      </w:tr>
      <w:tr w:rsidR="00FB4F60" w:rsidRPr="00893AE3" w14:paraId="644D32CE" w14:textId="77777777" w:rsidTr="00223AA2">
        <w:tc>
          <w:tcPr>
            <w:cnfStyle w:val="001000000000" w:firstRow="0" w:lastRow="0" w:firstColumn="1" w:lastColumn="0" w:oddVBand="0" w:evenVBand="0" w:oddHBand="0" w:evenHBand="0" w:firstRowFirstColumn="0" w:firstRowLastColumn="0" w:lastRowFirstColumn="0" w:lastRowLastColumn="0"/>
            <w:tcW w:w="2841" w:type="dxa"/>
          </w:tcPr>
          <w:p w14:paraId="52AAF74D" w14:textId="2CBF5689" w:rsidR="00FB4F60" w:rsidRPr="005D37FA" w:rsidRDefault="00FB4F60" w:rsidP="00FB4F60">
            <w:pPr>
              <w:jc w:val="center"/>
              <w:rPr>
                <w:rFonts w:ascii="Arial" w:hAnsi="Arial" w:cs="Arial"/>
                <w:b w:val="0"/>
                <w:bCs w:val="0"/>
                <w:u w:val="single"/>
              </w:rPr>
            </w:pPr>
            <w:r w:rsidRPr="005D37FA">
              <w:rPr>
                <w:rFonts w:ascii="Arial" w:hAnsi="Arial" w:cs="Arial"/>
              </w:rPr>
              <w:t>Holt-Lunstad et al. (2015)</w:t>
            </w:r>
          </w:p>
        </w:tc>
        <w:tc>
          <w:tcPr>
            <w:tcW w:w="1837" w:type="dxa"/>
          </w:tcPr>
          <w:p w14:paraId="03DE17D9" w14:textId="43679352"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Meta-analysis</w:t>
            </w:r>
          </w:p>
        </w:tc>
        <w:tc>
          <w:tcPr>
            <w:tcW w:w="3408" w:type="dxa"/>
          </w:tcPr>
          <w:p w14:paraId="7A458F42" w14:textId="778B8A8D"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Social isolation linked to increased mortality risk</w:t>
            </w:r>
          </w:p>
        </w:tc>
        <w:tc>
          <w:tcPr>
            <w:tcW w:w="1979" w:type="dxa"/>
          </w:tcPr>
          <w:p w14:paraId="5995D65A" w14:textId="0BAD3D68" w:rsidR="00FB4F60" w:rsidRPr="005D37FA" w:rsidRDefault="00FB4F60" w:rsidP="00FB4F60">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single"/>
              </w:rPr>
            </w:pPr>
            <w:r w:rsidRPr="005D37FA">
              <w:rPr>
                <w:rFonts w:ascii="Arial" w:hAnsi="Arial" w:cs="Arial"/>
              </w:rPr>
              <w:t xml:space="preserve">Theme </w:t>
            </w:r>
            <w:r w:rsidR="002501FE" w:rsidRPr="005D37FA">
              <w:rPr>
                <w:rFonts w:ascii="Arial" w:hAnsi="Arial" w:cs="Arial"/>
              </w:rPr>
              <w:t>4 Digital</w:t>
            </w:r>
            <w:r w:rsidRPr="005D37FA">
              <w:rPr>
                <w:rFonts w:ascii="Arial" w:hAnsi="Arial" w:cs="Arial"/>
              </w:rPr>
              <w:t xml:space="preserve"> exclusion / social connectivity</w:t>
            </w:r>
          </w:p>
        </w:tc>
      </w:tr>
    </w:tbl>
    <w:p w14:paraId="197C66BB" w14:textId="77777777" w:rsidR="00FB4F60" w:rsidRPr="00893AE3" w:rsidRDefault="00FB4F60" w:rsidP="00FB4F60">
      <w:pPr>
        <w:rPr>
          <w:rFonts w:ascii="Arial" w:hAnsi="Arial" w:cs="Arial"/>
          <w:b/>
          <w:bCs/>
          <w:sz w:val="28"/>
          <w:szCs w:val="28"/>
          <w:u w:val="single"/>
        </w:rPr>
      </w:pPr>
    </w:p>
    <w:sectPr w:rsidR="00FB4F60" w:rsidRPr="00893AE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B2E3D" w14:textId="77777777" w:rsidR="00CC26B4" w:rsidRDefault="00CC26B4" w:rsidP="00211184">
      <w:pPr>
        <w:spacing w:after="0" w:line="240" w:lineRule="auto"/>
      </w:pPr>
      <w:r>
        <w:separator/>
      </w:r>
    </w:p>
  </w:endnote>
  <w:endnote w:type="continuationSeparator" w:id="0">
    <w:p w14:paraId="49D19727" w14:textId="77777777" w:rsidR="00CC26B4" w:rsidRDefault="00CC26B4"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Italic">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64AD7" w14:textId="77777777" w:rsidR="00CC26B4" w:rsidRDefault="00CC26B4" w:rsidP="00211184">
      <w:pPr>
        <w:spacing w:after="0" w:line="240" w:lineRule="auto"/>
      </w:pPr>
      <w:r>
        <w:separator/>
      </w:r>
    </w:p>
  </w:footnote>
  <w:footnote w:type="continuationSeparator" w:id="0">
    <w:p w14:paraId="642E1813" w14:textId="77777777" w:rsidR="00CC26B4" w:rsidRDefault="00CC26B4"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4AE7"/>
    <w:multiLevelType w:val="hybridMultilevel"/>
    <w:tmpl w:val="997CB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E2231"/>
    <w:multiLevelType w:val="hybridMultilevel"/>
    <w:tmpl w:val="3B7EE4A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13730BE"/>
    <w:multiLevelType w:val="hybridMultilevel"/>
    <w:tmpl w:val="2612C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4766D6"/>
    <w:multiLevelType w:val="multilevel"/>
    <w:tmpl w:val="EF22A58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9DA464F"/>
    <w:multiLevelType w:val="multilevel"/>
    <w:tmpl w:val="27AEC6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DD75D43"/>
    <w:multiLevelType w:val="hybridMultilevel"/>
    <w:tmpl w:val="266EA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54033B"/>
    <w:multiLevelType w:val="hybridMultilevel"/>
    <w:tmpl w:val="1E04C0B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F723387"/>
    <w:multiLevelType w:val="multilevel"/>
    <w:tmpl w:val="F98656C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4775C5C"/>
    <w:multiLevelType w:val="multilevel"/>
    <w:tmpl w:val="E90629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AC20949"/>
    <w:multiLevelType w:val="multilevel"/>
    <w:tmpl w:val="C292DB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DEC7092"/>
    <w:multiLevelType w:val="multilevel"/>
    <w:tmpl w:val="E85477E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938492870">
    <w:abstractNumId w:val="4"/>
  </w:num>
  <w:num w:numId="2" w16cid:durableId="1622304756">
    <w:abstractNumId w:val="9"/>
  </w:num>
  <w:num w:numId="3" w16cid:durableId="17781492">
    <w:abstractNumId w:val="7"/>
  </w:num>
  <w:num w:numId="4" w16cid:durableId="1414622426">
    <w:abstractNumId w:val="10"/>
  </w:num>
  <w:num w:numId="5" w16cid:durableId="996761873">
    <w:abstractNumId w:val="3"/>
  </w:num>
  <w:num w:numId="6" w16cid:durableId="193690832">
    <w:abstractNumId w:val="8"/>
  </w:num>
  <w:num w:numId="7" w16cid:durableId="568537958">
    <w:abstractNumId w:val="0"/>
  </w:num>
  <w:num w:numId="8" w16cid:durableId="1510095099">
    <w:abstractNumId w:val="5"/>
  </w:num>
  <w:num w:numId="9" w16cid:durableId="484005443">
    <w:abstractNumId w:val="6"/>
  </w:num>
  <w:num w:numId="10" w16cid:durableId="1749770039">
    <w:abstractNumId w:val="2"/>
  </w:num>
  <w:num w:numId="11" w16cid:durableId="1832335527">
    <w:abstractNumId w:val="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2A4D"/>
    <w:rsid w:val="00006759"/>
    <w:rsid w:val="00012270"/>
    <w:rsid w:val="00023A30"/>
    <w:rsid w:val="00026231"/>
    <w:rsid w:val="000264A2"/>
    <w:rsid w:val="00027993"/>
    <w:rsid w:val="00027F68"/>
    <w:rsid w:val="00030641"/>
    <w:rsid w:val="00031895"/>
    <w:rsid w:val="00033C6F"/>
    <w:rsid w:val="00033DE2"/>
    <w:rsid w:val="00036348"/>
    <w:rsid w:val="000376E8"/>
    <w:rsid w:val="000400E4"/>
    <w:rsid w:val="00043007"/>
    <w:rsid w:val="00047640"/>
    <w:rsid w:val="0005596A"/>
    <w:rsid w:val="0006173A"/>
    <w:rsid w:val="00063B4C"/>
    <w:rsid w:val="00072289"/>
    <w:rsid w:val="00074DC9"/>
    <w:rsid w:val="00077FBE"/>
    <w:rsid w:val="00082728"/>
    <w:rsid w:val="00085A77"/>
    <w:rsid w:val="00087A96"/>
    <w:rsid w:val="00087BB1"/>
    <w:rsid w:val="000915E8"/>
    <w:rsid w:val="00092138"/>
    <w:rsid w:val="0009267C"/>
    <w:rsid w:val="00097B2E"/>
    <w:rsid w:val="000A2CA6"/>
    <w:rsid w:val="000B4926"/>
    <w:rsid w:val="000C67D0"/>
    <w:rsid w:val="000D05D8"/>
    <w:rsid w:val="000D0641"/>
    <w:rsid w:val="000D2B00"/>
    <w:rsid w:val="000E04A0"/>
    <w:rsid w:val="000E055B"/>
    <w:rsid w:val="000F4514"/>
    <w:rsid w:val="000F47BC"/>
    <w:rsid w:val="00103DB1"/>
    <w:rsid w:val="00134165"/>
    <w:rsid w:val="001359D7"/>
    <w:rsid w:val="00135A89"/>
    <w:rsid w:val="001601E6"/>
    <w:rsid w:val="00164814"/>
    <w:rsid w:val="00164F69"/>
    <w:rsid w:val="00181B87"/>
    <w:rsid w:val="00184AC6"/>
    <w:rsid w:val="001936DD"/>
    <w:rsid w:val="0019437D"/>
    <w:rsid w:val="00194AB9"/>
    <w:rsid w:val="00194ED5"/>
    <w:rsid w:val="001A78EF"/>
    <w:rsid w:val="001B368B"/>
    <w:rsid w:val="001B5158"/>
    <w:rsid w:val="001C3AF6"/>
    <w:rsid w:val="001C5297"/>
    <w:rsid w:val="001C6E49"/>
    <w:rsid w:val="001D1485"/>
    <w:rsid w:val="001D527C"/>
    <w:rsid w:val="001D7F94"/>
    <w:rsid w:val="001E2CB8"/>
    <w:rsid w:val="001E37BF"/>
    <w:rsid w:val="001E53BC"/>
    <w:rsid w:val="001E76D0"/>
    <w:rsid w:val="001F19A6"/>
    <w:rsid w:val="001F2D60"/>
    <w:rsid w:val="001F4581"/>
    <w:rsid w:val="002104F1"/>
    <w:rsid w:val="00211184"/>
    <w:rsid w:val="0021131B"/>
    <w:rsid w:val="00212B46"/>
    <w:rsid w:val="0021364B"/>
    <w:rsid w:val="0021527B"/>
    <w:rsid w:val="002220FF"/>
    <w:rsid w:val="00223AA2"/>
    <w:rsid w:val="00223D03"/>
    <w:rsid w:val="00234F58"/>
    <w:rsid w:val="002501FE"/>
    <w:rsid w:val="0025020C"/>
    <w:rsid w:val="00254D62"/>
    <w:rsid w:val="00256951"/>
    <w:rsid w:val="00257D07"/>
    <w:rsid w:val="002705E3"/>
    <w:rsid w:val="002865F5"/>
    <w:rsid w:val="00292A36"/>
    <w:rsid w:val="00297483"/>
    <w:rsid w:val="002A3FDE"/>
    <w:rsid w:val="002C2B84"/>
    <w:rsid w:val="002C33DA"/>
    <w:rsid w:val="002D64A3"/>
    <w:rsid w:val="002E174C"/>
    <w:rsid w:val="002E2BEF"/>
    <w:rsid w:val="002E33F9"/>
    <w:rsid w:val="002E6B1C"/>
    <w:rsid w:val="002E7C01"/>
    <w:rsid w:val="002F3D2B"/>
    <w:rsid w:val="002F417E"/>
    <w:rsid w:val="002F4CB8"/>
    <w:rsid w:val="002F5E53"/>
    <w:rsid w:val="00301D43"/>
    <w:rsid w:val="00303CD4"/>
    <w:rsid w:val="00307BBD"/>
    <w:rsid w:val="00307E10"/>
    <w:rsid w:val="00312A5A"/>
    <w:rsid w:val="003135AD"/>
    <w:rsid w:val="00313877"/>
    <w:rsid w:val="003309A6"/>
    <w:rsid w:val="00332C01"/>
    <w:rsid w:val="00333693"/>
    <w:rsid w:val="003366DF"/>
    <w:rsid w:val="00337E67"/>
    <w:rsid w:val="00355A8A"/>
    <w:rsid w:val="0036544D"/>
    <w:rsid w:val="00373E4C"/>
    <w:rsid w:val="003761A8"/>
    <w:rsid w:val="00384252"/>
    <w:rsid w:val="003902EC"/>
    <w:rsid w:val="003925C4"/>
    <w:rsid w:val="00393F39"/>
    <w:rsid w:val="003A66FD"/>
    <w:rsid w:val="003B1E32"/>
    <w:rsid w:val="003B524C"/>
    <w:rsid w:val="003C1FAC"/>
    <w:rsid w:val="003C2CD6"/>
    <w:rsid w:val="003D1EB8"/>
    <w:rsid w:val="003D2B32"/>
    <w:rsid w:val="003D2B7B"/>
    <w:rsid w:val="003F0538"/>
    <w:rsid w:val="003F732C"/>
    <w:rsid w:val="00401B44"/>
    <w:rsid w:val="00402663"/>
    <w:rsid w:val="004040ED"/>
    <w:rsid w:val="00416E2C"/>
    <w:rsid w:val="0042137D"/>
    <w:rsid w:val="004304A9"/>
    <w:rsid w:val="004333AB"/>
    <w:rsid w:val="004333CE"/>
    <w:rsid w:val="00435298"/>
    <w:rsid w:val="00436158"/>
    <w:rsid w:val="004406A6"/>
    <w:rsid w:val="004413C5"/>
    <w:rsid w:val="0044781D"/>
    <w:rsid w:val="004538D1"/>
    <w:rsid w:val="004600FC"/>
    <w:rsid w:val="00464998"/>
    <w:rsid w:val="00477DBE"/>
    <w:rsid w:val="00485A99"/>
    <w:rsid w:val="004871AE"/>
    <w:rsid w:val="00491F36"/>
    <w:rsid w:val="0049540F"/>
    <w:rsid w:val="004A3F8B"/>
    <w:rsid w:val="004A4C79"/>
    <w:rsid w:val="004A7B67"/>
    <w:rsid w:val="004B2EA4"/>
    <w:rsid w:val="004C5F0D"/>
    <w:rsid w:val="004D4021"/>
    <w:rsid w:val="004D4796"/>
    <w:rsid w:val="004D5FDD"/>
    <w:rsid w:val="004E3BF0"/>
    <w:rsid w:val="004E4490"/>
    <w:rsid w:val="004F0457"/>
    <w:rsid w:val="004F26AD"/>
    <w:rsid w:val="005119DE"/>
    <w:rsid w:val="00520400"/>
    <w:rsid w:val="005320C9"/>
    <w:rsid w:val="005334E8"/>
    <w:rsid w:val="005352D1"/>
    <w:rsid w:val="00543AD1"/>
    <w:rsid w:val="005446BF"/>
    <w:rsid w:val="005503DE"/>
    <w:rsid w:val="0055147E"/>
    <w:rsid w:val="005526EA"/>
    <w:rsid w:val="00552908"/>
    <w:rsid w:val="00557174"/>
    <w:rsid w:val="0056378C"/>
    <w:rsid w:val="00564D17"/>
    <w:rsid w:val="005677A3"/>
    <w:rsid w:val="00581FC0"/>
    <w:rsid w:val="00590333"/>
    <w:rsid w:val="00592832"/>
    <w:rsid w:val="00593049"/>
    <w:rsid w:val="005974E6"/>
    <w:rsid w:val="005B3EDE"/>
    <w:rsid w:val="005B6E67"/>
    <w:rsid w:val="005C5E80"/>
    <w:rsid w:val="005D1BF0"/>
    <w:rsid w:val="005D25B5"/>
    <w:rsid w:val="005D37FA"/>
    <w:rsid w:val="005D7A1E"/>
    <w:rsid w:val="005E0215"/>
    <w:rsid w:val="005E1650"/>
    <w:rsid w:val="005E3736"/>
    <w:rsid w:val="005E4F9D"/>
    <w:rsid w:val="005E68BB"/>
    <w:rsid w:val="005F3B25"/>
    <w:rsid w:val="005F4A95"/>
    <w:rsid w:val="00601FAD"/>
    <w:rsid w:val="00604A87"/>
    <w:rsid w:val="006128DD"/>
    <w:rsid w:val="00617880"/>
    <w:rsid w:val="00621776"/>
    <w:rsid w:val="00621872"/>
    <w:rsid w:val="006329DD"/>
    <w:rsid w:val="0063317F"/>
    <w:rsid w:val="0063578E"/>
    <w:rsid w:val="0063632D"/>
    <w:rsid w:val="00636D9A"/>
    <w:rsid w:val="00637CE2"/>
    <w:rsid w:val="006767F8"/>
    <w:rsid w:val="006838ED"/>
    <w:rsid w:val="00690F27"/>
    <w:rsid w:val="00692C69"/>
    <w:rsid w:val="006A1243"/>
    <w:rsid w:val="006A22B1"/>
    <w:rsid w:val="006A35A7"/>
    <w:rsid w:val="006A3F0D"/>
    <w:rsid w:val="006A4515"/>
    <w:rsid w:val="006B4274"/>
    <w:rsid w:val="006C6AD7"/>
    <w:rsid w:val="006C78AA"/>
    <w:rsid w:val="006D3E41"/>
    <w:rsid w:val="006D44A2"/>
    <w:rsid w:val="006D5659"/>
    <w:rsid w:val="006E181A"/>
    <w:rsid w:val="006E2537"/>
    <w:rsid w:val="006F044A"/>
    <w:rsid w:val="006F04D4"/>
    <w:rsid w:val="006F45B3"/>
    <w:rsid w:val="006F4AB2"/>
    <w:rsid w:val="00701BE7"/>
    <w:rsid w:val="00705979"/>
    <w:rsid w:val="007063BA"/>
    <w:rsid w:val="00710DDE"/>
    <w:rsid w:val="00714FBB"/>
    <w:rsid w:val="00715E00"/>
    <w:rsid w:val="0071788C"/>
    <w:rsid w:val="00721F82"/>
    <w:rsid w:val="00723D96"/>
    <w:rsid w:val="007240DE"/>
    <w:rsid w:val="007275B2"/>
    <w:rsid w:val="00727DEF"/>
    <w:rsid w:val="00730C3C"/>
    <w:rsid w:val="0073280B"/>
    <w:rsid w:val="00733981"/>
    <w:rsid w:val="00736E44"/>
    <w:rsid w:val="00743AD8"/>
    <w:rsid w:val="007454B6"/>
    <w:rsid w:val="00745534"/>
    <w:rsid w:val="00750B5B"/>
    <w:rsid w:val="007520F4"/>
    <w:rsid w:val="0077163A"/>
    <w:rsid w:val="00773F1C"/>
    <w:rsid w:val="00776603"/>
    <w:rsid w:val="00782DEE"/>
    <w:rsid w:val="00785752"/>
    <w:rsid w:val="00792D8D"/>
    <w:rsid w:val="007A59C8"/>
    <w:rsid w:val="007A712E"/>
    <w:rsid w:val="007B1DDD"/>
    <w:rsid w:val="007C013E"/>
    <w:rsid w:val="007C2106"/>
    <w:rsid w:val="007C246B"/>
    <w:rsid w:val="007C685B"/>
    <w:rsid w:val="007F366E"/>
    <w:rsid w:val="007F49C5"/>
    <w:rsid w:val="007F77F2"/>
    <w:rsid w:val="007F7847"/>
    <w:rsid w:val="00803EF7"/>
    <w:rsid w:val="00804B94"/>
    <w:rsid w:val="00807B11"/>
    <w:rsid w:val="008207CD"/>
    <w:rsid w:val="0082760D"/>
    <w:rsid w:val="008352CD"/>
    <w:rsid w:val="008559B1"/>
    <w:rsid w:val="00855FBE"/>
    <w:rsid w:val="008600B6"/>
    <w:rsid w:val="00871F45"/>
    <w:rsid w:val="0087661B"/>
    <w:rsid w:val="00880B2D"/>
    <w:rsid w:val="008838EF"/>
    <w:rsid w:val="00883AB0"/>
    <w:rsid w:val="00893AE3"/>
    <w:rsid w:val="00894108"/>
    <w:rsid w:val="00897F20"/>
    <w:rsid w:val="008A2E23"/>
    <w:rsid w:val="008A319E"/>
    <w:rsid w:val="008B1DFA"/>
    <w:rsid w:val="008B4165"/>
    <w:rsid w:val="008B71DD"/>
    <w:rsid w:val="008C2314"/>
    <w:rsid w:val="008C38C3"/>
    <w:rsid w:val="008C7950"/>
    <w:rsid w:val="008D018E"/>
    <w:rsid w:val="008D3216"/>
    <w:rsid w:val="008D6F0F"/>
    <w:rsid w:val="008E47E2"/>
    <w:rsid w:val="008E7B2E"/>
    <w:rsid w:val="008F2640"/>
    <w:rsid w:val="0090406D"/>
    <w:rsid w:val="009118A8"/>
    <w:rsid w:val="00914FF1"/>
    <w:rsid w:val="00916814"/>
    <w:rsid w:val="00922495"/>
    <w:rsid w:val="00926873"/>
    <w:rsid w:val="00931904"/>
    <w:rsid w:val="00935473"/>
    <w:rsid w:val="00941F52"/>
    <w:rsid w:val="0095271E"/>
    <w:rsid w:val="0095371F"/>
    <w:rsid w:val="00963492"/>
    <w:rsid w:val="009637E0"/>
    <w:rsid w:val="0096494A"/>
    <w:rsid w:val="0097457A"/>
    <w:rsid w:val="00995444"/>
    <w:rsid w:val="009A6178"/>
    <w:rsid w:val="009A7B98"/>
    <w:rsid w:val="009C6C5C"/>
    <w:rsid w:val="009D06C5"/>
    <w:rsid w:val="009D140C"/>
    <w:rsid w:val="009D4E58"/>
    <w:rsid w:val="009D534C"/>
    <w:rsid w:val="009D5C02"/>
    <w:rsid w:val="009D728C"/>
    <w:rsid w:val="009E3679"/>
    <w:rsid w:val="009E5B14"/>
    <w:rsid w:val="009F34C4"/>
    <w:rsid w:val="009F3B3C"/>
    <w:rsid w:val="00A0167A"/>
    <w:rsid w:val="00A14365"/>
    <w:rsid w:val="00A1750C"/>
    <w:rsid w:val="00A200C6"/>
    <w:rsid w:val="00A20C10"/>
    <w:rsid w:val="00A23FEB"/>
    <w:rsid w:val="00A25B10"/>
    <w:rsid w:val="00A3612A"/>
    <w:rsid w:val="00A410BA"/>
    <w:rsid w:val="00A60640"/>
    <w:rsid w:val="00A6665E"/>
    <w:rsid w:val="00A67317"/>
    <w:rsid w:val="00A70E0D"/>
    <w:rsid w:val="00A72D63"/>
    <w:rsid w:val="00A85056"/>
    <w:rsid w:val="00A90A7A"/>
    <w:rsid w:val="00AA0C9C"/>
    <w:rsid w:val="00AA437C"/>
    <w:rsid w:val="00AB1E44"/>
    <w:rsid w:val="00AB78F0"/>
    <w:rsid w:val="00AC14AF"/>
    <w:rsid w:val="00AD73A2"/>
    <w:rsid w:val="00AE12CE"/>
    <w:rsid w:val="00AE7F21"/>
    <w:rsid w:val="00AF029F"/>
    <w:rsid w:val="00AF5198"/>
    <w:rsid w:val="00B01396"/>
    <w:rsid w:val="00B01E66"/>
    <w:rsid w:val="00B020A5"/>
    <w:rsid w:val="00B051B6"/>
    <w:rsid w:val="00B103B7"/>
    <w:rsid w:val="00B208F0"/>
    <w:rsid w:val="00B215DE"/>
    <w:rsid w:val="00B2418B"/>
    <w:rsid w:val="00B25ECC"/>
    <w:rsid w:val="00B26973"/>
    <w:rsid w:val="00B51612"/>
    <w:rsid w:val="00B5668E"/>
    <w:rsid w:val="00B575E2"/>
    <w:rsid w:val="00B7073C"/>
    <w:rsid w:val="00B73CD9"/>
    <w:rsid w:val="00B751F4"/>
    <w:rsid w:val="00B858A1"/>
    <w:rsid w:val="00B877F7"/>
    <w:rsid w:val="00B94BC7"/>
    <w:rsid w:val="00B96BA8"/>
    <w:rsid w:val="00BB0851"/>
    <w:rsid w:val="00BB2C8C"/>
    <w:rsid w:val="00BB65AC"/>
    <w:rsid w:val="00BC390F"/>
    <w:rsid w:val="00BC450B"/>
    <w:rsid w:val="00BC7FB9"/>
    <w:rsid w:val="00BD2909"/>
    <w:rsid w:val="00BD433F"/>
    <w:rsid w:val="00BF2A0B"/>
    <w:rsid w:val="00C016DB"/>
    <w:rsid w:val="00C0208F"/>
    <w:rsid w:val="00C12916"/>
    <w:rsid w:val="00C12DAF"/>
    <w:rsid w:val="00C17A49"/>
    <w:rsid w:val="00C219BC"/>
    <w:rsid w:val="00C50793"/>
    <w:rsid w:val="00C518DE"/>
    <w:rsid w:val="00C621BD"/>
    <w:rsid w:val="00C6594E"/>
    <w:rsid w:val="00C66F75"/>
    <w:rsid w:val="00C74843"/>
    <w:rsid w:val="00C853B1"/>
    <w:rsid w:val="00C91479"/>
    <w:rsid w:val="00C977D5"/>
    <w:rsid w:val="00CA5FC4"/>
    <w:rsid w:val="00CB3AF6"/>
    <w:rsid w:val="00CB3C13"/>
    <w:rsid w:val="00CB7D3E"/>
    <w:rsid w:val="00CC26B4"/>
    <w:rsid w:val="00CC3CAA"/>
    <w:rsid w:val="00CC52B6"/>
    <w:rsid w:val="00CC5394"/>
    <w:rsid w:val="00CD08ED"/>
    <w:rsid w:val="00CD6191"/>
    <w:rsid w:val="00CE3FD1"/>
    <w:rsid w:val="00CE40A0"/>
    <w:rsid w:val="00CE620E"/>
    <w:rsid w:val="00CF1ED5"/>
    <w:rsid w:val="00CF643E"/>
    <w:rsid w:val="00D06C54"/>
    <w:rsid w:val="00D13A82"/>
    <w:rsid w:val="00D13DB7"/>
    <w:rsid w:val="00D1707C"/>
    <w:rsid w:val="00D2424E"/>
    <w:rsid w:val="00D51238"/>
    <w:rsid w:val="00D51617"/>
    <w:rsid w:val="00D52616"/>
    <w:rsid w:val="00D55CC2"/>
    <w:rsid w:val="00D6070E"/>
    <w:rsid w:val="00D62608"/>
    <w:rsid w:val="00D6365E"/>
    <w:rsid w:val="00D70654"/>
    <w:rsid w:val="00D8034C"/>
    <w:rsid w:val="00D91042"/>
    <w:rsid w:val="00D911A2"/>
    <w:rsid w:val="00DA61F9"/>
    <w:rsid w:val="00DB2F49"/>
    <w:rsid w:val="00DB71AC"/>
    <w:rsid w:val="00DC00D1"/>
    <w:rsid w:val="00DC14BD"/>
    <w:rsid w:val="00DC2469"/>
    <w:rsid w:val="00DD02A4"/>
    <w:rsid w:val="00DD1AB0"/>
    <w:rsid w:val="00DD2E75"/>
    <w:rsid w:val="00DD375D"/>
    <w:rsid w:val="00DE1A02"/>
    <w:rsid w:val="00DE6168"/>
    <w:rsid w:val="00E004BC"/>
    <w:rsid w:val="00E02CDD"/>
    <w:rsid w:val="00E056F5"/>
    <w:rsid w:val="00E05C6C"/>
    <w:rsid w:val="00E157E1"/>
    <w:rsid w:val="00E2182C"/>
    <w:rsid w:val="00E25B39"/>
    <w:rsid w:val="00E325CF"/>
    <w:rsid w:val="00E40B0D"/>
    <w:rsid w:val="00E43FB2"/>
    <w:rsid w:val="00E46C5A"/>
    <w:rsid w:val="00E573C4"/>
    <w:rsid w:val="00E60DBE"/>
    <w:rsid w:val="00E61715"/>
    <w:rsid w:val="00E63249"/>
    <w:rsid w:val="00E71420"/>
    <w:rsid w:val="00E75E81"/>
    <w:rsid w:val="00E833E0"/>
    <w:rsid w:val="00E836E9"/>
    <w:rsid w:val="00E9485C"/>
    <w:rsid w:val="00E94DA0"/>
    <w:rsid w:val="00EA2D71"/>
    <w:rsid w:val="00EA5CC3"/>
    <w:rsid w:val="00EB60F3"/>
    <w:rsid w:val="00ED60F0"/>
    <w:rsid w:val="00EE5AA2"/>
    <w:rsid w:val="00EF1192"/>
    <w:rsid w:val="00EF550B"/>
    <w:rsid w:val="00EF6341"/>
    <w:rsid w:val="00EF724D"/>
    <w:rsid w:val="00F022A7"/>
    <w:rsid w:val="00F0444F"/>
    <w:rsid w:val="00F0560A"/>
    <w:rsid w:val="00F061A0"/>
    <w:rsid w:val="00F1357B"/>
    <w:rsid w:val="00F158D7"/>
    <w:rsid w:val="00F16F68"/>
    <w:rsid w:val="00F20EE5"/>
    <w:rsid w:val="00F30770"/>
    <w:rsid w:val="00F40EB5"/>
    <w:rsid w:val="00F42F7E"/>
    <w:rsid w:val="00F44833"/>
    <w:rsid w:val="00F46418"/>
    <w:rsid w:val="00F50F90"/>
    <w:rsid w:val="00F544B0"/>
    <w:rsid w:val="00F569EA"/>
    <w:rsid w:val="00F573C0"/>
    <w:rsid w:val="00F67C87"/>
    <w:rsid w:val="00F744F2"/>
    <w:rsid w:val="00F7615A"/>
    <w:rsid w:val="00F80D08"/>
    <w:rsid w:val="00F84C23"/>
    <w:rsid w:val="00F87831"/>
    <w:rsid w:val="00F964E9"/>
    <w:rsid w:val="00FB4F60"/>
    <w:rsid w:val="00FC6D56"/>
    <w:rsid w:val="00FD3DE0"/>
    <w:rsid w:val="00FD46CA"/>
    <w:rsid w:val="00FD5644"/>
    <w:rsid w:val="00FD5E26"/>
    <w:rsid w:val="00FD7729"/>
    <w:rsid w:val="00FD7BDE"/>
    <w:rsid w:val="00FD7C22"/>
    <w:rsid w:val="00FE1D86"/>
    <w:rsid w:val="00FE5C58"/>
    <w:rsid w:val="00FE74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table" w:styleId="GridTable4-Accent5">
    <w:name w:val="Grid Table 4 Accent 5"/>
    <w:basedOn w:val="TableNormal"/>
    <w:uiPriority w:val="49"/>
    <w:rsid w:val="00023A3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3-Accent21">
    <w:name w:val="Grid Table 3 - Accent 21"/>
    <w:basedOn w:val="TableNormal"/>
    <w:next w:val="GridTable3-Accent2"/>
    <w:uiPriority w:val="48"/>
    <w:rsid w:val="006D5659"/>
    <w:pPr>
      <w:autoSpaceDN w:val="0"/>
      <w:spacing w:after="0" w:line="240" w:lineRule="auto"/>
    </w:pPr>
    <w:rPr>
      <w:rFonts w:ascii="Aptos" w:eastAsia="Aptos" w:hAnsi="Aptos" w:cs="Times New Roman"/>
      <w:kern w:val="3"/>
      <w:sz w:val="24"/>
      <w:szCs w:val="24"/>
      <w:lang w:eastAsia="en-US"/>
      <w14:ligatures w14:val="none"/>
    </w:rPr>
    <w:tblPr>
      <w:tblStyleRowBandSize w:val="1"/>
      <w:tblStyleColBandSize w:val="1"/>
      <w:tblBorders>
        <w:top w:val="single" w:sz="4" w:space="0" w:color="F1A983"/>
        <w:left w:val="single" w:sz="4" w:space="0" w:color="F1A983"/>
        <w:bottom w:val="single" w:sz="4" w:space="0" w:color="F1A983"/>
        <w:right w:val="single" w:sz="4" w:space="0" w:color="F1A983"/>
        <w:insideH w:val="single" w:sz="4" w:space="0" w:color="F1A983"/>
        <w:insideV w:val="single" w:sz="4" w:space="0" w:color="F1A983"/>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FAE2D5"/>
      </w:tcPr>
    </w:tblStylePr>
    <w:tblStylePr w:type="band1Horz">
      <w:tblPr/>
      <w:tcPr>
        <w:shd w:val="clear" w:color="auto" w:fill="FAE2D5"/>
      </w:tcPr>
    </w:tblStylePr>
    <w:tblStylePr w:type="neCell">
      <w:tblPr/>
      <w:tcPr>
        <w:tcBorders>
          <w:bottom w:val="single" w:sz="4" w:space="0" w:color="F1A983"/>
        </w:tcBorders>
      </w:tcPr>
    </w:tblStylePr>
    <w:tblStylePr w:type="nwCell">
      <w:tblPr/>
      <w:tcPr>
        <w:tcBorders>
          <w:bottom w:val="single" w:sz="4" w:space="0" w:color="F1A983"/>
        </w:tcBorders>
      </w:tcPr>
    </w:tblStylePr>
    <w:tblStylePr w:type="seCell">
      <w:tblPr/>
      <w:tcPr>
        <w:tcBorders>
          <w:top w:val="single" w:sz="4" w:space="0" w:color="F1A983"/>
        </w:tcBorders>
      </w:tcPr>
    </w:tblStylePr>
    <w:tblStylePr w:type="swCell">
      <w:tblPr/>
      <w:tcPr>
        <w:tcBorders>
          <w:top w:val="single" w:sz="4" w:space="0" w:color="F1A983"/>
        </w:tcBorders>
      </w:tcPr>
    </w:tblStylePr>
  </w:style>
  <w:style w:type="table" w:styleId="GridTable3-Accent2">
    <w:name w:val="Grid Table 3 Accent 2"/>
    <w:basedOn w:val="TableNormal"/>
    <w:uiPriority w:val="48"/>
    <w:rsid w:val="006D565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4-Accent1">
    <w:name w:val="Grid Table 4 Accent 1"/>
    <w:basedOn w:val="TableNormal"/>
    <w:uiPriority w:val="49"/>
    <w:rsid w:val="00FB4F6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4413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london/about-us/media-centre/facts-and-figures/" TargetMode="External"/><Relationship Id="rId18" Type="http://schemas.openxmlformats.org/officeDocument/2006/relationships/hyperlink" Target="https://www.local.gov.uk/lga-business-plan-2020-update/adult-social-care-health-wellbeing" TargetMode="External"/><Relationship Id="rId26" Type="http://schemas.openxmlformats.org/officeDocument/2006/relationships/hyperlink" Target="https://www.ons.gov.uk/peoplepopulationandcommunity/wellbeing/bulletins/publicopinionsandsocialtrendsgreatbritain/13december2023to1january2024" TargetMode="External"/><Relationship Id="rId3" Type="http://schemas.openxmlformats.org/officeDocument/2006/relationships/styles" Target="styles.xml"/><Relationship Id="rId21" Type="http://schemas.openxmlformats.org/officeDocument/2006/relationships/hyperlink" Target="https://www.england.nhs.uk/personalisedcare/social-prescribing/green-social-prescribing/"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geuk.org.uk/our-impact/policy-research/loneliness-research-and-resources/" TargetMode="External"/><Relationship Id="rId17" Type="http://schemas.openxmlformats.org/officeDocument/2006/relationships/hyperlink" Target="https://www.independentage.org/" TargetMode="External"/><Relationship Id="rId25" Type="http://schemas.openxmlformats.org/officeDocument/2006/relationships/hyperlink" Target="https://www.ons.gov.uk/peoplepopulationandcommunity/populationandmigration/populationprojections/bulletins/nationalpopulationprojections/2020basedinterim" TargetMode="External"/><Relationship Id="rId33"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hyperlink" Target="https://www.gov.uk/government/publications/a-connected-society-a-strategy-for-tackling-loneliness" TargetMode="External"/><Relationship Id="rId20" Type="http://schemas.openxmlformats.org/officeDocument/2006/relationships/hyperlink" Target="https://www.gov.uk/government/publications/social-prescribing-applying-all-our-health/social-prescribing-applying-all-our-health" TargetMode="External"/><Relationship Id="rId29" Type="http://schemas.openxmlformats.org/officeDocument/2006/relationships/hyperlink" Target="https://www.ons.gov.uk/peoplepopulationandcommunity/birthsdeathsandmarriages/families/bulletins/familiesandhouseholds/2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hythelymingeashford/about-us/news/bridging-the-digital-divide--supporting-offline-and-overlooked-older-adults/" TargetMode="External"/><Relationship Id="rId24" Type="http://schemas.openxmlformats.org/officeDocument/2006/relationships/hyperlink" Target="https://www.nice.org.uk/guidance/ng32" TargetMode="External"/><Relationship Id="rId32" Type="http://schemas.openxmlformats.org/officeDocument/2006/relationships/hyperlink" Target="https://www.who.int/news-room/fact-sheets/detail/mental-health-of-older-adults" TargetMode="External"/><Relationship Id="rId5" Type="http://schemas.openxmlformats.org/officeDocument/2006/relationships/webSettings" Target="webSettings.xml"/><Relationship Id="rId15" Type="http://schemas.openxmlformats.org/officeDocument/2006/relationships/hyperlink" Target="https://www.ageuk.org.uk/discover/2024/september/state-of-health-and-care-of-older-people-in-england-2024/" TargetMode="External"/><Relationship Id="rId23" Type="http://schemas.openxmlformats.org/officeDocument/2006/relationships/hyperlink" Target="https://library.nhs.uk/" TargetMode="External"/><Relationship Id="rId28" Type="http://schemas.openxmlformats.org/officeDocument/2006/relationships/hyperlink" Target="https://www.ons.gov.uk/peoplepopulationandcommunity/wellbeing/bulletins/publicopinionsandsocialtrendsgreatbritain/january2026" TargetMode="External"/><Relationship Id="rId36" Type="http://schemas.openxmlformats.org/officeDocument/2006/relationships/theme" Target="theme/theme1.xml"/><Relationship Id="rId10" Type="http://schemas.openxmlformats.org/officeDocument/2006/relationships/hyperlink" Target="https://www.ageuk.org.uk/london/projects-campaigns/age-friendly-london/social-community-participation/" TargetMode="External"/><Relationship Id="rId19" Type="http://schemas.openxmlformats.org/officeDocument/2006/relationships/hyperlink" Target="https://www.england.nhs.uk/ourwork/clinical-policy/older-people/healthy-ageing-caring/" TargetMode="External"/><Relationship Id="rId31" Type="http://schemas.openxmlformats.org/officeDocument/2006/relationships/hyperlink" Target="https://www.gov.uk/government/organisations/office-for-health-improvement-and-disparities" TargetMode="External"/><Relationship Id="rId4" Type="http://schemas.openxmlformats.org/officeDocument/2006/relationships/settings" Target="settings.xml"/><Relationship Id="rId9" Type="http://schemas.openxmlformats.org/officeDocument/2006/relationships/hyperlink" Target="https://www.ageuk.org.uk/services/befriending-services/" TargetMode="External"/><Relationship Id="rId14" Type="http://schemas.openxmlformats.org/officeDocument/2006/relationships/hyperlink" Target="https://www.ageuk.org.uk/london/projects-campaigns/age-friendly-london/social-community-participation/" TargetMode="External"/><Relationship Id="rId22" Type="http://schemas.openxmlformats.org/officeDocument/2006/relationships/hyperlink" Target="https://www.england.nhs.uk/publication/social-prescribing-and-community-based-support-summary-guide/" TargetMode="External"/><Relationship Id="rId27" Type="http://schemas.openxmlformats.org/officeDocument/2006/relationships/hyperlink" Target="https://www.ons.gov.uk/peoplepopulationandcommunity/wellbeing/articles/lonelinesswhatcharacteristicsandcircumstancesareassociatedwithfeelinglonely/2018-04-10" TargetMode="External"/><Relationship Id="rId30" Type="http://schemas.openxmlformats.org/officeDocument/2006/relationships/hyperlink" Target="https://www.ons.gov.uk/peoplepopulationandcommunity/populationandmigration/populationestimates"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62</Pages>
  <Words>17728</Words>
  <Characters>101050</Characters>
  <Application>Microsoft Office Word</Application>
  <DocSecurity>0</DocSecurity>
  <Lines>842</Lines>
  <Paragraphs>237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Harwinder Kaur</cp:lastModifiedBy>
  <cp:revision>2</cp:revision>
  <dcterms:created xsi:type="dcterms:W3CDTF">2026-04-07T22:03:00Z</dcterms:created>
  <dcterms:modified xsi:type="dcterms:W3CDTF">2026-04-07T22:03:00Z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188bd5db-1e7e-43c5-ac07-df400cd9e8ec</vt:lpwstr>
  </property>
</Properties>
</file>