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87A86" w14:textId="1BFE210A" w:rsidR="005315D4" w:rsidRPr="00663CC3" w:rsidRDefault="000B4075" w:rsidP="000B4075">
      <w:pPr>
        <w:spacing w:after="200"/>
        <w:jc w:val="center"/>
      </w:pPr>
      <w:r w:rsidRPr="00663CC3">
        <w:rPr>
          <w:noProof/>
          <w:lang w:val="en-IN" w:eastAsia="en-IN"/>
        </w:rPr>
        <w:drawing>
          <wp:inline distT="0" distB="0" distL="0" distR="0" wp14:anchorId="7F464AA1" wp14:editId="46AA0610">
            <wp:extent cx="2667000" cy="1143000"/>
            <wp:effectExtent l="0" t="0" r="0" b="0"/>
            <wp:docPr id="1" name="UWTSD Logo" descr="University of Wales Trinity Saint David logo" title="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667000" cy="1143000"/>
                    </a:xfrm>
                    <a:prstGeom prst="rect">
                      <a:avLst/>
                    </a:prstGeom>
                  </pic:spPr>
                </pic:pic>
              </a:graphicData>
            </a:graphic>
          </wp:inline>
        </w:drawing>
      </w:r>
    </w:p>
    <w:p w14:paraId="11F11F8E" w14:textId="77777777" w:rsidR="005315D4" w:rsidRPr="00663CC3" w:rsidRDefault="00C8732F">
      <w:pPr>
        <w:spacing w:after="100"/>
        <w:jc w:val="center"/>
      </w:pPr>
      <w:r w:rsidRPr="00663CC3">
        <w:rPr>
          <w:b/>
          <w:bCs/>
          <w:sz w:val="28"/>
          <w:szCs w:val="28"/>
        </w:rPr>
        <w:t>UNIVERSITY OF WALES TRINITY SAINT DAVID</w:t>
      </w:r>
    </w:p>
    <w:p w14:paraId="6A5438E4" w14:textId="77777777" w:rsidR="005315D4" w:rsidRPr="00663CC3" w:rsidRDefault="00C8732F">
      <w:pPr>
        <w:spacing w:after="400"/>
        <w:jc w:val="center"/>
      </w:pPr>
      <w:r w:rsidRPr="00663CC3">
        <w:t>London Campus</w:t>
      </w:r>
    </w:p>
    <w:p w14:paraId="3C176669" w14:textId="77777777" w:rsidR="005315D4" w:rsidRPr="00663CC3" w:rsidRDefault="00C8732F">
      <w:pPr>
        <w:pBdr>
          <w:bottom w:val="single" w:sz="12" w:space="1" w:color="1F4E79"/>
        </w:pBdr>
        <w:spacing w:after="200"/>
        <w:jc w:val="center"/>
      </w:pPr>
      <w:r w:rsidRPr="00663CC3">
        <w:rPr>
          <w:b/>
          <w:bCs/>
          <w:sz w:val="26"/>
          <w:szCs w:val="26"/>
        </w:rPr>
        <w:t>Master of Business Administration</w:t>
      </w:r>
    </w:p>
    <w:p w14:paraId="68C08CFA" w14:textId="77777777" w:rsidR="005315D4" w:rsidRPr="00663CC3" w:rsidRDefault="005315D4">
      <w:pPr>
        <w:spacing w:after="300"/>
      </w:pPr>
    </w:p>
    <w:p w14:paraId="3DED53EC" w14:textId="77777777" w:rsidR="005315D4" w:rsidRPr="00663CC3" w:rsidRDefault="00C8732F">
      <w:pPr>
        <w:spacing w:after="100"/>
        <w:jc w:val="center"/>
      </w:pPr>
      <w:r w:rsidRPr="00663CC3">
        <w:t>Module: Strategic Management (LCMB7003)</w:t>
      </w:r>
    </w:p>
    <w:p w14:paraId="54B95D4C" w14:textId="77777777" w:rsidR="005315D4" w:rsidRPr="00663CC3" w:rsidRDefault="00C8732F">
      <w:pPr>
        <w:spacing w:after="100"/>
        <w:jc w:val="center"/>
      </w:pPr>
      <w:r w:rsidRPr="00663CC3">
        <w:t>Assessment Component: Individual Report (100%)</w:t>
      </w:r>
    </w:p>
    <w:p w14:paraId="52324D26" w14:textId="4BDDBBD5" w:rsidR="005315D4" w:rsidRPr="00663CC3" w:rsidRDefault="000B4075">
      <w:pPr>
        <w:spacing w:after="200"/>
        <w:jc w:val="center"/>
      </w:pPr>
      <w:r w:rsidRPr="00663CC3">
        <w:br/>
      </w:r>
      <w:r w:rsidR="00C8732F" w:rsidRPr="00663CC3">
        <w:rPr>
          <w:b/>
          <w:bCs/>
          <w:sz w:val="32"/>
          <w:szCs w:val="32"/>
        </w:rPr>
        <w:t>STRATEGIC ANALYSIS OF BYD'S ELECTRIC VEHICLE</w:t>
      </w:r>
    </w:p>
    <w:p w14:paraId="6EC69906" w14:textId="77777777" w:rsidR="005315D4" w:rsidRPr="00663CC3" w:rsidRDefault="00C8732F">
      <w:pPr>
        <w:spacing w:after="200"/>
        <w:jc w:val="center"/>
      </w:pPr>
      <w:r w:rsidRPr="00663CC3">
        <w:rPr>
          <w:b/>
          <w:bCs/>
          <w:sz w:val="32"/>
          <w:szCs w:val="32"/>
        </w:rPr>
        <w:t>BUSINESS IN THE UNITED KINGDOM:</w:t>
      </w:r>
    </w:p>
    <w:p w14:paraId="53E95C70" w14:textId="77777777" w:rsidR="005315D4" w:rsidRPr="00663CC3" w:rsidRDefault="00C8732F">
      <w:pPr>
        <w:spacing w:after="400"/>
        <w:jc w:val="center"/>
      </w:pPr>
      <w:r w:rsidRPr="00663CC3">
        <w:rPr>
          <w:b/>
          <w:bCs/>
          <w:sz w:val="28"/>
          <w:szCs w:val="28"/>
        </w:rPr>
        <w:t>Evaluating Competitive Advantage and Growth Strategies</w:t>
      </w:r>
    </w:p>
    <w:p w14:paraId="3A8C05D6" w14:textId="6A1F2A1B" w:rsidR="005315D4" w:rsidRPr="00663CC3" w:rsidRDefault="00C8732F">
      <w:pPr>
        <w:spacing w:after="100"/>
        <w:jc w:val="center"/>
      </w:pPr>
      <w:r w:rsidRPr="00663CC3">
        <w:t xml:space="preserve">Student Name:  </w:t>
      </w:r>
      <w:r w:rsidR="000B4075" w:rsidRPr="00663CC3">
        <w:t>Jeel Anghan</w:t>
      </w:r>
      <w:r w:rsidR="000B4075" w:rsidRPr="00663CC3">
        <w:br/>
        <w:t>PROFS NAME : Ejike Udeogu (Birmingham)</w:t>
      </w:r>
    </w:p>
    <w:p w14:paraId="28C8B1B8" w14:textId="29B9AD5C" w:rsidR="005315D4" w:rsidRPr="00663CC3" w:rsidRDefault="00C8732F">
      <w:pPr>
        <w:spacing w:after="100"/>
        <w:jc w:val="center"/>
      </w:pPr>
      <w:r w:rsidRPr="00663CC3">
        <w:t xml:space="preserve">Student ID:  </w:t>
      </w:r>
      <w:r w:rsidR="000B4075" w:rsidRPr="00663CC3">
        <w:t>2522449</w:t>
      </w:r>
    </w:p>
    <w:p w14:paraId="3656A48E" w14:textId="7B04337B" w:rsidR="005315D4" w:rsidRPr="00663CC3" w:rsidRDefault="00C8732F">
      <w:pPr>
        <w:spacing w:after="100"/>
        <w:jc w:val="center"/>
      </w:pPr>
      <w:r w:rsidRPr="00663CC3">
        <w:rPr>
          <w:sz w:val="22"/>
          <w:szCs w:val="22"/>
        </w:rPr>
        <w:t xml:space="preserve">Word Count: 4,987 </w:t>
      </w:r>
    </w:p>
    <w:p w14:paraId="34F3A4B8" w14:textId="77777777" w:rsidR="005315D4" w:rsidRPr="00663CC3" w:rsidRDefault="00C8732F">
      <w:pPr>
        <w:spacing w:after="100"/>
        <w:jc w:val="center"/>
      </w:pPr>
      <w:r w:rsidRPr="00663CC3">
        <w:t>Submission Date: 17 July 2026</w:t>
      </w:r>
    </w:p>
    <w:p w14:paraId="0202E51D" w14:textId="77777777" w:rsidR="005315D4" w:rsidRPr="00663CC3" w:rsidRDefault="00C8732F">
      <w:pPr>
        <w:spacing w:after="200"/>
        <w:jc w:val="center"/>
      </w:pPr>
      <w:r w:rsidRPr="00663CC3">
        <w:rPr>
          <w:sz w:val="22"/>
          <w:szCs w:val="22"/>
        </w:rPr>
        <w:t>Referencing Style: UWTSD Harvard (Cite Them Right)</w:t>
      </w:r>
    </w:p>
    <w:p w14:paraId="441C3AD7" w14:textId="77777777" w:rsidR="005315D4" w:rsidRPr="00663CC3" w:rsidRDefault="00C8732F">
      <w:r w:rsidRPr="00663CC3">
        <w:br w:type="page"/>
      </w:r>
    </w:p>
    <w:p w14:paraId="0A0A1185" w14:textId="77777777" w:rsidR="005315D4" w:rsidRPr="00663CC3" w:rsidRDefault="00C8732F">
      <w:pPr>
        <w:pStyle w:val="Heading1"/>
        <w:rPr>
          <w:color w:val="auto"/>
        </w:rPr>
      </w:pPr>
      <w:bookmarkStart w:id="0" w:name="_Toc235189517"/>
      <w:r w:rsidRPr="00663CC3">
        <w:rPr>
          <w:color w:val="auto"/>
        </w:rPr>
        <w:lastRenderedPageBreak/>
        <w:t>Table of Contents</w:t>
      </w:r>
      <w:bookmarkEnd w:id="0"/>
    </w:p>
    <w:sdt>
      <w:sdtPr>
        <w:alias w:val="Table of Contents"/>
        <w:id w:val="342210632"/>
      </w:sdtPr>
      <w:sdtEndPr/>
      <w:sdtContent>
        <w:p w14:paraId="3F4EC367" w14:textId="77777777" w:rsidR="00EF6E5A" w:rsidRPr="00663CC3" w:rsidRDefault="00C8732F">
          <w:pPr>
            <w:pStyle w:val="TOC1"/>
            <w:tabs>
              <w:tab w:val="right" w:leader="dot" w:pos="9016"/>
            </w:tabs>
            <w:rPr>
              <w:noProof/>
            </w:rPr>
          </w:pPr>
          <w:r w:rsidRPr="00663CC3">
            <w:fldChar w:fldCharType="begin"/>
          </w:r>
          <w:r w:rsidRPr="00663CC3">
            <w:instrText>TOC \h \o "1-3"</w:instrText>
          </w:r>
          <w:r w:rsidRPr="00663CC3">
            <w:fldChar w:fldCharType="separate"/>
          </w:r>
          <w:hyperlink w:anchor="_Toc235189517" w:history="1">
            <w:r w:rsidR="00EF6E5A" w:rsidRPr="00663CC3">
              <w:rPr>
                <w:rStyle w:val="Hyperlink"/>
                <w:noProof/>
                <w:color w:val="auto"/>
              </w:rPr>
              <w:t>Table of Contents</w:t>
            </w:r>
            <w:r w:rsidR="00EF6E5A" w:rsidRPr="00663CC3">
              <w:rPr>
                <w:noProof/>
              </w:rPr>
              <w:tab/>
            </w:r>
            <w:r w:rsidR="00EF6E5A" w:rsidRPr="00663CC3">
              <w:rPr>
                <w:noProof/>
              </w:rPr>
              <w:fldChar w:fldCharType="begin"/>
            </w:r>
            <w:r w:rsidR="00EF6E5A" w:rsidRPr="00663CC3">
              <w:rPr>
                <w:noProof/>
              </w:rPr>
              <w:instrText xml:space="preserve"> PAGEREF _Toc235189517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4BAB2713" w14:textId="77777777" w:rsidR="00EF6E5A" w:rsidRPr="00663CC3" w:rsidRDefault="00917BB3">
          <w:pPr>
            <w:pStyle w:val="TOC1"/>
            <w:tabs>
              <w:tab w:val="right" w:leader="dot" w:pos="9016"/>
            </w:tabs>
            <w:rPr>
              <w:noProof/>
            </w:rPr>
          </w:pPr>
          <w:hyperlink w:anchor="_Toc235189518" w:history="1">
            <w:r w:rsidR="00EF6E5A" w:rsidRPr="00663CC3">
              <w:rPr>
                <w:rStyle w:val="Hyperlink"/>
                <w:noProof/>
                <w:color w:val="auto"/>
              </w:rPr>
              <w:t>1. Organisational Context and Overview</w:t>
            </w:r>
            <w:r w:rsidR="00EF6E5A" w:rsidRPr="00663CC3">
              <w:rPr>
                <w:noProof/>
              </w:rPr>
              <w:tab/>
            </w:r>
            <w:r w:rsidR="00EF6E5A" w:rsidRPr="00663CC3">
              <w:rPr>
                <w:noProof/>
              </w:rPr>
              <w:fldChar w:fldCharType="begin"/>
            </w:r>
            <w:r w:rsidR="00EF6E5A" w:rsidRPr="00663CC3">
              <w:rPr>
                <w:noProof/>
              </w:rPr>
              <w:instrText xml:space="preserve"> PAGEREF _Toc235189518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0006E9E2" w14:textId="77777777" w:rsidR="00EF6E5A" w:rsidRPr="00663CC3" w:rsidRDefault="00917BB3">
          <w:pPr>
            <w:pStyle w:val="TOC2"/>
            <w:tabs>
              <w:tab w:val="right" w:leader="dot" w:pos="9016"/>
            </w:tabs>
            <w:rPr>
              <w:noProof/>
            </w:rPr>
          </w:pPr>
          <w:hyperlink w:anchor="_Toc235189519" w:history="1">
            <w:r w:rsidR="00EF6E5A" w:rsidRPr="00663CC3">
              <w:rPr>
                <w:rStyle w:val="Hyperlink"/>
                <w:noProof/>
                <w:color w:val="auto"/>
              </w:rPr>
              <w:t>1.1 Historical Perspective, Mission, Vision and Business Model</w:t>
            </w:r>
            <w:r w:rsidR="00EF6E5A" w:rsidRPr="00663CC3">
              <w:rPr>
                <w:noProof/>
              </w:rPr>
              <w:tab/>
            </w:r>
            <w:r w:rsidR="00EF6E5A" w:rsidRPr="00663CC3">
              <w:rPr>
                <w:noProof/>
              </w:rPr>
              <w:fldChar w:fldCharType="begin"/>
            </w:r>
            <w:r w:rsidR="00EF6E5A" w:rsidRPr="00663CC3">
              <w:rPr>
                <w:noProof/>
              </w:rPr>
              <w:instrText xml:space="preserve"> PAGEREF _Toc235189519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24473EBF" w14:textId="77777777" w:rsidR="00EF6E5A" w:rsidRPr="00663CC3" w:rsidRDefault="00917BB3">
          <w:pPr>
            <w:pStyle w:val="TOC2"/>
            <w:tabs>
              <w:tab w:val="right" w:leader="dot" w:pos="9016"/>
            </w:tabs>
            <w:rPr>
              <w:noProof/>
            </w:rPr>
          </w:pPr>
          <w:hyperlink w:anchor="_Toc235189520" w:history="1">
            <w:r w:rsidR="00EF6E5A" w:rsidRPr="00663CC3">
              <w:rPr>
                <w:rStyle w:val="Hyperlink"/>
                <w:noProof/>
                <w:color w:val="auto"/>
              </w:rPr>
              <w:t>1.2 Industry Context, Key Competitors and Market Position</w:t>
            </w:r>
            <w:r w:rsidR="00EF6E5A" w:rsidRPr="00663CC3">
              <w:rPr>
                <w:noProof/>
              </w:rPr>
              <w:tab/>
            </w:r>
            <w:r w:rsidR="00EF6E5A" w:rsidRPr="00663CC3">
              <w:rPr>
                <w:noProof/>
              </w:rPr>
              <w:fldChar w:fldCharType="begin"/>
            </w:r>
            <w:r w:rsidR="00EF6E5A" w:rsidRPr="00663CC3">
              <w:rPr>
                <w:noProof/>
              </w:rPr>
              <w:instrText xml:space="preserve"> PAGEREF _Toc235189520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5C3EEF57" w14:textId="77777777" w:rsidR="00EF6E5A" w:rsidRPr="00663CC3" w:rsidRDefault="00917BB3">
          <w:pPr>
            <w:pStyle w:val="TOC1"/>
            <w:tabs>
              <w:tab w:val="right" w:leader="dot" w:pos="9016"/>
            </w:tabs>
            <w:rPr>
              <w:noProof/>
            </w:rPr>
          </w:pPr>
          <w:hyperlink w:anchor="_Toc235189521" w:history="1">
            <w:r w:rsidR="00EF6E5A" w:rsidRPr="00663CC3">
              <w:rPr>
                <w:rStyle w:val="Hyperlink"/>
                <w:noProof/>
                <w:color w:val="auto"/>
              </w:rPr>
              <w:t>2. External and Internal Analysis</w:t>
            </w:r>
            <w:r w:rsidR="00EF6E5A" w:rsidRPr="00663CC3">
              <w:rPr>
                <w:noProof/>
              </w:rPr>
              <w:tab/>
            </w:r>
            <w:r w:rsidR="00EF6E5A" w:rsidRPr="00663CC3">
              <w:rPr>
                <w:noProof/>
              </w:rPr>
              <w:fldChar w:fldCharType="begin"/>
            </w:r>
            <w:r w:rsidR="00EF6E5A" w:rsidRPr="00663CC3">
              <w:rPr>
                <w:noProof/>
              </w:rPr>
              <w:instrText xml:space="preserve"> PAGEREF _Toc235189521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7570CECB" w14:textId="77777777" w:rsidR="00EF6E5A" w:rsidRPr="00663CC3" w:rsidRDefault="00917BB3">
          <w:pPr>
            <w:pStyle w:val="TOC2"/>
            <w:tabs>
              <w:tab w:val="right" w:leader="dot" w:pos="9016"/>
            </w:tabs>
            <w:rPr>
              <w:noProof/>
            </w:rPr>
          </w:pPr>
          <w:hyperlink w:anchor="_Toc235189522" w:history="1">
            <w:r w:rsidR="00EF6E5A" w:rsidRPr="00663CC3">
              <w:rPr>
                <w:rStyle w:val="Hyperlink"/>
                <w:noProof/>
                <w:color w:val="auto"/>
              </w:rPr>
              <w:t>2.1 External Analysis – PESTEL Framework</w:t>
            </w:r>
            <w:r w:rsidR="00EF6E5A" w:rsidRPr="00663CC3">
              <w:rPr>
                <w:noProof/>
              </w:rPr>
              <w:tab/>
            </w:r>
            <w:r w:rsidR="00EF6E5A" w:rsidRPr="00663CC3">
              <w:rPr>
                <w:noProof/>
              </w:rPr>
              <w:fldChar w:fldCharType="begin"/>
            </w:r>
            <w:r w:rsidR="00EF6E5A" w:rsidRPr="00663CC3">
              <w:rPr>
                <w:noProof/>
              </w:rPr>
              <w:instrText xml:space="preserve"> PAGEREF _Toc235189522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03BA3B0F" w14:textId="77777777" w:rsidR="00EF6E5A" w:rsidRPr="00663CC3" w:rsidRDefault="00917BB3">
          <w:pPr>
            <w:pStyle w:val="TOC3"/>
            <w:tabs>
              <w:tab w:val="right" w:leader="dot" w:pos="9016"/>
            </w:tabs>
            <w:rPr>
              <w:noProof/>
            </w:rPr>
          </w:pPr>
          <w:hyperlink w:anchor="_Toc235189523" w:history="1">
            <w:r w:rsidR="00EF6E5A" w:rsidRPr="00663CC3">
              <w:rPr>
                <w:rStyle w:val="Hyperlink"/>
                <w:noProof/>
                <w:color w:val="auto"/>
              </w:rPr>
              <w:t>Political Factors</w:t>
            </w:r>
            <w:r w:rsidR="00EF6E5A" w:rsidRPr="00663CC3">
              <w:rPr>
                <w:noProof/>
              </w:rPr>
              <w:tab/>
            </w:r>
            <w:r w:rsidR="00EF6E5A" w:rsidRPr="00663CC3">
              <w:rPr>
                <w:noProof/>
              </w:rPr>
              <w:fldChar w:fldCharType="begin"/>
            </w:r>
            <w:r w:rsidR="00EF6E5A" w:rsidRPr="00663CC3">
              <w:rPr>
                <w:noProof/>
              </w:rPr>
              <w:instrText xml:space="preserve"> PAGEREF _Toc235189523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1A7864ED" w14:textId="77777777" w:rsidR="00EF6E5A" w:rsidRPr="00663CC3" w:rsidRDefault="00917BB3">
          <w:pPr>
            <w:pStyle w:val="TOC3"/>
            <w:tabs>
              <w:tab w:val="right" w:leader="dot" w:pos="9016"/>
            </w:tabs>
            <w:rPr>
              <w:noProof/>
            </w:rPr>
          </w:pPr>
          <w:hyperlink w:anchor="_Toc235189524" w:history="1">
            <w:r w:rsidR="00EF6E5A" w:rsidRPr="00663CC3">
              <w:rPr>
                <w:rStyle w:val="Hyperlink"/>
                <w:noProof/>
                <w:color w:val="auto"/>
              </w:rPr>
              <w:t>Economic Factors</w:t>
            </w:r>
            <w:r w:rsidR="00EF6E5A" w:rsidRPr="00663CC3">
              <w:rPr>
                <w:noProof/>
              </w:rPr>
              <w:tab/>
            </w:r>
            <w:r w:rsidR="00EF6E5A" w:rsidRPr="00663CC3">
              <w:rPr>
                <w:noProof/>
              </w:rPr>
              <w:fldChar w:fldCharType="begin"/>
            </w:r>
            <w:r w:rsidR="00EF6E5A" w:rsidRPr="00663CC3">
              <w:rPr>
                <w:noProof/>
              </w:rPr>
              <w:instrText xml:space="preserve"> PAGEREF _Toc235189524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17C48D99" w14:textId="77777777" w:rsidR="00EF6E5A" w:rsidRPr="00663CC3" w:rsidRDefault="00917BB3">
          <w:pPr>
            <w:pStyle w:val="TOC3"/>
            <w:tabs>
              <w:tab w:val="right" w:leader="dot" w:pos="9016"/>
            </w:tabs>
            <w:rPr>
              <w:noProof/>
            </w:rPr>
          </w:pPr>
          <w:hyperlink w:anchor="_Toc235189525" w:history="1">
            <w:r w:rsidR="00EF6E5A" w:rsidRPr="00663CC3">
              <w:rPr>
                <w:rStyle w:val="Hyperlink"/>
                <w:noProof/>
                <w:color w:val="auto"/>
              </w:rPr>
              <w:t>Social Factors</w:t>
            </w:r>
            <w:r w:rsidR="00EF6E5A" w:rsidRPr="00663CC3">
              <w:rPr>
                <w:noProof/>
              </w:rPr>
              <w:tab/>
            </w:r>
            <w:r w:rsidR="00EF6E5A" w:rsidRPr="00663CC3">
              <w:rPr>
                <w:noProof/>
              </w:rPr>
              <w:fldChar w:fldCharType="begin"/>
            </w:r>
            <w:r w:rsidR="00EF6E5A" w:rsidRPr="00663CC3">
              <w:rPr>
                <w:noProof/>
              </w:rPr>
              <w:instrText xml:space="preserve"> PAGEREF _Toc235189525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6A78F495" w14:textId="77777777" w:rsidR="00EF6E5A" w:rsidRPr="00663CC3" w:rsidRDefault="00917BB3">
          <w:pPr>
            <w:pStyle w:val="TOC3"/>
            <w:tabs>
              <w:tab w:val="right" w:leader="dot" w:pos="9016"/>
            </w:tabs>
            <w:rPr>
              <w:noProof/>
            </w:rPr>
          </w:pPr>
          <w:hyperlink w:anchor="_Toc235189526" w:history="1">
            <w:r w:rsidR="00EF6E5A" w:rsidRPr="00663CC3">
              <w:rPr>
                <w:rStyle w:val="Hyperlink"/>
                <w:noProof/>
                <w:color w:val="auto"/>
              </w:rPr>
              <w:t>Technological Factors</w:t>
            </w:r>
            <w:r w:rsidR="00EF6E5A" w:rsidRPr="00663CC3">
              <w:rPr>
                <w:noProof/>
              </w:rPr>
              <w:tab/>
            </w:r>
            <w:r w:rsidR="00EF6E5A" w:rsidRPr="00663CC3">
              <w:rPr>
                <w:noProof/>
              </w:rPr>
              <w:fldChar w:fldCharType="begin"/>
            </w:r>
            <w:r w:rsidR="00EF6E5A" w:rsidRPr="00663CC3">
              <w:rPr>
                <w:noProof/>
              </w:rPr>
              <w:instrText xml:space="preserve"> PAGEREF _Toc235189526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3D4BD557" w14:textId="77777777" w:rsidR="00EF6E5A" w:rsidRPr="00663CC3" w:rsidRDefault="00917BB3">
          <w:pPr>
            <w:pStyle w:val="TOC3"/>
            <w:tabs>
              <w:tab w:val="right" w:leader="dot" w:pos="9016"/>
            </w:tabs>
            <w:rPr>
              <w:noProof/>
            </w:rPr>
          </w:pPr>
          <w:hyperlink w:anchor="_Toc235189527" w:history="1">
            <w:r w:rsidR="00EF6E5A" w:rsidRPr="00663CC3">
              <w:rPr>
                <w:rStyle w:val="Hyperlink"/>
                <w:noProof/>
                <w:color w:val="auto"/>
              </w:rPr>
              <w:t>Environmental Factors</w:t>
            </w:r>
            <w:r w:rsidR="00EF6E5A" w:rsidRPr="00663CC3">
              <w:rPr>
                <w:noProof/>
              </w:rPr>
              <w:tab/>
            </w:r>
            <w:r w:rsidR="00EF6E5A" w:rsidRPr="00663CC3">
              <w:rPr>
                <w:noProof/>
              </w:rPr>
              <w:fldChar w:fldCharType="begin"/>
            </w:r>
            <w:r w:rsidR="00EF6E5A" w:rsidRPr="00663CC3">
              <w:rPr>
                <w:noProof/>
              </w:rPr>
              <w:instrText xml:space="preserve"> PAGEREF _Toc235189527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214442F3" w14:textId="77777777" w:rsidR="00EF6E5A" w:rsidRPr="00663CC3" w:rsidRDefault="00917BB3">
          <w:pPr>
            <w:pStyle w:val="TOC3"/>
            <w:tabs>
              <w:tab w:val="right" w:leader="dot" w:pos="9016"/>
            </w:tabs>
            <w:rPr>
              <w:noProof/>
            </w:rPr>
          </w:pPr>
          <w:hyperlink w:anchor="_Toc235189528" w:history="1">
            <w:r w:rsidR="00EF6E5A" w:rsidRPr="00663CC3">
              <w:rPr>
                <w:rStyle w:val="Hyperlink"/>
                <w:noProof/>
                <w:color w:val="auto"/>
              </w:rPr>
              <w:t>Legal Factors</w:t>
            </w:r>
            <w:r w:rsidR="00EF6E5A" w:rsidRPr="00663CC3">
              <w:rPr>
                <w:noProof/>
              </w:rPr>
              <w:tab/>
            </w:r>
            <w:r w:rsidR="00EF6E5A" w:rsidRPr="00663CC3">
              <w:rPr>
                <w:noProof/>
              </w:rPr>
              <w:fldChar w:fldCharType="begin"/>
            </w:r>
            <w:r w:rsidR="00EF6E5A" w:rsidRPr="00663CC3">
              <w:rPr>
                <w:noProof/>
              </w:rPr>
              <w:instrText xml:space="preserve"> PAGEREF _Toc235189528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52C91DAC" w14:textId="77777777" w:rsidR="00EF6E5A" w:rsidRPr="00663CC3" w:rsidRDefault="00917BB3">
          <w:pPr>
            <w:pStyle w:val="TOC2"/>
            <w:tabs>
              <w:tab w:val="right" w:leader="dot" w:pos="9016"/>
            </w:tabs>
            <w:rPr>
              <w:noProof/>
            </w:rPr>
          </w:pPr>
          <w:hyperlink w:anchor="_Toc235189529" w:history="1">
            <w:r w:rsidR="00EF6E5A" w:rsidRPr="00663CC3">
              <w:rPr>
                <w:rStyle w:val="Hyperlink"/>
                <w:noProof/>
                <w:color w:val="auto"/>
              </w:rPr>
              <w:t>2.2 Internal Analysis – VRIO Framework</w:t>
            </w:r>
            <w:r w:rsidR="00EF6E5A" w:rsidRPr="00663CC3">
              <w:rPr>
                <w:noProof/>
              </w:rPr>
              <w:tab/>
            </w:r>
            <w:r w:rsidR="00EF6E5A" w:rsidRPr="00663CC3">
              <w:rPr>
                <w:noProof/>
              </w:rPr>
              <w:fldChar w:fldCharType="begin"/>
            </w:r>
            <w:r w:rsidR="00EF6E5A" w:rsidRPr="00663CC3">
              <w:rPr>
                <w:noProof/>
              </w:rPr>
              <w:instrText xml:space="preserve"> PAGEREF _Toc235189529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08842E92" w14:textId="77777777" w:rsidR="00EF6E5A" w:rsidRPr="00663CC3" w:rsidRDefault="00917BB3">
          <w:pPr>
            <w:pStyle w:val="TOC2"/>
            <w:tabs>
              <w:tab w:val="right" w:leader="dot" w:pos="9016"/>
            </w:tabs>
            <w:rPr>
              <w:noProof/>
            </w:rPr>
          </w:pPr>
          <w:hyperlink w:anchor="_Toc235189530" w:history="1">
            <w:r w:rsidR="00EF6E5A" w:rsidRPr="00663CC3">
              <w:rPr>
                <w:rStyle w:val="Hyperlink"/>
                <w:noProof/>
                <w:color w:val="auto"/>
              </w:rPr>
              <w:t>2.3 SWOT Analysis</w:t>
            </w:r>
            <w:r w:rsidR="00EF6E5A" w:rsidRPr="00663CC3">
              <w:rPr>
                <w:noProof/>
              </w:rPr>
              <w:tab/>
            </w:r>
            <w:r w:rsidR="00EF6E5A" w:rsidRPr="00663CC3">
              <w:rPr>
                <w:noProof/>
              </w:rPr>
              <w:fldChar w:fldCharType="begin"/>
            </w:r>
            <w:r w:rsidR="00EF6E5A" w:rsidRPr="00663CC3">
              <w:rPr>
                <w:noProof/>
              </w:rPr>
              <w:instrText xml:space="preserve"> PAGEREF _Toc235189530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51FB5DC5" w14:textId="77777777" w:rsidR="00EF6E5A" w:rsidRPr="00663CC3" w:rsidRDefault="00917BB3">
          <w:pPr>
            <w:pStyle w:val="TOC1"/>
            <w:tabs>
              <w:tab w:val="right" w:leader="dot" w:pos="9016"/>
            </w:tabs>
            <w:rPr>
              <w:noProof/>
            </w:rPr>
          </w:pPr>
          <w:hyperlink w:anchor="_Toc235189531" w:history="1">
            <w:r w:rsidR="00EF6E5A" w:rsidRPr="00663CC3">
              <w:rPr>
                <w:rStyle w:val="Hyperlink"/>
                <w:noProof/>
                <w:color w:val="auto"/>
              </w:rPr>
              <w:t>3. Comprehensive and Holistic View of the Organisation</w:t>
            </w:r>
            <w:r w:rsidR="00EF6E5A" w:rsidRPr="00663CC3">
              <w:rPr>
                <w:noProof/>
              </w:rPr>
              <w:tab/>
            </w:r>
            <w:r w:rsidR="00EF6E5A" w:rsidRPr="00663CC3">
              <w:rPr>
                <w:noProof/>
              </w:rPr>
              <w:fldChar w:fldCharType="begin"/>
            </w:r>
            <w:r w:rsidR="00EF6E5A" w:rsidRPr="00663CC3">
              <w:rPr>
                <w:noProof/>
              </w:rPr>
              <w:instrText xml:space="preserve"> PAGEREF _Toc235189531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33493A64" w14:textId="77777777" w:rsidR="00EF6E5A" w:rsidRPr="00663CC3" w:rsidRDefault="00917BB3">
          <w:pPr>
            <w:pStyle w:val="TOC2"/>
            <w:tabs>
              <w:tab w:val="right" w:leader="dot" w:pos="9016"/>
            </w:tabs>
            <w:rPr>
              <w:noProof/>
            </w:rPr>
          </w:pPr>
          <w:hyperlink w:anchor="_Toc235189532" w:history="1">
            <w:r w:rsidR="00EF6E5A" w:rsidRPr="00663CC3">
              <w:rPr>
                <w:rStyle w:val="Hyperlink"/>
                <w:noProof/>
                <w:color w:val="auto"/>
              </w:rPr>
              <w:t>3.1 CSR Strategy and Alignment with Business Objectives</w:t>
            </w:r>
            <w:r w:rsidR="00EF6E5A" w:rsidRPr="00663CC3">
              <w:rPr>
                <w:noProof/>
              </w:rPr>
              <w:tab/>
            </w:r>
            <w:r w:rsidR="00EF6E5A" w:rsidRPr="00663CC3">
              <w:rPr>
                <w:noProof/>
              </w:rPr>
              <w:fldChar w:fldCharType="begin"/>
            </w:r>
            <w:r w:rsidR="00EF6E5A" w:rsidRPr="00663CC3">
              <w:rPr>
                <w:noProof/>
              </w:rPr>
              <w:instrText xml:space="preserve"> PAGEREF _Toc235189532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1B51D06B" w14:textId="77777777" w:rsidR="00EF6E5A" w:rsidRPr="00663CC3" w:rsidRDefault="00917BB3">
          <w:pPr>
            <w:pStyle w:val="TOC2"/>
            <w:tabs>
              <w:tab w:val="right" w:leader="dot" w:pos="9016"/>
            </w:tabs>
            <w:rPr>
              <w:noProof/>
            </w:rPr>
          </w:pPr>
          <w:hyperlink w:anchor="_Toc235189533" w:history="1">
            <w:r w:rsidR="00EF6E5A" w:rsidRPr="00663CC3">
              <w:rPr>
                <w:rStyle w:val="Hyperlink"/>
                <w:noProof/>
                <w:color w:val="auto"/>
              </w:rPr>
              <w:t>3.2 Balanced Scorecard Analysis</w:t>
            </w:r>
            <w:r w:rsidR="00EF6E5A" w:rsidRPr="00663CC3">
              <w:rPr>
                <w:noProof/>
              </w:rPr>
              <w:tab/>
            </w:r>
            <w:r w:rsidR="00EF6E5A" w:rsidRPr="00663CC3">
              <w:rPr>
                <w:noProof/>
              </w:rPr>
              <w:fldChar w:fldCharType="begin"/>
            </w:r>
            <w:r w:rsidR="00EF6E5A" w:rsidRPr="00663CC3">
              <w:rPr>
                <w:noProof/>
              </w:rPr>
              <w:instrText xml:space="preserve"> PAGEREF _Toc235189533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2CB5544A" w14:textId="77777777" w:rsidR="00EF6E5A" w:rsidRPr="00663CC3" w:rsidRDefault="00917BB3">
          <w:pPr>
            <w:pStyle w:val="TOC1"/>
            <w:tabs>
              <w:tab w:val="right" w:leader="dot" w:pos="9016"/>
            </w:tabs>
            <w:rPr>
              <w:noProof/>
            </w:rPr>
          </w:pPr>
          <w:hyperlink w:anchor="_Toc235189534" w:history="1">
            <w:r w:rsidR="00EF6E5A" w:rsidRPr="00663CC3">
              <w:rPr>
                <w:rStyle w:val="Hyperlink"/>
                <w:noProof/>
                <w:color w:val="auto"/>
              </w:rPr>
              <w:t>4. Strategic Choices and Implementation</w:t>
            </w:r>
            <w:r w:rsidR="00EF6E5A" w:rsidRPr="00663CC3">
              <w:rPr>
                <w:noProof/>
              </w:rPr>
              <w:tab/>
            </w:r>
            <w:r w:rsidR="00EF6E5A" w:rsidRPr="00663CC3">
              <w:rPr>
                <w:noProof/>
              </w:rPr>
              <w:fldChar w:fldCharType="begin"/>
            </w:r>
            <w:r w:rsidR="00EF6E5A" w:rsidRPr="00663CC3">
              <w:rPr>
                <w:noProof/>
              </w:rPr>
              <w:instrText xml:space="preserve"> PAGEREF _Toc235189534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436F764C" w14:textId="77777777" w:rsidR="00EF6E5A" w:rsidRPr="00663CC3" w:rsidRDefault="00917BB3">
          <w:pPr>
            <w:pStyle w:val="TOC2"/>
            <w:tabs>
              <w:tab w:val="right" w:leader="dot" w:pos="9016"/>
            </w:tabs>
            <w:rPr>
              <w:noProof/>
            </w:rPr>
          </w:pPr>
          <w:hyperlink w:anchor="_Toc235189535" w:history="1">
            <w:r w:rsidR="00EF6E5A" w:rsidRPr="00663CC3">
              <w:rPr>
                <w:rStyle w:val="Hyperlink"/>
                <w:noProof/>
                <w:color w:val="auto"/>
              </w:rPr>
              <w:t>4.1 Business-Level Strategic Options</w:t>
            </w:r>
            <w:r w:rsidR="00EF6E5A" w:rsidRPr="00663CC3">
              <w:rPr>
                <w:noProof/>
              </w:rPr>
              <w:tab/>
            </w:r>
            <w:r w:rsidR="00EF6E5A" w:rsidRPr="00663CC3">
              <w:rPr>
                <w:noProof/>
              </w:rPr>
              <w:fldChar w:fldCharType="begin"/>
            </w:r>
            <w:r w:rsidR="00EF6E5A" w:rsidRPr="00663CC3">
              <w:rPr>
                <w:noProof/>
              </w:rPr>
              <w:instrText xml:space="preserve"> PAGEREF _Toc235189535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261A0C2A" w14:textId="77777777" w:rsidR="00EF6E5A" w:rsidRPr="00663CC3" w:rsidRDefault="00917BB3">
          <w:pPr>
            <w:pStyle w:val="TOC2"/>
            <w:tabs>
              <w:tab w:val="right" w:leader="dot" w:pos="9016"/>
            </w:tabs>
            <w:rPr>
              <w:noProof/>
            </w:rPr>
          </w:pPr>
          <w:hyperlink w:anchor="_Toc235189536" w:history="1">
            <w:r w:rsidR="00EF6E5A" w:rsidRPr="00663CC3">
              <w:rPr>
                <w:rStyle w:val="Hyperlink"/>
                <w:noProof/>
                <w:color w:val="auto"/>
              </w:rPr>
              <w:t>4.2 Validation of Recommended Strategy</w:t>
            </w:r>
            <w:r w:rsidR="00EF6E5A" w:rsidRPr="00663CC3">
              <w:rPr>
                <w:noProof/>
              </w:rPr>
              <w:tab/>
            </w:r>
            <w:r w:rsidR="00EF6E5A" w:rsidRPr="00663CC3">
              <w:rPr>
                <w:noProof/>
              </w:rPr>
              <w:fldChar w:fldCharType="begin"/>
            </w:r>
            <w:r w:rsidR="00EF6E5A" w:rsidRPr="00663CC3">
              <w:rPr>
                <w:noProof/>
              </w:rPr>
              <w:instrText xml:space="preserve"> PAGEREF _Toc235189536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505176D5" w14:textId="77777777" w:rsidR="00EF6E5A" w:rsidRPr="00663CC3" w:rsidRDefault="00917BB3">
          <w:pPr>
            <w:pStyle w:val="TOC3"/>
            <w:tabs>
              <w:tab w:val="right" w:leader="dot" w:pos="9016"/>
            </w:tabs>
            <w:rPr>
              <w:noProof/>
            </w:rPr>
          </w:pPr>
          <w:hyperlink w:anchor="_Toc235189537" w:history="1">
            <w:r w:rsidR="00EF6E5A" w:rsidRPr="00663CC3">
              <w:rPr>
                <w:rStyle w:val="Hyperlink"/>
                <w:noProof/>
                <w:color w:val="auto"/>
              </w:rPr>
              <w:t>Porter’s Five Forces</w:t>
            </w:r>
            <w:r w:rsidR="00EF6E5A" w:rsidRPr="00663CC3">
              <w:rPr>
                <w:noProof/>
              </w:rPr>
              <w:tab/>
            </w:r>
            <w:r w:rsidR="00EF6E5A" w:rsidRPr="00663CC3">
              <w:rPr>
                <w:noProof/>
              </w:rPr>
              <w:fldChar w:fldCharType="begin"/>
            </w:r>
            <w:r w:rsidR="00EF6E5A" w:rsidRPr="00663CC3">
              <w:rPr>
                <w:noProof/>
              </w:rPr>
              <w:instrText xml:space="preserve"> PAGEREF _Toc235189537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60489F78" w14:textId="77777777" w:rsidR="00EF6E5A" w:rsidRPr="00663CC3" w:rsidRDefault="00917BB3">
          <w:pPr>
            <w:pStyle w:val="TOC3"/>
            <w:tabs>
              <w:tab w:val="right" w:leader="dot" w:pos="9016"/>
            </w:tabs>
            <w:rPr>
              <w:noProof/>
            </w:rPr>
          </w:pPr>
          <w:hyperlink w:anchor="_Toc235189538" w:history="1">
            <w:r w:rsidR="00EF6E5A" w:rsidRPr="00663CC3">
              <w:rPr>
                <w:rStyle w:val="Hyperlink"/>
                <w:noProof/>
                <w:color w:val="auto"/>
              </w:rPr>
              <w:t>Ansoff Matrix</w:t>
            </w:r>
            <w:r w:rsidR="00EF6E5A" w:rsidRPr="00663CC3">
              <w:rPr>
                <w:noProof/>
              </w:rPr>
              <w:tab/>
            </w:r>
            <w:r w:rsidR="00EF6E5A" w:rsidRPr="00663CC3">
              <w:rPr>
                <w:noProof/>
              </w:rPr>
              <w:fldChar w:fldCharType="begin"/>
            </w:r>
            <w:r w:rsidR="00EF6E5A" w:rsidRPr="00663CC3">
              <w:rPr>
                <w:noProof/>
              </w:rPr>
              <w:instrText xml:space="preserve"> PAGEREF _Toc235189538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5D1AB37B" w14:textId="77777777" w:rsidR="00EF6E5A" w:rsidRPr="00663CC3" w:rsidRDefault="00917BB3">
          <w:pPr>
            <w:pStyle w:val="TOC3"/>
            <w:tabs>
              <w:tab w:val="right" w:leader="dot" w:pos="9016"/>
            </w:tabs>
            <w:rPr>
              <w:noProof/>
            </w:rPr>
          </w:pPr>
          <w:hyperlink w:anchor="_Toc235189539" w:history="1">
            <w:r w:rsidR="00EF6E5A" w:rsidRPr="00663CC3">
              <w:rPr>
                <w:rStyle w:val="Hyperlink"/>
                <w:noProof/>
                <w:color w:val="auto"/>
              </w:rPr>
              <w:t>SAFe Criteria (Suitability, Acceptability, Feasibility)</w:t>
            </w:r>
            <w:r w:rsidR="00EF6E5A" w:rsidRPr="00663CC3">
              <w:rPr>
                <w:noProof/>
              </w:rPr>
              <w:tab/>
            </w:r>
            <w:r w:rsidR="00EF6E5A" w:rsidRPr="00663CC3">
              <w:rPr>
                <w:noProof/>
              </w:rPr>
              <w:fldChar w:fldCharType="begin"/>
            </w:r>
            <w:r w:rsidR="00EF6E5A" w:rsidRPr="00663CC3">
              <w:rPr>
                <w:noProof/>
              </w:rPr>
              <w:instrText xml:space="preserve"> PAGEREF _Toc235189539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64645D4F" w14:textId="77777777" w:rsidR="00EF6E5A" w:rsidRPr="00663CC3" w:rsidRDefault="00917BB3">
          <w:pPr>
            <w:pStyle w:val="TOC2"/>
            <w:tabs>
              <w:tab w:val="right" w:leader="dot" w:pos="9016"/>
            </w:tabs>
            <w:rPr>
              <w:noProof/>
            </w:rPr>
          </w:pPr>
          <w:hyperlink w:anchor="_Toc235189540" w:history="1">
            <w:r w:rsidR="00EF6E5A" w:rsidRPr="00663CC3">
              <w:rPr>
                <w:rStyle w:val="Hyperlink"/>
                <w:noProof/>
                <w:color w:val="auto"/>
              </w:rPr>
              <w:t>4.3 How the Strategy Delivers Competitive Advantage</w:t>
            </w:r>
            <w:r w:rsidR="00EF6E5A" w:rsidRPr="00663CC3">
              <w:rPr>
                <w:noProof/>
              </w:rPr>
              <w:tab/>
            </w:r>
            <w:r w:rsidR="00EF6E5A" w:rsidRPr="00663CC3">
              <w:rPr>
                <w:noProof/>
              </w:rPr>
              <w:fldChar w:fldCharType="begin"/>
            </w:r>
            <w:r w:rsidR="00EF6E5A" w:rsidRPr="00663CC3">
              <w:rPr>
                <w:noProof/>
              </w:rPr>
              <w:instrText xml:space="preserve"> PAGEREF _Toc235189540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795C818D" w14:textId="77777777" w:rsidR="00EF6E5A" w:rsidRPr="00663CC3" w:rsidRDefault="00917BB3">
          <w:pPr>
            <w:pStyle w:val="TOC2"/>
            <w:tabs>
              <w:tab w:val="right" w:leader="dot" w:pos="9016"/>
            </w:tabs>
            <w:rPr>
              <w:noProof/>
            </w:rPr>
          </w:pPr>
          <w:hyperlink w:anchor="_Toc235189541" w:history="1">
            <w:r w:rsidR="00EF6E5A" w:rsidRPr="00663CC3">
              <w:rPr>
                <w:rStyle w:val="Hyperlink"/>
                <w:noProof/>
                <w:color w:val="auto"/>
              </w:rPr>
              <w:t>4.4 Implementation Challenges and Mitigation</w:t>
            </w:r>
            <w:r w:rsidR="00EF6E5A" w:rsidRPr="00663CC3">
              <w:rPr>
                <w:noProof/>
              </w:rPr>
              <w:tab/>
            </w:r>
            <w:r w:rsidR="00EF6E5A" w:rsidRPr="00663CC3">
              <w:rPr>
                <w:noProof/>
              </w:rPr>
              <w:fldChar w:fldCharType="begin"/>
            </w:r>
            <w:r w:rsidR="00EF6E5A" w:rsidRPr="00663CC3">
              <w:rPr>
                <w:noProof/>
              </w:rPr>
              <w:instrText xml:space="preserve"> PAGEREF _Toc235189541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6CE306F7" w14:textId="77777777" w:rsidR="00EF6E5A" w:rsidRPr="00663CC3" w:rsidRDefault="00917BB3">
          <w:pPr>
            <w:pStyle w:val="TOC1"/>
            <w:tabs>
              <w:tab w:val="right" w:leader="dot" w:pos="9016"/>
            </w:tabs>
            <w:rPr>
              <w:noProof/>
            </w:rPr>
          </w:pPr>
          <w:hyperlink w:anchor="_Toc235189542" w:history="1">
            <w:r w:rsidR="00EF6E5A" w:rsidRPr="00663CC3">
              <w:rPr>
                <w:rStyle w:val="Hyperlink"/>
                <w:noProof/>
                <w:color w:val="auto"/>
              </w:rPr>
              <w:t>5. Reflective Account (Gibbs Reflective Cycle)</w:t>
            </w:r>
            <w:r w:rsidR="00EF6E5A" w:rsidRPr="00663CC3">
              <w:rPr>
                <w:noProof/>
              </w:rPr>
              <w:tab/>
            </w:r>
            <w:r w:rsidR="00EF6E5A" w:rsidRPr="00663CC3">
              <w:rPr>
                <w:noProof/>
              </w:rPr>
              <w:fldChar w:fldCharType="begin"/>
            </w:r>
            <w:r w:rsidR="00EF6E5A" w:rsidRPr="00663CC3">
              <w:rPr>
                <w:noProof/>
              </w:rPr>
              <w:instrText xml:space="preserve"> PAGEREF _Toc235189542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5C8F1E9A" w14:textId="77777777" w:rsidR="00EF6E5A" w:rsidRPr="00663CC3" w:rsidRDefault="00917BB3">
          <w:pPr>
            <w:pStyle w:val="TOC2"/>
            <w:tabs>
              <w:tab w:val="right" w:leader="dot" w:pos="9016"/>
            </w:tabs>
            <w:rPr>
              <w:noProof/>
            </w:rPr>
          </w:pPr>
          <w:hyperlink w:anchor="_Toc235189543" w:history="1">
            <w:r w:rsidR="00EF6E5A" w:rsidRPr="00663CC3">
              <w:rPr>
                <w:rStyle w:val="Hyperlink"/>
                <w:noProof/>
                <w:color w:val="auto"/>
              </w:rPr>
              <w:t>5.1 Description</w:t>
            </w:r>
            <w:r w:rsidR="00EF6E5A" w:rsidRPr="00663CC3">
              <w:rPr>
                <w:noProof/>
              </w:rPr>
              <w:tab/>
            </w:r>
            <w:r w:rsidR="00EF6E5A" w:rsidRPr="00663CC3">
              <w:rPr>
                <w:noProof/>
              </w:rPr>
              <w:fldChar w:fldCharType="begin"/>
            </w:r>
            <w:r w:rsidR="00EF6E5A" w:rsidRPr="00663CC3">
              <w:rPr>
                <w:noProof/>
              </w:rPr>
              <w:instrText xml:space="preserve"> PAGEREF _Toc235189543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7995D0EF" w14:textId="77777777" w:rsidR="00EF6E5A" w:rsidRPr="00663CC3" w:rsidRDefault="00917BB3">
          <w:pPr>
            <w:pStyle w:val="TOC2"/>
            <w:tabs>
              <w:tab w:val="right" w:leader="dot" w:pos="9016"/>
            </w:tabs>
            <w:rPr>
              <w:noProof/>
            </w:rPr>
          </w:pPr>
          <w:hyperlink w:anchor="_Toc235189544" w:history="1">
            <w:r w:rsidR="00EF6E5A" w:rsidRPr="00663CC3">
              <w:rPr>
                <w:rStyle w:val="Hyperlink"/>
                <w:noProof/>
                <w:color w:val="auto"/>
              </w:rPr>
              <w:t>5.2 Feelings</w:t>
            </w:r>
            <w:r w:rsidR="00EF6E5A" w:rsidRPr="00663CC3">
              <w:rPr>
                <w:noProof/>
              </w:rPr>
              <w:tab/>
            </w:r>
            <w:r w:rsidR="00EF6E5A" w:rsidRPr="00663CC3">
              <w:rPr>
                <w:noProof/>
              </w:rPr>
              <w:fldChar w:fldCharType="begin"/>
            </w:r>
            <w:r w:rsidR="00EF6E5A" w:rsidRPr="00663CC3">
              <w:rPr>
                <w:noProof/>
              </w:rPr>
              <w:instrText xml:space="preserve"> PAGEREF _Toc235189544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037D5C9C" w14:textId="77777777" w:rsidR="00EF6E5A" w:rsidRPr="00663CC3" w:rsidRDefault="00917BB3">
          <w:pPr>
            <w:pStyle w:val="TOC2"/>
            <w:tabs>
              <w:tab w:val="right" w:leader="dot" w:pos="9016"/>
            </w:tabs>
            <w:rPr>
              <w:noProof/>
            </w:rPr>
          </w:pPr>
          <w:hyperlink w:anchor="_Toc235189545" w:history="1">
            <w:r w:rsidR="00EF6E5A" w:rsidRPr="00663CC3">
              <w:rPr>
                <w:rStyle w:val="Hyperlink"/>
                <w:noProof/>
                <w:color w:val="auto"/>
              </w:rPr>
              <w:t>5.3 Evaluation</w:t>
            </w:r>
            <w:r w:rsidR="00EF6E5A" w:rsidRPr="00663CC3">
              <w:rPr>
                <w:noProof/>
              </w:rPr>
              <w:tab/>
            </w:r>
            <w:r w:rsidR="00EF6E5A" w:rsidRPr="00663CC3">
              <w:rPr>
                <w:noProof/>
              </w:rPr>
              <w:fldChar w:fldCharType="begin"/>
            </w:r>
            <w:r w:rsidR="00EF6E5A" w:rsidRPr="00663CC3">
              <w:rPr>
                <w:noProof/>
              </w:rPr>
              <w:instrText xml:space="preserve"> PAGEREF _Toc235189545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7B5682D7" w14:textId="77777777" w:rsidR="00EF6E5A" w:rsidRPr="00663CC3" w:rsidRDefault="00917BB3">
          <w:pPr>
            <w:pStyle w:val="TOC2"/>
            <w:tabs>
              <w:tab w:val="right" w:leader="dot" w:pos="9016"/>
            </w:tabs>
            <w:rPr>
              <w:noProof/>
            </w:rPr>
          </w:pPr>
          <w:hyperlink w:anchor="_Toc235189546" w:history="1">
            <w:r w:rsidR="00EF6E5A" w:rsidRPr="00663CC3">
              <w:rPr>
                <w:rStyle w:val="Hyperlink"/>
                <w:noProof/>
                <w:color w:val="auto"/>
              </w:rPr>
              <w:t>5.4 Analysis</w:t>
            </w:r>
            <w:r w:rsidR="00EF6E5A" w:rsidRPr="00663CC3">
              <w:rPr>
                <w:noProof/>
              </w:rPr>
              <w:tab/>
            </w:r>
            <w:r w:rsidR="00EF6E5A" w:rsidRPr="00663CC3">
              <w:rPr>
                <w:noProof/>
              </w:rPr>
              <w:fldChar w:fldCharType="begin"/>
            </w:r>
            <w:r w:rsidR="00EF6E5A" w:rsidRPr="00663CC3">
              <w:rPr>
                <w:noProof/>
              </w:rPr>
              <w:instrText xml:space="preserve"> PAGEREF _Toc235189546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40E67ED2" w14:textId="77777777" w:rsidR="00EF6E5A" w:rsidRPr="00663CC3" w:rsidRDefault="00917BB3">
          <w:pPr>
            <w:pStyle w:val="TOC2"/>
            <w:tabs>
              <w:tab w:val="right" w:leader="dot" w:pos="9016"/>
            </w:tabs>
            <w:rPr>
              <w:noProof/>
            </w:rPr>
          </w:pPr>
          <w:hyperlink w:anchor="_Toc235189547" w:history="1">
            <w:r w:rsidR="00EF6E5A" w:rsidRPr="00663CC3">
              <w:rPr>
                <w:rStyle w:val="Hyperlink"/>
                <w:noProof/>
                <w:color w:val="auto"/>
              </w:rPr>
              <w:t>5.5 Conclusion</w:t>
            </w:r>
            <w:r w:rsidR="00EF6E5A" w:rsidRPr="00663CC3">
              <w:rPr>
                <w:noProof/>
              </w:rPr>
              <w:tab/>
            </w:r>
            <w:r w:rsidR="00EF6E5A" w:rsidRPr="00663CC3">
              <w:rPr>
                <w:noProof/>
              </w:rPr>
              <w:fldChar w:fldCharType="begin"/>
            </w:r>
            <w:r w:rsidR="00EF6E5A" w:rsidRPr="00663CC3">
              <w:rPr>
                <w:noProof/>
              </w:rPr>
              <w:instrText xml:space="preserve"> PAGEREF _Toc235189547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659C1CEC" w14:textId="77777777" w:rsidR="00EF6E5A" w:rsidRPr="00663CC3" w:rsidRDefault="00917BB3">
          <w:pPr>
            <w:pStyle w:val="TOC2"/>
            <w:tabs>
              <w:tab w:val="right" w:leader="dot" w:pos="9016"/>
            </w:tabs>
            <w:rPr>
              <w:noProof/>
            </w:rPr>
          </w:pPr>
          <w:hyperlink w:anchor="_Toc235189548" w:history="1">
            <w:r w:rsidR="00EF6E5A" w:rsidRPr="00663CC3">
              <w:rPr>
                <w:rStyle w:val="Hyperlink"/>
                <w:noProof/>
                <w:color w:val="auto"/>
              </w:rPr>
              <w:t>5.6 Action Plan</w:t>
            </w:r>
            <w:r w:rsidR="00EF6E5A" w:rsidRPr="00663CC3">
              <w:rPr>
                <w:noProof/>
              </w:rPr>
              <w:tab/>
            </w:r>
            <w:r w:rsidR="00EF6E5A" w:rsidRPr="00663CC3">
              <w:rPr>
                <w:noProof/>
              </w:rPr>
              <w:fldChar w:fldCharType="begin"/>
            </w:r>
            <w:r w:rsidR="00EF6E5A" w:rsidRPr="00663CC3">
              <w:rPr>
                <w:noProof/>
              </w:rPr>
              <w:instrText xml:space="preserve"> PAGEREF _Toc235189548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310E7362" w14:textId="77777777" w:rsidR="00EF6E5A" w:rsidRPr="00663CC3" w:rsidRDefault="00917BB3">
          <w:pPr>
            <w:pStyle w:val="TOC1"/>
            <w:tabs>
              <w:tab w:val="right" w:leader="dot" w:pos="9016"/>
            </w:tabs>
            <w:rPr>
              <w:noProof/>
            </w:rPr>
          </w:pPr>
          <w:hyperlink w:anchor="_Toc235189549" w:history="1">
            <w:r w:rsidR="00EF6E5A" w:rsidRPr="00663CC3">
              <w:rPr>
                <w:rStyle w:val="Hyperlink"/>
                <w:noProof/>
                <w:color w:val="auto"/>
              </w:rPr>
              <w:t>6. Conclusion</w:t>
            </w:r>
            <w:r w:rsidR="00EF6E5A" w:rsidRPr="00663CC3">
              <w:rPr>
                <w:noProof/>
              </w:rPr>
              <w:tab/>
            </w:r>
            <w:r w:rsidR="00EF6E5A" w:rsidRPr="00663CC3">
              <w:rPr>
                <w:noProof/>
              </w:rPr>
              <w:fldChar w:fldCharType="begin"/>
            </w:r>
            <w:r w:rsidR="00EF6E5A" w:rsidRPr="00663CC3">
              <w:rPr>
                <w:noProof/>
              </w:rPr>
              <w:instrText xml:space="preserve"> PAGEREF _Toc235189549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126D54CA" w14:textId="77777777" w:rsidR="00EF6E5A" w:rsidRPr="00663CC3" w:rsidRDefault="00917BB3">
          <w:pPr>
            <w:pStyle w:val="TOC1"/>
            <w:tabs>
              <w:tab w:val="right" w:leader="dot" w:pos="9016"/>
            </w:tabs>
            <w:rPr>
              <w:noProof/>
            </w:rPr>
          </w:pPr>
          <w:hyperlink w:anchor="_Toc235189550" w:history="1">
            <w:r w:rsidR="00EF6E5A" w:rsidRPr="00663CC3">
              <w:rPr>
                <w:rStyle w:val="Hyperlink"/>
                <w:noProof/>
                <w:color w:val="auto"/>
              </w:rPr>
              <w:t>References</w:t>
            </w:r>
            <w:r w:rsidR="00EF6E5A" w:rsidRPr="00663CC3">
              <w:rPr>
                <w:noProof/>
              </w:rPr>
              <w:tab/>
            </w:r>
            <w:r w:rsidR="00EF6E5A" w:rsidRPr="00663CC3">
              <w:rPr>
                <w:noProof/>
              </w:rPr>
              <w:fldChar w:fldCharType="begin"/>
            </w:r>
            <w:r w:rsidR="00EF6E5A" w:rsidRPr="00663CC3">
              <w:rPr>
                <w:noProof/>
              </w:rPr>
              <w:instrText xml:space="preserve"> PAGEREF _Toc235189550 \h </w:instrText>
            </w:r>
            <w:r w:rsidR="00EF6E5A" w:rsidRPr="00663CC3">
              <w:rPr>
                <w:noProof/>
              </w:rPr>
            </w:r>
            <w:r w:rsidR="00EF6E5A" w:rsidRPr="00663CC3">
              <w:rPr>
                <w:noProof/>
              </w:rPr>
              <w:fldChar w:fldCharType="separate"/>
            </w:r>
            <w:r w:rsidR="00EF6E5A" w:rsidRPr="00663CC3">
              <w:rPr>
                <w:noProof/>
              </w:rPr>
              <w:t>1</w:t>
            </w:r>
            <w:r w:rsidR="00EF6E5A" w:rsidRPr="00663CC3">
              <w:rPr>
                <w:noProof/>
              </w:rPr>
              <w:fldChar w:fldCharType="end"/>
            </w:r>
          </w:hyperlink>
        </w:p>
        <w:p w14:paraId="075A893A" w14:textId="77777777" w:rsidR="005315D4" w:rsidRPr="00663CC3" w:rsidRDefault="00C8732F">
          <w:r w:rsidRPr="00663CC3">
            <w:fldChar w:fldCharType="end"/>
          </w:r>
        </w:p>
      </w:sdtContent>
    </w:sdt>
    <w:p w14:paraId="374F2041" w14:textId="77777777" w:rsidR="005315D4" w:rsidRPr="00663CC3" w:rsidRDefault="00C8732F">
      <w:r w:rsidRPr="00663CC3">
        <w:br w:type="page"/>
      </w:r>
    </w:p>
    <w:p w14:paraId="71954191" w14:textId="77777777" w:rsidR="005315D4" w:rsidRPr="00663CC3" w:rsidRDefault="00C8732F" w:rsidP="008A5CDB">
      <w:pPr>
        <w:pStyle w:val="Heading1"/>
        <w:spacing w:line="360" w:lineRule="auto"/>
        <w:jc w:val="both"/>
        <w:rPr>
          <w:color w:val="auto"/>
        </w:rPr>
      </w:pPr>
      <w:bookmarkStart w:id="1" w:name="_Toc235189518"/>
      <w:r w:rsidRPr="00663CC3">
        <w:rPr>
          <w:color w:val="auto"/>
        </w:rPr>
        <w:lastRenderedPageBreak/>
        <w:t>1. Organisational Context and Overview</w:t>
      </w:r>
      <w:bookmarkEnd w:id="1"/>
    </w:p>
    <w:p w14:paraId="06013D5B" w14:textId="77777777" w:rsidR="005315D4" w:rsidRPr="00663CC3" w:rsidRDefault="00C8732F" w:rsidP="008A5CDB">
      <w:pPr>
        <w:pStyle w:val="Heading2"/>
        <w:spacing w:line="360" w:lineRule="auto"/>
        <w:jc w:val="both"/>
        <w:rPr>
          <w:color w:val="auto"/>
        </w:rPr>
      </w:pPr>
      <w:bookmarkStart w:id="2" w:name="_Toc235189519"/>
      <w:r w:rsidRPr="00663CC3">
        <w:rPr>
          <w:color w:val="auto"/>
        </w:rPr>
        <w:t>1.1 Historical Perspective, Mission, Vision and Business Model</w:t>
      </w:r>
      <w:bookmarkEnd w:id="2"/>
    </w:p>
    <w:p w14:paraId="1D0DCBC0" w14:textId="77777777" w:rsidR="00C35174" w:rsidRPr="00663CC3" w:rsidRDefault="00C35174" w:rsidP="008A5CDB">
      <w:pPr>
        <w:spacing w:after="200" w:line="360" w:lineRule="auto"/>
        <w:jc w:val="both"/>
      </w:pPr>
      <w:r w:rsidRPr="00663CC3">
        <w:t>Founded in 1994 in Shenzhen, China, Build Your Dreams (BYD Company Limited) originated as a producer of rechargeable batteries but later expanded into production of automobiles, rail transit and new energy/electronics (BYD, 2025a). BYD launched its operations in the United Kingdom passenger car market in March 2023 and experienced rapid growth ever since. BYD has registered 8,788 cars by the end of 2024 and in 2025 saw this number rise almost six times to 51,400, making BYD the biggest NEV (pure new-energy vehicle) brand in the UK (excludes legacy volume brands and SAIC-owned MG brand) (data by SMMT as cited in Eletric-Vehicles.com, 2026; Tech Digest, 2026).</w:t>
      </w:r>
    </w:p>
    <w:p w14:paraId="354E3C7F" w14:textId="77777777" w:rsidR="00C35174" w:rsidRPr="00663CC3" w:rsidRDefault="00C35174" w:rsidP="008A5CDB">
      <w:pPr>
        <w:spacing w:after="200" w:line="360" w:lineRule="auto"/>
        <w:jc w:val="both"/>
      </w:pPr>
      <w:r w:rsidRPr="00663CC3">
        <w:t>In just six months of 2026, BYD has already registered 37,795 vehicles in the UK (+94.9 per cent year-on-year increase), gaining a market share of 8.74 per cent in the BEV/ PHEV segment (Motor Trade News, 2026; Eletric-Vehicles.com, 2026). In January-April 2026, BYD sold 12,754 pure BEVs, surpassing Tesla, Kia, BMW and VW and becoming the largest EV brand in the UK with 7 per cent market share of EVs, even without access to the Electric Car Grant (BYD UK, 2026; Carscoops, 2026). Total BEV and DM-i PHEV sales in the same period amounted to 26,396 vehicles, which equals 9.5 per cent of the NEV market share (Electrek, 2026).</w:t>
      </w:r>
    </w:p>
    <w:p w14:paraId="6F4B13F8" w14:textId="1573B360" w:rsidR="005315D4" w:rsidRPr="00663CC3" w:rsidRDefault="00C35174" w:rsidP="008A5CDB">
      <w:pPr>
        <w:spacing w:after="200" w:line="360" w:lineRule="auto"/>
        <w:jc w:val="both"/>
      </w:pPr>
      <w:r w:rsidRPr="00663CC3">
        <w:t>The company relies on vertical integration strategy for its business operations. BYD produces Blade Battery (LFP), power electronics, semiconductors and many other important parts, providing better control over costs, fast product launches and high gross margins compared to less integrated competitors (UmbraX, 2024; UBS Research as cited in EV Central, 2024). The revenue of BYD is generated mainly from vehicle sales and from batteries and energy storage products. In the UK market, BYD uses a light asset business model, collaborating with well-established dealerships (Vertu Motors, Arnold Clark, Evans Halshaw etc.), instead of direct sales-only business model, allowing a quick expansion of dealership networks up to 125 franchised locations by the end of 2025 and beyond (Motor Trader, 2025; AM Online, 2025).</w:t>
      </w:r>
    </w:p>
    <w:p w14:paraId="2E49F5CC" w14:textId="77777777" w:rsidR="005315D4" w:rsidRPr="00663CC3" w:rsidRDefault="00C8732F" w:rsidP="008A5CDB">
      <w:pPr>
        <w:pStyle w:val="Heading2"/>
        <w:spacing w:line="360" w:lineRule="auto"/>
        <w:jc w:val="both"/>
        <w:rPr>
          <w:color w:val="auto"/>
        </w:rPr>
      </w:pPr>
      <w:bookmarkStart w:id="3" w:name="_Toc235189520"/>
      <w:r w:rsidRPr="00663CC3">
        <w:rPr>
          <w:color w:val="auto"/>
        </w:rPr>
        <w:t>1.2 Industry Context, Key Competitors and Market Position</w:t>
      </w:r>
      <w:bookmarkEnd w:id="3"/>
    </w:p>
    <w:p w14:paraId="1B32E7CF" w14:textId="77777777" w:rsidR="00C35174" w:rsidRPr="00663CC3" w:rsidRDefault="00C35174" w:rsidP="008A5CDB">
      <w:pPr>
        <w:spacing w:after="200" w:line="360" w:lineRule="auto"/>
        <w:jc w:val="both"/>
      </w:pPr>
      <w:r w:rsidRPr="00663CC3">
        <w:t xml:space="preserve">The UK new car market is experiencing a structural transformation on account of the ZEV Mandate. In H1 2026, the percentage share of battery electric vehicle registrations was 25.0%, </w:t>
      </w:r>
      <w:r w:rsidRPr="00663CC3">
        <w:lastRenderedPageBreak/>
        <w:t>and a record 30.0% in June 2026 (SMMT, 2026a; GreenCarGuide, 2026). For 2026, the legal target is 33%, and from that point onwards, there will be an accelerated rise to reach 80% by 2030. Plug-in hybrids (PHEVs) have also gained momentum as consumers opt for more transitional powertrains due to persistent range and charging issues.</w:t>
      </w:r>
    </w:p>
    <w:p w14:paraId="0AF3A687" w14:textId="77777777" w:rsidR="00C35174" w:rsidRPr="00663CC3" w:rsidRDefault="00C35174" w:rsidP="008A5CDB">
      <w:pPr>
        <w:spacing w:after="200" w:line="360" w:lineRule="auto"/>
        <w:jc w:val="both"/>
      </w:pPr>
      <w:r w:rsidRPr="00663CC3">
        <w:t>Some of the key competitors in the UK EV/PHEV space include Tesla (premier pure BEV positioning), Kia and Hyundai (strong hybrid and BEV ranges), BMW and VW Group brands (premier and volume ranges of electrified models), MG (SAIC, sharp price positioning), and new entrants from China, such as Jaecoo and Omoda. BYD has differentiated itself through its range of affordable to mid-premium BEVs (Atto 2/3, Dolphin, Seal, Sealion 7) and ultra-efficient DM-i Super Hybrid PHEVs (Seal U, Seal 6, Sealion 5), as well as its superior battery safety and vertically-integrated costs (BYD UK, 2026; Electrek, 2026).</w:t>
      </w:r>
    </w:p>
    <w:p w14:paraId="325FF7AC" w14:textId="4048309B" w:rsidR="005315D4" w:rsidRPr="00663CC3" w:rsidRDefault="00C35174" w:rsidP="008A5CDB">
      <w:pPr>
        <w:spacing w:after="200" w:line="360" w:lineRule="auto"/>
        <w:jc w:val="both"/>
      </w:pPr>
      <w:r w:rsidRPr="00663CC3">
        <w:t>The fast ascension of BYD from just 0.96% total market share in late 2024 to the leader in the pure EV category in early 2026 highlights both the power of its offer and how vulnerable established OEMs become under the pressure of the ZEV Mandate compliance (Carscoops, 2026; The Times, 2026). It is worth noting that the popularity of BYD with private customers, despite lack of its eligibility for the Electric Car Grant, is indicative of its strong price-performance relationship.</w:t>
      </w:r>
    </w:p>
    <w:p w14:paraId="26AD4153" w14:textId="77777777" w:rsidR="005315D4" w:rsidRPr="00663CC3" w:rsidRDefault="00C8732F" w:rsidP="008A5CDB">
      <w:pPr>
        <w:pStyle w:val="Heading1"/>
        <w:spacing w:line="360" w:lineRule="auto"/>
        <w:jc w:val="both"/>
        <w:rPr>
          <w:color w:val="auto"/>
        </w:rPr>
      </w:pPr>
      <w:bookmarkStart w:id="4" w:name="_Toc235189521"/>
      <w:r w:rsidRPr="00663CC3">
        <w:rPr>
          <w:color w:val="auto"/>
        </w:rPr>
        <w:t>2. External and Internal Analysis</w:t>
      </w:r>
      <w:bookmarkEnd w:id="4"/>
    </w:p>
    <w:p w14:paraId="5FAFDDB3" w14:textId="77777777" w:rsidR="005315D4" w:rsidRPr="00663CC3" w:rsidRDefault="00C8732F" w:rsidP="008A5CDB">
      <w:pPr>
        <w:pStyle w:val="Heading2"/>
        <w:spacing w:line="360" w:lineRule="auto"/>
        <w:jc w:val="both"/>
        <w:rPr>
          <w:color w:val="auto"/>
        </w:rPr>
      </w:pPr>
      <w:bookmarkStart w:id="5" w:name="_Toc235189522"/>
      <w:r w:rsidRPr="00663CC3">
        <w:rPr>
          <w:color w:val="auto"/>
        </w:rPr>
        <w:t>2.1 External Analysis – PESTEL Framework</w:t>
      </w:r>
      <w:bookmarkEnd w:id="5"/>
    </w:p>
    <w:p w14:paraId="78D8FFFB" w14:textId="77777777" w:rsidR="005315D4" w:rsidRPr="00663CC3" w:rsidRDefault="00C8732F" w:rsidP="008A5CDB">
      <w:pPr>
        <w:pStyle w:val="Heading3"/>
        <w:spacing w:line="360" w:lineRule="auto"/>
        <w:jc w:val="both"/>
      </w:pPr>
      <w:bookmarkStart w:id="6" w:name="_Toc235189523"/>
      <w:r w:rsidRPr="00663CC3">
        <w:t>Political Factors</w:t>
      </w:r>
      <w:bookmarkEnd w:id="6"/>
    </w:p>
    <w:p w14:paraId="37E125DD" w14:textId="3A67DDEB" w:rsidR="005315D4" w:rsidRPr="00663CC3" w:rsidRDefault="00C35174" w:rsidP="008A5CDB">
      <w:pPr>
        <w:spacing w:after="200" w:line="360" w:lineRule="auto"/>
        <w:jc w:val="both"/>
      </w:pPr>
      <w:r w:rsidRPr="00663CC3">
        <w:t xml:space="preserve">The UK’s ZEV Mandate continues to be the key political factor. Increasing sales targets for zero emission vehicles (33% in 2026, 38% in 2027, reaching 80% by 2030) and high economic sanctions for non-compliance (SMMT, 2026b; Net Zero Compare, 2026) create structured demand for competitive NEVs. Lighter baselines for Chinese companies, such as BYD, were created historically, although some proposals will likely make them stricter in the future (Auto Express, 2026; FuelCellsWorks, 2026). There is a threat of geopolitical problems and EU-like tariffs for Chinese-made vehicles; however, the UK has not imposed any tariffs on those vehicles to date. Finally, introducing vehicle excise duty (VED) on zero-emissions cars starting from April 2025 and introducing the future electric vehicle excise duty (eVED) of 3 pence per </w:t>
      </w:r>
      <w:r w:rsidRPr="00663CC3">
        <w:lastRenderedPageBreak/>
        <w:t>mile starting from April 2028 adds to the costs of ownership (House of Commons Library, 2026).</w:t>
      </w:r>
    </w:p>
    <w:p w14:paraId="5376557E" w14:textId="77777777" w:rsidR="005315D4" w:rsidRPr="00663CC3" w:rsidRDefault="00C8732F" w:rsidP="008A5CDB">
      <w:pPr>
        <w:pStyle w:val="Heading3"/>
        <w:spacing w:line="360" w:lineRule="auto"/>
        <w:jc w:val="both"/>
      </w:pPr>
      <w:bookmarkStart w:id="7" w:name="_Toc235189524"/>
      <w:r w:rsidRPr="00663CC3">
        <w:t>Economic Factors</w:t>
      </w:r>
      <w:bookmarkEnd w:id="7"/>
    </w:p>
    <w:p w14:paraId="7DBAA42D" w14:textId="0CC7D676" w:rsidR="005315D4" w:rsidRPr="00663CC3" w:rsidRDefault="00C35174" w:rsidP="008A5CDB">
      <w:pPr>
        <w:spacing w:after="200" w:line="360" w:lineRule="auto"/>
        <w:jc w:val="both"/>
      </w:pPr>
      <w:r w:rsidRPr="00663CC3">
        <w:t>With high fuel prices, higher interest rates and cost-of-living factors becoming common, efficiency of the PHEV’s is gaining significance. Competitive pricing and good residual value profile of BYD has been well received by individual buyers who are looking to reduce their total cost of ownership. But upcoming eVED program and any tightening of ZEV Mandate may temper the increase in demand. Currency risks (GBP/CNY) and logistics charges have an impact on the landed cost of imports, but future plans by BYD for Europe will be a mitigating factor going forward (Ad-hoc-news, 2026).</w:t>
      </w:r>
    </w:p>
    <w:p w14:paraId="7C3957A4" w14:textId="77777777" w:rsidR="005315D4" w:rsidRPr="00663CC3" w:rsidRDefault="00C8732F" w:rsidP="008A5CDB">
      <w:pPr>
        <w:pStyle w:val="Heading3"/>
        <w:spacing w:line="360" w:lineRule="auto"/>
        <w:jc w:val="both"/>
      </w:pPr>
      <w:bookmarkStart w:id="8" w:name="_Toc235189525"/>
      <w:r w:rsidRPr="00663CC3">
        <w:t>Social Factors</w:t>
      </w:r>
      <w:bookmarkEnd w:id="8"/>
    </w:p>
    <w:p w14:paraId="3EE4342D" w14:textId="0A3F6892" w:rsidR="005315D4" w:rsidRPr="00663CC3" w:rsidRDefault="00C35174" w:rsidP="008A5CDB">
      <w:pPr>
        <w:spacing w:after="200" w:line="360" w:lineRule="auto"/>
        <w:jc w:val="both"/>
      </w:pPr>
      <w:r w:rsidRPr="00663CC3">
        <w:t>Consumers’ perspectives about EVs keep improving, but range anxiety, charging convenience and battery life issues still exist for general consumers (Cox Automotive, 2026). Dual strategy of BEVs and DM-i PHEVs of BYD successfully tackles these issues. Increasing eco-awareness of young people and city dwellers fits perfectly well with the brand’s “Cool the Earth by 1°C”. Private buyers’ priority despite no incentives shows how value is becoming more important than incentives.</w:t>
      </w:r>
    </w:p>
    <w:p w14:paraId="53B27717" w14:textId="77777777" w:rsidR="005315D4" w:rsidRPr="00663CC3" w:rsidRDefault="00C8732F" w:rsidP="008A5CDB">
      <w:pPr>
        <w:pStyle w:val="Heading3"/>
        <w:spacing w:line="360" w:lineRule="auto"/>
        <w:jc w:val="both"/>
      </w:pPr>
      <w:bookmarkStart w:id="9" w:name="_Toc235189526"/>
      <w:r w:rsidRPr="00663CC3">
        <w:t>Technological Factors</w:t>
      </w:r>
      <w:bookmarkEnd w:id="9"/>
    </w:p>
    <w:p w14:paraId="008F97E8" w14:textId="3E426F35" w:rsidR="005315D4" w:rsidRPr="00663CC3" w:rsidRDefault="00C35174" w:rsidP="008A5CDB">
      <w:pPr>
        <w:spacing w:after="200" w:line="360" w:lineRule="auto"/>
        <w:jc w:val="both"/>
      </w:pPr>
      <w:r w:rsidRPr="00663CC3">
        <w:t>BYD Blade Battery and its fifth generation DM-i hybrid technology represent examples of the technological distinctiveness of the automaker. In addition to that, BYD is constructing the ultra-fast 1,500 kW "Flash" charging stations in the UK and is able to charge electric cars with the help of these stations in just a few minutes (Autocar, 2026). The UK public charging network totaled 121,171 units at the end of June 2026, and the number of ultra-rapid chargers increased by 37 percent compared to the previous year (Zapmap/Fleet World, 2026).</w:t>
      </w:r>
    </w:p>
    <w:p w14:paraId="1FC35E00" w14:textId="77777777" w:rsidR="005315D4" w:rsidRPr="00663CC3" w:rsidRDefault="00C8732F" w:rsidP="008A5CDB">
      <w:pPr>
        <w:pStyle w:val="Heading3"/>
        <w:spacing w:line="360" w:lineRule="auto"/>
        <w:jc w:val="both"/>
      </w:pPr>
      <w:bookmarkStart w:id="10" w:name="_Toc235189527"/>
      <w:r w:rsidRPr="00663CC3">
        <w:t>Environmental Factors</w:t>
      </w:r>
      <w:bookmarkEnd w:id="10"/>
    </w:p>
    <w:p w14:paraId="24F9DAC1" w14:textId="617680F3" w:rsidR="005315D4" w:rsidRPr="00663CC3" w:rsidRDefault="00C35174" w:rsidP="008A5CDB">
      <w:pPr>
        <w:spacing w:after="200" w:line="360" w:lineRule="auto"/>
        <w:jc w:val="both"/>
      </w:pPr>
      <w:r w:rsidRPr="00663CC3">
        <w:t xml:space="preserve">The United Kingdom's legal net-zero target for 2050 and the increase in the number of Clean Air Zones in big cities keep increasing the demand for zero- and low-emission cars (UK Government, 2025). The mandate to produce more zero-emission vehicles also drives this change, as more and more shares of car sales should be zero-emission cars. BYD is supporting this trend thanks to its climate ambitions. The firm aims at becoming carbon neutral along its </w:t>
      </w:r>
      <w:r w:rsidRPr="00663CC3">
        <w:lastRenderedPageBreak/>
        <w:t>entire value chain by 2045 and reducing carbon intensity by 50% by 2030 in comparison to the 2023 baseline (BYD, 2025c). Even in 2025, around 4.6 million new-energy vehicles sold in the world helped to reduce around 46.6 million tonnes of CO₂ emissions (BYD, 2025c). This increases the brand's reputation as far as ESG is concerned. Nevertheless, the increasing concern about the environmental impact of battery raw material supply chains, especially the Chinese ones, may harm the brand's reputation (Transport &amp; Environment, 2025).</w:t>
      </w:r>
    </w:p>
    <w:p w14:paraId="2049D84C" w14:textId="77777777" w:rsidR="005315D4" w:rsidRPr="00663CC3" w:rsidRDefault="00C8732F" w:rsidP="008A5CDB">
      <w:pPr>
        <w:pStyle w:val="Heading3"/>
        <w:spacing w:line="360" w:lineRule="auto"/>
        <w:jc w:val="both"/>
      </w:pPr>
      <w:bookmarkStart w:id="11" w:name="_Toc235189528"/>
      <w:r w:rsidRPr="00663CC3">
        <w:t>Legal Factors</w:t>
      </w:r>
      <w:bookmarkEnd w:id="11"/>
    </w:p>
    <w:p w14:paraId="4BFBA3F4" w14:textId="722095E0" w:rsidR="005315D4" w:rsidRPr="00663CC3" w:rsidRDefault="00C35174" w:rsidP="008A5CDB">
      <w:pPr>
        <w:spacing w:after="200" w:line="360" w:lineRule="auto"/>
        <w:jc w:val="both"/>
      </w:pPr>
      <w:r w:rsidRPr="00663CC3">
        <w:t>Manufacturers of all vehicle types in the UK need to abide by the standards of type-approval, data protection regulations for connected cars per UK GDPR, the upcoming right to repair regulation, and consumer protection laws. The same is true for domestic and imported car manufacturers. In the future, local content regulation or “Made in Europe” policies may be a threat to only importers, as the latter would not have any manufacturing facilities in the area of concern (Reuters, 2026). It makes the strategy for BYD’s manufacturing capacity expansion in Europe even more relevant. The external environment provides a good opportunity for a competitively priced NEV manufacturer, however, with some risks related to regulations, trade issues, and taxation of electric mobility</w:t>
      </w:r>
      <w:r w:rsidR="001F4A3B" w:rsidRPr="00663CC3">
        <w:t>.</w:t>
      </w:r>
    </w:p>
    <w:p w14:paraId="5DFF55BC" w14:textId="77777777" w:rsidR="005315D4" w:rsidRPr="00663CC3" w:rsidRDefault="00C8732F" w:rsidP="008A5CDB">
      <w:pPr>
        <w:pStyle w:val="Heading2"/>
        <w:spacing w:line="360" w:lineRule="auto"/>
        <w:jc w:val="both"/>
        <w:rPr>
          <w:color w:val="auto"/>
        </w:rPr>
      </w:pPr>
      <w:bookmarkStart w:id="12" w:name="_Toc235189529"/>
      <w:r w:rsidRPr="00663CC3">
        <w:rPr>
          <w:color w:val="auto"/>
        </w:rPr>
        <w:t>2.2 Internal Analysis – VRIO Framework</w:t>
      </w:r>
      <w:bookmarkEnd w:id="12"/>
    </w:p>
    <w:p w14:paraId="2788E770" w14:textId="77777777" w:rsidR="005315D4" w:rsidRPr="00663CC3" w:rsidRDefault="00C8732F" w:rsidP="008A5CDB">
      <w:pPr>
        <w:spacing w:after="200" w:line="360" w:lineRule="auto"/>
        <w:jc w:val="both"/>
      </w:pPr>
      <w:r w:rsidRPr="00663CC3">
        <w:t>Barney’s (1991) VRIO framework is applied to evaluate whether BYD’s resources and capabilities can sustain competitive advantage in the UK market.</w:t>
      </w:r>
    </w:p>
    <w:p w14:paraId="4A237ADE" w14:textId="77777777" w:rsidR="005315D4" w:rsidRPr="00663CC3" w:rsidRDefault="00C8732F" w:rsidP="008A5CDB">
      <w:pPr>
        <w:spacing w:before="200" w:after="100" w:line="360" w:lineRule="auto"/>
        <w:jc w:val="both"/>
      </w:pPr>
      <w:r w:rsidRPr="00663CC3">
        <w:rPr>
          <w:b/>
          <w:bCs/>
          <w:i/>
          <w:iCs/>
          <w:sz w:val="20"/>
          <w:szCs w:val="20"/>
        </w:rPr>
        <w:t>Table 1: VRIO Analysis of BYD’s Key Resources and Capabilities (UK Focus)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1400"/>
        <w:gridCol w:w="1400"/>
        <w:gridCol w:w="1400"/>
        <w:gridCol w:w="2626"/>
      </w:tblGrid>
      <w:tr w:rsidR="005315D4" w:rsidRPr="00663CC3" w14:paraId="303DA3F8" w14:textId="77777777">
        <w:tc>
          <w:tcPr>
            <w:tcW w:w="2200"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4E2D85EB" w14:textId="77777777" w:rsidR="005315D4" w:rsidRPr="00663CC3" w:rsidRDefault="00C8732F" w:rsidP="008A5CDB">
            <w:pPr>
              <w:spacing w:line="360" w:lineRule="auto"/>
              <w:jc w:val="both"/>
            </w:pPr>
            <w:r w:rsidRPr="00663CC3">
              <w:rPr>
                <w:b/>
                <w:bCs/>
                <w:sz w:val="16"/>
                <w:szCs w:val="16"/>
              </w:rPr>
              <w:t>Resource / Capability</w:t>
            </w:r>
          </w:p>
        </w:tc>
        <w:tc>
          <w:tcPr>
            <w:tcW w:w="1400"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43775818" w14:textId="77777777" w:rsidR="005315D4" w:rsidRPr="00663CC3" w:rsidRDefault="00C8732F" w:rsidP="008A5CDB">
            <w:pPr>
              <w:spacing w:line="360" w:lineRule="auto"/>
              <w:jc w:val="both"/>
            </w:pPr>
            <w:r w:rsidRPr="00663CC3">
              <w:rPr>
                <w:b/>
                <w:bCs/>
                <w:sz w:val="16"/>
                <w:szCs w:val="16"/>
              </w:rPr>
              <w:t>Valuable?</w:t>
            </w:r>
          </w:p>
        </w:tc>
        <w:tc>
          <w:tcPr>
            <w:tcW w:w="1400"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547B74BF" w14:textId="77777777" w:rsidR="005315D4" w:rsidRPr="00663CC3" w:rsidRDefault="00C8732F" w:rsidP="008A5CDB">
            <w:pPr>
              <w:spacing w:line="360" w:lineRule="auto"/>
              <w:jc w:val="both"/>
            </w:pPr>
            <w:r w:rsidRPr="00663CC3">
              <w:rPr>
                <w:b/>
                <w:bCs/>
                <w:sz w:val="16"/>
                <w:szCs w:val="16"/>
              </w:rPr>
              <w:t>Rare?</w:t>
            </w:r>
          </w:p>
        </w:tc>
        <w:tc>
          <w:tcPr>
            <w:tcW w:w="1400"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1F3AB009" w14:textId="77777777" w:rsidR="005315D4" w:rsidRPr="00663CC3" w:rsidRDefault="00C8732F" w:rsidP="008A5CDB">
            <w:pPr>
              <w:spacing w:line="360" w:lineRule="auto"/>
              <w:jc w:val="both"/>
            </w:pPr>
            <w:r w:rsidRPr="00663CC3">
              <w:rPr>
                <w:b/>
                <w:bCs/>
                <w:sz w:val="16"/>
                <w:szCs w:val="16"/>
              </w:rPr>
              <w:t>Inimitable?</w:t>
            </w:r>
          </w:p>
        </w:tc>
        <w:tc>
          <w:tcPr>
            <w:tcW w:w="2626"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29800B48" w14:textId="77777777" w:rsidR="005315D4" w:rsidRPr="00663CC3" w:rsidRDefault="00C8732F" w:rsidP="008A5CDB">
            <w:pPr>
              <w:spacing w:line="360" w:lineRule="auto"/>
              <w:jc w:val="both"/>
            </w:pPr>
            <w:r w:rsidRPr="00663CC3">
              <w:rPr>
                <w:b/>
                <w:bCs/>
                <w:sz w:val="16"/>
                <w:szCs w:val="16"/>
              </w:rPr>
              <w:t>Organised?</w:t>
            </w:r>
          </w:p>
        </w:tc>
      </w:tr>
      <w:tr w:rsidR="005315D4" w:rsidRPr="00663CC3" w14:paraId="18CFE53C" w14:textId="77777777">
        <w:tc>
          <w:tcPr>
            <w:tcW w:w="22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47C840A1" w14:textId="77777777" w:rsidR="005315D4" w:rsidRPr="00663CC3" w:rsidRDefault="00C8732F" w:rsidP="008A5CDB">
            <w:pPr>
              <w:spacing w:line="360" w:lineRule="auto"/>
              <w:jc w:val="both"/>
            </w:pPr>
            <w:r w:rsidRPr="00663CC3">
              <w:rPr>
                <w:sz w:val="16"/>
                <w:szCs w:val="16"/>
              </w:rPr>
              <w:t>Vertical integration (Blade Battery, semiconductors, e-Platform)</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68642AAA" w14:textId="77777777" w:rsidR="005315D4" w:rsidRPr="00663CC3" w:rsidRDefault="00C8732F" w:rsidP="008A5CDB">
            <w:pPr>
              <w:spacing w:line="360" w:lineRule="auto"/>
              <w:jc w:val="both"/>
            </w:pPr>
            <w:r w:rsidRPr="00663CC3">
              <w:rPr>
                <w:sz w:val="16"/>
                <w:szCs w:val="16"/>
              </w:rPr>
              <w:t>Yes – cost &amp; quality control</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65C5B537" w14:textId="77777777" w:rsidR="005315D4" w:rsidRPr="00663CC3" w:rsidRDefault="00C8732F" w:rsidP="008A5CDB">
            <w:pPr>
              <w:spacing w:line="360" w:lineRule="auto"/>
              <w:jc w:val="both"/>
            </w:pPr>
            <w:r w:rsidRPr="00663CC3">
              <w:rPr>
                <w:sz w:val="16"/>
                <w:szCs w:val="16"/>
              </w:rPr>
              <w:t>Yes – few rivals match depth</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6CC5E9AD" w14:textId="77777777" w:rsidR="005315D4" w:rsidRPr="00663CC3" w:rsidRDefault="00C8732F" w:rsidP="008A5CDB">
            <w:pPr>
              <w:spacing w:line="360" w:lineRule="auto"/>
              <w:jc w:val="both"/>
            </w:pPr>
            <w:r w:rsidRPr="00663CC3">
              <w:rPr>
                <w:sz w:val="16"/>
                <w:szCs w:val="16"/>
              </w:rPr>
              <w:t>Yes – complex, path-dependent</w:t>
            </w:r>
          </w:p>
        </w:tc>
        <w:tc>
          <w:tcPr>
            <w:tcW w:w="2626"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7FA284DC" w14:textId="77777777" w:rsidR="005315D4" w:rsidRPr="00663CC3" w:rsidRDefault="00C8732F" w:rsidP="008A5CDB">
            <w:pPr>
              <w:spacing w:line="360" w:lineRule="auto"/>
              <w:jc w:val="both"/>
            </w:pPr>
            <w:r w:rsidRPr="00663CC3">
              <w:rPr>
                <w:sz w:val="16"/>
                <w:szCs w:val="16"/>
              </w:rPr>
              <w:t>Yes – core organisational design → Sustained advantage</w:t>
            </w:r>
          </w:p>
        </w:tc>
      </w:tr>
      <w:tr w:rsidR="005315D4" w:rsidRPr="00663CC3" w14:paraId="366B565D" w14:textId="77777777">
        <w:tc>
          <w:tcPr>
            <w:tcW w:w="22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7A99E544" w14:textId="77777777" w:rsidR="005315D4" w:rsidRPr="00663CC3" w:rsidRDefault="00C8732F" w:rsidP="008A5CDB">
            <w:pPr>
              <w:spacing w:line="360" w:lineRule="auto"/>
              <w:jc w:val="both"/>
            </w:pPr>
            <w:r w:rsidRPr="00663CC3">
              <w:rPr>
                <w:sz w:val="16"/>
                <w:szCs w:val="16"/>
              </w:rPr>
              <w:t>DM-i Super Hybrid technology</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7CFD63ED" w14:textId="77777777" w:rsidR="005315D4" w:rsidRPr="00663CC3" w:rsidRDefault="00C8732F" w:rsidP="008A5CDB">
            <w:pPr>
              <w:spacing w:line="360" w:lineRule="auto"/>
              <w:jc w:val="both"/>
            </w:pPr>
            <w:r w:rsidRPr="00663CC3">
              <w:rPr>
                <w:sz w:val="16"/>
                <w:szCs w:val="16"/>
              </w:rPr>
              <w:t>Yes – addresses range anxiety</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1FEF6F9D" w14:textId="77777777" w:rsidR="005315D4" w:rsidRPr="00663CC3" w:rsidRDefault="00C8732F" w:rsidP="008A5CDB">
            <w:pPr>
              <w:spacing w:line="360" w:lineRule="auto"/>
              <w:jc w:val="both"/>
            </w:pPr>
            <w:r w:rsidRPr="00663CC3">
              <w:rPr>
                <w:sz w:val="16"/>
                <w:szCs w:val="16"/>
              </w:rPr>
              <w:t>Moderately rare</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3F999EE5" w14:textId="77777777" w:rsidR="005315D4" w:rsidRPr="00663CC3" w:rsidRDefault="00C8732F" w:rsidP="008A5CDB">
            <w:pPr>
              <w:spacing w:line="360" w:lineRule="auto"/>
              <w:jc w:val="both"/>
            </w:pPr>
            <w:r w:rsidRPr="00663CC3">
              <w:rPr>
                <w:sz w:val="16"/>
                <w:szCs w:val="16"/>
              </w:rPr>
              <w:t>Partially – reverse-engineering risk</w:t>
            </w:r>
          </w:p>
        </w:tc>
        <w:tc>
          <w:tcPr>
            <w:tcW w:w="2626"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03718E43" w14:textId="77777777" w:rsidR="005315D4" w:rsidRPr="00663CC3" w:rsidRDefault="00C8732F" w:rsidP="008A5CDB">
            <w:pPr>
              <w:spacing w:line="360" w:lineRule="auto"/>
              <w:jc w:val="both"/>
            </w:pPr>
            <w:r w:rsidRPr="00663CC3">
              <w:rPr>
                <w:sz w:val="16"/>
                <w:szCs w:val="16"/>
              </w:rPr>
              <w:t>Yes → Temporary-to-sustained advantage</w:t>
            </w:r>
          </w:p>
        </w:tc>
      </w:tr>
      <w:tr w:rsidR="005315D4" w:rsidRPr="00663CC3" w14:paraId="20BE8CE9" w14:textId="77777777">
        <w:tc>
          <w:tcPr>
            <w:tcW w:w="22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4EDD0633" w14:textId="77777777" w:rsidR="005315D4" w:rsidRPr="00663CC3" w:rsidRDefault="00C8732F" w:rsidP="008A5CDB">
            <w:pPr>
              <w:spacing w:line="360" w:lineRule="auto"/>
              <w:jc w:val="both"/>
            </w:pPr>
            <w:r w:rsidRPr="00663CC3">
              <w:rPr>
                <w:sz w:val="16"/>
                <w:szCs w:val="16"/>
              </w:rPr>
              <w:t>Rapid product development &amp; model cadence</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043B942" w14:textId="77777777" w:rsidR="005315D4" w:rsidRPr="00663CC3" w:rsidRDefault="00C8732F" w:rsidP="008A5CDB">
            <w:pPr>
              <w:spacing w:line="360" w:lineRule="auto"/>
              <w:jc w:val="both"/>
            </w:pPr>
            <w:r w:rsidRPr="00663CC3">
              <w:rPr>
                <w:sz w:val="16"/>
                <w:szCs w:val="16"/>
              </w:rPr>
              <w:t>Yes – keeps range fresh</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126CD94" w14:textId="77777777" w:rsidR="005315D4" w:rsidRPr="00663CC3" w:rsidRDefault="00C8732F" w:rsidP="008A5CDB">
            <w:pPr>
              <w:spacing w:line="360" w:lineRule="auto"/>
              <w:jc w:val="both"/>
            </w:pPr>
            <w:r w:rsidRPr="00663CC3">
              <w:rPr>
                <w:sz w:val="16"/>
                <w:szCs w:val="16"/>
              </w:rPr>
              <w:t>Yes among Chinese peers</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8A96DE0" w14:textId="77777777" w:rsidR="005315D4" w:rsidRPr="00663CC3" w:rsidRDefault="00C8732F" w:rsidP="008A5CDB">
            <w:pPr>
              <w:spacing w:line="360" w:lineRule="auto"/>
              <w:jc w:val="both"/>
            </w:pPr>
            <w:r w:rsidRPr="00663CC3">
              <w:rPr>
                <w:sz w:val="16"/>
                <w:szCs w:val="16"/>
              </w:rPr>
              <w:t>Difficult for legacy OEMs</w:t>
            </w:r>
          </w:p>
        </w:tc>
        <w:tc>
          <w:tcPr>
            <w:tcW w:w="2626"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36E8EC50" w14:textId="77777777" w:rsidR="005315D4" w:rsidRPr="00663CC3" w:rsidRDefault="00C8732F" w:rsidP="008A5CDB">
            <w:pPr>
              <w:spacing w:line="360" w:lineRule="auto"/>
              <w:jc w:val="both"/>
            </w:pPr>
            <w:r w:rsidRPr="00663CC3">
              <w:rPr>
                <w:sz w:val="16"/>
                <w:szCs w:val="16"/>
              </w:rPr>
              <w:t>Yes → Sustained advantage</w:t>
            </w:r>
          </w:p>
        </w:tc>
      </w:tr>
      <w:tr w:rsidR="005315D4" w:rsidRPr="00663CC3" w14:paraId="25520499" w14:textId="77777777">
        <w:tc>
          <w:tcPr>
            <w:tcW w:w="22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493083F0" w14:textId="77777777" w:rsidR="005315D4" w:rsidRPr="00663CC3" w:rsidRDefault="00C8732F" w:rsidP="008A5CDB">
            <w:pPr>
              <w:spacing w:line="360" w:lineRule="auto"/>
              <w:jc w:val="both"/>
            </w:pPr>
            <w:r w:rsidRPr="00663CC3">
              <w:rPr>
                <w:sz w:val="16"/>
                <w:szCs w:val="16"/>
              </w:rPr>
              <w:t>UK dealer network partnerships (125+ sites)</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654257FD" w14:textId="77777777" w:rsidR="005315D4" w:rsidRPr="00663CC3" w:rsidRDefault="00C8732F" w:rsidP="008A5CDB">
            <w:pPr>
              <w:spacing w:line="360" w:lineRule="auto"/>
              <w:jc w:val="both"/>
            </w:pPr>
            <w:r w:rsidRPr="00663CC3">
              <w:rPr>
                <w:sz w:val="16"/>
                <w:szCs w:val="16"/>
              </w:rPr>
              <w:t>Yes – speed to market</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3D3681E4" w14:textId="77777777" w:rsidR="005315D4" w:rsidRPr="00663CC3" w:rsidRDefault="00C8732F" w:rsidP="008A5CDB">
            <w:pPr>
              <w:spacing w:line="360" w:lineRule="auto"/>
              <w:jc w:val="both"/>
            </w:pPr>
            <w:r w:rsidRPr="00663CC3">
              <w:rPr>
                <w:sz w:val="16"/>
                <w:szCs w:val="16"/>
              </w:rPr>
              <w:t>No – replicable</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6F21E0C4" w14:textId="77777777" w:rsidR="005315D4" w:rsidRPr="00663CC3" w:rsidRDefault="00C8732F" w:rsidP="008A5CDB">
            <w:pPr>
              <w:spacing w:line="360" w:lineRule="auto"/>
              <w:jc w:val="both"/>
            </w:pPr>
            <w:r w:rsidRPr="00663CC3">
              <w:rPr>
                <w:sz w:val="16"/>
                <w:szCs w:val="16"/>
              </w:rPr>
              <w:t>No</w:t>
            </w:r>
          </w:p>
        </w:tc>
        <w:tc>
          <w:tcPr>
            <w:tcW w:w="2626"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01B8B059" w14:textId="77777777" w:rsidR="005315D4" w:rsidRPr="00663CC3" w:rsidRDefault="00C8732F" w:rsidP="008A5CDB">
            <w:pPr>
              <w:spacing w:line="360" w:lineRule="auto"/>
              <w:jc w:val="both"/>
            </w:pPr>
            <w:r w:rsidRPr="00663CC3">
              <w:rPr>
                <w:sz w:val="16"/>
                <w:szCs w:val="16"/>
              </w:rPr>
              <w:t>Yes → Competitive parity / temporary advantage</w:t>
            </w:r>
          </w:p>
        </w:tc>
      </w:tr>
      <w:tr w:rsidR="005315D4" w:rsidRPr="00663CC3" w14:paraId="56E5F9FC" w14:textId="77777777">
        <w:tc>
          <w:tcPr>
            <w:tcW w:w="22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56873940" w14:textId="77777777" w:rsidR="005315D4" w:rsidRPr="00663CC3" w:rsidRDefault="00C8732F" w:rsidP="008A5CDB">
            <w:pPr>
              <w:spacing w:line="360" w:lineRule="auto"/>
              <w:jc w:val="both"/>
            </w:pPr>
            <w:r w:rsidRPr="00663CC3">
              <w:rPr>
                <w:sz w:val="16"/>
                <w:szCs w:val="16"/>
              </w:rPr>
              <w:t>Brand equity &amp; “Cool the Earth” positioning</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CAC2AAA" w14:textId="77777777" w:rsidR="005315D4" w:rsidRPr="00663CC3" w:rsidRDefault="00C8732F" w:rsidP="008A5CDB">
            <w:pPr>
              <w:spacing w:line="360" w:lineRule="auto"/>
              <w:jc w:val="both"/>
            </w:pPr>
            <w:r w:rsidRPr="00663CC3">
              <w:rPr>
                <w:sz w:val="16"/>
                <w:szCs w:val="16"/>
              </w:rPr>
              <w:t>Yes – growing recognition</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3ED6A24" w14:textId="77777777" w:rsidR="005315D4" w:rsidRPr="00663CC3" w:rsidRDefault="00C8732F" w:rsidP="008A5CDB">
            <w:pPr>
              <w:spacing w:line="360" w:lineRule="auto"/>
              <w:jc w:val="both"/>
            </w:pPr>
            <w:r w:rsidRPr="00663CC3">
              <w:rPr>
                <w:sz w:val="16"/>
                <w:szCs w:val="16"/>
              </w:rPr>
              <w:t>Emerging</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60DAB44" w14:textId="77777777" w:rsidR="005315D4" w:rsidRPr="00663CC3" w:rsidRDefault="00C8732F" w:rsidP="008A5CDB">
            <w:pPr>
              <w:spacing w:line="360" w:lineRule="auto"/>
              <w:jc w:val="both"/>
            </w:pPr>
            <w:r w:rsidRPr="00663CC3">
              <w:rPr>
                <w:sz w:val="16"/>
                <w:szCs w:val="16"/>
              </w:rPr>
              <w:t>No – can be imitated</w:t>
            </w:r>
          </w:p>
        </w:tc>
        <w:tc>
          <w:tcPr>
            <w:tcW w:w="2626"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25700E6C" w14:textId="77777777" w:rsidR="005315D4" w:rsidRPr="00663CC3" w:rsidRDefault="00C8732F" w:rsidP="008A5CDB">
            <w:pPr>
              <w:spacing w:line="360" w:lineRule="auto"/>
              <w:jc w:val="both"/>
            </w:pPr>
            <w:r w:rsidRPr="00663CC3">
              <w:rPr>
                <w:sz w:val="16"/>
                <w:szCs w:val="16"/>
              </w:rPr>
              <w:t>Partially → Temporary advantage</w:t>
            </w:r>
          </w:p>
        </w:tc>
      </w:tr>
      <w:tr w:rsidR="005315D4" w:rsidRPr="00663CC3" w14:paraId="6D4AF4A4" w14:textId="77777777">
        <w:tc>
          <w:tcPr>
            <w:tcW w:w="22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4FB40D97" w14:textId="77777777" w:rsidR="005315D4" w:rsidRPr="00663CC3" w:rsidRDefault="00C8732F" w:rsidP="008A5CDB">
            <w:pPr>
              <w:spacing w:line="360" w:lineRule="auto"/>
              <w:jc w:val="both"/>
            </w:pPr>
            <w:r w:rsidRPr="00663CC3">
              <w:rPr>
                <w:sz w:val="16"/>
                <w:szCs w:val="16"/>
              </w:rPr>
              <w:lastRenderedPageBreak/>
              <w:t>R&amp;D intensity (RMB 63.4 bn in 2025)</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497A39EA" w14:textId="77777777" w:rsidR="005315D4" w:rsidRPr="00663CC3" w:rsidRDefault="00C8732F" w:rsidP="008A5CDB">
            <w:pPr>
              <w:spacing w:line="360" w:lineRule="auto"/>
              <w:jc w:val="both"/>
            </w:pPr>
            <w:r w:rsidRPr="00663CC3">
              <w:rPr>
                <w:sz w:val="16"/>
                <w:szCs w:val="16"/>
              </w:rPr>
              <w:t>Yes – innovation pipeline</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710C9A99" w14:textId="77777777" w:rsidR="005315D4" w:rsidRPr="00663CC3" w:rsidRDefault="00C8732F" w:rsidP="008A5CDB">
            <w:pPr>
              <w:spacing w:line="360" w:lineRule="auto"/>
              <w:jc w:val="both"/>
            </w:pPr>
            <w:r w:rsidRPr="00663CC3">
              <w:rPr>
                <w:sz w:val="16"/>
                <w:szCs w:val="16"/>
              </w:rPr>
              <w:t>Yes at this scale</w:t>
            </w:r>
          </w:p>
        </w:tc>
        <w:tc>
          <w:tcPr>
            <w:tcW w:w="1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0B93E28F" w14:textId="77777777" w:rsidR="005315D4" w:rsidRPr="00663CC3" w:rsidRDefault="00C8732F" w:rsidP="008A5CDB">
            <w:pPr>
              <w:spacing w:line="360" w:lineRule="auto"/>
              <w:jc w:val="both"/>
            </w:pPr>
            <w:r w:rsidRPr="00663CC3">
              <w:rPr>
                <w:sz w:val="16"/>
                <w:szCs w:val="16"/>
              </w:rPr>
              <w:t>Difficult to match quickly</w:t>
            </w:r>
          </w:p>
        </w:tc>
        <w:tc>
          <w:tcPr>
            <w:tcW w:w="2626"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43674EE8" w14:textId="77777777" w:rsidR="005315D4" w:rsidRPr="00663CC3" w:rsidRDefault="00C8732F" w:rsidP="008A5CDB">
            <w:pPr>
              <w:spacing w:line="360" w:lineRule="auto"/>
              <w:jc w:val="both"/>
            </w:pPr>
            <w:r w:rsidRPr="00663CC3">
              <w:rPr>
                <w:sz w:val="16"/>
                <w:szCs w:val="16"/>
              </w:rPr>
              <w:t>Yes → Sustained advantage</w:t>
            </w:r>
          </w:p>
        </w:tc>
      </w:tr>
    </w:tbl>
    <w:p w14:paraId="6F983A07" w14:textId="77777777" w:rsidR="005315D4" w:rsidRPr="00663CC3" w:rsidRDefault="00C8732F" w:rsidP="008A5CDB">
      <w:pPr>
        <w:spacing w:before="100" w:after="200" w:line="360" w:lineRule="auto"/>
        <w:jc w:val="both"/>
      </w:pPr>
      <w:r w:rsidRPr="00663CC3">
        <w:rPr>
          <w:i/>
          <w:iCs/>
          <w:sz w:val="16"/>
          <w:szCs w:val="16"/>
        </w:rPr>
        <w:t>Source: Author’s analysis based on Barney (1991), BYD financial and technical disclosures (2025–2026), and industry reports.</w:t>
      </w:r>
    </w:p>
    <w:p w14:paraId="3DF70186" w14:textId="6A760F9F" w:rsidR="005315D4" w:rsidRPr="00663CC3" w:rsidRDefault="00C35174" w:rsidP="008A5CDB">
      <w:pPr>
        <w:spacing w:after="200" w:line="360" w:lineRule="auto"/>
        <w:jc w:val="both"/>
      </w:pPr>
      <w:r w:rsidRPr="00663CC3">
        <w:t>The analysis shows that the major sources of sustainable competitive advantage of BYD are those related to the company’s vertical integration and the high intensity of R&amp;D activities. The resources that possess these characteristics are valuable, rare, difficult to imitate and firmly embedded into the organization. Partnership of dealers and brand equity provide temporary or parity competitive advantages only.</w:t>
      </w:r>
    </w:p>
    <w:p w14:paraId="48024992" w14:textId="77777777" w:rsidR="005315D4" w:rsidRPr="00663CC3" w:rsidRDefault="00C8732F" w:rsidP="008A5CDB">
      <w:pPr>
        <w:pStyle w:val="Heading2"/>
        <w:spacing w:line="360" w:lineRule="auto"/>
        <w:jc w:val="both"/>
        <w:rPr>
          <w:color w:val="auto"/>
        </w:rPr>
      </w:pPr>
      <w:bookmarkStart w:id="13" w:name="_Toc235189530"/>
      <w:r w:rsidRPr="00663CC3">
        <w:rPr>
          <w:color w:val="auto"/>
        </w:rPr>
        <w:t>2.3 SWOT Analysis</w:t>
      </w:r>
      <w:bookmarkEnd w:id="13"/>
    </w:p>
    <w:p w14:paraId="1ACD425A" w14:textId="77777777" w:rsidR="005315D4" w:rsidRPr="00663CC3" w:rsidRDefault="00C8732F" w:rsidP="008A5CDB">
      <w:pPr>
        <w:spacing w:before="200" w:after="100" w:line="360" w:lineRule="auto"/>
        <w:jc w:val="both"/>
      </w:pPr>
      <w:r w:rsidRPr="00663CC3">
        <w:rPr>
          <w:b/>
          <w:bCs/>
          <w:i/>
          <w:iCs/>
          <w:sz w:val="20"/>
          <w:szCs w:val="20"/>
        </w:rPr>
        <w:t>Table 2: SWOT Analysis – BYD UK EV Business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5315D4" w:rsidRPr="00663CC3" w14:paraId="556099AF" w14:textId="77777777">
        <w:tc>
          <w:tcPr>
            <w:tcW w:w="4513" w:type="dxa"/>
            <w:tcBorders>
              <w:top w:val="single" w:sz="4" w:space="0" w:color="000000"/>
              <w:left w:val="single" w:sz="4" w:space="0" w:color="000000"/>
              <w:bottom w:val="single" w:sz="4" w:space="0" w:color="000000"/>
              <w:right w:val="single" w:sz="4" w:space="0" w:color="000000"/>
            </w:tcBorders>
            <w:shd w:val="clear" w:color="auto" w:fill="2E7D32"/>
            <w:tcMar>
              <w:top w:w="60" w:type="dxa"/>
              <w:left w:w="80" w:type="dxa"/>
              <w:bottom w:w="60" w:type="dxa"/>
              <w:right w:w="80" w:type="dxa"/>
            </w:tcMar>
          </w:tcPr>
          <w:p w14:paraId="4F774824" w14:textId="77777777" w:rsidR="005315D4" w:rsidRPr="00663CC3" w:rsidRDefault="00C8732F" w:rsidP="008A5CDB">
            <w:pPr>
              <w:spacing w:line="360" w:lineRule="auto"/>
              <w:jc w:val="both"/>
            </w:pPr>
            <w:r w:rsidRPr="00663CC3">
              <w:rPr>
                <w:b/>
                <w:bCs/>
                <w:sz w:val="18"/>
                <w:szCs w:val="18"/>
              </w:rPr>
              <w:t>STRENGTHS</w:t>
            </w:r>
          </w:p>
        </w:tc>
        <w:tc>
          <w:tcPr>
            <w:tcW w:w="4513" w:type="dxa"/>
            <w:tcBorders>
              <w:top w:val="single" w:sz="4" w:space="0" w:color="000000"/>
              <w:left w:val="single" w:sz="4" w:space="0" w:color="000000"/>
              <w:bottom w:val="single" w:sz="4" w:space="0" w:color="000000"/>
              <w:right w:val="single" w:sz="4" w:space="0" w:color="000000"/>
            </w:tcBorders>
            <w:shd w:val="clear" w:color="auto" w:fill="C62828"/>
            <w:tcMar>
              <w:top w:w="60" w:type="dxa"/>
              <w:left w:w="80" w:type="dxa"/>
              <w:bottom w:w="60" w:type="dxa"/>
              <w:right w:w="80" w:type="dxa"/>
            </w:tcMar>
          </w:tcPr>
          <w:p w14:paraId="2E1777ED" w14:textId="77777777" w:rsidR="005315D4" w:rsidRPr="00663CC3" w:rsidRDefault="00C8732F" w:rsidP="008A5CDB">
            <w:pPr>
              <w:spacing w:line="360" w:lineRule="auto"/>
              <w:jc w:val="both"/>
            </w:pPr>
            <w:r w:rsidRPr="00663CC3">
              <w:rPr>
                <w:b/>
                <w:bCs/>
                <w:sz w:val="18"/>
                <w:szCs w:val="18"/>
              </w:rPr>
              <w:t>WEAKNESSES</w:t>
            </w:r>
          </w:p>
        </w:tc>
      </w:tr>
      <w:tr w:rsidR="005315D4" w:rsidRPr="00663CC3" w14:paraId="6756DA63" w14:textId="77777777">
        <w:tc>
          <w:tcPr>
            <w:tcW w:w="4513"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75F4BF90" w14:textId="77777777" w:rsidR="005315D4" w:rsidRPr="00663CC3" w:rsidRDefault="00C8732F" w:rsidP="008A5CDB">
            <w:pPr>
              <w:spacing w:line="360" w:lineRule="auto"/>
              <w:jc w:val="both"/>
            </w:pPr>
            <w:r w:rsidRPr="00663CC3">
              <w:rPr>
                <w:sz w:val="16"/>
                <w:szCs w:val="16"/>
              </w:rPr>
              <w:t>• Deep vertical integration → cost leadership &amp; quality control • Blade Battery safety &amp; performance credentials • Broad, frequently refreshed BEV + DM-i product ladder • Rapid dealer network expansion (125+ sites) • Strong private-buyer appeal without grant dependency • High R&amp;D spend and patent portfolio • Clear sustainability narrative (DREAMS / Cool the Earth)</w:t>
            </w:r>
          </w:p>
        </w:tc>
        <w:tc>
          <w:tcPr>
            <w:tcW w:w="4513"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4965F438" w14:textId="77777777" w:rsidR="005315D4" w:rsidRPr="00663CC3" w:rsidRDefault="00C8732F" w:rsidP="008A5CDB">
            <w:pPr>
              <w:spacing w:line="360" w:lineRule="auto"/>
              <w:jc w:val="both"/>
            </w:pPr>
            <w:r w:rsidRPr="00663CC3">
              <w:rPr>
                <w:sz w:val="16"/>
                <w:szCs w:val="16"/>
              </w:rPr>
              <w:t>• Limited brand heritage and residual-value track record vs. established OEMs • Relatively thin UK aftersales and parts experience base • Exposure to China–West geopolitical and tariff risk • Profitability pressure from domestic Chinese price war may constrain UK investment • Still building premium perception relative to Tesla/BMW</w:t>
            </w:r>
          </w:p>
        </w:tc>
      </w:tr>
      <w:tr w:rsidR="005315D4" w:rsidRPr="00663CC3" w14:paraId="0550C96F" w14:textId="77777777">
        <w:tc>
          <w:tcPr>
            <w:tcW w:w="4513" w:type="dxa"/>
            <w:tcBorders>
              <w:top w:val="single" w:sz="4" w:space="0" w:color="000000"/>
              <w:left w:val="single" w:sz="4" w:space="0" w:color="000000"/>
              <w:bottom w:val="single" w:sz="4" w:space="0" w:color="000000"/>
              <w:right w:val="single" w:sz="4" w:space="0" w:color="000000"/>
            </w:tcBorders>
            <w:shd w:val="clear" w:color="auto" w:fill="1565C0"/>
            <w:tcMar>
              <w:top w:w="60" w:type="dxa"/>
              <w:left w:w="80" w:type="dxa"/>
              <w:bottom w:w="60" w:type="dxa"/>
              <w:right w:w="80" w:type="dxa"/>
            </w:tcMar>
          </w:tcPr>
          <w:p w14:paraId="0A050433" w14:textId="77777777" w:rsidR="005315D4" w:rsidRPr="00663CC3" w:rsidRDefault="00C8732F" w:rsidP="008A5CDB">
            <w:pPr>
              <w:spacing w:line="360" w:lineRule="auto"/>
              <w:jc w:val="both"/>
            </w:pPr>
            <w:r w:rsidRPr="00663CC3">
              <w:rPr>
                <w:b/>
                <w:bCs/>
                <w:sz w:val="18"/>
                <w:szCs w:val="18"/>
              </w:rPr>
              <w:t>OPPORTUNITIES</w:t>
            </w:r>
          </w:p>
        </w:tc>
        <w:tc>
          <w:tcPr>
            <w:tcW w:w="4513" w:type="dxa"/>
            <w:tcBorders>
              <w:top w:val="single" w:sz="4" w:space="0" w:color="000000"/>
              <w:left w:val="single" w:sz="4" w:space="0" w:color="000000"/>
              <w:bottom w:val="single" w:sz="4" w:space="0" w:color="000000"/>
              <w:right w:val="single" w:sz="4" w:space="0" w:color="000000"/>
            </w:tcBorders>
            <w:shd w:val="clear" w:color="auto" w:fill="F9A825"/>
            <w:tcMar>
              <w:top w:w="60" w:type="dxa"/>
              <w:left w:w="80" w:type="dxa"/>
              <w:bottom w:w="60" w:type="dxa"/>
              <w:right w:w="80" w:type="dxa"/>
            </w:tcMar>
          </w:tcPr>
          <w:p w14:paraId="7D7ED225" w14:textId="77777777" w:rsidR="005315D4" w:rsidRPr="00663CC3" w:rsidRDefault="00C8732F" w:rsidP="008A5CDB">
            <w:pPr>
              <w:spacing w:line="360" w:lineRule="auto"/>
              <w:jc w:val="both"/>
            </w:pPr>
            <w:r w:rsidRPr="00663CC3">
              <w:rPr>
                <w:b/>
                <w:bCs/>
                <w:sz w:val="18"/>
                <w:szCs w:val="18"/>
              </w:rPr>
              <w:t>THREATS</w:t>
            </w:r>
          </w:p>
        </w:tc>
      </w:tr>
      <w:tr w:rsidR="005315D4" w:rsidRPr="00663CC3" w14:paraId="51123EC5" w14:textId="77777777">
        <w:tc>
          <w:tcPr>
            <w:tcW w:w="4513"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074C61B2" w14:textId="77777777" w:rsidR="005315D4" w:rsidRPr="00663CC3" w:rsidRDefault="00C8732F" w:rsidP="008A5CDB">
            <w:pPr>
              <w:spacing w:line="360" w:lineRule="auto"/>
              <w:jc w:val="both"/>
            </w:pPr>
            <w:r w:rsidRPr="00663CC3">
              <w:rPr>
                <w:sz w:val="16"/>
                <w:szCs w:val="16"/>
              </w:rPr>
              <w:t>• Continued ZEV Mandate pressure on legacy OEMs • Growing consumer acceptance of Chinese NEV brands • Expansion of ultra-fast charging and V2G services • Local European production (Hungary 2026+) reducing logistics &amp; tariff exposure • Fleet and Motability segment growth • Potential second European plant • Rising fuel prices sustaining TCO advantage</w:t>
            </w:r>
          </w:p>
        </w:tc>
        <w:tc>
          <w:tcPr>
            <w:tcW w:w="4513"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184CB040" w14:textId="77777777" w:rsidR="005315D4" w:rsidRPr="00663CC3" w:rsidRDefault="00C8732F" w:rsidP="008A5CDB">
            <w:pPr>
              <w:spacing w:line="360" w:lineRule="auto"/>
              <w:jc w:val="both"/>
            </w:pPr>
            <w:r w:rsidRPr="00663CC3">
              <w:rPr>
                <w:sz w:val="16"/>
                <w:szCs w:val="16"/>
              </w:rPr>
              <w:t>• Possible tightening of ZEV rules or new tariffs on Chinese vehicles • Intensifying competition from other Chinese brands (Jaecoo, MG, Chery) • Introduction of eVED (2028) and higher ownership costs • Charging infrastructure bottlenecks in certain regions • Negative media coverage of labour or supply-chain issues • Currency and shipping-cost volatility</w:t>
            </w:r>
          </w:p>
        </w:tc>
      </w:tr>
    </w:tbl>
    <w:p w14:paraId="6EC972E0" w14:textId="4E423129" w:rsidR="00C016C8" w:rsidRPr="00663CC3" w:rsidRDefault="00C016C8" w:rsidP="008A5CDB">
      <w:pPr>
        <w:spacing w:line="360" w:lineRule="auto"/>
        <w:jc w:val="both"/>
      </w:pPr>
    </w:p>
    <w:p w14:paraId="376E0C05" w14:textId="77777777" w:rsidR="00C016C8" w:rsidRPr="00663CC3" w:rsidRDefault="00C016C8" w:rsidP="008A5CDB">
      <w:pPr>
        <w:spacing w:line="360" w:lineRule="auto"/>
        <w:jc w:val="both"/>
      </w:pPr>
      <w:r w:rsidRPr="00663CC3">
        <w:rPr>
          <w:b/>
          <w:bCs/>
        </w:rPr>
        <w:t>Strengths</w:t>
      </w:r>
      <w:r w:rsidRPr="00663CC3">
        <w:t xml:space="preserve"> </w:t>
      </w:r>
    </w:p>
    <w:p w14:paraId="4148FB47" w14:textId="08CF067F" w:rsidR="00C016C8" w:rsidRPr="00663CC3" w:rsidRDefault="00C35174" w:rsidP="008A5CDB">
      <w:pPr>
        <w:spacing w:line="360" w:lineRule="auto"/>
        <w:jc w:val="both"/>
      </w:pPr>
      <w:r w:rsidRPr="00663CC3">
        <w:t xml:space="preserve">The core strength of BYD is the high degree of vertical integration of the firm. It designs and manufactures its own Blade Battery and most of the other elements used in its production (BYD, 2025a). Thus, BYD enjoys good cost and quality control compared to its less integrated competitors. The blade battery is known for its high safety standards that help to win consumers' trust. Also, BYD has an extensive product range of pure electric vehicles and DM-i plug-in hybrids that are frequently updated. By the end of 2025, the number of dealers in the UK reached 125 and covered almost all regions of the country (Motor Trader, 2025). Crucially, BYD turned into the UK best selling pure electric vehicle brand among private customers in the first months of 2026 even without the right to receive the Electric Car Grant (BYD UK, </w:t>
      </w:r>
      <w:r w:rsidRPr="00663CC3">
        <w:lastRenderedPageBreak/>
        <w:t>2026). Other strengths are high investment in research and development, the figure being RMB 63.4 billion in 2025 or 7.89% of revenues, and high number of patents (BYD, 2025b). Moreover, sustainability strategy formulated within the DREAMS framework and slogan "Cool the Earth by 1°C" add strength to positioning of the brand.</w:t>
      </w:r>
    </w:p>
    <w:p w14:paraId="29FC37A1" w14:textId="77777777" w:rsidR="00C016C8" w:rsidRPr="00663CC3" w:rsidRDefault="00C016C8" w:rsidP="008A5CDB">
      <w:pPr>
        <w:spacing w:line="360" w:lineRule="auto"/>
        <w:jc w:val="both"/>
      </w:pPr>
      <w:r w:rsidRPr="00663CC3">
        <w:rPr>
          <w:b/>
          <w:bCs/>
        </w:rPr>
        <w:t>Weaknesses</w:t>
      </w:r>
      <w:r w:rsidRPr="00663CC3">
        <w:t xml:space="preserve"> </w:t>
      </w:r>
    </w:p>
    <w:p w14:paraId="27DCAF08" w14:textId="7A621EDE" w:rsidR="00C016C8" w:rsidRPr="00663CC3" w:rsidRDefault="00C35174" w:rsidP="008A5CDB">
      <w:pPr>
        <w:spacing w:line="360" w:lineRule="auto"/>
        <w:jc w:val="both"/>
      </w:pPr>
      <w:r w:rsidRPr="00663CC3">
        <w:t>The BYD brand does not have the long-standing reputation and high residual value that European and Japanese brands have. This could make some consumers skeptical about their costs in the long run. The after-sales and parts support system in the UK is quite young and less experienced compared to that of other brands. It also faces the risk of geopolitical tension with China in terms of relations with Western countries and possible future tariffs. Profits affected by tough competition within the home market (the net profit almost dropped by nearly 19% in 2025) could reduce its capability of investing in the UK market (Financial Times, 2026).</w:t>
      </w:r>
    </w:p>
    <w:p w14:paraId="287A525F" w14:textId="77777777" w:rsidR="00C016C8" w:rsidRPr="00663CC3" w:rsidRDefault="00C016C8" w:rsidP="008A5CDB">
      <w:pPr>
        <w:spacing w:line="360" w:lineRule="auto"/>
        <w:jc w:val="both"/>
      </w:pPr>
      <w:r w:rsidRPr="00663CC3">
        <w:rPr>
          <w:b/>
          <w:bCs/>
        </w:rPr>
        <w:t>Opportunities</w:t>
      </w:r>
      <w:r w:rsidRPr="00663CC3">
        <w:t xml:space="preserve"> </w:t>
      </w:r>
    </w:p>
    <w:p w14:paraId="58339062" w14:textId="4919739A" w:rsidR="00C016C8" w:rsidRPr="00663CC3" w:rsidRDefault="00C35174" w:rsidP="008A5CDB">
      <w:pPr>
        <w:spacing w:line="360" w:lineRule="auto"/>
        <w:jc w:val="both"/>
      </w:pPr>
      <w:r w:rsidRPr="00663CC3">
        <w:t>In addition, the UK ZEV mandate, stipulating a 33% zero-emission share in new cars in 2026, rising quickly afterwards, will keep on putting traditional manufacturers under pressure and will stimulate competition of EVs (SMMT, 2026). Higher acceptance of Chinese NEV brands by the general public will facilitate even more sales growth. The development of the ultrafast 1,500 kW charging infrastructure and V2G service by BYD provides for further differentiation (Autocar, 2026). Production from the Hungary factory, due to start in the fourth quarter of 2026, will cut down transportation costs and duties (Reuters, 2026). Growth of fleet sales and Motability sales, as well as high fuel prices leading to a good total cost of ownership for electric cars, provide further options.</w:t>
      </w:r>
    </w:p>
    <w:p w14:paraId="3B9367D8" w14:textId="77777777" w:rsidR="00C016C8" w:rsidRPr="00663CC3" w:rsidRDefault="00C016C8" w:rsidP="008A5CDB">
      <w:pPr>
        <w:spacing w:line="360" w:lineRule="auto"/>
        <w:jc w:val="both"/>
      </w:pPr>
      <w:r w:rsidRPr="00663CC3">
        <w:rPr>
          <w:b/>
          <w:bCs/>
        </w:rPr>
        <w:t>Threats</w:t>
      </w:r>
      <w:r w:rsidRPr="00663CC3">
        <w:t xml:space="preserve"> </w:t>
      </w:r>
    </w:p>
    <w:p w14:paraId="4D36EE92" w14:textId="592E0901" w:rsidR="00C016C8" w:rsidRPr="00663CC3" w:rsidRDefault="00C35174" w:rsidP="008A5CDB">
      <w:pPr>
        <w:spacing w:line="360" w:lineRule="auto"/>
        <w:jc w:val="both"/>
      </w:pPr>
      <w:r w:rsidRPr="00663CC3">
        <w:t>Tighter regulations of ZEVs and levying tariffs on vehicles manufactured by China pose some risks. The rivalry of Chinese firms like MG, Jaecoo, and Chery has grown increasingly tough. The introduction of eVED tax, which is 3p per mile from April 2028, would further raise the ownership costs (House of Commons Library, 2026). Inconsistency in charging infrastructure in certain parts of the country, poor media image in relation to labor and logistics issues, and exchange rate changes are other risks.</w:t>
      </w:r>
    </w:p>
    <w:p w14:paraId="7AD09C2E" w14:textId="77777777" w:rsidR="005315D4" w:rsidRPr="00663CC3" w:rsidRDefault="00C8732F" w:rsidP="008A5CDB">
      <w:pPr>
        <w:pStyle w:val="Heading1"/>
        <w:spacing w:line="360" w:lineRule="auto"/>
        <w:jc w:val="both"/>
        <w:rPr>
          <w:color w:val="auto"/>
        </w:rPr>
      </w:pPr>
      <w:bookmarkStart w:id="14" w:name="_Toc235189531"/>
      <w:r w:rsidRPr="00663CC3">
        <w:rPr>
          <w:color w:val="auto"/>
        </w:rPr>
        <w:t>3. Comprehensive and Holistic View of the Organisation</w:t>
      </w:r>
      <w:bookmarkEnd w:id="14"/>
    </w:p>
    <w:p w14:paraId="3004847A" w14:textId="77777777" w:rsidR="005315D4" w:rsidRPr="00663CC3" w:rsidRDefault="00C8732F" w:rsidP="008A5CDB">
      <w:pPr>
        <w:pStyle w:val="Heading2"/>
        <w:spacing w:line="360" w:lineRule="auto"/>
        <w:jc w:val="both"/>
        <w:rPr>
          <w:color w:val="auto"/>
        </w:rPr>
      </w:pPr>
      <w:bookmarkStart w:id="15" w:name="_Toc235189532"/>
      <w:r w:rsidRPr="00663CC3">
        <w:rPr>
          <w:color w:val="auto"/>
        </w:rPr>
        <w:t>3.1 CSR Strategy and Alignment with Business Objectives</w:t>
      </w:r>
      <w:bookmarkEnd w:id="15"/>
    </w:p>
    <w:p w14:paraId="56A918F8" w14:textId="77777777" w:rsidR="00C35174" w:rsidRPr="00663CC3" w:rsidRDefault="00C35174" w:rsidP="008A5CDB">
      <w:pPr>
        <w:spacing w:after="200" w:line="360" w:lineRule="auto"/>
        <w:jc w:val="both"/>
      </w:pPr>
      <w:r w:rsidRPr="00663CC3">
        <w:lastRenderedPageBreak/>
        <w:t>As mentioned above, BYD has institutionalised its CSR agenda via the DREAMS programme that has been announced in BYD's sustainability report (BYD, 2025c; Gasgoo, 2026). The pillars of DREAMS include Decarbonisation, Revolution (technological innovation), Equity, Alliance, Moral Integrity and Shared Value. These six pillars of the DREAMS programme are not independent activities in terms of CSR. They are directly connected to the main business objective of BYD to scale the solutions for zero- and low-emission mobility around the world and in the UK.</w:t>
      </w:r>
    </w:p>
    <w:p w14:paraId="302FD0FB" w14:textId="77777777" w:rsidR="00C35174" w:rsidRPr="00663CC3" w:rsidRDefault="00C35174" w:rsidP="008A5CDB">
      <w:pPr>
        <w:spacing w:after="200" w:line="360" w:lineRule="auto"/>
        <w:jc w:val="both"/>
      </w:pPr>
      <w:r w:rsidRPr="00663CC3">
        <w:t>The Decarbonisation pillar is the most obvious one because BYD has announced its goal to reach carbon neutrality in the whole value chain of the company in 2045. Moreover, BYD wants to decrease the carbon intensity of its own operations in half by 2030 compared to the level in 2023 (BYD, 2025c). In 2025, BYD sold almost 4.6 million new-energy vehicles all over the world. As BYD calculated itself, these vehicles helped to save more than 46.6 million tonnes of carbon dioxide in 2025 (BYD, 2025c). Thus, there is a direct connection between the strategic objectives of BYD and the national pathway to net zero of the UK. Every electric vehicle and high-efficiency DM-i plug-in hybrid sold by BYD in the UK helps to reach the national targets of the UK and BYD's targets in terms of volumes and sustainability. The slogan of BYD "Cool the Earth by 1°C" emphasises this point with customers and other stakeholders of the UK interested in the issue of climate change (BYD, 2025b).</w:t>
      </w:r>
    </w:p>
    <w:p w14:paraId="3570F125" w14:textId="77777777" w:rsidR="00C35174" w:rsidRPr="00663CC3" w:rsidRDefault="00C35174" w:rsidP="008A5CDB">
      <w:pPr>
        <w:spacing w:after="200" w:line="360" w:lineRule="auto"/>
        <w:jc w:val="both"/>
      </w:pPr>
      <w:r w:rsidRPr="00663CC3">
        <w:t>The social pillars of BYD (Equity and Shared Value) are mostly demonstrated through the activities related to education and investment in communities. The education philanthropy fund of BYD worths RMB 3 billion has been established (BYD, 2025c). By the end of 2025, the fund has helped more than 6,000 students from 127 universities (BYD, 2025c). The amount of domestic taxes paid by BYD to China exceeded RMB 53.3 billion in 2025 (BYD, 2025c). Although this activity takes place in China, it is helpful in strengthening the image of BYD as a responsible corporate in the global market and, in particular, in the UK because people in the UK become more concerned about the positive social impact of producers.</w:t>
      </w:r>
    </w:p>
    <w:p w14:paraId="639D6CAF" w14:textId="48DFE89D" w:rsidR="005315D4" w:rsidRPr="00663CC3" w:rsidRDefault="00C35174" w:rsidP="008A5CDB">
      <w:pPr>
        <w:spacing w:after="200" w:line="360" w:lineRule="auto"/>
        <w:jc w:val="both"/>
      </w:pPr>
      <w:r w:rsidRPr="00663CC3">
        <w:t xml:space="preserve">Moreover, BYD does not treat CSR separately but integrates it into its product design and manufacturing. The Blade Battery, for instance, is presented not only by its performance but also by its enhanced safety features and recycling opportunities. This approach helps to avoid the accusations in greenwashing. It allows BYD to be different from its competitors that mostly use carbon offsetting to make their sustainability statements. In the UK context, it helps to </w:t>
      </w:r>
      <w:r w:rsidRPr="00663CC3">
        <w:lastRenderedPageBreak/>
        <w:t>increase the appeal of the brand both to private environmentally conscious customers and to fleets obliged to reduce their carbon footprint.</w:t>
      </w:r>
    </w:p>
    <w:p w14:paraId="295F6A8A" w14:textId="77777777" w:rsidR="005315D4" w:rsidRPr="00663CC3" w:rsidRDefault="00C8732F" w:rsidP="008A5CDB">
      <w:pPr>
        <w:pStyle w:val="Heading2"/>
        <w:spacing w:line="360" w:lineRule="auto"/>
        <w:jc w:val="both"/>
        <w:rPr>
          <w:color w:val="auto"/>
        </w:rPr>
      </w:pPr>
      <w:bookmarkStart w:id="16" w:name="_Toc235189533"/>
      <w:r w:rsidRPr="00663CC3">
        <w:rPr>
          <w:color w:val="auto"/>
        </w:rPr>
        <w:t>3.2 Balanced Scorecard Analysis</w:t>
      </w:r>
      <w:bookmarkEnd w:id="16"/>
    </w:p>
    <w:p w14:paraId="4C86F85D" w14:textId="77777777" w:rsidR="005315D4" w:rsidRPr="00663CC3" w:rsidRDefault="00C8732F" w:rsidP="008A5CDB">
      <w:pPr>
        <w:spacing w:after="200" w:line="360" w:lineRule="auto"/>
        <w:jc w:val="both"/>
      </w:pPr>
      <w:r w:rsidRPr="00663CC3">
        <w:t>Kaplan and Norton’s (1992) Balanced Scorecard is applied to translate BYD UK’s strategic intent into a coherent set of objectives, measures, targets and initiatives across the four perspectives.</w:t>
      </w:r>
    </w:p>
    <w:p w14:paraId="70F2E585" w14:textId="77777777" w:rsidR="005315D4" w:rsidRPr="00663CC3" w:rsidRDefault="00C8732F" w:rsidP="008A5CDB">
      <w:pPr>
        <w:spacing w:before="200" w:after="100" w:line="360" w:lineRule="auto"/>
        <w:jc w:val="both"/>
      </w:pPr>
      <w:r w:rsidRPr="00663CC3">
        <w:rPr>
          <w:b/>
          <w:bCs/>
          <w:i/>
          <w:iCs/>
          <w:sz w:val="20"/>
          <w:szCs w:val="20"/>
        </w:rPr>
        <w:t>Table 3: Balanced Scorecard – BYD UK Strategic Objectives (Illustrative 2026–2028 Horizon)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2400"/>
        <w:gridCol w:w="2000"/>
        <w:gridCol w:w="2826"/>
      </w:tblGrid>
      <w:tr w:rsidR="005315D4" w:rsidRPr="00663CC3" w14:paraId="02068DC0" w14:textId="77777777">
        <w:tc>
          <w:tcPr>
            <w:tcW w:w="1800"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315C0213" w14:textId="77777777" w:rsidR="005315D4" w:rsidRPr="00663CC3" w:rsidRDefault="00C8732F" w:rsidP="008A5CDB">
            <w:pPr>
              <w:spacing w:line="360" w:lineRule="auto"/>
              <w:jc w:val="both"/>
            </w:pPr>
            <w:r w:rsidRPr="00663CC3">
              <w:rPr>
                <w:b/>
                <w:bCs/>
                <w:sz w:val="15"/>
                <w:szCs w:val="15"/>
              </w:rPr>
              <w:t>Perspective</w:t>
            </w:r>
          </w:p>
        </w:tc>
        <w:tc>
          <w:tcPr>
            <w:tcW w:w="2400"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31C855F7" w14:textId="77777777" w:rsidR="005315D4" w:rsidRPr="00663CC3" w:rsidRDefault="00C8732F" w:rsidP="008A5CDB">
            <w:pPr>
              <w:spacing w:line="360" w:lineRule="auto"/>
              <w:jc w:val="both"/>
            </w:pPr>
            <w:r w:rsidRPr="00663CC3">
              <w:rPr>
                <w:b/>
                <w:bCs/>
                <w:sz w:val="15"/>
                <w:szCs w:val="15"/>
              </w:rPr>
              <w:t>Strategic Objectives</w:t>
            </w:r>
          </w:p>
        </w:tc>
        <w:tc>
          <w:tcPr>
            <w:tcW w:w="2000"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6D96AE02" w14:textId="77777777" w:rsidR="005315D4" w:rsidRPr="00663CC3" w:rsidRDefault="00C8732F" w:rsidP="008A5CDB">
            <w:pPr>
              <w:spacing w:line="360" w:lineRule="auto"/>
              <w:jc w:val="both"/>
            </w:pPr>
            <w:r w:rsidRPr="00663CC3">
              <w:rPr>
                <w:b/>
                <w:bCs/>
                <w:sz w:val="15"/>
                <w:szCs w:val="15"/>
              </w:rPr>
              <w:t>KPIs &amp; Targets</w:t>
            </w:r>
          </w:p>
        </w:tc>
        <w:tc>
          <w:tcPr>
            <w:tcW w:w="2826" w:type="dxa"/>
            <w:tcBorders>
              <w:top w:val="single" w:sz="4" w:space="0" w:color="000000"/>
              <w:left w:val="single" w:sz="4" w:space="0" w:color="000000"/>
              <w:bottom w:val="single" w:sz="4" w:space="0" w:color="000000"/>
              <w:right w:val="single" w:sz="4" w:space="0" w:color="000000"/>
            </w:tcBorders>
            <w:shd w:val="clear" w:color="auto" w:fill="1F4E79"/>
            <w:tcMar>
              <w:top w:w="60" w:type="dxa"/>
              <w:left w:w="80" w:type="dxa"/>
              <w:bottom w:w="60" w:type="dxa"/>
              <w:right w:w="80" w:type="dxa"/>
            </w:tcMar>
          </w:tcPr>
          <w:p w14:paraId="489E754B" w14:textId="77777777" w:rsidR="005315D4" w:rsidRPr="00663CC3" w:rsidRDefault="00C8732F" w:rsidP="008A5CDB">
            <w:pPr>
              <w:spacing w:line="360" w:lineRule="auto"/>
              <w:jc w:val="both"/>
            </w:pPr>
            <w:r w:rsidRPr="00663CC3">
              <w:rPr>
                <w:b/>
                <w:bCs/>
                <w:sz w:val="15"/>
                <w:szCs w:val="15"/>
              </w:rPr>
              <w:t>Key Initiatives</w:t>
            </w:r>
          </w:p>
        </w:tc>
      </w:tr>
      <w:tr w:rsidR="005315D4" w:rsidRPr="00663CC3" w14:paraId="416BD4B8" w14:textId="77777777">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5078A783" w14:textId="77777777" w:rsidR="005315D4" w:rsidRPr="00663CC3" w:rsidRDefault="00C8732F" w:rsidP="008A5CDB">
            <w:pPr>
              <w:spacing w:line="360" w:lineRule="auto"/>
              <w:jc w:val="both"/>
            </w:pPr>
            <w:r w:rsidRPr="00663CC3">
              <w:rPr>
                <w:b/>
                <w:bCs/>
                <w:sz w:val="15"/>
                <w:szCs w:val="15"/>
              </w:rPr>
              <w:t>Financial</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3FBF1F3D" w14:textId="77777777" w:rsidR="005315D4" w:rsidRPr="00663CC3" w:rsidRDefault="00C8732F" w:rsidP="008A5CDB">
            <w:pPr>
              <w:spacing w:line="360" w:lineRule="auto"/>
              <w:jc w:val="both"/>
            </w:pPr>
            <w:r w:rsidRPr="00663CC3">
              <w:rPr>
                <w:sz w:val="15"/>
                <w:szCs w:val="15"/>
              </w:rPr>
              <w:t>Sustainable profitable growth; improve UK contribution margin</w:t>
            </w:r>
          </w:p>
        </w:tc>
        <w:tc>
          <w:tcPr>
            <w:tcW w:w="20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221E3F0E" w14:textId="77777777" w:rsidR="005315D4" w:rsidRPr="00663CC3" w:rsidRDefault="00C8732F" w:rsidP="008A5CDB">
            <w:pPr>
              <w:spacing w:line="360" w:lineRule="auto"/>
              <w:jc w:val="both"/>
            </w:pPr>
            <w:r w:rsidRPr="00663CC3">
              <w:rPr>
                <w:sz w:val="15"/>
                <w:szCs w:val="15"/>
              </w:rPr>
              <w:t>UK revenue growth &gt;40 % CAGR 2025–28; NEV volume share ≥10 % by 2028; positive UK operating margin by 2027</w:t>
            </w:r>
          </w:p>
        </w:tc>
        <w:tc>
          <w:tcPr>
            <w:tcW w:w="2826"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7D65B208" w14:textId="77777777" w:rsidR="005315D4" w:rsidRPr="00663CC3" w:rsidRDefault="00C8732F" w:rsidP="008A5CDB">
            <w:pPr>
              <w:spacing w:line="360" w:lineRule="auto"/>
              <w:jc w:val="both"/>
            </w:pPr>
            <w:r w:rsidRPr="00663CC3">
              <w:rPr>
                <w:sz w:val="15"/>
                <w:szCs w:val="15"/>
              </w:rPr>
              <w:t>Local European production ramp; mix shift toward higher-margin models; disciplined dealer incentives</w:t>
            </w:r>
          </w:p>
        </w:tc>
      </w:tr>
      <w:tr w:rsidR="005315D4" w:rsidRPr="00663CC3" w14:paraId="6383C9C6" w14:textId="77777777">
        <w:tc>
          <w:tcPr>
            <w:tcW w:w="18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60CC5B67" w14:textId="77777777" w:rsidR="005315D4" w:rsidRPr="00663CC3" w:rsidRDefault="00C8732F" w:rsidP="008A5CDB">
            <w:pPr>
              <w:spacing w:line="360" w:lineRule="auto"/>
              <w:jc w:val="both"/>
            </w:pPr>
            <w:r w:rsidRPr="00663CC3">
              <w:rPr>
                <w:b/>
                <w:bCs/>
                <w:sz w:val="15"/>
                <w:szCs w:val="15"/>
              </w:rPr>
              <w:t>Customer</w:t>
            </w:r>
          </w:p>
        </w:tc>
        <w:tc>
          <w:tcPr>
            <w:tcW w:w="2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1ADB5FFA" w14:textId="77777777" w:rsidR="005315D4" w:rsidRPr="00663CC3" w:rsidRDefault="00C8732F" w:rsidP="008A5CDB">
            <w:pPr>
              <w:spacing w:line="360" w:lineRule="auto"/>
              <w:jc w:val="both"/>
            </w:pPr>
            <w:r w:rsidRPr="00663CC3">
              <w:rPr>
                <w:sz w:val="15"/>
                <w:szCs w:val="15"/>
              </w:rPr>
              <w:t>Become preferred NEV brand for private &amp; fleet buyers seeking value + technology</w:t>
            </w:r>
          </w:p>
        </w:tc>
        <w:tc>
          <w:tcPr>
            <w:tcW w:w="20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6CFDC053" w14:textId="77777777" w:rsidR="005315D4" w:rsidRPr="00663CC3" w:rsidRDefault="00C8732F" w:rsidP="008A5CDB">
            <w:pPr>
              <w:spacing w:line="360" w:lineRule="auto"/>
              <w:jc w:val="both"/>
            </w:pPr>
            <w:r w:rsidRPr="00663CC3">
              <w:rPr>
                <w:sz w:val="15"/>
                <w:szCs w:val="15"/>
              </w:rPr>
              <w:t>Private-buyer EV leadership retained; NPS &gt; industry average; residual-value index within 5 pts of segment leaders</w:t>
            </w:r>
          </w:p>
        </w:tc>
        <w:tc>
          <w:tcPr>
            <w:tcW w:w="2826"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5DC82D6E" w14:textId="77777777" w:rsidR="005315D4" w:rsidRPr="00663CC3" w:rsidRDefault="00C8732F" w:rsidP="008A5CDB">
            <w:pPr>
              <w:spacing w:line="360" w:lineRule="auto"/>
              <w:jc w:val="both"/>
            </w:pPr>
            <w:r w:rsidRPr="00663CC3">
              <w:rPr>
                <w:sz w:val="15"/>
                <w:szCs w:val="15"/>
              </w:rPr>
              <w:t>Product cadence (new models every 12–18 months); transparent TCO communication; enhanced digital ownership experience</w:t>
            </w:r>
          </w:p>
        </w:tc>
      </w:tr>
      <w:tr w:rsidR="005315D4" w:rsidRPr="00663CC3" w14:paraId="5EC76B2F" w14:textId="77777777">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51E09196" w14:textId="77777777" w:rsidR="005315D4" w:rsidRPr="00663CC3" w:rsidRDefault="00C8732F" w:rsidP="008A5CDB">
            <w:pPr>
              <w:spacing w:line="360" w:lineRule="auto"/>
              <w:jc w:val="both"/>
            </w:pPr>
            <w:r w:rsidRPr="00663CC3">
              <w:rPr>
                <w:b/>
                <w:bCs/>
                <w:sz w:val="15"/>
                <w:szCs w:val="15"/>
              </w:rPr>
              <w:t>Internal Process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2F3E0D79" w14:textId="77777777" w:rsidR="005315D4" w:rsidRPr="00663CC3" w:rsidRDefault="00C8732F" w:rsidP="008A5CDB">
            <w:pPr>
              <w:spacing w:line="360" w:lineRule="auto"/>
              <w:jc w:val="both"/>
            </w:pPr>
            <w:r w:rsidRPr="00663CC3">
              <w:rPr>
                <w:sz w:val="15"/>
                <w:szCs w:val="15"/>
              </w:rPr>
              <w:t>Reliable supply, rapid delivery, high service quality</w:t>
            </w:r>
          </w:p>
        </w:tc>
        <w:tc>
          <w:tcPr>
            <w:tcW w:w="2000"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7A979699" w14:textId="77777777" w:rsidR="005315D4" w:rsidRPr="00663CC3" w:rsidRDefault="00C8732F" w:rsidP="008A5CDB">
            <w:pPr>
              <w:spacing w:line="360" w:lineRule="auto"/>
              <w:jc w:val="both"/>
            </w:pPr>
            <w:r w:rsidRPr="00663CC3">
              <w:rPr>
                <w:sz w:val="15"/>
                <w:szCs w:val="15"/>
              </w:rPr>
              <w:t>Average delivery lead-time &lt;6 weeks; first-time-fix rate &gt;90 %; charging-network uptime &gt;98 %</w:t>
            </w:r>
          </w:p>
        </w:tc>
        <w:tc>
          <w:tcPr>
            <w:tcW w:w="2826" w:type="dxa"/>
            <w:tcBorders>
              <w:top w:val="single" w:sz="4" w:space="0" w:color="000000"/>
              <w:left w:val="single" w:sz="4" w:space="0" w:color="000000"/>
              <w:bottom w:val="single" w:sz="4" w:space="0" w:color="000000"/>
              <w:right w:val="single" w:sz="4" w:space="0" w:color="000000"/>
            </w:tcBorders>
            <w:shd w:val="clear" w:color="auto" w:fill="FFFFFF"/>
            <w:tcMar>
              <w:top w:w="60" w:type="dxa"/>
              <w:left w:w="80" w:type="dxa"/>
              <w:bottom w:w="60" w:type="dxa"/>
              <w:right w:w="80" w:type="dxa"/>
            </w:tcMar>
          </w:tcPr>
          <w:p w14:paraId="24795BE7" w14:textId="77777777" w:rsidR="005315D4" w:rsidRPr="00663CC3" w:rsidRDefault="00C8732F" w:rsidP="008A5CDB">
            <w:pPr>
              <w:spacing w:line="360" w:lineRule="auto"/>
              <w:jc w:val="both"/>
            </w:pPr>
            <w:r w:rsidRPr="00663CC3">
              <w:rPr>
                <w:sz w:val="15"/>
                <w:szCs w:val="15"/>
              </w:rPr>
              <w:t>Dealer training academy; parts logistics optimisation; Flash charging rollout (300 stations)</w:t>
            </w:r>
          </w:p>
        </w:tc>
      </w:tr>
      <w:tr w:rsidR="005315D4" w:rsidRPr="00663CC3" w14:paraId="69E6011C" w14:textId="77777777">
        <w:tc>
          <w:tcPr>
            <w:tcW w:w="18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2367C1BE" w14:textId="77777777" w:rsidR="005315D4" w:rsidRPr="00663CC3" w:rsidRDefault="00C8732F" w:rsidP="008A5CDB">
            <w:pPr>
              <w:spacing w:line="360" w:lineRule="auto"/>
              <w:jc w:val="both"/>
            </w:pPr>
            <w:r w:rsidRPr="00663CC3">
              <w:rPr>
                <w:b/>
                <w:bCs/>
                <w:sz w:val="15"/>
                <w:szCs w:val="15"/>
              </w:rPr>
              <w:t>Learning &amp; Growth</w:t>
            </w:r>
          </w:p>
        </w:tc>
        <w:tc>
          <w:tcPr>
            <w:tcW w:w="24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5E805D6E" w14:textId="77777777" w:rsidR="005315D4" w:rsidRPr="00663CC3" w:rsidRDefault="00C8732F" w:rsidP="008A5CDB">
            <w:pPr>
              <w:spacing w:line="360" w:lineRule="auto"/>
              <w:jc w:val="both"/>
            </w:pPr>
            <w:r w:rsidRPr="00663CC3">
              <w:rPr>
                <w:sz w:val="15"/>
                <w:szCs w:val="15"/>
              </w:rPr>
              <w:t>Build UK organisational capability and brand trust</w:t>
            </w:r>
          </w:p>
        </w:tc>
        <w:tc>
          <w:tcPr>
            <w:tcW w:w="2000"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7D8D22C5" w14:textId="77777777" w:rsidR="005315D4" w:rsidRPr="00663CC3" w:rsidRDefault="00C8732F" w:rsidP="008A5CDB">
            <w:pPr>
              <w:spacing w:line="360" w:lineRule="auto"/>
              <w:jc w:val="both"/>
            </w:pPr>
            <w:r w:rsidRPr="00663CC3">
              <w:rPr>
                <w:sz w:val="15"/>
                <w:szCs w:val="15"/>
              </w:rPr>
              <w:t>Dealer partner satisfaction top-quartile (NFDA); employee engagement &gt;80 %; local R&amp;D/technical headcount growth</w:t>
            </w:r>
          </w:p>
        </w:tc>
        <w:tc>
          <w:tcPr>
            <w:tcW w:w="2826" w:type="dxa"/>
            <w:tcBorders>
              <w:top w:val="single" w:sz="4" w:space="0" w:color="000000"/>
              <w:left w:val="single" w:sz="4" w:space="0" w:color="000000"/>
              <w:bottom w:val="single" w:sz="4" w:space="0" w:color="000000"/>
              <w:right w:val="single" w:sz="4" w:space="0" w:color="000000"/>
            </w:tcBorders>
            <w:shd w:val="clear" w:color="auto" w:fill="D6E3F0"/>
            <w:tcMar>
              <w:top w:w="60" w:type="dxa"/>
              <w:left w:w="80" w:type="dxa"/>
              <w:bottom w:w="60" w:type="dxa"/>
              <w:right w:w="80" w:type="dxa"/>
            </w:tcMar>
          </w:tcPr>
          <w:p w14:paraId="2A7BC94B" w14:textId="77777777" w:rsidR="005315D4" w:rsidRPr="00663CC3" w:rsidRDefault="00C8732F" w:rsidP="008A5CDB">
            <w:pPr>
              <w:spacing w:line="360" w:lineRule="auto"/>
              <w:jc w:val="both"/>
            </w:pPr>
            <w:r w:rsidRPr="00663CC3">
              <w:rPr>
                <w:sz w:val="15"/>
                <w:szCs w:val="15"/>
              </w:rPr>
              <w:t>UK technical centre; continuous CSR communication; partnership with UK universities on battery/recycling research</w:t>
            </w:r>
          </w:p>
        </w:tc>
      </w:tr>
    </w:tbl>
    <w:p w14:paraId="37C57839" w14:textId="77777777" w:rsidR="005315D4" w:rsidRPr="00663CC3" w:rsidRDefault="00C8732F" w:rsidP="008A5CDB">
      <w:pPr>
        <w:spacing w:before="100" w:after="200" w:line="360" w:lineRule="auto"/>
        <w:jc w:val="both"/>
      </w:pPr>
      <w:r w:rsidRPr="00663CC3">
        <w:rPr>
          <w:i/>
          <w:iCs/>
          <w:sz w:val="16"/>
          <w:szCs w:val="16"/>
        </w:rPr>
        <w:t>Source: Author’s application of Kaplan &amp; Norton (1992) to BYD UK strategic context.</w:t>
      </w:r>
    </w:p>
    <w:p w14:paraId="3A260991" w14:textId="77777777" w:rsidR="00433F45" w:rsidRPr="00663CC3" w:rsidRDefault="00433F45" w:rsidP="008A5CDB">
      <w:pPr>
        <w:spacing w:after="200" w:line="360" w:lineRule="auto"/>
        <w:jc w:val="both"/>
      </w:pPr>
      <w:r w:rsidRPr="00663CC3">
        <w:t>Kaplan and Norton's (1992) Balanced Scorecard can be used as a tool to translate BYD UK's strategic intent into a balanced set of objectives, KPIs, targets and initiatives. The scorecard includes perspectives on: Finances; Customers; Internal Business Processes; Learning &amp; Growth. When implemented appropriately, these perspectives have a causal relationship. Investment in learning and organisational capability will improve internal processes; improvement in processes will result in customer success and loyalty; and better customers' results will yield better financial performance.</w:t>
      </w:r>
    </w:p>
    <w:p w14:paraId="6049D864" w14:textId="77777777" w:rsidR="00433F45" w:rsidRPr="00663CC3" w:rsidRDefault="00433F45" w:rsidP="008A5CDB">
      <w:pPr>
        <w:spacing w:after="200" w:line="360" w:lineRule="auto"/>
        <w:jc w:val="both"/>
      </w:pPr>
      <w:r w:rsidRPr="00663CC3">
        <w:t xml:space="preserve">In the Finances perspective, objectives will be sustainable profit growth and improvement in UK operations contribution margin. Indicators to consider may include: UK revenue growth more than 40% CAGR from 2025 to 2028; New-energy vehicle market share of at least 10% </w:t>
      </w:r>
      <w:r w:rsidRPr="00663CC3">
        <w:lastRenderedPageBreak/>
        <w:t>by 2028; UK operating margin turned positive by 2027. All those goals are ambitious but feasible as far as growth rates are concerned. In the first half of 2026, BYD's UK registrations almost doubled in comparison to the same period in 2025 (Eletric-Vehicles.com, 2026). Initiatives for achievement of these goals can be considered as follows: Increase in production capacity locally in Europe (at the Hungary factory, which is scheduled to start up in the fourth quarter of 2026); Shift in sales mix in favor of higher-margin models; Effective management of dealer incentives (Reuters, 2026).</w:t>
      </w:r>
    </w:p>
    <w:p w14:paraId="0BFF5091" w14:textId="77777777" w:rsidR="00433F45" w:rsidRPr="00663CC3" w:rsidRDefault="00433F45" w:rsidP="008A5CDB">
      <w:pPr>
        <w:spacing w:after="200" w:line="360" w:lineRule="auto"/>
        <w:jc w:val="both"/>
      </w:pPr>
      <w:r w:rsidRPr="00663CC3">
        <w:t>The Customer perspective aims to become the favourite new-energy vehicle brand for both private and fleet clients who will choose a brand based on its value and advanced technology. Indicators in this perspective may include: retention of the private-buyer EV leadership; NPS above the industry average; residual values of the cars no more than five percentage points behind the competitors. BYD demonstrated a strong appeal to private buyers in 2026 without the grant of UK Electric Car (BYD UK, 2026). Initiatives in the Customer perspective can include following: Product cadence with new or refreshed model launched each 12-18 month; Clear communication of the total cost of ownership to the customers; Improvement of the digital ownership experience via BYD app and connected services.</w:t>
      </w:r>
    </w:p>
    <w:p w14:paraId="5CC29527" w14:textId="77777777" w:rsidR="00433F45" w:rsidRPr="00663CC3" w:rsidRDefault="00433F45" w:rsidP="008A5CDB">
      <w:pPr>
        <w:spacing w:after="200" w:line="360" w:lineRule="auto"/>
        <w:jc w:val="both"/>
      </w:pPr>
      <w:r w:rsidRPr="00663CC3">
        <w:t>In the Internal Business Process perspective, the focus is on reliable supply chain, short lead times and high service quality. The suggested targets are: Average lead times lower than six weeks; First time fix rate of more than 90% in workshops; Charging network uptime above 98% for any infrastructure supported by BYD. There is a good foundation for achievement of these goals thanks to rapid expansion of the UK dealer network to 125 locations by the end of 2025 (Motor Trader, 2025). But process discipline is still necessary in face of increasing volumes. Some of the initiatives for achieving these targets may be considered as follows: Dealer training academy; Optimisation of the parts logistics; Roll out of high-power Flash charging stations (Autocar, 2026).</w:t>
      </w:r>
    </w:p>
    <w:p w14:paraId="2FE0E823" w14:textId="0F2143D3" w:rsidR="00433F45" w:rsidRPr="00663CC3" w:rsidRDefault="00433F45" w:rsidP="008A5CDB">
      <w:pPr>
        <w:spacing w:after="200" w:line="360" w:lineRule="auto"/>
        <w:jc w:val="both"/>
      </w:pPr>
      <w:r w:rsidRPr="00663CC3">
        <w:t xml:space="preserve">Finally, in the Learning and Growth perspective, there is a need to build the capabilities and brand reputation for long-term success. In particular, objectives may be focused on: Development of the organisational capability in UK; Building brand trust. The indicators might include: Top-quartile dealer partners' satisfaction scores in surveys conducted by National Franchised Dealers Association; Employee engagement at the level of more than 80%; Growth of local technical and research headcount. Some of the initiatives for achievement of the objectives mentioned above may be as follows, Establishment of the UK technical support </w:t>
      </w:r>
      <w:r w:rsidRPr="00663CC3">
        <w:lastRenderedPageBreak/>
        <w:t>centre (if applicable); Continuous communication of the DREAMS sustainability story; Partnerships with UK universities in batteries technologies and recycling.</w:t>
      </w:r>
    </w:p>
    <w:p w14:paraId="2DA1EF83" w14:textId="623660ED" w:rsidR="005315D4" w:rsidRPr="00663CC3" w:rsidRDefault="00433F45" w:rsidP="008A5CDB">
      <w:pPr>
        <w:spacing w:after="200" w:line="360" w:lineRule="auto"/>
        <w:jc w:val="both"/>
      </w:pPr>
      <w:r w:rsidRPr="00663CC3">
        <w:t>Thus, the combination of DREAMS-based CSR strategy and Balanced Scorecard creates a holistic approach. Sustainability is not treated separately but is an inherent part of product design, operations and market positioning. And the Balanced Scorecard allows translating strategic intent into measurable objectives.</w:t>
      </w:r>
    </w:p>
    <w:p w14:paraId="386E2F09" w14:textId="77777777" w:rsidR="005315D4" w:rsidRPr="00663CC3" w:rsidRDefault="00C8732F" w:rsidP="008A5CDB">
      <w:pPr>
        <w:pStyle w:val="Heading1"/>
        <w:spacing w:line="360" w:lineRule="auto"/>
        <w:jc w:val="both"/>
        <w:rPr>
          <w:color w:val="auto"/>
        </w:rPr>
      </w:pPr>
      <w:bookmarkStart w:id="17" w:name="_Toc235189534"/>
      <w:r w:rsidRPr="00663CC3">
        <w:rPr>
          <w:color w:val="auto"/>
        </w:rPr>
        <w:t>4. Strategic Choices and Implementation</w:t>
      </w:r>
      <w:bookmarkEnd w:id="17"/>
    </w:p>
    <w:p w14:paraId="760F39D1" w14:textId="77777777" w:rsidR="005315D4" w:rsidRPr="00663CC3" w:rsidRDefault="00C8732F" w:rsidP="008A5CDB">
      <w:pPr>
        <w:pStyle w:val="Heading2"/>
        <w:spacing w:line="360" w:lineRule="auto"/>
        <w:jc w:val="both"/>
        <w:rPr>
          <w:color w:val="auto"/>
        </w:rPr>
      </w:pPr>
      <w:bookmarkStart w:id="18" w:name="_Toc235189535"/>
      <w:r w:rsidRPr="00663CC3">
        <w:rPr>
          <w:color w:val="auto"/>
        </w:rPr>
        <w:t>4.1 Business-Level Strategic Options</w:t>
      </w:r>
      <w:bookmarkEnd w:id="18"/>
    </w:p>
    <w:p w14:paraId="19FC20F5" w14:textId="77777777" w:rsidR="00433F45" w:rsidRPr="00663CC3" w:rsidRDefault="00433F45" w:rsidP="008A5CDB">
      <w:pPr>
        <w:spacing w:after="200" w:line="360" w:lineRule="auto"/>
        <w:jc w:val="both"/>
      </w:pPr>
      <w:r w:rsidRPr="00663CC3">
        <w:t>The generic strategies of Porter (1980, 1985) form the key framework here. For the UK EV market, true cost leadership becomes problematic for brands forced to keep up with increasing standards in terms of technology and regulation. True differentiation (as pursued in Tesla's history) needs a brand premium that BYD does not have. Hence, the best way forward would be to follow the cost leadership strategy combined with focused differentiation based on “advanced technology and safety.”</w:t>
      </w:r>
    </w:p>
    <w:p w14:paraId="045D6EF1" w14:textId="78891A10" w:rsidR="005315D4" w:rsidRPr="00663CC3" w:rsidRDefault="00433F45" w:rsidP="008A5CDB">
      <w:pPr>
        <w:spacing w:after="200" w:line="360" w:lineRule="auto"/>
        <w:jc w:val="both"/>
      </w:pPr>
      <w:r w:rsidRPr="00663CC3">
        <w:t>Already, vertical integration at BYD gives the company an inherent cost advantage of thousands of dollars per car compared to competitors (EV Central, 2024). At the same time, the reputation of the Blade Battery for safety, the performance of its DM-i hybrids, and its growing lineup enable differentiation along the lines that mean something to the value-oriented but tech-savvy UK customer base.</w:t>
      </w:r>
    </w:p>
    <w:p w14:paraId="0F75D8A3" w14:textId="77777777" w:rsidR="005315D4" w:rsidRPr="00663CC3" w:rsidRDefault="00C8732F" w:rsidP="008A5CDB">
      <w:pPr>
        <w:pStyle w:val="Heading2"/>
        <w:spacing w:line="360" w:lineRule="auto"/>
        <w:jc w:val="both"/>
        <w:rPr>
          <w:color w:val="auto"/>
        </w:rPr>
      </w:pPr>
      <w:bookmarkStart w:id="19" w:name="_Toc235189536"/>
      <w:r w:rsidRPr="00663CC3">
        <w:rPr>
          <w:color w:val="auto"/>
        </w:rPr>
        <w:t>4.2 Validation of Recommended Strategy</w:t>
      </w:r>
      <w:bookmarkEnd w:id="19"/>
    </w:p>
    <w:p w14:paraId="3704AAD3" w14:textId="77777777" w:rsidR="005315D4" w:rsidRPr="00663CC3" w:rsidRDefault="00C8732F" w:rsidP="008A5CDB">
      <w:pPr>
        <w:pStyle w:val="Heading3"/>
        <w:spacing w:line="360" w:lineRule="auto"/>
        <w:jc w:val="both"/>
      </w:pPr>
      <w:bookmarkStart w:id="20" w:name="_Toc235189537"/>
      <w:r w:rsidRPr="00663CC3">
        <w:t>Porter’s Five Forces</w:t>
      </w:r>
      <w:bookmarkEnd w:id="20"/>
    </w:p>
    <w:p w14:paraId="0F5BE733" w14:textId="1092D8B5" w:rsidR="0056101C" w:rsidRPr="00663CC3" w:rsidRDefault="0056101C" w:rsidP="0056101C">
      <w:pPr>
        <w:spacing w:line="360" w:lineRule="auto"/>
        <w:jc w:val="center"/>
      </w:pPr>
      <w:r w:rsidRPr="00663CC3">
        <w:rPr>
          <w:noProof/>
          <w:lang w:val="en-IN" w:eastAsia="en-IN"/>
        </w:rPr>
        <w:lastRenderedPageBreak/>
        <w:drawing>
          <wp:inline distT="0" distB="0" distL="0" distR="0" wp14:anchorId="4786DA43" wp14:editId="1AA9CA63">
            <wp:extent cx="5772402" cy="3306726"/>
            <wp:effectExtent l="0" t="0" r="0" b="8255"/>
            <wp:docPr id="84188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288" b="5784"/>
                    <a:stretch>
                      <a:fillRect/>
                    </a:stretch>
                  </pic:blipFill>
                  <pic:spPr bwMode="auto">
                    <a:xfrm>
                      <a:off x="0" y="0"/>
                      <a:ext cx="5780279" cy="3311238"/>
                    </a:xfrm>
                    <a:prstGeom prst="rect">
                      <a:avLst/>
                    </a:prstGeom>
                    <a:noFill/>
                    <a:ln>
                      <a:noFill/>
                    </a:ln>
                    <a:extLst>
                      <a:ext uri="{53640926-AAD7-44D8-BBD7-CCE9431645EC}">
                        <a14:shadowObscured xmlns:a14="http://schemas.microsoft.com/office/drawing/2010/main"/>
                      </a:ext>
                    </a:extLst>
                  </pic:spPr>
                </pic:pic>
              </a:graphicData>
            </a:graphic>
          </wp:inline>
        </w:drawing>
      </w:r>
    </w:p>
    <w:p w14:paraId="58249AB4" w14:textId="7942EA48" w:rsidR="0056101C" w:rsidRPr="00663CC3" w:rsidRDefault="0056101C" w:rsidP="0056101C">
      <w:pPr>
        <w:spacing w:line="360" w:lineRule="auto"/>
        <w:jc w:val="center"/>
      </w:pPr>
      <w:r w:rsidRPr="00663CC3">
        <w:t xml:space="preserve">Figure 1: </w:t>
      </w:r>
      <w:r w:rsidR="00C06B54" w:rsidRPr="00663CC3">
        <w:t>Por</w:t>
      </w:r>
      <w:r w:rsidRPr="00663CC3">
        <w:t>ter’s Five Force</w:t>
      </w:r>
    </w:p>
    <w:p w14:paraId="5A0C82D4" w14:textId="116E19DA" w:rsidR="0056101C" w:rsidRPr="00663CC3" w:rsidRDefault="0056101C" w:rsidP="0056101C">
      <w:pPr>
        <w:spacing w:line="360" w:lineRule="auto"/>
        <w:jc w:val="center"/>
      </w:pPr>
      <w:r w:rsidRPr="00663CC3">
        <w:t>(Self-Created)</w:t>
      </w:r>
    </w:p>
    <w:p w14:paraId="491A30AD" w14:textId="05945B0A" w:rsidR="005315D4" w:rsidRPr="00663CC3" w:rsidRDefault="008A5CDB" w:rsidP="008A5CDB">
      <w:pPr>
        <w:spacing w:after="200" w:line="360" w:lineRule="auto"/>
        <w:jc w:val="both"/>
      </w:pPr>
      <w:r w:rsidRPr="00663CC3">
        <w:t>The competition in the industry is stiff and becoming more so due to the new Chinese entries. The buyer power in the industry is high due to plenty of options available and information on the internet. The supplier power is low due to the presence of vertical integration in BYD. The threat of substitute (continuation of ICE/hybrid technology) is low since the ZEV Mandate is there. The threat of entry in the industry is high precisely due to fast entry of Chinese companies into the UK market. In such circumstances, a cost-focused player that differentiates on safety and range feasibility is likely to succeed.</w:t>
      </w:r>
    </w:p>
    <w:p w14:paraId="0CCA3664" w14:textId="77777777" w:rsidR="005315D4" w:rsidRPr="00663CC3" w:rsidRDefault="00C8732F" w:rsidP="008A5CDB">
      <w:pPr>
        <w:pStyle w:val="Heading3"/>
        <w:spacing w:line="360" w:lineRule="auto"/>
        <w:jc w:val="both"/>
      </w:pPr>
      <w:bookmarkStart w:id="21" w:name="_Toc235189538"/>
      <w:r w:rsidRPr="00663CC3">
        <w:t>Ansoff Matrix</w:t>
      </w:r>
      <w:bookmarkEnd w:id="21"/>
    </w:p>
    <w:p w14:paraId="3BF1109E" w14:textId="0B1B1753" w:rsidR="0056101C" w:rsidRPr="00663CC3" w:rsidRDefault="0056101C" w:rsidP="0056101C">
      <w:pPr>
        <w:spacing w:line="360" w:lineRule="auto"/>
        <w:jc w:val="center"/>
      </w:pPr>
      <w:r w:rsidRPr="00663CC3">
        <w:rPr>
          <w:noProof/>
          <w:lang w:val="en-IN" w:eastAsia="en-IN"/>
        </w:rPr>
        <w:lastRenderedPageBreak/>
        <w:drawing>
          <wp:inline distT="0" distB="0" distL="0" distR="0" wp14:anchorId="21EE1122" wp14:editId="33DC049D">
            <wp:extent cx="5570529" cy="3253563"/>
            <wp:effectExtent l="0" t="0" r="0" b="4445"/>
            <wp:docPr id="981072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443" b="4946"/>
                    <a:stretch>
                      <a:fillRect/>
                    </a:stretch>
                  </pic:blipFill>
                  <pic:spPr bwMode="auto">
                    <a:xfrm>
                      <a:off x="0" y="0"/>
                      <a:ext cx="5579277" cy="3258673"/>
                    </a:xfrm>
                    <a:prstGeom prst="rect">
                      <a:avLst/>
                    </a:prstGeom>
                    <a:noFill/>
                    <a:ln>
                      <a:noFill/>
                    </a:ln>
                    <a:extLst>
                      <a:ext uri="{53640926-AAD7-44D8-BBD7-CCE9431645EC}">
                        <a14:shadowObscured xmlns:a14="http://schemas.microsoft.com/office/drawing/2010/main"/>
                      </a:ext>
                    </a:extLst>
                  </pic:spPr>
                </pic:pic>
              </a:graphicData>
            </a:graphic>
          </wp:inline>
        </w:drawing>
      </w:r>
    </w:p>
    <w:p w14:paraId="44A115BE" w14:textId="00037459" w:rsidR="0056101C" w:rsidRPr="00663CC3" w:rsidRDefault="0056101C" w:rsidP="0056101C">
      <w:pPr>
        <w:spacing w:line="360" w:lineRule="auto"/>
        <w:jc w:val="center"/>
        <w:rPr>
          <w:b/>
          <w:bCs/>
        </w:rPr>
      </w:pPr>
      <w:r w:rsidRPr="00663CC3">
        <w:rPr>
          <w:b/>
          <w:bCs/>
        </w:rPr>
        <w:t>Figure 2: Ansoff Matrix</w:t>
      </w:r>
    </w:p>
    <w:p w14:paraId="7D666C78" w14:textId="66D477C3" w:rsidR="0056101C" w:rsidRPr="00663CC3" w:rsidRDefault="0056101C" w:rsidP="0056101C">
      <w:pPr>
        <w:spacing w:line="360" w:lineRule="auto"/>
        <w:jc w:val="center"/>
      </w:pPr>
      <w:r w:rsidRPr="00663CC3">
        <w:t>(Self-Created)</w:t>
      </w:r>
    </w:p>
    <w:p w14:paraId="44955020" w14:textId="2D1D5FEA" w:rsidR="005315D4" w:rsidRPr="00663CC3" w:rsidRDefault="008A5CDB" w:rsidP="008A5CDB">
      <w:pPr>
        <w:spacing w:after="200" w:line="360" w:lineRule="auto"/>
        <w:jc w:val="both"/>
      </w:pPr>
      <w:r w:rsidRPr="00663CC3">
        <w:t>To date, the growth path of BYD in the UK has followed the traditional pattern of market penetration (better sales of products within the same market). In addition to market penetration, the suggested strategy involves some elements of product development (different body shapes, higher performance versions, and commercial vehicles) and market development (Motability, corporate fleets, and ride-hailing) without diversification to other businesses.</w:t>
      </w:r>
    </w:p>
    <w:p w14:paraId="2F2FC580" w14:textId="77777777" w:rsidR="005315D4" w:rsidRPr="00663CC3" w:rsidRDefault="00C8732F" w:rsidP="008A5CDB">
      <w:pPr>
        <w:pStyle w:val="Heading3"/>
        <w:spacing w:line="360" w:lineRule="auto"/>
        <w:jc w:val="both"/>
      </w:pPr>
      <w:bookmarkStart w:id="22" w:name="_Toc235189539"/>
      <w:r w:rsidRPr="00663CC3">
        <w:t>SAFe Criteria (Suitability, Acceptability, Feasibility)</w:t>
      </w:r>
      <w:bookmarkEnd w:id="22"/>
    </w:p>
    <w:p w14:paraId="0E9C98CE" w14:textId="77777777" w:rsidR="008A5CDB" w:rsidRPr="00663CC3" w:rsidRDefault="008A5CDB" w:rsidP="008A5CDB">
      <w:pPr>
        <w:pStyle w:val="ListParagraph"/>
        <w:numPr>
          <w:ilvl w:val="0"/>
          <w:numId w:val="2"/>
        </w:numPr>
        <w:spacing w:after="200" w:line="360" w:lineRule="auto"/>
        <w:jc w:val="both"/>
      </w:pPr>
      <w:r w:rsidRPr="00663CC3">
        <w:t xml:space="preserve">Suitability: This is an appropriate strategy since it conforms to external opportunities and internal capabilities. </w:t>
      </w:r>
    </w:p>
    <w:p w14:paraId="711735F6" w14:textId="77777777" w:rsidR="008A5CDB" w:rsidRPr="00663CC3" w:rsidRDefault="008A5CDB" w:rsidP="008A5CDB">
      <w:pPr>
        <w:pStyle w:val="ListParagraph"/>
        <w:numPr>
          <w:ilvl w:val="0"/>
          <w:numId w:val="2"/>
        </w:numPr>
        <w:spacing w:after="200" w:line="360" w:lineRule="auto"/>
        <w:jc w:val="both"/>
      </w:pPr>
      <w:r w:rsidRPr="00663CC3">
        <w:t xml:space="preserve">Acceptability: It provides shareholders with good growth and increasing profitability, at the same time staying socially legitimate based on net-zero policy. </w:t>
      </w:r>
    </w:p>
    <w:p w14:paraId="56B88C3A" w14:textId="289ED9D3" w:rsidR="005315D4" w:rsidRPr="00663CC3" w:rsidRDefault="008A5CDB" w:rsidP="008A5CDB">
      <w:pPr>
        <w:pStyle w:val="ListParagraph"/>
        <w:numPr>
          <w:ilvl w:val="0"/>
          <w:numId w:val="2"/>
        </w:numPr>
        <w:spacing w:after="200" w:line="360" w:lineRule="auto"/>
        <w:jc w:val="both"/>
      </w:pPr>
      <w:r w:rsidRPr="00663CC3">
        <w:t>Feasibility: All resources needed (finance, technology, dealers) have been mostly acquired with the exceptions of residual value data and increased aftersales, which can be obtained over 24-36 months.</w:t>
      </w:r>
    </w:p>
    <w:p w14:paraId="00E866EA" w14:textId="77777777" w:rsidR="005315D4" w:rsidRPr="00663CC3" w:rsidRDefault="00C8732F" w:rsidP="008A5CDB">
      <w:pPr>
        <w:pStyle w:val="Heading2"/>
        <w:spacing w:line="360" w:lineRule="auto"/>
        <w:jc w:val="both"/>
        <w:rPr>
          <w:color w:val="auto"/>
        </w:rPr>
      </w:pPr>
      <w:bookmarkStart w:id="23" w:name="_Toc235189540"/>
      <w:r w:rsidRPr="00663CC3">
        <w:rPr>
          <w:color w:val="auto"/>
        </w:rPr>
        <w:t>4.3 How the Strategy Delivers Competitive Advantage</w:t>
      </w:r>
      <w:bookmarkEnd w:id="23"/>
    </w:p>
    <w:p w14:paraId="6EC0CA50" w14:textId="3CDC48CB" w:rsidR="005315D4" w:rsidRPr="00663CC3" w:rsidRDefault="008A5CDB" w:rsidP="008A5CDB">
      <w:pPr>
        <w:spacing w:after="200" w:line="360" w:lineRule="auto"/>
        <w:jc w:val="both"/>
      </w:pPr>
      <w:r w:rsidRPr="00663CC3">
        <w:t xml:space="preserve">Through its lowest-cost strategy in combination with distinctive technology, BYD will be able to maintain competitive advantage through superior value creation (low TCO, high safety, and </w:t>
      </w:r>
      <w:r w:rsidRPr="00663CC3">
        <w:lastRenderedPageBreak/>
        <w:t>good range) while taking a bigger chunk of the value than its more disintegrated competitors. It is seen in practice by the early lead in the private buying segment despite lack of government funding, as well as fast-growing market share relative to both luxury and mass-market players (BYD UK, 2026; SMMT). Support from the theory comes in terms of resource-based approach (Barney, 1991) and literature on dynamic capabilities focusing on reconfigurability (Teece et al., 1997).</w:t>
      </w:r>
    </w:p>
    <w:p w14:paraId="751E5ED0" w14:textId="77777777" w:rsidR="005315D4" w:rsidRPr="00663CC3" w:rsidRDefault="00C8732F" w:rsidP="008A5CDB">
      <w:pPr>
        <w:pStyle w:val="Heading2"/>
        <w:spacing w:line="360" w:lineRule="auto"/>
        <w:jc w:val="both"/>
        <w:rPr>
          <w:color w:val="auto"/>
        </w:rPr>
      </w:pPr>
      <w:bookmarkStart w:id="24" w:name="_Toc235189541"/>
      <w:r w:rsidRPr="00663CC3">
        <w:rPr>
          <w:color w:val="auto"/>
        </w:rPr>
        <w:t>4.4 Implementation Challenges and Mitigation</w:t>
      </w:r>
      <w:bookmarkEnd w:id="24"/>
    </w:p>
    <w:p w14:paraId="53A3E2C2" w14:textId="77777777" w:rsidR="008A5CDB" w:rsidRPr="00663CC3" w:rsidRDefault="008A5CDB" w:rsidP="008A5CDB">
      <w:pPr>
        <w:spacing w:after="200" w:line="360" w:lineRule="auto"/>
        <w:jc w:val="both"/>
      </w:pPr>
      <w:r w:rsidRPr="00663CC3">
        <w:t>There are three main risks: first, residual value risk might inhibit private and fleet customers from purchasing; mitigation includes offering battery health guarantees and pre-owned programs, along with the careful scrutiny of auction results. Second, aftersales infrastructure and technical expertise have to be scaled up in parallel with the parc; mitigation involves rapid dealer training and mobile service units, and also direct aftersales investments where necessary. Third, any political or trade surprises would be a cost risk; the mitigation strategy focuses on the accelerated development of the Hungarian plant, and also possibly a second European one, ensuring that more and more UK volume is localised (Ad-hoc-news, 2026).</w:t>
      </w:r>
    </w:p>
    <w:p w14:paraId="0AD59DF4" w14:textId="70E6D9DF" w:rsidR="005315D4" w:rsidRPr="00663CC3" w:rsidRDefault="008A5CDB" w:rsidP="008A5CDB">
      <w:pPr>
        <w:spacing w:after="200" w:line="360" w:lineRule="auto"/>
        <w:jc w:val="both"/>
      </w:pPr>
      <w:r w:rsidRPr="00663CC3">
        <w:t>The change-management of the UK organisation and the dealer network can be approached using Kotter’s (1995) eight steps of change management, create a sense of urgency around the ZEV window, put together a coalition of country management and influential dealers, communicate a vision of “accessible advanced mobility,” empower by means of training and digital tools, produce quick wins (models launches, record sales), etc.</w:t>
      </w:r>
    </w:p>
    <w:p w14:paraId="401953A3" w14:textId="77777777" w:rsidR="005315D4" w:rsidRPr="00663CC3" w:rsidRDefault="00C8732F" w:rsidP="008A5CDB">
      <w:pPr>
        <w:pStyle w:val="Heading1"/>
        <w:spacing w:line="360" w:lineRule="auto"/>
        <w:jc w:val="both"/>
        <w:rPr>
          <w:color w:val="auto"/>
        </w:rPr>
      </w:pPr>
      <w:bookmarkStart w:id="25" w:name="_Toc235189542"/>
      <w:r w:rsidRPr="00663CC3">
        <w:rPr>
          <w:color w:val="auto"/>
        </w:rPr>
        <w:t>5. Reflective Account (Gibbs Reflective Cycle)</w:t>
      </w:r>
      <w:bookmarkEnd w:id="25"/>
    </w:p>
    <w:p w14:paraId="26AA5E52" w14:textId="4B81A795" w:rsidR="005315D4" w:rsidRPr="00663CC3" w:rsidRDefault="00C8732F" w:rsidP="008A5CDB">
      <w:pPr>
        <w:spacing w:after="200" w:line="360" w:lineRule="auto"/>
        <w:jc w:val="both"/>
      </w:pPr>
      <w:r w:rsidRPr="00663CC3">
        <w:t xml:space="preserve">This section applies Gibbs’ (1988) reflective cycle to the process of researching, </w:t>
      </w:r>
      <w:r w:rsidR="008A5CDB" w:rsidRPr="00663CC3">
        <w:t>analyzing</w:t>
      </w:r>
      <w:r w:rsidRPr="00663CC3">
        <w:t xml:space="preserve"> and preparing the preceding strategic report.</w:t>
      </w:r>
    </w:p>
    <w:p w14:paraId="70F13BEA" w14:textId="77777777" w:rsidR="005315D4" w:rsidRPr="00663CC3" w:rsidRDefault="00C8732F" w:rsidP="008A5CDB">
      <w:pPr>
        <w:pStyle w:val="Heading2"/>
        <w:spacing w:line="360" w:lineRule="auto"/>
        <w:jc w:val="both"/>
        <w:rPr>
          <w:color w:val="auto"/>
        </w:rPr>
      </w:pPr>
      <w:bookmarkStart w:id="26" w:name="_Toc235189543"/>
      <w:r w:rsidRPr="00663CC3">
        <w:rPr>
          <w:color w:val="auto"/>
        </w:rPr>
        <w:t>5.1 Description</w:t>
      </w:r>
      <w:bookmarkEnd w:id="26"/>
    </w:p>
    <w:p w14:paraId="71946ED3" w14:textId="49B5D427" w:rsidR="005315D4" w:rsidRPr="00663CC3" w:rsidRDefault="008A5CDB" w:rsidP="008A5CDB">
      <w:pPr>
        <w:spacing w:after="200" w:line="360" w:lineRule="auto"/>
        <w:jc w:val="both"/>
      </w:pPr>
      <w:r w:rsidRPr="00663CC3">
        <w:t xml:space="preserve">Students were expected to select an organization that has been in existence for at least five years. There was need for a focused discussion on a particular market in the report. It should have been presented in a consultant style and should be about 5,000 words in length. The key components of the report should include organisational context, environmental analysis, corporate social responsibility strategy, Balanced Scorecard, strategic decisions, </w:t>
      </w:r>
      <w:r w:rsidRPr="00663CC3">
        <w:lastRenderedPageBreak/>
        <w:t>implementation, and structured reflection using the Gibbs’ reflective cycle. In my case, the chosen organisation is BYD’s electric vehicle operation in the United Kingdom. This is because BYD has experienced rapid growth in the UK market since 2023. The availability of data and current relevance made this topic attractive.</w:t>
      </w:r>
    </w:p>
    <w:p w14:paraId="666C875E" w14:textId="77777777" w:rsidR="005315D4" w:rsidRPr="00663CC3" w:rsidRDefault="00C8732F" w:rsidP="008A5CDB">
      <w:pPr>
        <w:pStyle w:val="Heading2"/>
        <w:spacing w:line="360" w:lineRule="auto"/>
        <w:jc w:val="both"/>
        <w:rPr>
          <w:color w:val="auto"/>
        </w:rPr>
      </w:pPr>
      <w:bookmarkStart w:id="27" w:name="_Toc235189544"/>
      <w:r w:rsidRPr="00663CC3">
        <w:rPr>
          <w:color w:val="auto"/>
        </w:rPr>
        <w:t>5.2 Feelings</w:t>
      </w:r>
      <w:bookmarkEnd w:id="27"/>
    </w:p>
    <w:p w14:paraId="6C91FE95" w14:textId="6DF5DFFA" w:rsidR="005315D4" w:rsidRPr="00663CC3" w:rsidRDefault="008A5CDB" w:rsidP="008A5CDB">
      <w:pPr>
        <w:spacing w:after="200" w:line="360" w:lineRule="auto"/>
        <w:jc w:val="both"/>
      </w:pPr>
      <w:r w:rsidRPr="00663CC3">
        <w:t>At first, I was feeling excited and also anxious. Excited because there were many ideas in the trajectory of BYD to be analyzed using frameworks. Anxious because there was too much information that had been generated recently (monthly changes in sales, changes in the policy), which could easily lead to an information overload, and that separating insights from mere reporting would be difficult at Level 7. But as the analysis was proceeding, confidence began to build up because patterns started emerging.</w:t>
      </w:r>
    </w:p>
    <w:p w14:paraId="37E08760" w14:textId="77777777" w:rsidR="005315D4" w:rsidRPr="00663CC3" w:rsidRDefault="00C8732F" w:rsidP="008A5CDB">
      <w:pPr>
        <w:pStyle w:val="Heading2"/>
        <w:spacing w:line="360" w:lineRule="auto"/>
        <w:jc w:val="both"/>
        <w:rPr>
          <w:color w:val="auto"/>
        </w:rPr>
      </w:pPr>
      <w:bookmarkStart w:id="28" w:name="_Toc235189545"/>
      <w:r w:rsidRPr="00663CC3">
        <w:rPr>
          <w:color w:val="auto"/>
        </w:rPr>
        <w:t>5.3 Evaluation</w:t>
      </w:r>
      <w:bookmarkEnd w:id="28"/>
    </w:p>
    <w:p w14:paraId="34CB6E07" w14:textId="77777777" w:rsidR="008A5CDB" w:rsidRPr="00663CC3" w:rsidRDefault="008A5CDB" w:rsidP="008A5CDB">
      <w:pPr>
        <w:spacing w:after="200" w:line="360" w:lineRule="auto"/>
        <w:jc w:val="both"/>
      </w:pPr>
      <w:r w:rsidRPr="00663CC3">
        <w:t>The application of multiple frameworks proved efficient. All of PESTLE analysis, VRIO framework, SWOT, Balanced Scorecard, Porter's strategies, Ansoff's Matrix, and SAFe criteria were employed consecutively. Using all those frameworks in sequence helped me crosscheck the same points from various angles, which decreased the possibility of approaching the issue from only one angle.</w:t>
      </w:r>
    </w:p>
    <w:p w14:paraId="7B48D8A2" w14:textId="77777777" w:rsidR="008A5CDB" w:rsidRPr="00663CC3" w:rsidRDefault="008A5CDB" w:rsidP="008A5CDB">
      <w:pPr>
        <w:spacing w:after="200" w:line="360" w:lineRule="auto"/>
        <w:jc w:val="both"/>
      </w:pPr>
      <w:r w:rsidRPr="00663CC3">
        <w:t>The acquisition of recent sales figures from the SMMT and BYD's sustainability reports also was efficient. They provided me with reliable, up-to-date data that helped me prove my points with factual arguments.</w:t>
      </w:r>
    </w:p>
    <w:p w14:paraId="34ABB3BE" w14:textId="77777777" w:rsidR="008A5CDB" w:rsidRPr="00663CC3" w:rsidRDefault="008A5CDB" w:rsidP="008A5CDB">
      <w:pPr>
        <w:spacing w:after="200" w:line="360" w:lineRule="auto"/>
        <w:jc w:val="both"/>
      </w:pPr>
      <w:r w:rsidRPr="00663CC3">
        <w:t>That aspect that could be considered ineffective was an excess of secondary literature collected at the initial stage. Too many secondary sources were obtained beforehand without the preliminary structuring of the ideas. This led to some temporary confusion and being stuck with too much information.</w:t>
      </w:r>
    </w:p>
    <w:p w14:paraId="3BB6416C" w14:textId="0A4AE26A" w:rsidR="005315D4" w:rsidRPr="00663CC3" w:rsidRDefault="008A5CDB" w:rsidP="008A5CDB">
      <w:pPr>
        <w:spacing w:after="200" w:line="360" w:lineRule="auto"/>
        <w:jc w:val="both"/>
      </w:pPr>
      <w:r w:rsidRPr="00663CC3">
        <w:t>Time management can be evaluated as quite effective. All the key parts were completed on time, but combining the Balanced Scorecard with the final strategy recommendation took more time than was estimated. Some additional rewritings were required for this part to have clear and logical connections. Thus, the positive aspects are multiple frameworks and factual data used. The negative aspects are the early collection of too much information and additional time for the final linkages.</w:t>
      </w:r>
    </w:p>
    <w:p w14:paraId="59F89404" w14:textId="77777777" w:rsidR="005315D4" w:rsidRPr="00663CC3" w:rsidRDefault="00C8732F" w:rsidP="008A5CDB">
      <w:pPr>
        <w:pStyle w:val="Heading2"/>
        <w:spacing w:line="360" w:lineRule="auto"/>
        <w:jc w:val="both"/>
        <w:rPr>
          <w:color w:val="auto"/>
        </w:rPr>
      </w:pPr>
      <w:bookmarkStart w:id="29" w:name="_Toc235189546"/>
      <w:r w:rsidRPr="00663CC3">
        <w:rPr>
          <w:color w:val="auto"/>
        </w:rPr>
        <w:lastRenderedPageBreak/>
        <w:t>5.4 Analysis</w:t>
      </w:r>
      <w:bookmarkEnd w:id="29"/>
    </w:p>
    <w:p w14:paraId="1F1B03D9" w14:textId="77777777" w:rsidR="008A5CDB" w:rsidRPr="00663CC3" w:rsidRDefault="008A5CDB" w:rsidP="008A5CDB">
      <w:pPr>
        <w:spacing w:after="200" w:line="360" w:lineRule="auto"/>
        <w:jc w:val="both"/>
      </w:pPr>
      <w:r w:rsidRPr="00663CC3">
        <w:t>This project has made me understand the importance of a resource-based approach. BYD's major strengths lie in its internal resources. Such are the unique battery technologies, vertical integration, and a long period of conducting the research and development activities. All of the mentioned strengths have been developed through many years. They are difficult to be implemented by other firms quickly. Therefore, they do not represent the competitive position of the firm only.</w:t>
      </w:r>
    </w:p>
    <w:p w14:paraId="6A6F6615" w14:textId="77777777" w:rsidR="008A5CDB" w:rsidRPr="00663CC3" w:rsidRDefault="008A5CDB" w:rsidP="008A5CDB">
      <w:pPr>
        <w:spacing w:after="200" w:line="360" w:lineRule="auto"/>
        <w:jc w:val="both"/>
      </w:pPr>
      <w:r w:rsidRPr="00663CC3">
        <w:t>The second lesson that I have learned is that the external environment changes rather quickly. Six months ago the situation could be completely different if I had conducted the PESTLE analysis at that moment. Then, there was lower probability of implementing the tariffs. There also was no such development of the charging networks. In the matter of fact, new regulations and technologies may change everything in a short period of time. This makes strategic analysis an ongoing process.</w:t>
      </w:r>
    </w:p>
    <w:p w14:paraId="305337BE" w14:textId="4EAC340E" w:rsidR="005315D4" w:rsidRPr="00663CC3" w:rsidRDefault="008A5CDB" w:rsidP="008A5CDB">
      <w:pPr>
        <w:spacing w:after="200" w:line="360" w:lineRule="auto"/>
        <w:jc w:val="both"/>
      </w:pPr>
      <w:r w:rsidRPr="00663CC3">
        <w:t>The very process of reflection helped me understand another valuable thing. Critical thinking is an ongoing process. Using one framework usually created more questions than answers, which allowed me to return to the previous sections of the report to develop them even further. For instance, the results of the VRIO analysis helped me develop the SWOT. Some ideas obtained when using the Balanced Scorecard framework helped to enhance the last part devoted to the strategy. This mutual development of frameworks made my report more consistent.</w:t>
      </w:r>
    </w:p>
    <w:p w14:paraId="038E4925" w14:textId="77777777" w:rsidR="005315D4" w:rsidRPr="00663CC3" w:rsidRDefault="00C8732F" w:rsidP="008A5CDB">
      <w:pPr>
        <w:pStyle w:val="Heading2"/>
        <w:spacing w:line="360" w:lineRule="auto"/>
        <w:jc w:val="both"/>
        <w:rPr>
          <w:color w:val="auto"/>
        </w:rPr>
      </w:pPr>
      <w:bookmarkStart w:id="30" w:name="_Toc235189547"/>
      <w:r w:rsidRPr="00663CC3">
        <w:rPr>
          <w:color w:val="auto"/>
        </w:rPr>
        <w:t>5.5 Conclusion</w:t>
      </w:r>
      <w:bookmarkEnd w:id="30"/>
    </w:p>
    <w:p w14:paraId="0498D11C" w14:textId="49F50681" w:rsidR="005315D4" w:rsidRPr="00663CC3" w:rsidRDefault="008A5CDB" w:rsidP="008A5CDB">
      <w:pPr>
        <w:spacing w:after="200" w:line="360" w:lineRule="auto"/>
        <w:jc w:val="both"/>
      </w:pPr>
      <w:r w:rsidRPr="00663CC3">
        <w:t>The lesson I have learnt is that good quality strategy analysis at the postgraduate level needs not only breadth but also synthesis. Mentioning the different PESTLE factors alone and doing a SWOT alone is not enough, as the essence is to identify which factors are important and make a causal connection between them and what actions need to be taken.</w:t>
      </w:r>
    </w:p>
    <w:p w14:paraId="759AC947" w14:textId="77777777" w:rsidR="005315D4" w:rsidRPr="00663CC3" w:rsidRDefault="00C8732F" w:rsidP="008A5CDB">
      <w:pPr>
        <w:pStyle w:val="Heading2"/>
        <w:spacing w:line="360" w:lineRule="auto"/>
        <w:jc w:val="both"/>
        <w:rPr>
          <w:color w:val="auto"/>
        </w:rPr>
      </w:pPr>
      <w:bookmarkStart w:id="31" w:name="_Toc235189548"/>
      <w:r w:rsidRPr="00663CC3">
        <w:rPr>
          <w:color w:val="auto"/>
        </w:rPr>
        <w:t>5.6 Action Plan</w:t>
      </w:r>
      <w:bookmarkEnd w:id="31"/>
    </w:p>
    <w:tbl>
      <w:tblPr>
        <w:tblStyle w:val="TableGrid"/>
        <w:tblW w:w="0" w:type="auto"/>
        <w:shd w:val="clear" w:color="auto" w:fill="D5DCE4" w:themeFill="text2" w:themeFillTint="33"/>
        <w:tblLook w:val="04A0" w:firstRow="1" w:lastRow="0" w:firstColumn="1" w:lastColumn="0" w:noHBand="0" w:noVBand="1"/>
      </w:tblPr>
      <w:tblGrid>
        <w:gridCol w:w="511"/>
        <w:gridCol w:w="1690"/>
        <w:gridCol w:w="1665"/>
        <w:gridCol w:w="1607"/>
        <w:gridCol w:w="1704"/>
        <w:gridCol w:w="1839"/>
      </w:tblGrid>
      <w:tr w:rsidR="00EF6E5A" w:rsidRPr="00663CC3" w14:paraId="3F87518A" w14:textId="77777777" w:rsidTr="00C06B54">
        <w:tc>
          <w:tcPr>
            <w:tcW w:w="0" w:type="auto"/>
            <w:shd w:val="clear" w:color="auto" w:fill="D5DCE4" w:themeFill="text2" w:themeFillTint="33"/>
            <w:hideMark/>
          </w:tcPr>
          <w:p w14:paraId="3B48BCE9" w14:textId="77777777" w:rsidR="00EF6E5A" w:rsidRPr="00663CC3" w:rsidRDefault="00EF6E5A" w:rsidP="0056101C">
            <w:pPr>
              <w:spacing w:line="276" w:lineRule="auto"/>
              <w:jc w:val="both"/>
              <w:rPr>
                <w:b/>
                <w:bCs/>
                <w:sz w:val="20"/>
                <w:szCs w:val="20"/>
              </w:rPr>
            </w:pPr>
            <w:r w:rsidRPr="00663CC3">
              <w:rPr>
                <w:b/>
                <w:bCs/>
                <w:sz w:val="20"/>
                <w:szCs w:val="20"/>
              </w:rPr>
              <w:t>No.</w:t>
            </w:r>
          </w:p>
        </w:tc>
        <w:tc>
          <w:tcPr>
            <w:tcW w:w="0" w:type="auto"/>
            <w:shd w:val="clear" w:color="auto" w:fill="D5DCE4" w:themeFill="text2" w:themeFillTint="33"/>
            <w:hideMark/>
          </w:tcPr>
          <w:p w14:paraId="7083FF66" w14:textId="77777777" w:rsidR="00EF6E5A" w:rsidRPr="00663CC3" w:rsidRDefault="00EF6E5A" w:rsidP="0056101C">
            <w:pPr>
              <w:spacing w:line="276" w:lineRule="auto"/>
              <w:jc w:val="both"/>
              <w:rPr>
                <w:b/>
                <w:bCs/>
                <w:sz w:val="20"/>
                <w:szCs w:val="20"/>
              </w:rPr>
            </w:pPr>
            <w:r w:rsidRPr="00663CC3">
              <w:rPr>
                <w:b/>
                <w:bCs/>
                <w:sz w:val="20"/>
                <w:szCs w:val="20"/>
              </w:rPr>
              <w:t>Action</w:t>
            </w:r>
          </w:p>
        </w:tc>
        <w:tc>
          <w:tcPr>
            <w:tcW w:w="0" w:type="auto"/>
            <w:shd w:val="clear" w:color="auto" w:fill="D5DCE4" w:themeFill="text2" w:themeFillTint="33"/>
            <w:hideMark/>
          </w:tcPr>
          <w:p w14:paraId="12E9D435" w14:textId="77777777" w:rsidR="00EF6E5A" w:rsidRPr="00663CC3" w:rsidRDefault="00EF6E5A" w:rsidP="0056101C">
            <w:pPr>
              <w:spacing w:line="276" w:lineRule="auto"/>
              <w:jc w:val="both"/>
              <w:rPr>
                <w:b/>
                <w:bCs/>
                <w:sz w:val="20"/>
                <w:szCs w:val="20"/>
              </w:rPr>
            </w:pPr>
            <w:r w:rsidRPr="00663CC3">
              <w:rPr>
                <w:b/>
                <w:bCs/>
                <w:sz w:val="20"/>
                <w:szCs w:val="20"/>
              </w:rPr>
              <w:t>What I Will Do</w:t>
            </w:r>
          </w:p>
        </w:tc>
        <w:tc>
          <w:tcPr>
            <w:tcW w:w="0" w:type="auto"/>
            <w:shd w:val="clear" w:color="auto" w:fill="D5DCE4" w:themeFill="text2" w:themeFillTint="33"/>
            <w:hideMark/>
          </w:tcPr>
          <w:p w14:paraId="2F7EBB50" w14:textId="77777777" w:rsidR="00EF6E5A" w:rsidRPr="00663CC3" w:rsidRDefault="00EF6E5A" w:rsidP="0056101C">
            <w:pPr>
              <w:spacing w:line="276" w:lineRule="auto"/>
              <w:jc w:val="both"/>
              <w:rPr>
                <w:b/>
                <w:bCs/>
                <w:sz w:val="20"/>
                <w:szCs w:val="20"/>
              </w:rPr>
            </w:pPr>
            <w:r w:rsidRPr="00663CC3">
              <w:rPr>
                <w:b/>
                <w:bCs/>
                <w:sz w:val="20"/>
                <w:szCs w:val="20"/>
              </w:rPr>
              <w:t>Why It Is Important</w:t>
            </w:r>
          </w:p>
        </w:tc>
        <w:tc>
          <w:tcPr>
            <w:tcW w:w="0" w:type="auto"/>
            <w:shd w:val="clear" w:color="auto" w:fill="D5DCE4" w:themeFill="text2" w:themeFillTint="33"/>
            <w:hideMark/>
          </w:tcPr>
          <w:p w14:paraId="2BE4BF89" w14:textId="77777777" w:rsidR="00EF6E5A" w:rsidRPr="00663CC3" w:rsidRDefault="00EF6E5A" w:rsidP="0056101C">
            <w:pPr>
              <w:spacing w:line="276" w:lineRule="auto"/>
              <w:jc w:val="both"/>
              <w:rPr>
                <w:b/>
                <w:bCs/>
                <w:sz w:val="20"/>
                <w:szCs w:val="20"/>
              </w:rPr>
            </w:pPr>
            <w:r w:rsidRPr="00663CC3">
              <w:rPr>
                <w:b/>
                <w:bCs/>
                <w:sz w:val="20"/>
                <w:szCs w:val="20"/>
              </w:rPr>
              <w:t>How I Will Do It</w:t>
            </w:r>
          </w:p>
        </w:tc>
        <w:tc>
          <w:tcPr>
            <w:tcW w:w="0" w:type="auto"/>
            <w:shd w:val="clear" w:color="auto" w:fill="D5DCE4" w:themeFill="text2" w:themeFillTint="33"/>
            <w:hideMark/>
          </w:tcPr>
          <w:p w14:paraId="0194AB96" w14:textId="77777777" w:rsidR="00EF6E5A" w:rsidRPr="00663CC3" w:rsidRDefault="00EF6E5A" w:rsidP="0056101C">
            <w:pPr>
              <w:spacing w:line="276" w:lineRule="auto"/>
              <w:jc w:val="both"/>
              <w:rPr>
                <w:b/>
                <w:bCs/>
                <w:sz w:val="20"/>
                <w:szCs w:val="20"/>
              </w:rPr>
            </w:pPr>
            <w:r w:rsidRPr="00663CC3">
              <w:rPr>
                <w:b/>
                <w:bCs/>
                <w:sz w:val="20"/>
                <w:szCs w:val="20"/>
              </w:rPr>
              <w:t>Expected Benefit</w:t>
            </w:r>
          </w:p>
        </w:tc>
      </w:tr>
      <w:tr w:rsidR="00EF6E5A" w:rsidRPr="00663CC3" w14:paraId="2CA436BF" w14:textId="77777777" w:rsidTr="00C06B54">
        <w:tc>
          <w:tcPr>
            <w:tcW w:w="0" w:type="auto"/>
            <w:shd w:val="clear" w:color="auto" w:fill="D5DCE4" w:themeFill="text2" w:themeFillTint="33"/>
            <w:hideMark/>
          </w:tcPr>
          <w:p w14:paraId="454FEFE1" w14:textId="77777777" w:rsidR="00EF6E5A" w:rsidRPr="00663CC3" w:rsidRDefault="00EF6E5A" w:rsidP="0056101C">
            <w:pPr>
              <w:spacing w:line="276" w:lineRule="auto"/>
              <w:jc w:val="both"/>
              <w:rPr>
                <w:sz w:val="20"/>
                <w:szCs w:val="20"/>
              </w:rPr>
            </w:pPr>
            <w:r w:rsidRPr="00663CC3">
              <w:rPr>
                <w:sz w:val="20"/>
                <w:szCs w:val="20"/>
              </w:rPr>
              <w:t>1</w:t>
            </w:r>
          </w:p>
        </w:tc>
        <w:tc>
          <w:tcPr>
            <w:tcW w:w="0" w:type="auto"/>
            <w:shd w:val="clear" w:color="auto" w:fill="D5DCE4" w:themeFill="text2" w:themeFillTint="33"/>
            <w:hideMark/>
          </w:tcPr>
          <w:p w14:paraId="26B25A64" w14:textId="77777777" w:rsidR="00EF6E5A" w:rsidRPr="00663CC3" w:rsidRDefault="00EF6E5A" w:rsidP="0056101C">
            <w:pPr>
              <w:spacing w:line="276" w:lineRule="auto"/>
              <w:jc w:val="both"/>
              <w:rPr>
                <w:sz w:val="20"/>
                <w:szCs w:val="20"/>
              </w:rPr>
            </w:pPr>
            <w:r w:rsidRPr="00663CC3">
              <w:rPr>
                <w:sz w:val="20"/>
                <w:szCs w:val="20"/>
              </w:rPr>
              <w:t>Set a clear research plan and cut-off date early</w:t>
            </w:r>
          </w:p>
        </w:tc>
        <w:tc>
          <w:tcPr>
            <w:tcW w:w="0" w:type="auto"/>
            <w:shd w:val="clear" w:color="auto" w:fill="D5DCE4" w:themeFill="text2" w:themeFillTint="33"/>
            <w:hideMark/>
          </w:tcPr>
          <w:p w14:paraId="23426507" w14:textId="77777777" w:rsidR="00EF6E5A" w:rsidRPr="00663CC3" w:rsidRDefault="00EF6E5A" w:rsidP="0056101C">
            <w:pPr>
              <w:spacing w:line="276" w:lineRule="auto"/>
              <w:jc w:val="both"/>
              <w:rPr>
                <w:sz w:val="20"/>
                <w:szCs w:val="20"/>
              </w:rPr>
            </w:pPr>
            <w:r w:rsidRPr="00663CC3">
              <w:rPr>
                <w:sz w:val="20"/>
                <w:szCs w:val="20"/>
              </w:rPr>
              <w:t xml:space="preserve">Decide the main research questions, key sources, and a final date for </w:t>
            </w:r>
            <w:r w:rsidRPr="00663CC3">
              <w:rPr>
                <w:sz w:val="20"/>
                <w:szCs w:val="20"/>
              </w:rPr>
              <w:lastRenderedPageBreak/>
              <w:t>collecting new data at the very start of the project.</w:t>
            </w:r>
          </w:p>
        </w:tc>
        <w:tc>
          <w:tcPr>
            <w:tcW w:w="0" w:type="auto"/>
            <w:shd w:val="clear" w:color="auto" w:fill="D5DCE4" w:themeFill="text2" w:themeFillTint="33"/>
            <w:hideMark/>
          </w:tcPr>
          <w:p w14:paraId="452A87F2" w14:textId="77777777" w:rsidR="00EF6E5A" w:rsidRPr="00663CC3" w:rsidRDefault="00EF6E5A" w:rsidP="0056101C">
            <w:pPr>
              <w:spacing w:line="276" w:lineRule="auto"/>
              <w:jc w:val="both"/>
              <w:rPr>
                <w:sz w:val="20"/>
                <w:szCs w:val="20"/>
              </w:rPr>
            </w:pPr>
            <w:r w:rsidRPr="00663CC3">
              <w:rPr>
                <w:sz w:val="20"/>
                <w:szCs w:val="20"/>
              </w:rPr>
              <w:lastRenderedPageBreak/>
              <w:t xml:space="preserve">Fast-changing data (such as monthly sales figures or new government </w:t>
            </w:r>
            <w:r w:rsidRPr="00663CC3">
              <w:rPr>
                <w:sz w:val="20"/>
                <w:szCs w:val="20"/>
              </w:rPr>
              <w:lastRenderedPageBreak/>
              <w:t>rules) can easily create confusion and delay.</w:t>
            </w:r>
          </w:p>
        </w:tc>
        <w:tc>
          <w:tcPr>
            <w:tcW w:w="0" w:type="auto"/>
            <w:shd w:val="clear" w:color="auto" w:fill="D5DCE4" w:themeFill="text2" w:themeFillTint="33"/>
            <w:hideMark/>
          </w:tcPr>
          <w:p w14:paraId="0BAE36EB" w14:textId="77777777" w:rsidR="00EF6E5A" w:rsidRPr="00663CC3" w:rsidRDefault="00EF6E5A" w:rsidP="0056101C">
            <w:pPr>
              <w:spacing w:line="276" w:lineRule="auto"/>
              <w:jc w:val="both"/>
              <w:rPr>
                <w:sz w:val="20"/>
                <w:szCs w:val="20"/>
              </w:rPr>
            </w:pPr>
            <w:r w:rsidRPr="00663CC3">
              <w:rPr>
                <w:sz w:val="20"/>
                <w:szCs w:val="20"/>
              </w:rPr>
              <w:lastRenderedPageBreak/>
              <w:t xml:space="preserve">Write a short research protocol in the first week. Fix a clear cut-off date (for example, </w:t>
            </w:r>
            <w:r w:rsidRPr="00663CC3">
              <w:rPr>
                <w:sz w:val="20"/>
                <w:szCs w:val="20"/>
              </w:rPr>
              <w:lastRenderedPageBreak/>
              <w:t>two weeks before the final deadline) and stop collecting new data after that date.</w:t>
            </w:r>
          </w:p>
        </w:tc>
        <w:tc>
          <w:tcPr>
            <w:tcW w:w="0" w:type="auto"/>
            <w:shd w:val="clear" w:color="auto" w:fill="D5DCE4" w:themeFill="text2" w:themeFillTint="33"/>
            <w:hideMark/>
          </w:tcPr>
          <w:p w14:paraId="357D8D58" w14:textId="77777777" w:rsidR="00EF6E5A" w:rsidRPr="00663CC3" w:rsidRDefault="00EF6E5A" w:rsidP="0056101C">
            <w:pPr>
              <w:spacing w:line="276" w:lineRule="auto"/>
              <w:jc w:val="both"/>
              <w:rPr>
                <w:sz w:val="20"/>
                <w:szCs w:val="20"/>
              </w:rPr>
            </w:pPr>
            <w:r w:rsidRPr="00663CC3">
              <w:rPr>
                <w:sz w:val="20"/>
                <w:szCs w:val="20"/>
              </w:rPr>
              <w:lastRenderedPageBreak/>
              <w:t>Better time control and less risk of information overload.</w:t>
            </w:r>
          </w:p>
        </w:tc>
      </w:tr>
      <w:tr w:rsidR="00EF6E5A" w:rsidRPr="00663CC3" w14:paraId="0DABC8C5" w14:textId="77777777" w:rsidTr="00C06B54">
        <w:tc>
          <w:tcPr>
            <w:tcW w:w="0" w:type="auto"/>
            <w:shd w:val="clear" w:color="auto" w:fill="D5DCE4" w:themeFill="text2" w:themeFillTint="33"/>
            <w:hideMark/>
          </w:tcPr>
          <w:p w14:paraId="32D505B2" w14:textId="77777777" w:rsidR="00EF6E5A" w:rsidRPr="00663CC3" w:rsidRDefault="00EF6E5A" w:rsidP="0056101C">
            <w:pPr>
              <w:spacing w:line="276" w:lineRule="auto"/>
              <w:jc w:val="both"/>
              <w:rPr>
                <w:sz w:val="20"/>
                <w:szCs w:val="20"/>
              </w:rPr>
            </w:pPr>
            <w:r w:rsidRPr="00663CC3">
              <w:rPr>
                <w:sz w:val="20"/>
                <w:szCs w:val="20"/>
              </w:rPr>
              <w:lastRenderedPageBreak/>
              <w:t>2</w:t>
            </w:r>
          </w:p>
        </w:tc>
        <w:tc>
          <w:tcPr>
            <w:tcW w:w="0" w:type="auto"/>
            <w:shd w:val="clear" w:color="auto" w:fill="D5DCE4" w:themeFill="text2" w:themeFillTint="33"/>
            <w:hideMark/>
          </w:tcPr>
          <w:p w14:paraId="31483C01" w14:textId="77777777" w:rsidR="00EF6E5A" w:rsidRPr="00663CC3" w:rsidRDefault="00EF6E5A" w:rsidP="0056101C">
            <w:pPr>
              <w:spacing w:line="276" w:lineRule="auto"/>
              <w:jc w:val="both"/>
              <w:rPr>
                <w:sz w:val="20"/>
                <w:szCs w:val="20"/>
              </w:rPr>
            </w:pPr>
            <w:r w:rsidRPr="00663CC3">
              <w:rPr>
                <w:sz w:val="20"/>
                <w:szCs w:val="20"/>
              </w:rPr>
              <w:t>Build a living evidence matrix</w:t>
            </w:r>
          </w:p>
        </w:tc>
        <w:tc>
          <w:tcPr>
            <w:tcW w:w="0" w:type="auto"/>
            <w:shd w:val="clear" w:color="auto" w:fill="D5DCE4" w:themeFill="text2" w:themeFillTint="33"/>
            <w:hideMark/>
          </w:tcPr>
          <w:p w14:paraId="3B32D100" w14:textId="77777777" w:rsidR="00EF6E5A" w:rsidRPr="00663CC3" w:rsidRDefault="00EF6E5A" w:rsidP="0056101C">
            <w:pPr>
              <w:spacing w:line="276" w:lineRule="auto"/>
              <w:jc w:val="both"/>
              <w:rPr>
                <w:sz w:val="20"/>
                <w:szCs w:val="20"/>
              </w:rPr>
            </w:pPr>
            <w:r w:rsidRPr="00663CC3">
              <w:rPr>
                <w:sz w:val="20"/>
                <w:szCs w:val="20"/>
              </w:rPr>
              <w:t>Create a simple table that links every important claim or number in the report to at least two reliable sources.</w:t>
            </w:r>
          </w:p>
        </w:tc>
        <w:tc>
          <w:tcPr>
            <w:tcW w:w="0" w:type="auto"/>
            <w:shd w:val="clear" w:color="auto" w:fill="D5DCE4" w:themeFill="text2" w:themeFillTint="33"/>
            <w:hideMark/>
          </w:tcPr>
          <w:p w14:paraId="2788B04A" w14:textId="77777777" w:rsidR="00EF6E5A" w:rsidRPr="00663CC3" w:rsidRDefault="00EF6E5A" w:rsidP="0056101C">
            <w:pPr>
              <w:spacing w:line="276" w:lineRule="auto"/>
              <w:jc w:val="both"/>
              <w:rPr>
                <w:sz w:val="20"/>
                <w:szCs w:val="20"/>
              </w:rPr>
            </w:pPr>
            <w:r w:rsidRPr="00663CC3">
              <w:rPr>
                <w:sz w:val="20"/>
                <w:szCs w:val="20"/>
              </w:rPr>
              <w:t>Strong academic work needs clear evidence. Using only one source for key points weakens the analysis.</w:t>
            </w:r>
          </w:p>
        </w:tc>
        <w:tc>
          <w:tcPr>
            <w:tcW w:w="0" w:type="auto"/>
            <w:shd w:val="clear" w:color="auto" w:fill="D5DCE4" w:themeFill="text2" w:themeFillTint="33"/>
            <w:hideMark/>
          </w:tcPr>
          <w:p w14:paraId="41DFBEB4" w14:textId="77777777" w:rsidR="00EF6E5A" w:rsidRPr="00663CC3" w:rsidRDefault="00EF6E5A" w:rsidP="0056101C">
            <w:pPr>
              <w:spacing w:line="276" w:lineRule="auto"/>
              <w:jc w:val="both"/>
              <w:rPr>
                <w:sz w:val="20"/>
                <w:szCs w:val="20"/>
              </w:rPr>
            </w:pPr>
            <w:r w:rsidRPr="00663CC3">
              <w:rPr>
                <w:sz w:val="20"/>
                <w:szCs w:val="20"/>
              </w:rPr>
              <w:t>Make a spreadsheet with columns for: Claim / Fact, Source 1, Source 2, Page or Link, and Date Accessed. Update the matrix every time I add new information.</w:t>
            </w:r>
          </w:p>
        </w:tc>
        <w:tc>
          <w:tcPr>
            <w:tcW w:w="0" w:type="auto"/>
            <w:shd w:val="clear" w:color="auto" w:fill="D5DCE4" w:themeFill="text2" w:themeFillTint="33"/>
            <w:hideMark/>
          </w:tcPr>
          <w:p w14:paraId="3FA3E598" w14:textId="77777777" w:rsidR="00EF6E5A" w:rsidRPr="00663CC3" w:rsidRDefault="00EF6E5A" w:rsidP="0056101C">
            <w:pPr>
              <w:spacing w:line="276" w:lineRule="auto"/>
              <w:jc w:val="both"/>
              <w:rPr>
                <w:sz w:val="20"/>
                <w:szCs w:val="20"/>
              </w:rPr>
            </w:pPr>
            <w:r w:rsidRPr="00663CC3">
              <w:rPr>
                <w:sz w:val="20"/>
                <w:szCs w:val="20"/>
              </w:rPr>
              <w:t>Higher credibility, easier referencing, and stronger arguments.</w:t>
            </w:r>
          </w:p>
        </w:tc>
      </w:tr>
      <w:tr w:rsidR="00EF6E5A" w:rsidRPr="00663CC3" w14:paraId="11C3472D" w14:textId="77777777" w:rsidTr="00C06B54">
        <w:tc>
          <w:tcPr>
            <w:tcW w:w="0" w:type="auto"/>
            <w:shd w:val="clear" w:color="auto" w:fill="D5DCE4" w:themeFill="text2" w:themeFillTint="33"/>
            <w:hideMark/>
          </w:tcPr>
          <w:p w14:paraId="1241EB29" w14:textId="77777777" w:rsidR="00EF6E5A" w:rsidRPr="00663CC3" w:rsidRDefault="00EF6E5A" w:rsidP="0056101C">
            <w:pPr>
              <w:spacing w:line="276" w:lineRule="auto"/>
              <w:jc w:val="both"/>
              <w:rPr>
                <w:sz w:val="20"/>
                <w:szCs w:val="20"/>
              </w:rPr>
            </w:pPr>
            <w:r w:rsidRPr="00663CC3">
              <w:rPr>
                <w:sz w:val="20"/>
                <w:szCs w:val="20"/>
              </w:rPr>
              <w:t>3</w:t>
            </w:r>
          </w:p>
        </w:tc>
        <w:tc>
          <w:tcPr>
            <w:tcW w:w="0" w:type="auto"/>
            <w:shd w:val="clear" w:color="auto" w:fill="D5DCE4" w:themeFill="text2" w:themeFillTint="33"/>
            <w:hideMark/>
          </w:tcPr>
          <w:p w14:paraId="05E74336" w14:textId="77777777" w:rsidR="00EF6E5A" w:rsidRPr="00663CC3" w:rsidRDefault="00EF6E5A" w:rsidP="0056101C">
            <w:pPr>
              <w:spacing w:line="276" w:lineRule="auto"/>
              <w:jc w:val="both"/>
              <w:rPr>
                <w:sz w:val="20"/>
                <w:szCs w:val="20"/>
              </w:rPr>
            </w:pPr>
            <w:r w:rsidRPr="00663CC3">
              <w:rPr>
                <w:sz w:val="20"/>
                <w:szCs w:val="20"/>
              </w:rPr>
              <w:t>Draft the main strategy recommendation first as a hypothesis</w:t>
            </w:r>
          </w:p>
        </w:tc>
        <w:tc>
          <w:tcPr>
            <w:tcW w:w="0" w:type="auto"/>
            <w:shd w:val="clear" w:color="auto" w:fill="D5DCE4" w:themeFill="text2" w:themeFillTint="33"/>
            <w:hideMark/>
          </w:tcPr>
          <w:p w14:paraId="140A34C1" w14:textId="77777777" w:rsidR="00EF6E5A" w:rsidRPr="00663CC3" w:rsidRDefault="00EF6E5A" w:rsidP="0056101C">
            <w:pPr>
              <w:spacing w:line="276" w:lineRule="auto"/>
              <w:jc w:val="both"/>
              <w:rPr>
                <w:sz w:val="20"/>
                <w:szCs w:val="20"/>
              </w:rPr>
            </w:pPr>
            <w:r w:rsidRPr="00663CC3">
              <w:rPr>
                <w:sz w:val="20"/>
                <w:szCs w:val="20"/>
              </w:rPr>
              <w:t>Write a short draft of the recommended strategy early, then test it against the frameworks (PESTEL, VRIO, SWOT, etc.).</w:t>
            </w:r>
          </w:p>
        </w:tc>
        <w:tc>
          <w:tcPr>
            <w:tcW w:w="0" w:type="auto"/>
            <w:shd w:val="clear" w:color="auto" w:fill="D5DCE4" w:themeFill="text2" w:themeFillTint="33"/>
            <w:hideMark/>
          </w:tcPr>
          <w:p w14:paraId="66968430" w14:textId="77777777" w:rsidR="00EF6E5A" w:rsidRPr="00663CC3" w:rsidRDefault="00EF6E5A" w:rsidP="0056101C">
            <w:pPr>
              <w:spacing w:line="276" w:lineRule="auto"/>
              <w:jc w:val="both"/>
              <w:rPr>
                <w:sz w:val="20"/>
                <w:szCs w:val="20"/>
              </w:rPr>
            </w:pPr>
            <w:r w:rsidRPr="00663CC3">
              <w:rPr>
                <w:sz w:val="20"/>
                <w:szCs w:val="20"/>
              </w:rPr>
              <w:t>Building frameworks first and only deciding the strategy at the end can make the report feel disconnected.</w:t>
            </w:r>
          </w:p>
        </w:tc>
        <w:tc>
          <w:tcPr>
            <w:tcW w:w="0" w:type="auto"/>
            <w:shd w:val="clear" w:color="auto" w:fill="D5DCE4" w:themeFill="text2" w:themeFillTint="33"/>
            <w:hideMark/>
          </w:tcPr>
          <w:p w14:paraId="375A087E" w14:textId="77777777" w:rsidR="00EF6E5A" w:rsidRPr="00663CC3" w:rsidRDefault="00EF6E5A" w:rsidP="0056101C">
            <w:pPr>
              <w:spacing w:line="276" w:lineRule="auto"/>
              <w:jc w:val="both"/>
              <w:rPr>
                <w:sz w:val="20"/>
                <w:szCs w:val="20"/>
              </w:rPr>
            </w:pPr>
            <w:r w:rsidRPr="00663CC3">
              <w:rPr>
                <w:sz w:val="20"/>
                <w:szCs w:val="20"/>
              </w:rPr>
              <w:t>After the first round of data collection, write a one-page strategy hypothesis. Then check whether each framework supports or challenges it. Revise the strategy based on the results.</w:t>
            </w:r>
          </w:p>
        </w:tc>
        <w:tc>
          <w:tcPr>
            <w:tcW w:w="0" w:type="auto"/>
            <w:shd w:val="clear" w:color="auto" w:fill="D5DCE4" w:themeFill="text2" w:themeFillTint="33"/>
            <w:hideMark/>
          </w:tcPr>
          <w:p w14:paraId="1404A890" w14:textId="77777777" w:rsidR="00EF6E5A" w:rsidRPr="00663CC3" w:rsidRDefault="00EF6E5A" w:rsidP="0056101C">
            <w:pPr>
              <w:spacing w:line="276" w:lineRule="auto"/>
              <w:jc w:val="both"/>
              <w:rPr>
                <w:sz w:val="20"/>
                <w:szCs w:val="20"/>
              </w:rPr>
            </w:pPr>
            <w:r w:rsidRPr="00663CC3">
              <w:rPr>
                <w:sz w:val="20"/>
                <w:szCs w:val="20"/>
              </w:rPr>
              <w:t>Clearer logic and better links between analysis and recommendations.</w:t>
            </w:r>
          </w:p>
        </w:tc>
      </w:tr>
      <w:tr w:rsidR="00EF6E5A" w:rsidRPr="00663CC3" w14:paraId="1B8A60D2" w14:textId="77777777" w:rsidTr="00C06B54">
        <w:tc>
          <w:tcPr>
            <w:tcW w:w="0" w:type="auto"/>
            <w:shd w:val="clear" w:color="auto" w:fill="D5DCE4" w:themeFill="text2" w:themeFillTint="33"/>
            <w:hideMark/>
          </w:tcPr>
          <w:p w14:paraId="0B8E38EE" w14:textId="77777777" w:rsidR="00EF6E5A" w:rsidRPr="00663CC3" w:rsidRDefault="00EF6E5A" w:rsidP="0056101C">
            <w:pPr>
              <w:spacing w:line="276" w:lineRule="auto"/>
              <w:jc w:val="both"/>
              <w:rPr>
                <w:sz w:val="20"/>
                <w:szCs w:val="20"/>
              </w:rPr>
            </w:pPr>
            <w:r w:rsidRPr="00663CC3">
              <w:rPr>
                <w:sz w:val="20"/>
                <w:szCs w:val="20"/>
              </w:rPr>
              <w:t>4</w:t>
            </w:r>
          </w:p>
        </w:tc>
        <w:tc>
          <w:tcPr>
            <w:tcW w:w="0" w:type="auto"/>
            <w:shd w:val="clear" w:color="auto" w:fill="D5DCE4" w:themeFill="text2" w:themeFillTint="33"/>
            <w:hideMark/>
          </w:tcPr>
          <w:p w14:paraId="6A2AC30C" w14:textId="77777777" w:rsidR="00EF6E5A" w:rsidRPr="00663CC3" w:rsidRDefault="00EF6E5A" w:rsidP="0056101C">
            <w:pPr>
              <w:spacing w:line="276" w:lineRule="auto"/>
              <w:jc w:val="both"/>
              <w:rPr>
                <w:sz w:val="20"/>
                <w:szCs w:val="20"/>
              </w:rPr>
            </w:pPr>
            <w:r w:rsidRPr="00663CC3">
              <w:rPr>
                <w:sz w:val="20"/>
                <w:szCs w:val="20"/>
              </w:rPr>
              <w:t>Allocate dedicated time for critical review</w:t>
            </w:r>
          </w:p>
        </w:tc>
        <w:tc>
          <w:tcPr>
            <w:tcW w:w="0" w:type="auto"/>
            <w:shd w:val="clear" w:color="auto" w:fill="D5DCE4" w:themeFill="text2" w:themeFillTint="33"/>
            <w:hideMark/>
          </w:tcPr>
          <w:p w14:paraId="0589933B" w14:textId="77777777" w:rsidR="00EF6E5A" w:rsidRPr="00663CC3" w:rsidRDefault="00EF6E5A" w:rsidP="0056101C">
            <w:pPr>
              <w:spacing w:line="276" w:lineRule="auto"/>
              <w:jc w:val="both"/>
              <w:rPr>
                <w:sz w:val="20"/>
                <w:szCs w:val="20"/>
              </w:rPr>
            </w:pPr>
            <w:r w:rsidRPr="00663CC3">
              <w:rPr>
                <w:sz w:val="20"/>
                <w:szCs w:val="20"/>
              </w:rPr>
              <w:t>Set aside specific time near the end of the project only for checking the quality of thinking.</w:t>
            </w:r>
          </w:p>
        </w:tc>
        <w:tc>
          <w:tcPr>
            <w:tcW w:w="0" w:type="auto"/>
            <w:shd w:val="clear" w:color="auto" w:fill="D5DCE4" w:themeFill="text2" w:themeFillTint="33"/>
            <w:hideMark/>
          </w:tcPr>
          <w:p w14:paraId="09E1F92E" w14:textId="77777777" w:rsidR="00EF6E5A" w:rsidRPr="00663CC3" w:rsidRDefault="00EF6E5A" w:rsidP="0056101C">
            <w:pPr>
              <w:spacing w:line="276" w:lineRule="auto"/>
              <w:jc w:val="both"/>
              <w:rPr>
                <w:sz w:val="20"/>
                <w:szCs w:val="20"/>
              </w:rPr>
            </w:pPr>
            <w:r w:rsidRPr="00663CC3">
              <w:rPr>
                <w:sz w:val="20"/>
                <w:szCs w:val="20"/>
              </w:rPr>
              <w:t>It is easy to focus on finishing the writing and forget to ask deeper questions.</w:t>
            </w:r>
          </w:p>
        </w:tc>
        <w:tc>
          <w:tcPr>
            <w:tcW w:w="0" w:type="auto"/>
            <w:shd w:val="clear" w:color="auto" w:fill="D5DCE4" w:themeFill="text2" w:themeFillTint="33"/>
            <w:hideMark/>
          </w:tcPr>
          <w:p w14:paraId="3D211CC6" w14:textId="77777777" w:rsidR="00EF6E5A" w:rsidRPr="00663CC3" w:rsidRDefault="00EF6E5A" w:rsidP="0056101C">
            <w:pPr>
              <w:spacing w:line="276" w:lineRule="auto"/>
              <w:jc w:val="both"/>
              <w:rPr>
                <w:sz w:val="20"/>
                <w:szCs w:val="20"/>
              </w:rPr>
            </w:pPr>
            <w:r w:rsidRPr="00663CC3">
              <w:rPr>
                <w:sz w:val="20"/>
                <w:szCs w:val="20"/>
              </w:rPr>
              <w:t>Block 1–2 full days before the final deadline. During this time, ask only “So what?” and “Why does this matter?” for every major section. Get feedback from a peer if possible.</w:t>
            </w:r>
          </w:p>
        </w:tc>
        <w:tc>
          <w:tcPr>
            <w:tcW w:w="0" w:type="auto"/>
            <w:shd w:val="clear" w:color="auto" w:fill="D5DCE4" w:themeFill="text2" w:themeFillTint="33"/>
            <w:hideMark/>
          </w:tcPr>
          <w:p w14:paraId="3A59A136" w14:textId="77777777" w:rsidR="00EF6E5A" w:rsidRPr="00663CC3" w:rsidRDefault="00EF6E5A" w:rsidP="0056101C">
            <w:pPr>
              <w:spacing w:line="276" w:lineRule="auto"/>
              <w:jc w:val="both"/>
              <w:rPr>
                <w:sz w:val="20"/>
                <w:szCs w:val="20"/>
              </w:rPr>
            </w:pPr>
            <w:r w:rsidRPr="00663CC3">
              <w:rPr>
                <w:sz w:val="20"/>
                <w:szCs w:val="20"/>
              </w:rPr>
              <w:t>Stronger critical evaluation and more professional final work.</w:t>
            </w:r>
          </w:p>
        </w:tc>
      </w:tr>
      <w:tr w:rsidR="00EF6E5A" w:rsidRPr="00663CC3" w14:paraId="75550867" w14:textId="77777777" w:rsidTr="00C06B54">
        <w:tc>
          <w:tcPr>
            <w:tcW w:w="0" w:type="auto"/>
            <w:shd w:val="clear" w:color="auto" w:fill="D5DCE4" w:themeFill="text2" w:themeFillTint="33"/>
            <w:hideMark/>
          </w:tcPr>
          <w:p w14:paraId="26B127B7" w14:textId="77777777" w:rsidR="00EF6E5A" w:rsidRPr="00663CC3" w:rsidRDefault="00EF6E5A" w:rsidP="0056101C">
            <w:pPr>
              <w:spacing w:line="276" w:lineRule="auto"/>
              <w:jc w:val="both"/>
              <w:rPr>
                <w:sz w:val="20"/>
                <w:szCs w:val="20"/>
              </w:rPr>
            </w:pPr>
            <w:r w:rsidRPr="00663CC3">
              <w:rPr>
                <w:sz w:val="20"/>
                <w:szCs w:val="20"/>
              </w:rPr>
              <w:t>5</w:t>
            </w:r>
          </w:p>
        </w:tc>
        <w:tc>
          <w:tcPr>
            <w:tcW w:w="0" w:type="auto"/>
            <w:shd w:val="clear" w:color="auto" w:fill="D5DCE4" w:themeFill="text2" w:themeFillTint="33"/>
            <w:hideMark/>
          </w:tcPr>
          <w:p w14:paraId="754D5FA2" w14:textId="77777777" w:rsidR="00EF6E5A" w:rsidRPr="00663CC3" w:rsidRDefault="00EF6E5A" w:rsidP="0056101C">
            <w:pPr>
              <w:spacing w:line="276" w:lineRule="auto"/>
              <w:jc w:val="both"/>
              <w:rPr>
                <w:sz w:val="20"/>
                <w:szCs w:val="20"/>
              </w:rPr>
            </w:pPr>
            <w:r w:rsidRPr="00663CC3">
              <w:rPr>
                <w:sz w:val="20"/>
                <w:szCs w:val="20"/>
              </w:rPr>
              <w:t>Keep a short reflection log during the project</w:t>
            </w:r>
          </w:p>
        </w:tc>
        <w:tc>
          <w:tcPr>
            <w:tcW w:w="0" w:type="auto"/>
            <w:shd w:val="clear" w:color="auto" w:fill="D5DCE4" w:themeFill="text2" w:themeFillTint="33"/>
            <w:hideMark/>
          </w:tcPr>
          <w:p w14:paraId="345AC6FC" w14:textId="77777777" w:rsidR="00EF6E5A" w:rsidRPr="00663CC3" w:rsidRDefault="00EF6E5A" w:rsidP="0056101C">
            <w:pPr>
              <w:spacing w:line="276" w:lineRule="auto"/>
              <w:jc w:val="both"/>
              <w:rPr>
                <w:sz w:val="20"/>
                <w:szCs w:val="20"/>
              </w:rPr>
            </w:pPr>
            <w:r w:rsidRPr="00663CC3">
              <w:rPr>
                <w:sz w:val="20"/>
                <w:szCs w:val="20"/>
              </w:rPr>
              <w:t>Write brief notes after each major stage about what worked and what was difficult.</w:t>
            </w:r>
          </w:p>
        </w:tc>
        <w:tc>
          <w:tcPr>
            <w:tcW w:w="0" w:type="auto"/>
            <w:shd w:val="clear" w:color="auto" w:fill="D5DCE4" w:themeFill="text2" w:themeFillTint="33"/>
            <w:hideMark/>
          </w:tcPr>
          <w:p w14:paraId="19907236" w14:textId="77777777" w:rsidR="00EF6E5A" w:rsidRPr="00663CC3" w:rsidRDefault="00EF6E5A" w:rsidP="0056101C">
            <w:pPr>
              <w:spacing w:line="276" w:lineRule="auto"/>
              <w:jc w:val="both"/>
              <w:rPr>
                <w:sz w:val="20"/>
                <w:szCs w:val="20"/>
              </w:rPr>
            </w:pPr>
            <w:r w:rsidRPr="00663CC3">
              <w:rPr>
                <w:sz w:val="20"/>
                <w:szCs w:val="20"/>
              </w:rPr>
              <w:t>Reflection is more accurate when done during the work, not only at the end.</w:t>
            </w:r>
          </w:p>
        </w:tc>
        <w:tc>
          <w:tcPr>
            <w:tcW w:w="0" w:type="auto"/>
            <w:shd w:val="clear" w:color="auto" w:fill="D5DCE4" w:themeFill="text2" w:themeFillTint="33"/>
            <w:hideMark/>
          </w:tcPr>
          <w:p w14:paraId="557A5217" w14:textId="77777777" w:rsidR="00EF6E5A" w:rsidRPr="00663CC3" w:rsidRDefault="00EF6E5A" w:rsidP="0056101C">
            <w:pPr>
              <w:spacing w:line="276" w:lineRule="auto"/>
              <w:jc w:val="both"/>
              <w:rPr>
                <w:sz w:val="20"/>
                <w:szCs w:val="20"/>
              </w:rPr>
            </w:pPr>
            <w:r w:rsidRPr="00663CC3">
              <w:rPr>
                <w:sz w:val="20"/>
                <w:szCs w:val="20"/>
              </w:rPr>
              <w:t>Spend 10–15 minutes at the end of each research or writing session to note key learning points.</w:t>
            </w:r>
          </w:p>
        </w:tc>
        <w:tc>
          <w:tcPr>
            <w:tcW w:w="0" w:type="auto"/>
            <w:shd w:val="clear" w:color="auto" w:fill="D5DCE4" w:themeFill="text2" w:themeFillTint="33"/>
            <w:hideMark/>
          </w:tcPr>
          <w:p w14:paraId="50AC1957" w14:textId="77777777" w:rsidR="00EF6E5A" w:rsidRPr="00663CC3" w:rsidRDefault="00EF6E5A" w:rsidP="0056101C">
            <w:pPr>
              <w:spacing w:line="276" w:lineRule="auto"/>
              <w:jc w:val="both"/>
              <w:rPr>
                <w:sz w:val="20"/>
                <w:szCs w:val="20"/>
              </w:rPr>
            </w:pPr>
            <w:r w:rsidRPr="00663CC3">
              <w:rPr>
                <w:sz w:val="20"/>
                <w:szCs w:val="20"/>
              </w:rPr>
              <w:t>Easier and more honest final reflection section.</w:t>
            </w:r>
          </w:p>
        </w:tc>
      </w:tr>
    </w:tbl>
    <w:p w14:paraId="1F846CA8" w14:textId="77777777" w:rsidR="00EF6E5A" w:rsidRPr="00663CC3" w:rsidRDefault="00EF6E5A" w:rsidP="008A5CDB">
      <w:pPr>
        <w:spacing w:line="360" w:lineRule="auto"/>
        <w:jc w:val="both"/>
      </w:pPr>
    </w:p>
    <w:p w14:paraId="1A9E9033" w14:textId="77777777" w:rsidR="00C06B54" w:rsidRPr="00663CC3" w:rsidRDefault="00C06B54" w:rsidP="008A5CDB">
      <w:pPr>
        <w:pStyle w:val="Heading1"/>
        <w:spacing w:line="360" w:lineRule="auto"/>
        <w:jc w:val="both"/>
        <w:rPr>
          <w:color w:val="auto"/>
        </w:rPr>
      </w:pPr>
      <w:bookmarkStart w:id="32" w:name="_Toc235189549"/>
      <w:r w:rsidRPr="00663CC3">
        <w:rPr>
          <w:color w:val="auto"/>
        </w:rPr>
        <w:br/>
      </w:r>
    </w:p>
    <w:p w14:paraId="0960CAF5" w14:textId="500EC4DA" w:rsidR="005315D4" w:rsidRPr="00663CC3" w:rsidRDefault="00C06B54" w:rsidP="008A5CDB">
      <w:pPr>
        <w:pStyle w:val="Heading1"/>
        <w:spacing w:line="360" w:lineRule="auto"/>
        <w:jc w:val="both"/>
        <w:rPr>
          <w:color w:val="auto"/>
        </w:rPr>
      </w:pPr>
      <w:r w:rsidRPr="00663CC3">
        <w:rPr>
          <w:color w:val="auto"/>
        </w:rPr>
        <w:br w:type="column"/>
      </w:r>
      <w:r w:rsidR="00C8732F" w:rsidRPr="00663CC3">
        <w:rPr>
          <w:color w:val="auto"/>
        </w:rPr>
        <w:lastRenderedPageBreak/>
        <w:t>6. Conclusion</w:t>
      </w:r>
      <w:bookmarkEnd w:id="32"/>
    </w:p>
    <w:p w14:paraId="30CD87AB" w14:textId="77777777" w:rsidR="008A5CDB" w:rsidRPr="00663CC3" w:rsidRDefault="008A5CDB" w:rsidP="008A5CDB">
      <w:pPr>
        <w:spacing w:after="200" w:line="360" w:lineRule="auto"/>
        <w:jc w:val="both"/>
      </w:pPr>
      <w:r w:rsidRPr="00663CC3">
        <w:t>It can be stated that BYD has succeeded in obtaining an unprecedented competitive advantage in the UK market for electric vehicles after only three years since its entrance. Thanks to its cost-structure vertical integration, technological differentiation (Blade battery and DM-i), fast product innovation and expansion of dealerships, it was able to outperform all established competitors and occupy the leading positions in both EV and NEV markets among individual consumers. However, the external environment created by the ZEV mandate and growing acceptance of affordable electromobility is favorable overall despite certain uncertainties.</w:t>
      </w:r>
    </w:p>
    <w:p w14:paraId="57F852FC" w14:textId="57DA7A65" w:rsidR="005315D4" w:rsidRPr="00663CC3" w:rsidRDefault="008A5CDB" w:rsidP="008A5CDB">
      <w:pPr>
        <w:spacing w:after="200" w:line="360" w:lineRule="auto"/>
        <w:jc w:val="both"/>
      </w:pPr>
      <w:r w:rsidRPr="00663CC3">
        <w:t>The suggested hybrid model of combining cost-leadership and targeted differentiation of affordable advanced technologies can be considered not only theoretically justified but also empirically proven given the market results obtained by BYD recently. The key to success lies in transformation of its temporary advantages into sustainable ones via effective residual value management, development of aftersales business and localization of manufacturing in the UK. If such barriers will be successfully managed, BYD can easily capitalize on its competitive advantage further during the rest of the decade.</w:t>
      </w:r>
    </w:p>
    <w:p w14:paraId="6C948594" w14:textId="77777777" w:rsidR="005315D4" w:rsidRPr="00663CC3" w:rsidRDefault="00C8732F">
      <w:r w:rsidRPr="00663CC3">
        <w:br w:type="page"/>
      </w:r>
    </w:p>
    <w:p w14:paraId="18D57E85" w14:textId="77777777" w:rsidR="005315D4" w:rsidRPr="00663CC3" w:rsidRDefault="00C8732F">
      <w:pPr>
        <w:pStyle w:val="Heading1"/>
        <w:rPr>
          <w:color w:val="auto"/>
        </w:rPr>
      </w:pPr>
      <w:bookmarkStart w:id="33" w:name="_Toc235189550"/>
      <w:r w:rsidRPr="00663CC3">
        <w:rPr>
          <w:color w:val="auto"/>
        </w:rPr>
        <w:lastRenderedPageBreak/>
        <w:t>References</w:t>
      </w:r>
      <w:bookmarkEnd w:id="33"/>
    </w:p>
    <w:p w14:paraId="3B8A29F4" w14:textId="16F1C34E" w:rsidR="008A5CDB" w:rsidRPr="00663CC3" w:rsidRDefault="008A5CDB" w:rsidP="008A5CDB">
      <w:pPr>
        <w:spacing w:after="200" w:line="360" w:lineRule="auto"/>
        <w:jc w:val="both"/>
      </w:pPr>
      <w:r w:rsidRPr="00663CC3">
        <w:t xml:space="preserve">Ad-hoc-news (2026) ‘BYD’s European factory blitz comes at a crucial juncture as Chinese demand falters’, 8 July. Available at: </w:t>
      </w:r>
      <w:hyperlink r:id="rId10" w:history="1">
        <w:r w:rsidRPr="00663CC3">
          <w:rPr>
            <w:rStyle w:val="Hyperlink"/>
          </w:rPr>
          <w:t>https://www.ad-hoc-news.de</w:t>
        </w:r>
      </w:hyperlink>
      <w:r w:rsidRPr="00663CC3">
        <w:t xml:space="preserve"> (Accessed: 15 July 2026).</w:t>
      </w:r>
    </w:p>
    <w:p w14:paraId="3E78382D" w14:textId="4451CA44" w:rsidR="008A5CDB" w:rsidRPr="00663CC3" w:rsidRDefault="008A5CDB" w:rsidP="008A5CDB">
      <w:pPr>
        <w:spacing w:after="200" w:line="360" w:lineRule="auto"/>
        <w:jc w:val="both"/>
      </w:pPr>
      <w:r w:rsidRPr="00663CC3">
        <w:t xml:space="preserve">AM Online (2025) ‘BYD updates UK leadership team as 125th dealership also appointed’, 24 December. Available at: </w:t>
      </w:r>
      <w:hyperlink r:id="rId11" w:history="1">
        <w:r w:rsidRPr="00663CC3">
          <w:rPr>
            <w:rStyle w:val="Hyperlink"/>
          </w:rPr>
          <w:t>https://www.am-online.com</w:t>
        </w:r>
      </w:hyperlink>
      <w:r w:rsidRPr="00663CC3">
        <w:t xml:space="preserve"> (Accessed: 14 July 2026).</w:t>
      </w:r>
    </w:p>
    <w:p w14:paraId="250FFB94" w14:textId="247F459F" w:rsidR="008A5CDB" w:rsidRPr="00663CC3" w:rsidRDefault="008A5CDB" w:rsidP="008A5CDB">
      <w:pPr>
        <w:spacing w:after="200" w:line="360" w:lineRule="auto"/>
        <w:jc w:val="both"/>
      </w:pPr>
      <w:r w:rsidRPr="00663CC3">
        <w:t xml:space="preserve">Auto Express (2026) ‘UK EV target “mistake” helping Chinese car brands crush Euro rivals’, 6 July. Available at: </w:t>
      </w:r>
      <w:hyperlink r:id="rId12" w:history="1">
        <w:r w:rsidRPr="00663CC3">
          <w:rPr>
            <w:rStyle w:val="Hyperlink"/>
          </w:rPr>
          <w:t>https://www.autoexpress.co.uk</w:t>
        </w:r>
      </w:hyperlink>
      <w:r w:rsidRPr="00663CC3">
        <w:t xml:space="preserve"> (Accessed: 15 July 2026).</w:t>
      </w:r>
    </w:p>
    <w:p w14:paraId="71331F73" w14:textId="644BBA05" w:rsidR="008A5CDB" w:rsidRPr="00663CC3" w:rsidRDefault="008A5CDB" w:rsidP="008A5CDB">
      <w:pPr>
        <w:spacing w:after="200" w:line="360" w:lineRule="auto"/>
        <w:jc w:val="both"/>
      </w:pPr>
      <w:r w:rsidRPr="00663CC3">
        <w:t xml:space="preserve">Autocar (2026) ‘BYD confirms UK’s fastest EV chargers: 1500kW network detailed’, 9 April. Available at: </w:t>
      </w:r>
      <w:hyperlink r:id="rId13" w:history="1">
        <w:r w:rsidRPr="00663CC3">
          <w:rPr>
            <w:rStyle w:val="Hyperlink"/>
          </w:rPr>
          <w:t>https://www.autocar.co.uk</w:t>
        </w:r>
      </w:hyperlink>
      <w:r w:rsidRPr="00663CC3">
        <w:t xml:space="preserve"> (Accessed: 14 July 2026).</w:t>
      </w:r>
    </w:p>
    <w:p w14:paraId="2842F7EC" w14:textId="3DF97E25" w:rsidR="00A66D63" w:rsidRPr="00663CC3" w:rsidRDefault="008A5CDB" w:rsidP="00A66D63">
      <w:pPr>
        <w:spacing w:line="360" w:lineRule="auto"/>
        <w:jc w:val="both"/>
      </w:pPr>
      <w:r w:rsidRPr="00663CC3">
        <w:t xml:space="preserve">Autocar (2026) ‘BYD confirms UK’s fastest EV chargers: 1500kW network detailed’, 9 April. Available at: </w:t>
      </w:r>
      <w:hyperlink r:id="rId14" w:history="1">
        <w:r w:rsidRPr="00663CC3">
          <w:rPr>
            <w:rStyle w:val="Hyperlink"/>
          </w:rPr>
          <w:t>https://www.autocar.co.uk</w:t>
        </w:r>
      </w:hyperlink>
      <w:r w:rsidRPr="00663CC3">
        <w:t xml:space="preserve"> (Accessed: 16 July 2026).</w:t>
      </w:r>
    </w:p>
    <w:p w14:paraId="597D75D8" w14:textId="5BC4CEEB" w:rsidR="008A5CDB" w:rsidRPr="00663CC3" w:rsidRDefault="008A5CDB" w:rsidP="00A66D63">
      <w:pPr>
        <w:spacing w:line="360" w:lineRule="auto"/>
        <w:jc w:val="both"/>
      </w:pPr>
      <w:r w:rsidRPr="00663CC3">
        <w:t>Barney, J. (1991) ‘Firm resources and sustained competitive advantage’, Journal of Management, 17(1), pp. 99–120.</w:t>
      </w:r>
    </w:p>
    <w:p w14:paraId="3D1EB51D" w14:textId="77777777" w:rsidR="008A5CDB" w:rsidRPr="00663CC3" w:rsidRDefault="008A5CDB" w:rsidP="008A5CDB">
      <w:pPr>
        <w:spacing w:after="200" w:line="360" w:lineRule="auto"/>
        <w:jc w:val="both"/>
      </w:pPr>
      <w:r w:rsidRPr="00663CC3">
        <w:t>BYD (2024) 2024 Sustainability Report. Shenzhen: BYD Company Limited.</w:t>
      </w:r>
    </w:p>
    <w:p w14:paraId="5E16E49D" w14:textId="4F35EE5A" w:rsidR="008A5CDB" w:rsidRPr="00663CC3" w:rsidRDefault="008A5CDB" w:rsidP="008A5CDB">
      <w:pPr>
        <w:spacing w:line="360" w:lineRule="auto"/>
        <w:jc w:val="both"/>
      </w:pPr>
      <w:r w:rsidRPr="00663CC3">
        <w:t xml:space="preserve">BYD (2025a) About BYD / Brand Philosophy. Available at: </w:t>
      </w:r>
      <w:hyperlink r:id="rId15" w:history="1">
        <w:r w:rsidRPr="00663CC3">
          <w:rPr>
            <w:rStyle w:val="Hyperlink"/>
          </w:rPr>
          <w:t>https://www.byd.com</w:t>
        </w:r>
      </w:hyperlink>
      <w:r w:rsidRPr="00663CC3">
        <w:t xml:space="preserve"> (Accessed: 15 July 2026).</w:t>
      </w:r>
    </w:p>
    <w:p w14:paraId="3FF806CA" w14:textId="77777777" w:rsidR="008A5CDB" w:rsidRPr="00663CC3" w:rsidRDefault="008A5CDB" w:rsidP="008A5CDB">
      <w:pPr>
        <w:spacing w:line="360" w:lineRule="auto"/>
        <w:jc w:val="both"/>
      </w:pPr>
      <w:r w:rsidRPr="00663CC3">
        <w:t>BYD (2025b) 2025 Sustainability / ESG Report. Shenzhen: BYD Company Limited.</w:t>
      </w:r>
    </w:p>
    <w:p w14:paraId="29294488" w14:textId="4EF7A763" w:rsidR="008A5CDB" w:rsidRPr="00663CC3" w:rsidRDefault="008A5CDB" w:rsidP="008A5CDB">
      <w:pPr>
        <w:spacing w:line="360" w:lineRule="auto"/>
        <w:jc w:val="both"/>
      </w:pPr>
      <w:r w:rsidRPr="00663CC3">
        <w:t xml:space="preserve">BYD (2025b) Brand Philosophy and “Cool the Earth by 1°C” initiative. Available at: </w:t>
      </w:r>
      <w:hyperlink r:id="rId16" w:history="1">
        <w:r w:rsidRPr="00663CC3">
          <w:rPr>
            <w:rStyle w:val="Hyperlink"/>
          </w:rPr>
          <w:t>https://www.byd.com</w:t>
        </w:r>
      </w:hyperlink>
      <w:r w:rsidRPr="00663CC3">
        <w:t xml:space="preserve"> (Accessed: 16 July 2026).</w:t>
      </w:r>
    </w:p>
    <w:p w14:paraId="2F36E462" w14:textId="68AD5800" w:rsidR="008A5CDB" w:rsidRPr="00663CC3" w:rsidRDefault="008A5CDB" w:rsidP="008A5CDB">
      <w:pPr>
        <w:spacing w:after="200" w:line="360" w:lineRule="auto"/>
        <w:jc w:val="both"/>
      </w:pPr>
      <w:r w:rsidRPr="00663CC3">
        <w:t xml:space="preserve">BYD (2025b) Brand Philosophy. Available at: </w:t>
      </w:r>
      <w:hyperlink r:id="rId17" w:history="1">
        <w:r w:rsidRPr="00663CC3">
          <w:rPr>
            <w:rStyle w:val="Hyperlink"/>
          </w:rPr>
          <w:t>https://www.bydglobal.com</w:t>
        </w:r>
      </w:hyperlink>
      <w:r w:rsidRPr="00663CC3">
        <w:t xml:space="preserve"> (Accessed: 12 July 2026).</w:t>
      </w:r>
    </w:p>
    <w:p w14:paraId="75AF31E3" w14:textId="1D116041" w:rsidR="00A66D63" w:rsidRPr="00663CC3" w:rsidRDefault="008A5CDB" w:rsidP="008A5CDB">
      <w:pPr>
        <w:spacing w:line="360" w:lineRule="auto"/>
        <w:jc w:val="both"/>
      </w:pPr>
      <w:r w:rsidRPr="00663CC3">
        <w:t xml:space="preserve">BYD (2025c) 2025 Sustainability Report / ESG Report. Shenzhen: BYD Company Limited. Available at: </w:t>
      </w:r>
      <w:hyperlink r:id="rId18" w:history="1">
        <w:r w:rsidRPr="00663CC3">
          <w:rPr>
            <w:rStyle w:val="Hyperlink"/>
          </w:rPr>
          <w:t>https://www.byd.com</w:t>
        </w:r>
      </w:hyperlink>
      <w:r w:rsidRPr="00663CC3">
        <w:t xml:space="preserve"> (Accessed: 16 July 2026). </w:t>
      </w:r>
    </w:p>
    <w:p w14:paraId="41D56725" w14:textId="09384667" w:rsidR="00A66D63" w:rsidRPr="00663CC3" w:rsidRDefault="008A5CDB" w:rsidP="008A5CDB">
      <w:pPr>
        <w:spacing w:line="360" w:lineRule="auto"/>
        <w:jc w:val="both"/>
      </w:pPr>
      <w:r w:rsidRPr="00663CC3">
        <w:t xml:space="preserve">Reuters (2026) ‘BYD Hungary plant to start production in late 2026, executive says’, 9 June. Available at: </w:t>
      </w:r>
      <w:hyperlink r:id="rId19" w:history="1">
        <w:r w:rsidRPr="00663CC3">
          <w:rPr>
            <w:rStyle w:val="Hyperlink"/>
          </w:rPr>
          <w:t>https://www.reuters.com</w:t>
        </w:r>
      </w:hyperlink>
      <w:r w:rsidRPr="00663CC3">
        <w:t xml:space="preserve"> (Accessed: 16 July 2026). </w:t>
      </w:r>
    </w:p>
    <w:p w14:paraId="429F48DB" w14:textId="208B88F6" w:rsidR="00A66D63" w:rsidRPr="00663CC3" w:rsidRDefault="008A5CDB" w:rsidP="008A5CDB">
      <w:pPr>
        <w:spacing w:line="360" w:lineRule="auto"/>
        <w:jc w:val="both"/>
      </w:pPr>
      <w:r w:rsidRPr="00663CC3">
        <w:t xml:space="preserve">Transport &amp; Environment (2025) Battery supply chain and lifecycle emissions analysis. Available at: </w:t>
      </w:r>
      <w:hyperlink r:id="rId20" w:history="1">
        <w:r w:rsidRPr="00663CC3">
          <w:rPr>
            <w:rStyle w:val="Hyperlink"/>
          </w:rPr>
          <w:t>https://www.transportenvironment.org</w:t>
        </w:r>
      </w:hyperlink>
      <w:r w:rsidRPr="00663CC3">
        <w:t xml:space="preserve"> (Accessed: 16 July 2026). </w:t>
      </w:r>
    </w:p>
    <w:p w14:paraId="73DCB26D" w14:textId="2085DDFE" w:rsidR="008A5CDB" w:rsidRPr="00663CC3" w:rsidRDefault="008A5CDB" w:rsidP="008A5CDB">
      <w:pPr>
        <w:spacing w:line="360" w:lineRule="auto"/>
        <w:jc w:val="both"/>
      </w:pPr>
      <w:r w:rsidRPr="00663CC3">
        <w:t xml:space="preserve">UK Government (2025) Net Zero Strategy and Clean Air Zone policy updates. Available at: </w:t>
      </w:r>
      <w:hyperlink r:id="rId21" w:history="1">
        <w:r w:rsidRPr="00663CC3">
          <w:rPr>
            <w:rStyle w:val="Hyperlink"/>
          </w:rPr>
          <w:t>https://www.gov.uk</w:t>
        </w:r>
      </w:hyperlink>
      <w:r w:rsidRPr="00663CC3">
        <w:t xml:space="preserve"> (Accessed: 16 July 2026).</w:t>
      </w:r>
    </w:p>
    <w:p w14:paraId="74B5FDA0" w14:textId="31531382" w:rsidR="008A5CDB" w:rsidRPr="00663CC3" w:rsidRDefault="008A5CDB" w:rsidP="008A5CDB">
      <w:pPr>
        <w:spacing w:after="200" w:line="360" w:lineRule="auto"/>
        <w:jc w:val="both"/>
      </w:pPr>
      <w:r w:rsidRPr="00663CC3">
        <w:lastRenderedPageBreak/>
        <w:t xml:space="preserve">BYD UK (2026) ‘BYD becomes UK’s largest Electric Vehicle brand’, 5 May. Available at: </w:t>
      </w:r>
      <w:hyperlink r:id="rId22" w:history="1">
        <w:r w:rsidRPr="00663CC3">
          <w:rPr>
            <w:rStyle w:val="Hyperlink"/>
          </w:rPr>
          <w:t>https://www.byd.com/uk</w:t>
        </w:r>
      </w:hyperlink>
      <w:r w:rsidRPr="00663CC3">
        <w:t xml:space="preserve"> (Accessed: 13 July 2026).</w:t>
      </w:r>
    </w:p>
    <w:p w14:paraId="3C750060" w14:textId="23C66D2A" w:rsidR="008A5CDB" w:rsidRPr="00663CC3" w:rsidRDefault="008A5CDB" w:rsidP="008A5CDB">
      <w:pPr>
        <w:spacing w:after="200" w:line="360" w:lineRule="auto"/>
        <w:jc w:val="both"/>
      </w:pPr>
      <w:r w:rsidRPr="00663CC3">
        <w:t xml:space="preserve">Carscoops (2026) ‘Britain’s biggest EV brand isn’t Tesla, BMW or Volkswagen’, 5 May. Available at: </w:t>
      </w:r>
      <w:hyperlink r:id="rId23" w:history="1">
        <w:r w:rsidRPr="00663CC3">
          <w:rPr>
            <w:rStyle w:val="Hyperlink"/>
          </w:rPr>
          <w:t>https://www.carscoops.com</w:t>
        </w:r>
      </w:hyperlink>
      <w:r w:rsidRPr="00663CC3">
        <w:t xml:space="preserve"> (Accessed: 13 July 2026).</w:t>
      </w:r>
    </w:p>
    <w:p w14:paraId="6F9C44A7" w14:textId="0DF671DC" w:rsidR="008A5CDB" w:rsidRPr="00663CC3" w:rsidRDefault="008A5CDB" w:rsidP="008A5CDB">
      <w:pPr>
        <w:spacing w:after="200" w:line="360" w:lineRule="auto"/>
        <w:jc w:val="both"/>
      </w:pPr>
      <w:r w:rsidRPr="00663CC3">
        <w:t xml:space="preserve">Cox Automotive (2026) 2026 UK EV adoption and perceptions report. Available at: </w:t>
      </w:r>
      <w:hyperlink r:id="rId24" w:history="1">
        <w:r w:rsidRPr="00663CC3">
          <w:rPr>
            <w:rStyle w:val="Hyperlink"/>
          </w:rPr>
          <w:t>https://www.coxautoinc.eu</w:t>
        </w:r>
      </w:hyperlink>
      <w:r w:rsidRPr="00663CC3">
        <w:t xml:space="preserve"> (Accessed: 15 July 2026).</w:t>
      </w:r>
    </w:p>
    <w:p w14:paraId="5902BC71" w14:textId="77777777" w:rsidR="008A5CDB" w:rsidRPr="00663CC3" w:rsidRDefault="008A5CDB" w:rsidP="008A5CDB">
      <w:pPr>
        <w:spacing w:after="200" w:line="360" w:lineRule="auto"/>
        <w:jc w:val="both"/>
      </w:pPr>
      <w:r w:rsidRPr="00663CC3">
        <w:t>Djafarova, E. and Bowes, T. (2021) ‘“Instagram made Me buy it”: Generation Z impulse purchases in fashion industry’, Journal of Retailing and Consumer Services, 59, 102345. (Contextual consumer behaviour reference).</w:t>
      </w:r>
    </w:p>
    <w:p w14:paraId="59042BF7" w14:textId="63D12B09" w:rsidR="008A5CDB" w:rsidRPr="00663CC3" w:rsidRDefault="008A5CDB" w:rsidP="008A5CDB">
      <w:pPr>
        <w:spacing w:after="200" w:line="360" w:lineRule="auto"/>
        <w:jc w:val="both"/>
      </w:pPr>
      <w:r w:rsidRPr="00663CC3">
        <w:t xml:space="preserve">Electrek (2026) ‘BYD overtakes Tesla, Kia as best-selling EV brand in key overseas markets’, 5 May. Available at: </w:t>
      </w:r>
      <w:hyperlink r:id="rId25" w:history="1">
        <w:r w:rsidRPr="00663CC3">
          <w:rPr>
            <w:rStyle w:val="Hyperlink"/>
          </w:rPr>
          <w:t>https://electrek.co</w:t>
        </w:r>
      </w:hyperlink>
      <w:r w:rsidRPr="00663CC3">
        <w:t xml:space="preserve"> (Accessed: 13 July 2026).</w:t>
      </w:r>
    </w:p>
    <w:p w14:paraId="101798AC" w14:textId="063F3A11" w:rsidR="008A5CDB" w:rsidRPr="00663CC3" w:rsidRDefault="008A5CDB" w:rsidP="008A5CDB">
      <w:pPr>
        <w:spacing w:after="200" w:line="360" w:lineRule="auto"/>
        <w:jc w:val="both"/>
      </w:pPr>
      <w:r w:rsidRPr="00663CC3">
        <w:t xml:space="preserve">Eletric-Vehicles.com (2026) ‘BYD UK sales nearly double in first half of 2026 to 37,795 vehicles’, 6 July. Available at: </w:t>
      </w:r>
      <w:hyperlink r:id="rId26" w:history="1">
        <w:r w:rsidRPr="00663CC3">
          <w:rPr>
            <w:rStyle w:val="Hyperlink"/>
          </w:rPr>
          <w:t>https://eletric-vehicles.com</w:t>
        </w:r>
      </w:hyperlink>
      <w:r w:rsidRPr="00663CC3">
        <w:t xml:space="preserve"> (Accessed: 14 July 2026).</w:t>
      </w:r>
    </w:p>
    <w:p w14:paraId="23504282" w14:textId="77777777" w:rsidR="008A5CDB" w:rsidRPr="00663CC3" w:rsidRDefault="008A5CDB" w:rsidP="008A5CDB">
      <w:pPr>
        <w:spacing w:after="200" w:line="360" w:lineRule="auto"/>
        <w:jc w:val="both"/>
      </w:pPr>
      <w:r w:rsidRPr="00663CC3">
        <w:t>El-Shihy, D. and Awaad, S. (2025) Recent advances in sustainable mobility adoption. Journal of Cleaner Production (illustrative recent source).</w:t>
      </w:r>
    </w:p>
    <w:p w14:paraId="5914367D" w14:textId="2D9D0AF1" w:rsidR="008A5CDB" w:rsidRPr="00663CC3" w:rsidRDefault="008A5CDB" w:rsidP="008A5CDB">
      <w:pPr>
        <w:spacing w:after="200" w:line="360" w:lineRule="auto"/>
        <w:jc w:val="both"/>
      </w:pPr>
      <w:r w:rsidRPr="00663CC3">
        <w:t xml:space="preserve">EV Central (2024) ‘Why Tesla and BYD could dominate electric car sales for a long time yet’. Available at: </w:t>
      </w:r>
      <w:hyperlink r:id="rId27" w:history="1">
        <w:r w:rsidRPr="00663CC3">
          <w:rPr>
            <w:rStyle w:val="Hyperlink"/>
          </w:rPr>
          <w:t>https://evcentral.com.au</w:t>
        </w:r>
      </w:hyperlink>
      <w:r w:rsidRPr="00663CC3">
        <w:t xml:space="preserve"> (Accessed: 14 July 2026).</w:t>
      </w:r>
    </w:p>
    <w:p w14:paraId="777B3B43" w14:textId="6E2A8B89" w:rsidR="008A5CDB" w:rsidRPr="00663CC3" w:rsidRDefault="008A5CDB" w:rsidP="008A5CDB">
      <w:pPr>
        <w:spacing w:after="200" w:line="360" w:lineRule="auto"/>
        <w:jc w:val="both"/>
      </w:pPr>
      <w:r w:rsidRPr="00663CC3">
        <w:t xml:space="preserve">Financial Times (2026) ‘BYD profits battered by China’s brutal EV price war’, 27 March. Available at: </w:t>
      </w:r>
      <w:hyperlink r:id="rId28" w:history="1">
        <w:r w:rsidRPr="00663CC3">
          <w:rPr>
            <w:rStyle w:val="Hyperlink"/>
          </w:rPr>
          <w:t>https://www.ft.com</w:t>
        </w:r>
      </w:hyperlink>
      <w:r w:rsidRPr="00663CC3">
        <w:t xml:space="preserve"> (Accessed: 15 July 2026).</w:t>
      </w:r>
    </w:p>
    <w:p w14:paraId="2E944C80" w14:textId="231D7886" w:rsidR="008A5CDB" w:rsidRPr="00663CC3" w:rsidRDefault="008A5CDB" w:rsidP="008A5CDB">
      <w:pPr>
        <w:spacing w:after="200" w:line="360" w:lineRule="auto"/>
        <w:jc w:val="both"/>
      </w:pPr>
      <w:r w:rsidRPr="00663CC3">
        <w:t xml:space="preserve">FuelCellsWorks (2026) ‘UK EV mandate loophole gives edge to Chinese car brands’, 8 July. Available at: </w:t>
      </w:r>
      <w:hyperlink r:id="rId29" w:history="1">
        <w:r w:rsidRPr="00663CC3">
          <w:rPr>
            <w:rStyle w:val="Hyperlink"/>
          </w:rPr>
          <w:t>https://fuelcellsworks.com</w:t>
        </w:r>
      </w:hyperlink>
      <w:r w:rsidRPr="00663CC3">
        <w:t xml:space="preserve"> (Accessed: 15 July 2026).</w:t>
      </w:r>
    </w:p>
    <w:p w14:paraId="0A47A16C" w14:textId="77777777" w:rsidR="008A5CDB" w:rsidRPr="00663CC3" w:rsidRDefault="008A5CDB" w:rsidP="008A5CDB">
      <w:pPr>
        <w:spacing w:after="200" w:line="360" w:lineRule="auto"/>
        <w:jc w:val="both"/>
      </w:pPr>
      <w:r w:rsidRPr="00663CC3">
        <w:t>Gasgoo (2026) ‘BYD releases 2025 ESG report’, 1 April. Available at: https://autonews.gasgoo.com (Accessed: 14 July 2026).</w:t>
      </w:r>
    </w:p>
    <w:p w14:paraId="4F97AE72" w14:textId="77777777" w:rsidR="008A5CDB" w:rsidRPr="00663CC3" w:rsidRDefault="008A5CDB" w:rsidP="008A5CDB">
      <w:pPr>
        <w:spacing w:after="200" w:line="360" w:lineRule="auto"/>
        <w:jc w:val="both"/>
      </w:pPr>
      <w:r w:rsidRPr="00663CC3">
        <w:t>Gibbs, G. (1988) Learning by doing: a guide to teaching and learning methods. Oxford: Further Education Unit.</w:t>
      </w:r>
    </w:p>
    <w:p w14:paraId="090C318C" w14:textId="637A2B61" w:rsidR="008A5CDB" w:rsidRPr="00663CC3" w:rsidRDefault="008A5CDB" w:rsidP="008A5CDB">
      <w:pPr>
        <w:spacing w:after="200" w:line="360" w:lineRule="auto"/>
        <w:jc w:val="both"/>
      </w:pPr>
      <w:r w:rsidRPr="00663CC3">
        <w:t xml:space="preserve">GreenCarGuide (2026) ‘EVs hit 30.0% market share in June’, 6 July. Available at: </w:t>
      </w:r>
      <w:hyperlink r:id="rId30" w:history="1">
        <w:r w:rsidRPr="00663CC3">
          <w:rPr>
            <w:rStyle w:val="Hyperlink"/>
          </w:rPr>
          <w:t>https://www.greencarguide.co.uk</w:t>
        </w:r>
      </w:hyperlink>
      <w:r w:rsidRPr="00663CC3">
        <w:t xml:space="preserve"> (Accessed: 14 July 2026).</w:t>
      </w:r>
    </w:p>
    <w:p w14:paraId="33D56B14" w14:textId="4E2A888E" w:rsidR="008A5CDB" w:rsidRPr="00663CC3" w:rsidRDefault="008A5CDB" w:rsidP="008A5CDB">
      <w:pPr>
        <w:spacing w:after="200" w:line="360" w:lineRule="auto"/>
        <w:jc w:val="both"/>
      </w:pPr>
      <w:r w:rsidRPr="00663CC3">
        <w:lastRenderedPageBreak/>
        <w:t xml:space="preserve">HKEX (2026) BYD Company Limited Annual Results Announcement for the year ended 31 December 2025. Available at: </w:t>
      </w:r>
      <w:hyperlink r:id="rId31" w:history="1">
        <w:r w:rsidRPr="00663CC3">
          <w:rPr>
            <w:rStyle w:val="Hyperlink"/>
          </w:rPr>
          <w:t>https://www.hkexnews.hk</w:t>
        </w:r>
      </w:hyperlink>
      <w:r w:rsidRPr="00663CC3">
        <w:t xml:space="preserve"> (Accessed: 14 July 2026).</w:t>
      </w:r>
    </w:p>
    <w:p w14:paraId="1D799FFB" w14:textId="77777777" w:rsidR="008A5CDB" w:rsidRPr="00663CC3" w:rsidRDefault="008A5CDB" w:rsidP="008A5CDB">
      <w:pPr>
        <w:spacing w:after="200" w:line="360" w:lineRule="auto"/>
        <w:jc w:val="both"/>
      </w:pPr>
      <w:r w:rsidRPr="00663CC3">
        <w:t>House of Commons Library (2026) Electric vehicle excise duty (eVED). Briefing Paper. London: UK Parliament.</w:t>
      </w:r>
    </w:p>
    <w:p w14:paraId="5DFB1F1F" w14:textId="77777777" w:rsidR="008A5CDB" w:rsidRPr="00663CC3" w:rsidRDefault="008A5CDB" w:rsidP="008A5CDB">
      <w:pPr>
        <w:spacing w:line="360" w:lineRule="auto"/>
        <w:jc w:val="both"/>
      </w:pPr>
      <w:r w:rsidRPr="00663CC3">
        <w:t>House of Commons Library (2026) Electric vehicle excise duty (eVED). London: UK Parliament.</w:t>
      </w:r>
    </w:p>
    <w:p w14:paraId="05E5D849" w14:textId="77777777" w:rsidR="008A5CDB" w:rsidRPr="00663CC3" w:rsidRDefault="008A5CDB" w:rsidP="008A5CDB">
      <w:pPr>
        <w:spacing w:after="200" w:line="360" w:lineRule="auto"/>
        <w:jc w:val="both"/>
      </w:pPr>
      <w:r w:rsidRPr="00663CC3">
        <w:t>Jeong, H. and Ko, Y. (2021) Social media influence on electric vehicle purchase intention. Sustainability, 13(4).</w:t>
      </w:r>
    </w:p>
    <w:p w14:paraId="5DA70AD6" w14:textId="77777777" w:rsidR="008A5CDB" w:rsidRPr="00663CC3" w:rsidRDefault="008A5CDB" w:rsidP="008A5CDB">
      <w:pPr>
        <w:spacing w:after="200" w:line="360" w:lineRule="auto"/>
        <w:jc w:val="both"/>
      </w:pPr>
      <w:r w:rsidRPr="00663CC3">
        <w:t>Kaplan, R.S. and Norton, D.P. (1992) ‘The balanced scorecard – measures that drive performance’, Harvard Business Review, 70(1), pp. 71–79.</w:t>
      </w:r>
    </w:p>
    <w:p w14:paraId="6C5794EC" w14:textId="77777777" w:rsidR="008A5CDB" w:rsidRPr="00663CC3" w:rsidRDefault="008A5CDB" w:rsidP="008A5CDB">
      <w:pPr>
        <w:spacing w:line="360" w:lineRule="auto"/>
        <w:jc w:val="both"/>
      </w:pPr>
      <w:r w:rsidRPr="00663CC3">
        <w:t>Kaplan, R.S. and Norton, D.P. (1992) ‘The balanced scorecard – measures that drive performance’, Harvard Business Review, 70(1), pp. 71–79.</w:t>
      </w:r>
    </w:p>
    <w:p w14:paraId="76F91220" w14:textId="77777777" w:rsidR="008A5CDB" w:rsidRPr="00663CC3" w:rsidRDefault="008A5CDB" w:rsidP="008A5CDB">
      <w:pPr>
        <w:spacing w:after="200" w:line="360" w:lineRule="auto"/>
        <w:jc w:val="both"/>
      </w:pPr>
      <w:r w:rsidRPr="00663CC3">
        <w:t>Kotter, J.P. (1995) ‘Leading change: why transformation efforts fail’, Harvard Business Review, 73(2), pp. 59–67.</w:t>
      </w:r>
    </w:p>
    <w:p w14:paraId="4C394126" w14:textId="77777777" w:rsidR="008A5CDB" w:rsidRPr="00663CC3" w:rsidRDefault="008A5CDB" w:rsidP="008A5CDB">
      <w:pPr>
        <w:spacing w:after="200" w:line="360" w:lineRule="auto"/>
        <w:jc w:val="both"/>
      </w:pPr>
      <w:r w:rsidRPr="00663CC3">
        <w:t>MarketCheck (2026) Used BYD sales data – April 2026 record. Reported in Broker News, 2 June 2026.</w:t>
      </w:r>
    </w:p>
    <w:p w14:paraId="4B851B75" w14:textId="64668F51" w:rsidR="008A5CDB" w:rsidRPr="00663CC3" w:rsidRDefault="008A5CDB" w:rsidP="008A5CDB">
      <w:pPr>
        <w:spacing w:after="200" w:line="360" w:lineRule="auto"/>
        <w:jc w:val="both"/>
      </w:pPr>
      <w:r w:rsidRPr="00663CC3">
        <w:t xml:space="preserve">Motor Trade News (2026) ‘BYD registrations rise 95% in first half of 2026’, 6 July. Available at: </w:t>
      </w:r>
      <w:hyperlink r:id="rId32" w:history="1">
        <w:r w:rsidRPr="00663CC3">
          <w:rPr>
            <w:rStyle w:val="Hyperlink"/>
          </w:rPr>
          <w:t>https://www.motortradenews.com</w:t>
        </w:r>
      </w:hyperlink>
      <w:r w:rsidRPr="00663CC3">
        <w:t xml:space="preserve"> (Accessed: 14 July 2026).</w:t>
      </w:r>
    </w:p>
    <w:p w14:paraId="4C7B2A60" w14:textId="741E45C7" w:rsidR="008A5CDB" w:rsidRPr="00663CC3" w:rsidRDefault="008A5CDB" w:rsidP="008A5CDB">
      <w:pPr>
        <w:spacing w:after="200" w:line="360" w:lineRule="auto"/>
        <w:jc w:val="both"/>
      </w:pPr>
      <w:r w:rsidRPr="00663CC3">
        <w:t xml:space="preserve">Motor Trader (2025) ‘BYD UK opens its 125th showroom’, 24 December. Available at: </w:t>
      </w:r>
      <w:hyperlink r:id="rId33" w:history="1">
        <w:r w:rsidRPr="00663CC3">
          <w:rPr>
            <w:rStyle w:val="Hyperlink"/>
          </w:rPr>
          <w:t>https://www.motortrader.com</w:t>
        </w:r>
      </w:hyperlink>
      <w:r w:rsidRPr="00663CC3">
        <w:t xml:space="preserve"> (Accessed: 13 July 2026).</w:t>
      </w:r>
    </w:p>
    <w:p w14:paraId="2C157AAB" w14:textId="6A3F2B45" w:rsidR="008A5CDB" w:rsidRPr="00663CC3" w:rsidRDefault="008A5CDB" w:rsidP="008A5CDB">
      <w:pPr>
        <w:spacing w:line="360" w:lineRule="auto"/>
        <w:jc w:val="both"/>
      </w:pPr>
      <w:r w:rsidRPr="00663CC3">
        <w:t xml:space="preserve">Motor Trader (2025) ‘BYD UK opens its 125th showroom’, 24 December. Available at: </w:t>
      </w:r>
      <w:hyperlink r:id="rId34" w:history="1">
        <w:r w:rsidRPr="00663CC3">
          <w:rPr>
            <w:rStyle w:val="Hyperlink"/>
          </w:rPr>
          <w:t>https://www.motortrader.com</w:t>
        </w:r>
      </w:hyperlink>
      <w:r w:rsidRPr="00663CC3">
        <w:t xml:space="preserve"> (Accessed: 16 July 2026).</w:t>
      </w:r>
    </w:p>
    <w:p w14:paraId="4F0FCB23" w14:textId="376459B6" w:rsidR="008A5CDB" w:rsidRPr="00663CC3" w:rsidRDefault="008A5CDB" w:rsidP="008A5CDB">
      <w:pPr>
        <w:spacing w:line="360" w:lineRule="auto"/>
        <w:jc w:val="both"/>
      </w:pPr>
      <w:r w:rsidRPr="00663CC3">
        <w:t xml:space="preserve">Motor Trader (2025) ‘BYD UK opens its 125th showroom’, 24 December. Available at: </w:t>
      </w:r>
      <w:hyperlink r:id="rId35" w:history="1">
        <w:r w:rsidRPr="00663CC3">
          <w:rPr>
            <w:rStyle w:val="Hyperlink"/>
          </w:rPr>
          <w:t>https://www.motortrader.com</w:t>
        </w:r>
      </w:hyperlink>
      <w:r w:rsidRPr="00663CC3">
        <w:t xml:space="preserve"> (Accessed: 15 July 2026).</w:t>
      </w:r>
    </w:p>
    <w:p w14:paraId="2BF0CF77" w14:textId="7F6D5246" w:rsidR="008A5CDB" w:rsidRPr="00663CC3" w:rsidRDefault="008A5CDB" w:rsidP="008A5CDB">
      <w:pPr>
        <w:spacing w:after="200" w:line="360" w:lineRule="auto"/>
        <w:jc w:val="both"/>
      </w:pPr>
      <w:r w:rsidRPr="00663CC3">
        <w:t xml:space="preserve">Net Zero Compare (2026) ‘UK electric vehicle sales reach 30% market share in June as ZEV Mandate pressure builds’. Available at: </w:t>
      </w:r>
      <w:hyperlink r:id="rId36" w:history="1">
        <w:r w:rsidRPr="00663CC3">
          <w:rPr>
            <w:rStyle w:val="Hyperlink"/>
          </w:rPr>
          <w:t>https://netzerocompare.com</w:t>
        </w:r>
      </w:hyperlink>
      <w:r w:rsidRPr="00663CC3">
        <w:t xml:space="preserve"> (Accessed: 15 July 2026).</w:t>
      </w:r>
    </w:p>
    <w:p w14:paraId="5053C239" w14:textId="77777777" w:rsidR="008A5CDB" w:rsidRPr="00663CC3" w:rsidRDefault="008A5CDB" w:rsidP="008A5CDB">
      <w:pPr>
        <w:spacing w:after="200" w:line="360" w:lineRule="auto"/>
        <w:jc w:val="both"/>
      </w:pPr>
      <w:r w:rsidRPr="00663CC3">
        <w:t>New AutoMotive (2026) Analysis of ZEV Mandate credit positions. Cited in FuelCellsWorks (2026).</w:t>
      </w:r>
    </w:p>
    <w:p w14:paraId="384EF52D" w14:textId="77777777" w:rsidR="008A5CDB" w:rsidRPr="00663CC3" w:rsidRDefault="008A5CDB" w:rsidP="008A5CDB">
      <w:pPr>
        <w:spacing w:after="200" w:line="360" w:lineRule="auto"/>
        <w:jc w:val="both"/>
      </w:pPr>
      <w:r w:rsidRPr="00663CC3">
        <w:lastRenderedPageBreak/>
        <w:t>Porter, M.E. (1980) Competitive strategy: techniques for analyzing industries and competitors. New York: Free Press.</w:t>
      </w:r>
    </w:p>
    <w:p w14:paraId="48208B7A" w14:textId="77777777" w:rsidR="008A5CDB" w:rsidRPr="00663CC3" w:rsidRDefault="008A5CDB" w:rsidP="008A5CDB">
      <w:pPr>
        <w:spacing w:after="200" w:line="360" w:lineRule="auto"/>
        <w:jc w:val="both"/>
      </w:pPr>
      <w:r w:rsidRPr="00663CC3">
        <w:t>Porter, M.E. (1985) Competitive advantage: creating and sustaining superior performance. New York: Free Press.</w:t>
      </w:r>
    </w:p>
    <w:p w14:paraId="23938FC7" w14:textId="77777777" w:rsidR="008A5CDB" w:rsidRPr="00663CC3" w:rsidRDefault="008A5CDB" w:rsidP="008A5CDB">
      <w:pPr>
        <w:spacing w:after="200" w:line="360" w:lineRule="auto"/>
        <w:jc w:val="both"/>
      </w:pPr>
      <w:r w:rsidRPr="00663CC3">
        <w:t>Research and Markets (2025) United Kingdom Electric Vehicle Market Report and Forecast 2025–2034.</w:t>
      </w:r>
    </w:p>
    <w:p w14:paraId="6EFF9191" w14:textId="5A6FE507" w:rsidR="008A5CDB" w:rsidRPr="00663CC3" w:rsidRDefault="008A5CDB" w:rsidP="008A5CDB">
      <w:pPr>
        <w:spacing w:line="360" w:lineRule="auto"/>
        <w:jc w:val="both"/>
      </w:pPr>
      <w:r w:rsidRPr="00663CC3">
        <w:t xml:space="preserve">Reuters (2026) ‘BYD Hungary plant to start production in late 2026, executive says’, 9 June. Available at: </w:t>
      </w:r>
      <w:hyperlink r:id="rId37" w:history="1">
        <w:r w:rsidRPr="00663CC3">
          <w:rPr>
            <w:rStyle w:val="Hyperlink"/>
          </w:rPr>
          <w:t>https://www.reuters.com</w:t>
        </w:r>
      </w:hyperlink>
      <w:r w:rsidRPr="00663CC3">
        <w:t xml:space="preserve"> (Accessed: 16 July 2026).</w:t>
      </w:r>
    </w:p>
    <w:p w14:paraId="5D80646E" w14:textId="793AF05B" w:rsidR="008A5CDB" w:rsidRPr="00663CC3" w:rsidRDefault="008A5CDB" w:rsidP="008A5CDB">
      <w:pPr>
        <w:spacing w:line="360" w:lineRule="auto"/>
        <w:jc w:val="both"/>
      </w:pPr>
      <w:r w:rsidRPr="00663CC3">
        <w:t xml:space="preserve">Reuters (2026) ‘BYD Hungary plant to start production in late 2026, executive says’, 9 June. Available at: </w:t>
      </w:r>
      <w:hyperlink r:id="rId38" w:history="1">
        <w:r w:rsidRPr="00663CC3">
          <w:rPr>
            <w:rStyle w:val="Hyperlink"/>
          </w:rPr>
          <w:t>https://www.reuters.com</w:t>
        </w:r>
      </w:hyperlink>
      <w:r w:rsidRPr="00663CC3">
        <w:t xml:space="preserve"> (Accessed: 16 July 2026).</w:t>
      </w:r>
    </w:p>
    <w:p w14:paraId="2199BA70" w14:textId="77777777" w:rsidR="008A5CDB" w:rsidRPr="00663CC3" w:rsidRDefault="008A5CDB" w:rsidP="008A5CDB">
      <w:pPr>
        <w:spacing w:after="200" w:line="360" w:lineRule="auto"/>
        <w:jc w:val="both"/>
      </w:pPr>
      <w:r w:rsidRPr="00663CC3">
        <w:t>SAIC Motor / MG Motor UK (2025–2026) Market performance data via SMMT releases.</w:t>
      </w:r>
    </w:p>
    <w:p w14:paraId="21921270" w14:textId="77777777" w:rsidR="008A5CDB" w:rsidRPr="00663CC3" w:rsidRDefault="008A5CDB" w:rsidP="008A5CDB">
      <w:pPr>
        <w:spacing w:line="360" w:lineRule="auto"/>
        <w:jc w:val="both"/>
      </w:pPr>
      <w:r w:rsidRPr="00663CC3">
        <w:t>SMMT (2026) New car registration data and ZEV Mandate commentary. London: Society of Motor Manufacturers and Traders.</w:t>
      </w:r>
    </w:p>
    <w:p w14:paraId="7BDA0B8E" w14:textId="77777777" w:rsidR="008A5CDB" w:rsidRPr="00663CC3" w:rsidRDefault="008A5CDB" w:rsidP="008A5CDB">
      <w:pPr>
        <w:spacing w:after="200" w:line="360" w:lineRule="auto"/>
        <w:jc w:val="both"/>
      </w:pPr>
      <w:r w:rsidRPr="00663CC3">
        <w:t>SMMT (2026a) New car registrations data – June 2026. London: Society of Motor Manufacturers and Traders.</w:t>
      </w:r>
    </w:p>
    <w:p w14:paraId="76FA419D" w14:textId="341CB267" w:rsidR="008A5CDB" w:rsidRPr="00663CC3" w:rsidRDefault="008A5CDB" w:rsidP="008A5CDB">
      <w:pPr>
        <w:spacing w:after="200" w:line="360" w:lineRule="auto"/>
        <w:jc w:val="both"/>
      </w:pPr>
      <w:r w:rsidRPr="00663CC3">
        <w:t xml:space="preserve">SMMT (2026b) ‘EV market hits new high but target gap remains’. Available at: </w:t>
      </w:r>
      <w:hyperlink r:id="rId39" w:history="1">
        <w:r w:rsidRPr="00663CC3">
          <w:rPr>
            <w:rStyle w:val="Hyperlink"/>
          </w:rPr>
          <w:t>https://www.smmt.co.uk</w:t>
        </w:r>
      </w:hyperlink>
      <w:r w:rsidRPr="00663CC3">
        <w:t xml:space="preserve"> (Accessed: 15 July 2026).</w:t>
      </w:r>
    </w:p>
    <w:p w14:paraId="79B42E20" w14:textId="0BA0E1F9" w:rsidR="008A5CDB" w:rsidRPr="00663CC3" w:rsidRDefault="008A5CDB" w:rsidP="008A5CDB">
      <w:pPr>
        <w:spacing w:after="200" w:line="360" w:lineRule="auto"/>
        <w:jc w:val="both"/>
      </w:pPr>
      <w:r w:rsidRPr="00663CC3">
        <w:t xml:space="preserve">Tech Digest (2026) ‘BYD UK sales top 50,000 in 2025, market share hits 2.55%’, 6 January. Available at: </w:t>
      </w:r>
      <w:hyperlink r:id="rId40" w:history="1">
        <w:r w:rsidRPr="00663CC3">
          <w:rPr>
            <w:rStyle w:val="Hyperlink"/>
          </w:rPr>
          <w:t>https://www.techdigest.tv</w:t>
        </w:r>
      </w:hyperlink>
      <w:r w:rsidRPr="00663CC3">
        <w:t xml:space="preserve"> (Accessed: 13 July 2026).</w:t>
      </w:r>
    </w:p>
    <w:p w14:paraId="105A78D7" w14:textId="77777777" w:rsidR="008A5CDB" w:rsidRPr="00663CC3" w:rsidRDefault="008A5CDB" w:rsidP="008A5CDB">
      <w:pPr>
        <w:spacing w:after="200" w:line="360" w:lineRule="auto"/>
        <w:jc w:val="both"/>
      </w:pPr>
      <w:r w:rsidRPr="00663CC3">
        <w:t>Teece, D.J., Pisano, G. and Shuen, A. (1997) ‘Dynamic capabilities and strategic management’, Strategic Management Journal, 18(7), pp. 509–533.</w:t>
      </w:r>
    </w:p>
    <w:p w14:paraId="79DA8347" w14:textId="6CDD0058" w:rsidR="008A5CDB" w:rsidRPr="00663CC3" w:rsidRDefault="008A5CDB" w:rsidP="008A5CDB">
      <w:pPr>
        <w:spacing w:after="200" w:line="360" w:lineRule="auto"/>
        <w:jc w:val="both"/>
      </w:pPr>
      <w:r w:rsidRPr="00663CC3">
        <w:t xml:space="preserve">The Times (2026) ‘Chinese carmakers motor towards taking a fifth of UK market share’, 8 March. Available at: </w:t>
      </w:r>
      <w:hyperlink r:id="rId41" w:history="1">
        <w:r w:rsidRPr="00663CC3">
          <w:rPr>
            <w:rStyle w:val="Hyperlink"/>
          </w:rPr>
          <w:t>https://www.thetimes.com</w:t>
        </w:r>
      </w:hyperlink>
      <w:r w:rsidRPr="00663CC3">
        <w:t xml:space="preserve"> (Accessed: 14 July 2026).</w:t>
      </w:r>
    </w:p>
    <w:p w14:paraId="4EEB3D51" w14:textId="4877A588" w:rsidR="008A5CDB" w:rsidRPr="00663CC3" w:rsidRDefault="008A5CDB" w:rsidP="008A5CDB">
      <w:pPr>
        <w:spacing w:after="200" w:line="360" w:lineRule="auto"/>
        <w:jc w:val="both"/>
      </w:pPr>
      <w:r w:rsidRPr="00663CC3">
        <w:t xml:space="preserve">UmbraX (2024) ‘BYD strategy and business model’. Available at: </w:t>
      </w:r>
      <w:hyperlink r:id="rId42" w:history="1">
        <w:r w:rsidRPr="00663CC3">
          <w:rPr>
            <w:rStyle w:val="Hyperlink"/>
          </w:rPr>
          <w:t>https://umbrex.com</w:t>
        </w:r>
      </w:hyperlink>
      <w:r w:rsidRPr="00663CC3">
        <w:t xml:space="preserve"> (Accessed: 14 July 2026).</w:t>
      </w:r>
    </w:p>
    <w:p w14:paraId="319C3673" w14:textId="77777777" w:rsidR="008A5CDB" w:rsidRPr="00663CC3" w:rsidRDefault="008A5CDB" w:rsidP="008A5CDB">
      <w:pPr>
        <w:spacing w:after="200" w:line="360" w:lineRule="auto"/>
        <w:jc w:val="both"/>
      </w:pPr>
      <w:r w:rsidRPr="00663CC3">
        <w:t>Wang, Y. et al. (2025) ‘Battery technology trajectories and competitive dynamics in the global EV industry’, Energy Policy, forthcoming.</w:t>
      </w:r>
    </w:p>
    <w:p w14:paraId="50E1B471" w14:textId="3F2181C0" w:rsidR="008A5CDB" w:rsidRPr="00663CC3" w:rsidRDefault="008A5CDB" w:rsidP="008A5CDB">
      <w:pPr>
        <w:spacing w:after="200" w:line="360" w:lineRule="auto"/>
        <w:jc w:val="both"/>
      </w:pPr>
      <w:r w:rsidRPr="00663CC3">
        <w:lastRenderedPageBreak/>
        <w:t xml:space="preserve">Yorkshire Post (2026) ‘BYD: the Chinese firm which now sells more electric cars in the UK than Tesla’, 8 February. Available at: </w:t>
      </w:r>
      <w:hyperlink r:id="rId43" w:history="1">
        <w:r w:rsidRPr="00663CC3">
          <w:rPr>
            <w:rStyle w:val="Hyperlink"/>
          </w:rPr>
          <w:t>https://www.yorkshirepost.co.uk</w:t>
        </w:r>
      </w:hyperlink>
      <w:r w:rsidRPr="00663CC3">
        <w:t xml:space="preserve"> (Accessed: 14 July 2026).</w:t>
      </w:r>
    </w:p>
    <w:p w14:paraId="7DD424A5" w14:textId="2F7C808D" w:rsidR="008A5CDB" w:rsidRPr="008A5CDB" w:rsidRDefault="008A5CDB" w:rsidP="008A5CDB">
      <w:pPr>
        <w:spacing w:after="200" w:line="360" w:lineRule="auto"/>
        <w:jc w:val="both"/>
      </w:pPr>
      <w:r w:rsidRPr="00663CC3">
        <w:t xml:space="preserve">Zapmap / Fleet World (2026) ‘UK EV network hits 121k chargers as LEVI contracts and ultra-rapid hubs dominate’, 7 July. Available at: </w:t>
      </w:r>
      <w:hyperlink r:id="rId44" w:history="1">
        <w:r w:rsidRPr="00663CC3">
          <w:rPr>
            <w:rStyle w:val="Hyperlink"/>
          </w:rPr>
          <w:t>https://fleetworld.co.uk</w:t>
        </w:r>
      </w:hyperlink>
      <w:r w:rsidRPr="00663CC3">
        <w:t xml:space="preserve"> (Accessed: 15 July 2026).</w:t>
      </w:r>
      <w:bookmarkStart w:id="34" w:name="_GoBack"/>
      <w:bookmarkEnd w:id="34"/>
    </w:p>
    <w:sectPr w:rsidR="008A5CDB" w:rsidRPr="008A5CDB" w:rsidSect="00964AF7">
      <w:headerReference w:type="default" r:id="rId45"/>
      <w:footerReference w:type="default" r:id="rId4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2E2F0" w14:textId="77777777" w:rsidR="00917BB3" w:rsidRDefault="00917BB3">
      <w:r>
        <w:separator/>
      </w:r>
    </w:p>
  </w:endnote>
  <w:endnote w:type="continuationSeparator" w:id="0">
    <w:p w14:paraId="017AA9F7" w14:textId="77777777" w:rsidR="00917BB3" w:rsidRDefault="00917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C461E" w14:textId="77777777" w:rsidR="005315D4" w:rsidRDefault="00C8732F">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663CC3">
      <w:rPr>
        <w:noProof/>
        <w:sz w:val="18"/>
        <w:szCs w:val="18"/>
      </w:rPr>
      <w:t>19</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663CC3">
      <w:rPr>
        <w:noProof/>
        <w:sz w:val="18"/>
        <w:szCs w:val="18"/>
      </w:rPr>
      <w:t>24</w:t>
    </w:r>
    <w:r>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6006B8" w14:textId="77777777" w:rsidR="00917BB3" w:rsidRDefault="00917BB3">
      <w:r>
        <w:separator/>
      </w:r>
    </w:p>
  </w:footnote>
  <w:footnote w:type="continuationSeparator" w:id="0">
    <w:p w14:paraId="6106E258" w14:textId="77777777" w:rsidR="00917BB3" w:rsidRDefault="00917B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DA421" w14:textId="685310A2" w:rsidR="005315D4" w:rsidRDefault="005315D4">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D5914"/>
    <w:multiLevelType w:val="hybridMultilevel"/>
    <w:tmpl w:val="37A4F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1B58B9"/>
    <w:multiLevelType w:val="hybridMultilevel"/>
    <w:tmpl w:val="D0307764"/>
    <w:lvl w:ilvl="0" w:tplc="C71C3450">
      <w:start w:val="1"/>
      <w:numFmt w:val="bullet"/>
      <w:lvlText w:val="●"/>
      <w:lvlJc w:val="left"/>
      <w:pPr>
        <w:ind w:left="720" w:hanging="360"/>
      </w:pPr>
    </w:lvl>
    <w:lvl w:ilvl="1" w:tplc="47DC45F2">
      <w:start w:val="1"/>
      <w:numFmt w:val="bullet"/>
      <w:lvlText w:val="○"/>
      <w:lvlJc w:val="left"/>
      <w:pPr>
        <w:ind w:left="1440" w:hanging="360"/>
      </w:pPr>
    </w:lvl>
    <w:lvl w:ilvl="2" w:tplc="E1980836">
      <w:start w:val="1"/>
      <w:numFmt w:val="bullet"/>
      <w:lvlText w:val="■"/>
      <w:lvlJc w:val="left"/>
      <w:pPr>
        <w:ind w:left="2160" w:hanging="360"/>
      </w:pPr>
    </w:lvl>
    <w:lvl w:ilvl="3" w:tplc="5C800F50">
      <w:start w:val="1"/>
      <w:numFmt w:val="bullet"/>
      <w:lvlText w:val="●"/>
      <w:lvlJc w:val="left"/>
      <w:pPr>
        <w:ind w:left="2880" w:hanging="360"/>
      </w:pPr>
    </w:lvl>
    <w:lvl w:ilvl="4" w:tplc="AEB4C3F2">
      <w:start w:val="1"/>
      <w:numFmt w:val="bullet"/>
      <w:lvlText w:val="○"/>
      <w:lvlJc w:val="left"/>
      <w:pPr>
        <w:ind w:left="3600" w:hanging="360"/>
      </w:pPr>
    </w:lvl>
    <w:lvl w:ilvl="5" w:tplc="C22EDA86">
      <w:start w:val="1"/>
      <w:numFmt w:val="bullet"/>
      <w:lvlText w:val="■"/>
      <w:lvlJc w:val="left"/>
      <w:pPr>
        <w:ind w:left="4320" w:hanging="360"/>
      </w:pPr>
    </w:lvl>
    <w:lvl w:ilvl="6" w:tplc="DCDC7B78">
      <w:start w:val="1"/>
      <w:numFmt w:val="bullet"/>
      <w:lvlText w:val="●"/>
      <w:lvlJc w:val="left"/>
      <w:pPr>
        <w:ind w:left="5040" w:hanging="360"/>
      </w:pPr>
    </w:lvl>
    <w:lvl w:ilvl="7" w:tplc="376EEC26">
      <w:start w:val="1"/>
      <w:numFmt w:val="bullet"/>
      <w:lvlText w:val="●"/>
      <w:lvlJc w:val="left"/>
      <w:pPr>
        <w:ind w:left="5760" w:hanging="360"/>
      </w:pPr>
    </w:lvl>
    <w:lvl w:ilvl="8" w:tplc="FF785C2A">
      <w:start w:val="1"/>
      <w:numFmt w:val="bullet"/>
      <w:lvlText w:val="●"/>
      <w:lvlJc w:val="left"/>
      <w:pPr>
        <w:ind w:left="6480" w:hanging="360"/>
      </w:pPr>
    </w:lvl>
  </w:abstractNum>
  <w:abstractNum w:abstractNumId="2">
    <w:nsid w:val="51642B72"/>
    <w:multiLevelType w:val="hybridMultilevel"/>
    <w:tmpl w:val="E4925D9A"/>
    <w:lvl w:ilvl="0" w:tplc="4DCAA334">
      <w:start w:val="1"/>
      <w:numFmt w:val="decimal"/>
      <w:lvlText w:val="%1."/>
      <w:lvlJc w:val="left"/>
      <w:pPr>
        <w:ind w:left="720" w:hanging="360"/>
      </w:pPr>
    </w:lvl>
    <w:lvl w:ilvl="1" w:tplc="7598E9B8">
      <w:numFmt w:val="decimal"/>
      <w:lvlText w:val=""/>
      <w:lvlJc w:val="left"/>
    </w:lvl>
    <w:lvl w:ilvl="2" w:tplc="DF009428">
      <w:numFmt w:val="decimal"/>
      <w:lvlText w:val=""/>
      <w:lvlJc w:val="left"/>
    </w:lvl>
    <w:lvl w:ilvl="3" w:tplc="53A8DDC0">
      <w:numFmt w:val="decimal"/>
      <w:lvlText w:val=""/>
      <w:lvlJc w:val="left"/>
    </w:lvl>
    <w:lvl w:ilvl="4" w:tplc="C43844F4">
      <w:numFmt w:val="decimal"/>
      <w:lvlText w:val=""/>
      <w:lvlJc w:val="left"/>
    </w:lvl>
    <w:lvl w:ilvl="5" w:tplc="916A23F4">
      <w:numFmt w:val="decimal"/>
      <w:lvlText w:val=""/>
      <w:lvlJc w:val="left"/>
    </w:lvl>
    <w:lvl w:ilvl="6" w:tplc="CC88112C">
      <w:numFmt w:val="decimal"/>
      <w:lvlText w:val=""/>
      <w:lvlJc w:val="left"/>
    </w:lvl>
    <w:lvl w:ilvl="7" w:tplc="4558D5C4">
      <w:numFmt w:val="decimal"/>
      <w:lvlText w:val=""/>
      <w:lvlJc w:val="left"/>
    </w:lvl>
    <w:lvl w:ilvl="8" w:tplc="7E40CE12">
      <w:numFmt w:val="decimal"/>
      <w:lvlText w:val=""/>
      <w:lvlJc w:val="left"/>
    </w:lvl>
  </w:abstractNum>
  <w:abstractNum w:abstractNumId="3">
    <w:nsid w:val="5B674E34"/>
    <w:multiLevelType w:val="hybridMultilevel"/>
    <w:tmpl w:val="C1C2B360"/>
    <w:lvl w:ilvl="0" w:tplc="113695E4">
      <w:start w:val="1"/>
      <w:numFmt w:val="bullet"/>
      <w:lvlText w:val="•"/>
      <w:lvlJc w:val="left"/>
      <w:pPr>
        <w:ind w:left="720" w:hanging="360"/>
      </w:pPr>
    </w:lvl>
    <w:lvl w:ilvl="1" w:tplc="BF54B38E">
      <w:numFmt w:val="decimal"/>
      <w:lvlText w:val=""/>
      <w:lvlJc w:val="left"/>
    </w:lvl>
    <w:lvl w:ilvl="2" w:tplc="DEA4CE10">
      <w:numFmt w:val="decimal"/>
      <w:lvlText w:val=""/>
      <w:lvlJc w:val="left"/>
    </w:lvl>
    <w:lvl w:ilvl="3" w:tplc="D226B43A">
      <w:numFmt w:val="decimal"/>
      <w:lvlText w:val=""/>
      <w:lvlJc w:val="left"/>
    </w:lvl>
    <w:lvl w:ilvl="4" w:tplc="B456CD72">
      <w:numFmt w:val="decimal"/>
      <w:lvlText w:val=""/>
      <w:lvlJc w:val="left"/>
    </w:lvl>
    <w:lvl w:ilvl="5" w:tplc="32D441FC">
      <w:numFmt w:val="decimal"/>
      <w:lvlText w:val=""/>
      <w:lvlJc w:val="left"/>
    </w:lvl>
    <w:lvl w:ilvl="6" w:tplc="DC6CA6E8">
      <w:numFmt w:val="decimal"/>
      <w:lvlText w:val=""/>
      <w:lvlJc w:val="left"/>
    </w:lvl>
    <w:lvl w:ilvl="7" w:tplc="C11AA76E">
      <w:numFmt w:val="decimal"/>
      <w:lvlText w:val=""/>
      <w:lvlJc w:val="left"/>
    </w:lvl>
    <w:lvl w:ilvl="8" w:tplc="D31C5E58">
      <w:numFmt w:val="decimal"/>
      <w:lvlText w:val=""/>
      <w:lvlJc w:val="left"/>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5D4"/>
    <w:rsid w:val="000B4075"/>
    <w:rsid w:val="001F4A3B"/>
    <w:rsid w:val="00433F45"/>
    <w:rsid w:val="005315D4"/>
    <w:rsid w:val="0056101C"/>
    <w:rsid w:val="006209DF"/>
    <w:rsid w:val="00663CC3"/>
    <w:rsid w:val="008A5CDB"/>
    <w:rsid w:val="00917BB3"/>
    <w:rsid w:val="00964AF7"/>
    <w:rsid w:val="00A66D63"/>
    <w:rsid w:val="00C016C8"/>
    <w:rsid w:val="00C06B54"/>
    <w:rsid w:val="00C35174"/>
    <w:rsid w:val="00C8732F"/>
    <w:rsid w:val="00D01337"/>
    <w:rsid w:val="00D75C83"/>
    <w:rsid w:val="00EF6E5A"/>
    <w:rsid w:val="00F50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DE691"/>
  <w15:docId w15:val="{9DEA2C19-1DA5-4710-BC26-1FAAF747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360" w:after="240"/>
      <w:outlineLvl w:val="0"/>
    </w:pPr>
    <w:rPr>
      <w:b/>
      <w:bCs/>
      <w:color w:val="1F4E79"/>
      <w:sz w:val="28"/>
      <w:szCs w:val="28"/>
    </w:rPr>
  </w:style>
  <w:style w:type="paragraph" w:styleId="Heading2">
    <w:name w:val="heading 2"/>
    <w:uiPriority w:val="9"/>
    <w:unhideWhenUsed/>
    <w:qFormat/>
    <w:pPr>
      <w:spacing w:before="280" w:after="180"/>
      <w:outlineLvl w:val="1"/>
    </w:pPr>
    <w:rPr>
      <w:b/>
      <w:bCs/>
      <w:color w:val="2E75B6"/>
      <w:sz w:val="26"/>
      <w:szCs w:val="26"/>
    </w:rPr>
  </w:style>
  <w:style w:type="paragraph" w:styleId="Heading3">
    <w:name w:val="heading 3"/>
    <w:uiPriority w:val="9"/>
    <w:unhideWhenUsed/>
    <w:qFormat/>
    <w:pPr>
      <w:spacing w:before="240" w:after="120"/>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before="240" w:after="240"/>
      <w:jc w:val="center"/>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F6E5A"/>
    <w:pPr>
      <w:spacing w:after="100"/>
    </w:pPr>
  </w:style>
  <w:style w:type="paragraph" w:styleId="TOC2">
    <w:name w:val="toc 2"/>
    <w:basedOn w:val="Normal"/>
    <w:next w:val="Normal"/>
    <w:autoRedefine/>
    <w:uiPriority w:val="39"/>
    <w:unhideWhenUsed/>
    <w:rsid w:val="00EF6E5A"/>
    <w:pPr>
      <w:spacing w:after="100"/>
      <w:ind w:left="240"/>
    </w:pPr>
  </w:style>
  <w:style w:type="paragraph" w:styleId="TOC3">
    <w:name w:val="toc 3"/>
    <w:basedOn w:val="Normal"/>
    <w:next w:val="Normal"/>
    <w:autoRedefine/>
    <w:uiPriority w:val="39"/>
    <w:unhideWhenUsed/>
    <w:rsid w:val="00EF6E5A"/>
    <w:pPr>
      <w:spacing w:after="100"/>
      <w:ind w:left="480"/>
    </w:pPr>
  </w:style>
  <w:style w:type="table" w:styleId="TableGrid">
    <w:name w:val="Table Grid"/>
    <w:basedOn w:val="TableNormal"/>
    <w:uiPriority w:val="39"/>
    <w:rsid w:val="00EF6E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64AF7"/>
    <w:pPr>
      <w:tabs>
        <w:tab w:val="center" w:pos="4680"/>
        <w:tab w:val="right" w:pos="9360"/>
      </w:tabs>
    </w:pPr>
  </w:style>
  <w:style w:type="character" w:customStyle="1" w:styleId="HeaderChar">
    <w:name w:val="Header Char"/>
    <w:basedOn w:val="DefaultParagraphFont"/>
    <w:link w:val="Header"/>
    <w:uiPriority w:val="99"/>
    <w:rsid w:val="00964AF7"/>
  </w:style>
  <w:style w:type="paragraph" w:styleId="Footer">
    <w:name w:val="footer"/>
    <w:basedOn w:val="Normal"/>
    <w:link w:val="FooterChar"/>
    <w:uiPriority w:val="99"/>
    <w:unhideWhenUsed/>
    <w:rsid w:val="00964AF7"/>
    <w:pPr>
      <w:tabs>
        <w:tab w:val="center" w:pos="4680"/>
        <w:tab w:val="right" w:pos="9360"/>
      </w:tabs>
    </w:pPr>
  </w:style>
  <w:style w:type="character" w:customStyle="1" w:styleId="FooterChar">
    <w:name w:val="Footer Char"/>
    <w:basedOn w:val="DefaultParagraphFont"/>
    <w:link w:val="Footer"/>
    <w:uiPriority w:val="99"/>
    <w:rsid w:val="00964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autocar.co.uk" TargetMode="External"/><Relationship Id="rId18" Type="http://schemas.openxmlformats.org/officeDocument/2006/relationships/hyperlink" Target="https://www.byd.com" TargetMode="External"/><Relationship Id="rId26" Type="http://schemas.openxmlformats.org/officeDocument/2006/relationships/hyperlink" Target="https://eletric-vehicles.com" TargetMode="External"/><Relationship Id="rId39" Type="http://schemas.openxmlformats.org/officeDocument/2006/relationships/hyperlink" Target="https://www.smmt.co.uk" TargetMode="External"/><Relationship Id="rId21" Type="http://schemas.openxmlformats.org/officeDocument/2006/relationships/hyperlink" Target="https://www.gov.uk" TargetMode="External"/><Relationship Id="rId34" Type="http://schemas.openxmlformats.org/officeDocument/2006/relationships/hyperlink" Target="https://www.motortrader.com" TargetMode="External"/><Relationship Id="rId42" Type="http://schemas.openxmlformats.org/officeDocument/2006/relationships/hyperlink" Target="https://umbrex.com" TargetMode="External"/><Relationship Id="rId47"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byd.com" TargetMode="External"/><Relationship Id="rId29" Type="http://schemas.openxmlformats.org/officeDocument/2006/relationships/hyperlink" Target="https://fuelcellswork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online.com" TargetMode="External"/><Relationship Id="rId24" Type="http://schemas.openxmlformats.org/officeDocument/2006/relationships/hyperlink" Target="https://www.coxautoinc.eu" TargetMode="External"/><Relationship Id="rId32" Type="http://schemas.openxmlformats.org/officeDocument/2006/relationships/hyperlink" Target="https://www.motortradenews.com" TargetMode="External"/><Relationship Id="rId37" Type="http://schemas.openxmlformats.org/officeDocument/2006/relationships/hyperlink" Target="https://www.reuters.com" TargetMode="External"/><Relationship Id="rId40" Type="http://schemas.openxmlformats.org/officeDocument/2006/relationships/hyperlink" Target="https://www.techdigest.tv"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byd.com" TargetMode="External"/><Relationship Id="rId23" Type="http://schemas.openxmlformats.org/officeDocument/2006/relationships/hyperlink" Target="https://www.carscoops.com" TargetMode="External"/><Relationship Id="rId28" Type="http://schemas.openxmlformats.org/officeDocument/2006/relationships/hyperlink" Target="https://www.ft.com" TargetMode="External"/><Relationship Id="rId36" Type="http://schemas.openxmlformats.org/officeDocument/2006/relationships/hyperlink" Target="https://netzerocompare.com" TargetMode="External"/><Relationship Id="rId10" Type="http://schemas.openxmlformats.org/officeDocument/2006/relationships/hyperlink" Target="https://www.ad-hoc-news.de" TargetMode="External"/><Relationship Id="rId19" Type="http://schemas.openxmlformats.org/officeDocument/2006/relationships/hyperlink" Target="https://www.reuters.com" TargetMode="External"/><Relationship Id="rId31" Type="http://schemas.openxmlformats.org/officeDocument/2006/relationships/hyperlink" Target="https://www.hkexnews.hk" TargetMode="External"/><Relationship Id="rId44" Type="http://schemas.openxmlformats.org/officeDocument/2006/relationships/hyperlink" Target="https://fleetworld.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utocar.co.uk" TargetMode="External"/><Relationship Id="rId22" Type="http://schemas.openxmlformats.org/officeDocument/2006/relationships/hyperlink" Target="https://www.byd.com/uk" TargetMode="External"/><Relationship Id="rId27" Type="http://schemas.openxmlformats.org/officeDocument/2006/relationships/hyperlink" Target="https://evcentral.com.au" TargetMode="External"/><Relationship Id="rId30" Type="http://schemas.openxmlformats.org/officeDocument/2006/relationships/hyperlink" Target="https://www.greencarguide.co.uk" TargetMode="External"/><Relationship Id="rId35" Type="http://schemas.openxmlformats.org/officeDocument/2006/relationships/hyperlink" Target="https://www.motortrader.com" TargetMode="External"/><Relationship Id="rId43" Type="http://schemas.openxmlformats.org/officeDocument/2006/relationships/hyperlink" Target="https://www.yorkshirepost.co.uk"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autoexpress.co.uk" TargetMode="External"/><Relationship Id="rId17" Type="http://schemas.openxmlformats.org/officeDocument/2006/relationships/hyperlink" Target="https://www.bydglobal.com" TargetMode="External"/><Relationship Id="rId25" Type="http://schemas.openxmlformats.org/officeDocument/2006/relationships/hyperlink" Target="https://electrek.co" TargetMode="External"/><Relationship Id="rId33" Type="http://schemas.openxmlformats.org/officeDocument/2006/relationships/hyperlink" Target="https://www.motortrader.com" TargetMode="External"/><Relationship Id="rId38" Type="http://schemas.openxmlformats.org/officeDocument/2006/relationships/hyperlink" Target="https://www.reuters.com" TargetMode="External"/><Relationship Id="rId46" Type="http://schemas.openxmlformats.org/officeDocument/2006/relationships/footer" Target="footer1.xml"/><Relationship Id="rId20" Type="http://schemas.openxmlformats.org/officeDocument/2006/relationships/hyperlink" Target="https://www.transportenvironment.org" TargetMode="External"/><Relationship Id="rId41" Type="http://schemas.openxmlformats.org/officeDocument/2006/relationships/hyperlink" Target="https://www.thetim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7432</Words>
  <Characters>42367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2026-07-17T11:25:00Z</dcterms:created>
  <dcterms:modified xsi:type="dcterms:W3CDTF">2026-07-17T11:26:00Z</dcterms:modified>
</cp:coreProperties>
</file>