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32ECC" w14:textId="77777777" w:rsidR="00681517" w:rsidRDefault="00681517">
      <w:pPr>
        <w:spacing w:line="360" w:lineRule="auto"/>
        <w:rPr>
          <w:rFonts w:ascii="Arial" w:hAnsi="Arial" w:cs="Arial"/>
          <w:sz w:val="22"/>
          <w:szCs w:val="22"/>
        </w:rPr>
      </w:pPr>
    </w:p>
    <w:p w14:paraId="5027405F" w14:textId="77777777" w:rsidR="00681517" w:rsidRDefault="00681517">
      <w:pPr>
        <w:spacing w:line="360" w:lineRule="auto"/>
        <w:rPr>
          <w:rFonts w:ascii="Arial" w:hAnsi="Arial" w:cs="Arial"/>
          <w:sz w:val="22"/>
          <w:szCs w:val="22"/>
        </w:rPr>
      </w:pPr>
    </w:p>
    <w:p w14:paraId="0CDD5B73" w14:textId="77777777" w:rsidR="00681517" w:rsidRDefault="00681517">
      <w:pPr>
        <w:spacing w:line="360" w:lineRule="auto"/>
        <w:rPr>
          <w:rFonts w:ascii="Arial" w:hAnsi="Arial" w:cs="Arial"/>
          <w:sz w:val="22"/>
          <w:szCs w:val="22"/>
        </w:rPr>
      </w:pPr>
    </w:p>
    <w:p w14:paraId="230A0393" w14:textId="77777777" w:rsidR="00681517" w:rsidRDefault="002D30E0">
      <w:pPr>
        <w:spacing w:line="360" w:lineRule="auto"/>
      </w:pPr>
      <w:r>
        <w:rPr>
          <w:noProof/>
        </w:rPr>
        <w:drawing>
          <wp:anchor distT="0" distB="0" distL="114300" distR="114300" simplePos="0" relativeHeight="251658240" behindDoc="0" locked="0" layoutInCell="1" allowOverlap="1" wp14:anchorId="7E2E43BF" wp14:editId="4FE9F132">
            <wp:simplePos x="0" y="0"/>
            <wp:positionH relativeFrom="margin">
              <wp:align>left</wp:align>
            </wp:positionH>
            <wp:positionV relativeFrom="paragraph">
              <wp:posOffset>160020</wp:posOffset>
            </wp:positionV>
            <wp:extent cx="3855723" cy="1610999"/>
            <wp:effectExtent l="0" t="0" r="0" b="8251"/>
            <wp:wrapThrough wrapText="bothSides">
              <wp:wrapPolygon edited="0">
                <wp:start x="0" y="0"/>
                <wp:lineTo x="0" y="21455"/>
                <wp:lineTo x="21451" y="21455"/>
                <wp:lineTo x="21451" y="0"/>
                <wp:lineTo x="0" y="0"/>
              </wp:wrapPolygon>
            </wp:wrapThrough>
            <wp:docPr id="1206383161" name="Picture 1" descr="University of Wales Trinity Saint David launches new digital healthcare  course - Digital Health and Care Wal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3855723" cy="1610999"/>
                    </a:xfrm>
                    <a:prstGeom prst="rect">
                      <a:avLst/>
                    </a:prstGeom>
                    <a:noFill/>
                    <a:ln>
                      <a:noFill/>
                      <a:prstDash/>
                    </a:ln>
                  </pic:spPr>
                </pic:pic>
              </a:graphicData>
            </a:graphic>
          </wp:anchor>
        </w:drawing>
      </w:r>
    </w:p>
    <w:p w14:paraId="5237EC1A" w14:textId="77777777" w:rsidR="00681517" w:rsidRDefault="00681517">
      <w:pPr>
        <w:spacing w:line="360" w:lineRule="auto"/>
        <w:rPr>
          <w:rFonts w:ascii="Arial" w:hAnsi="Arial" w:cs="Arial"/>
          <w:sz w:val="22"/>
          <w:szCs w:val="22"/>
        </w:rPr>
      </w:pPr>
    </w:p>
    <w:p w14:paraId="46698925" w14:textId="77777777" w:rsidR="00681517" w:rsidRDefault="00681517">
      <w:pPr>
        <w:spacing w:line="360" w:lineRule="auto"/>
        <w:rPr>
          <w:rFonts w:ascii="Arial" w:hAnsi="Arial" w:cs="Arial"/>
          <w:sz w:val="22"/>
          <w:szCs w:val="22"/>
        </w:rPr>
      </w:pPr>
    </w:p>
    <w:p w14:paraId="59BF3944" w14:textId="77777777" w:rsidR="00681517" w:rsidRDefault="00681517">
      <w:pPr>
        <w:spacing w:line="360" w:lineRule="auto"/>
        <w:rPr>
          <w:rFonts w:ascii="Arial" w:hAnsi="Arial" w:cs="Arial"/>
          <w:sz w:val="22"/>
          <w:szCs w:val="22"/>
        </w:rPr>
      </w:pPr>
    </w:p>
    <w:p w14:paraId="1804C3F7" w14:textId="77777777" w:rsidR="00681517" w:rsidRDefault="00681517">
      <w:pPr>
        <w:spacing w:line="360" w:lineRule="auto"/>
        <w:rPr>
          <w:rFonts w:ascii="Arial" w:hAnsi="Arial" w:cs="Arial"/>
          <w:sz w:val="22"/>
          <w:szCs w:val="22"/>
        </w:rPr>
      </w:pPr>
    </w:p>
    <w:p w14:paraId="09DEA18B" w14:textId="77777777" w:rsidR="00681517" w:rsidRDefault="00681517">
      <w:pPr>
        <w:spacing w:line="360" w:lineRule="auto"/>
        <w:rPr>
          <w:rFonts w:ascii="Arial" w:hAnsi="Arial" w:cs="Arial"/>
          <w:sz w:val="22"/>
          <w:szCs w:val="22"/>
        </w:rPr>
      </w:pPr>
    </w:p>
    <w:p w14:paraId="3CE7F78F" w14:textId="77777777" w:rsidR="00681517" w:rsidRDefault="00681517">
      <w:pPr>
        <w:spacing w:line="360" w:lineRule="auto"/>
        <w:rPr>
          <w:rFonts w:ascii="Arial" w:hAnsi="Arial" w:cs="Arial"/>
          <w:sz w:val="22"/>
          <w:szCs w:val="22"/>
        </w:rPr>
      </w:pPr>
    </w:p>
    <w:p w14:paraId="193F54CF" w14:textId="77777777" w:rsidR="00222D39" w:rsidRDefault="00222D39">
      <w:pPr>
        <w:spacing w:line="360" w:lineRule="auto"/>
        <w:rPr>
          <w:rFonts w:ascii="Arial" w:hAnsi="Arial" w:cs="Arial"/>
          <w:sz w:val="22"/>
          <w:szCs w:val="22"/>
        </w:rPr>
      </w:pPr>
    </w:p>
    <w:p w14:paraId="2A110D48" w14:textId="1FBFB995" w:rsidR="00681517" w:rsidRDefault="002D30E0">
      <w:pPr>
        <w:spacing w:line="360" w:lineRule="auto"/>
        <w:rPr>
          <w:rFonts w:ascii="Arial" w:hAnsi="Arial" w:cs="Arial"/>
          <w:sz w:val="22"/>
          <w:szCs w:val="22"/>
        </w:rPr>
      </w:pPr>
      <w:r>
        <w:rPr>
          <w:rFonts w:ascii="Arial" w:hAnsi="Arial" w:cs="Arial"/>
          <w:sz w:val="22"/>
          <w:szCs w:val="22"/>
        </w:rPr>
        <w:t>Name: Amalia Gayla Prepose</w:t>
      </w:r>
    </w:p>
    <w:p w14:paraId="6B373EF2" w14:textId="77777777" w:rsidR="00681517" w:rsidRDefault="002D30E0">
      <w:pPr>
        <w:spacing w:line="360" w:lineRule="auto"/>
        <w:rPr>
          <w:rFonts w:ascii="Arial" w:hAnsi="Arial" w:cs="Arial"/>
          <w:sz w:val="22"/>
          <w:szCs w:val="22"/>
        </w:rPr>
      </w:pPr>
      <w:r>
        <w:rPr>
          <w:rFonts w:ascii="Arial" w:hAnsi="Arial" w:cs="Arial"/>
          <w:sz w:val="22"/>
          <w:szCs w:val="22"/>
        </w:rPr>
        <w:t>Student ID: 2527559</w:t>
      </w:r>
    </w:p>
    <w:p w14:paraId="4176C82B" w14:textId="77777777" w:rsidR="00681517" w:rsidRDefault="002D30E0">
      <w:pPr>
        <w:spacing w:line="360" w:lineRule="auto"/>
        <w:rPr>
          <w:rFonts w:ascii="Arial" w:hAnsi="Arial" w:cs="Arial"/>
          <w:sz w:val="22"/>
          <w:szCs w:val="22"/>
        </w:rPr>
      </w:pPr>
      <w:r>
        <w:rPr>
          <w:rFonts w:ascii="Arial" w:hAnsi="Arial" w:cs="Arial"/>
          <w:sz w:val="22"/>
          <w:szCs w:val="22"/>
        </w:rPr>
        <w:t>Module: Introduction to Health and Social Care</w:t>
      </w:r>
    </w:p>
    <w:p w14:paraId="04E9F603" w14:textId="77777777" w:rsidR="00681517" w:rsidRDefault="002D30E0">
      <w:pPr>
        <w:spacing w:line="360" w:lineRule="auto"/>
        <w:rPr>
          <w:rFonts w:ascii="Arial" w:hAnsi="Arial" w:cs="Arial"/>
          <w:sz w:val="22"/>
          <w:szCs w:val="22"/>
        </w:rPr>
      </w:pPr>
      <w:r>
        <w:rPr>
          <w:rFonts w:ascii="Arial" w:hAnsi="Arial" w:cs="Arial"/>
          <w:sz w:val="22"/>
          <w:szCs w:val="22"/>
        </w:rPr>
        <w:t>Module code: LCHS4003</w:t>
      </w:r>
    </w:p>
    <w:p w14:paraId="1E8F8325" w14:textId="77777777" w:rsidR="00681517" w:rsidRDefault="002D30E0">
      <w:pPr>
        <w:spacing w:line="360" w:lineRule="auto"/>
        <w:rPr>
          <w:rFonts w:ascii="Arial" w:hAnsi="Arial" w:cs="Arial"/>
          <w:sz w:val="22"/>
          <w:szCs w:val="22"/>
        </w:rPr>
      </w:pPr>
      <w:r>
        <w:rPr>
          <w:rFonts w:ascii="Arial" w:hAnsi="Arial" w:cs="Arial"/>
          <w:sz w:val="22"/>
          <w:szCs w:val="22"/>
        </w:rPr>
        <w:t>Lecturer: Umma Suleiman</w:t>
      </w:r>
    </w:p>
    <w:p w14:paraId="02A6E2CF" w14:textId="29527C7D" w:rsidR="00681517" w:rsidRDefault="002D30E0">
      <w:pPr>
        <w:spacing w:line="360" w:lineRule="auto"/>
        <w:rPr>
          <w:rFonts w:ascii="Arial" w:hAnsi="Arial" w:cs="Arial"/>
          <w:sz w:val="22"/>
          <w:szCs w:val="22"/>
        </w:rPr>
      </w:pPr>
      <w:r>
        <w:rPr>
          <w:rFonts w:ascii="Arial" w:hAnsi="Arial" w:cs="Arial"/>
          <w:sz w:val="22"/>
          <w:szCs w:val="22"/>
        </w:rPr>
        <w:t xml:space="preserve">Submission deadline: August </w:t>
      </w:r>
      <w:r w:rsidR="009241D5">
        <w:rPr>
          <w:rFonts w:ascii="Arial" w:hAnsi="Arial" w:cs="Arial"/>
          <w:sz w:val="22"/>
          <w:szCs w:val="22"/>
        </w:rPr>
        <w:t>21,</w:t>
      </w:r>
      <w:r>
        <w:rPr>
          <w:rFonts w:ascii="Arial" w:hAnsi="Arial" w:cs="Arial"/>
          <w:sz w:val="22"/>
          <w:szCs w:val="22"/>
        </w:rPr>
        <w:t xml:space="preserve"> 2026</w:t>
      </w:r>
    </w:p>
    <w:p w14:paraId="5757D3CC" w14:textId="77777777" w:rsidR="00681517" w:rsidRDefault="002D30E0">
      <w:pPr>
        <w:spacing w:line="360" w:lineRule="auto"/>
        <w:rPr>
          <w:rFonts w:ascii="Arial" w:hAnsi="Arial" w:cs="Arial"/>
          <w:sz w:val="22"/>
          <w:szCs w:val="22"/>
        </w:rPr>
      </w:pPr>
      <w:r>
        <w:rPr>
          <w:rFonts w:ascii="Arial" w:hAnsi="Arial" w:cs="Arial"/>
          <w:sz w:val="22"/>
          <w:szCs w:val="22"/>
        </w:rPr>
        <w:t xml:space="preserve"> </w:t>
      </w:r>
    </w:p>
    <w:p w14:paraId="5F652695" w14:textId="77777777" w:rsidR="00681517" w:rsidRDefault="00681517">
      <w:pPr>
        <w:spacing w:line="360" w:lineRule="auto"/>
        <w:rPr>
          <w:rFonts w:ascii="Arial" w:hAnsi="Arial" w:cs="Arial"/>
          <w:sz w:val="22"/>
          <w:szCs w:val="22"/>
        </w:rPr>
      </w:pPr>
    </w:p>
    <w:p w14:paraId="4685FB12" w14:textId="77777777" w:rsidR="00681517" w:rsidRDefault="00681517">
      <w:pPr>
        <w:spacing w:line="360" w:lineRule="auto"/>
        <w:rPr>
          <w:rFonts w:ascii="Arial" w:hAnsi="Arial" w:cs="Arial"/>
          <w:sz w:val="22"/>
          <w:szCs w:val="22"/>
        </w:rPr>
      </w:pPr>
    </w:p>
    <w:p w14:paraId="1CFDAC52" w14:textId="77777777" w:rsidR="00681517" w:rsidRDefault="00681517">
      <w:pPr>
        <w:spacing w:line="360" w:lineRule="auto"/>
        <w:rPr>
          <w:rFonts w:ascii="Arial" w:hAnsi="Arial" w:cs="Arial"/>
          <w:sz w:val="22"/>
          <w:szCs w:val="22"/>
        </w:rPr>
      </w:pPr>
    </w:p>
    <w:p w14:paraId="4AC883E7" w14:textId="77777777" w:rsidR="00681517" w:rsidRDefault="00681517">
      <w:pPr>
        <w:spacing w:line="360" w:lineRule="auto"/>
        <w:rPr>
          <w:rFonts w:ascii="Arial" w:hAnsi="Arial" w:cs="Arial"/>
          <w:sz w:val="22"/>
          <w:szCs w:val="22"/>
        </w:rPr>
      </w:pPr>
    </w:p>
    <w:p w14:paraId="09792504" w14:textId="77777777" w:rsidR="00681517" w:rsidRDefault="00681517">
      <w:pPr>
        <w:spacing w:line="360" w:lineRule="auto"/>
        <w:rPr>
          <w:rFonts w:ascii="Arial" w:hAnsi="Arial" w:cs="Arial"/>
          <w:sz w:val="22"/>
          <w:szCs w:val="22"/>
        </w:rPr>
      </w:pPr>
    </w:p>
    <w:p w14:paraId="078DB3BE" w14:textId="77777777" w:rsidR="00681517" w:rsidRDefault="00681517">
      <w:pPr>
        <w:spacing w:line="360" w:lineRule="auto"/>
        <w:rPr>
          <w:rFonts w:ascii="Arial" w:hAnsi="Arial" w:cs="Arial"/>
          <w:sz w:val="22"/>
          <w:szCs w:val="22"/>
        </w:rPr>
      </w:pPr>
    </w:p>
    <w:p w14:paraId="623536B8" w14:textId="77777777" w:rsidR="00681517" w:rsidRDefault="00681517">
      <w:pPr>
        <w:spacing w:line="360" w:lineRule="auto"/>
        <w:rPr>
          <w:rFonts w:ascii="Arial" w:hAnsi="Arial" w:cs="Arial"/>
          <w:sz w:val="22"/>
          <w:szCs w:val="22"/>
        </w:rPr>
      </w:pPr>
    </w:p>
    <w:p w14:paraId="2E81219D" w14:textId="77777777" w:rsidR="00681517" w:rsidRDefault="00681517">
      <w:pPr>
        <w:spacing w:line="360" w:lineRule="auto"/>
        <w:rPr>
          <w:rFonts w:ascii="Arial" w:hAnsi="Arial" w:cs="Arial"/>
          <w:sz w:val="22"/>
          <w:szCs w:val="22"/>
        </w:rPr>
      </w:pPr>
    </w:p>
    <w:p w14:paraId="592780C8" w14:textId="77777777" w:rsidR="00C049AB" w:rsidRDefault="00C049AB">
      <w:pPr>
        <w:spacing w:line="360" w:lineRule="auto"/>
        <w:rPr>
          <w:rFonts w:ascii="Arial" w:hAnsi="Arial" w:cs="Arial"/>
          <w:sz w:val="22"/>
          <w:szCs w:val="22"/>
        </w:rPr>
      </w:pPr>
    </w:p>
    <w:p w14:paraId="7EA58092" w14:textId="77777777" w:rsidR="00C049AB" w:rsidRDefault="00C049AB">
      <w:pPr>
        <w:spacing w:line="360" w:lineRule="auto"/>
        <w:rPr>
          <w:rFonts w:ascii="Arial" w:hAnsi="Arial" w:cs="Arial"/>
          <w:sz w:val="22"/>
          <w:szCs w:val="22"/>
        </w:rPr>
      </w:pPr>
    </w:p>
    <w:p w14:paraId="4556E54D" w14:textId="77777777" w:rsidR="00C049AB" w:rsidRDefault="00C049AB">
      <w:pPr>
        <w:spacing w:line="360" w:lineRule="auto"/>
        <w:rPr>
          <w:rFonts w:ascii="Arial" w:hAnsi="Arial" w:cs="Arial"/>
          <w:sz w:val="22"/>
          <w:szCs w:val="22"/>
        </w:rPr>
      </w:pPr>
    </w:p>
    <w:p w14:paraId="67C35BC8" w14:textId="77777777" w:rsidR="00C049AB" w:rsidRPr="00EA6A77" w:rsidRDefault="00C049AB">
      <w:pPr>
        <w:spacing w:line="360" w:lineRule="auto"/>
        <w:rPr>
          <w:rFonts w:ascii="Arial" w:hAnsi="Arial" w:cs="Arial"/>
          <w:b/>
          <w:bCs/>
          <w:sz w:val="22"/>
          <w:szCs w:val="22"/>
        </w:rPr>
      </w:pPr>
    </w:p>
    <w:p w14:paraId="034CF506" w14:textId="06FB0A36" w:rsidR="00C049AB" w:rsidRPr="00EA6A77" w:rsidRDefault="00C049AB">
      <w:pPr>
        <w:spacing w:line="360" w:lineRule="auto"/>
        <w:rPr>
          <w:rFonts w:ascii="Arial" w:hAnsi="Arial" w:cs="Arial"/>
          <w:b/>
          <w:bCs/>
          <w:sz w:val="22"/>
          <w:szCs w:val="22"/>
        </w:rPr>
      </w:pPr>
      <w:r w:rsidRPr="00EA6A77">
        <w:rPr>
          <w:rFonts w:ascii="Arial" w:hAnsi="Arial" w:cs="Arial"/>
          <w:b/>
          <w:bCs/>
          <w:sz w:val="22"/>
          <w:szCs w:val="22"/>
        </w:rPr>
        <w:t>TABLE OF CONTENT</w:t>
      </w:r>
    </w:p>
    <w:p w14:paraId="0579A742" w14:textId="1DCF767F" w:rsidR="00C049AB" w:rsidRPr="00F032B9" w:rsidRDefault="00C049AB">
      <w:pPr>
        <w:spacing w:line="360" w:lineRule="auto"/>
        <w:rPr>
          <w:rFonts w:ascii="Arial" w:hAnsi="Arial" w:cs="Arial"/>
          <w:b/>
          <w:bCs/>
          <w:sz w:val="22"/>
          <w:szCs w:val="22"/>
        </w:rPr>
      </w:pPr>
      <w:r w:rsidRPr="00F032B9">
        <w:rPr>
          <w:rFonts w:ascii="Arial" w:hAnsi="Arial" w:cs="Arial"/>
          <w:b/>
          <w:bCs/>
          <w:sz w:val="22"/>
          <w:szCs w:val="22"/>
        </w:rPr>
        <w:t>Cover</w:t>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t>1</w:t>
      </w:r>
    </w:p>
    <w:p w14:paraId="543785E4" w14:textId="38D4126C" w:rsidR="00C049AB" w:rsidRPr="00F032B9" w:rsidRDefault="00C049AB" w:rsidP="00C049AB">
      <w:pPr>
        <w:spacing w:line="360" w:lineRule="auto"/>
        <w:jc w:val="both"/>
        <w:rPr>
          <w:rFonts w:ascii="Arial" w:hAnsi="Arial" w:cs="Arial"/>
          <w:b/>
          <w:bCs/>
          <w:sz w:val="22"/>
          <w:szCs w:val="22"/>
        </w:rPr>
      </w:pPr>
      <w:r w:rsidRPr="006F4DA6">
        <w:rPr>
          <w:rFonts w:ascii="Arial" w:hAnsi="Arial" w:cs="Arial"/>
          <w:b/>
          <w:bCs/>
          <w:sz w:val="22"/>
          <w:szCs w:val="22"/>
        </w:rPr>
        <w:t>Introduction</w:t>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r>
      <w:r w:rsidRPr="00F032B9">
        <w:rPr>
          <w:rFonts w:ascii="Arial" w:hAnsi="Arial" w:cs="Arial"/>
          <w:b/>
          <w:bCs/>
          <w:sz w:val="22"/>
          <w:szCs w:val="22"/>
        </w:rPr>
        <w:tab/>
        <w:t>3</w:t>
      </w:r>
    </w:p>
    <w:p w14:paraId="5F039100" w14:textId="6EBAD254" w:rsidR="00C049AB" w:rsidRDefault="00C049AB">
      <w:pPr>
        <w:spacing w:line="360" w:lineRule="auto"/>
        <w:rPr>
          <w:rFonts w:ascii="Arial" w:hAnsi="Arial" w:cs="Arial"/>
          <w:b/>
          <w:bCs/>
          <w:sz w:val="22"/>
          <w:szCs w:val="22"/>
        </w:rPr>
      </w:pPr>
      <w:r w:rsidRPr="007E6760">
        <w:rPr>
          <w:rFonts w:ascii="Arial" w:hAnsi="Arial" w:cs="Arial"/>
          <w:b/>
          <w:bCs/>
          <w:sz w:val="22"/>
          <w:szCs w:val="22"/>
        </w:rPr>
        <w:t>Effective Communicatio</w:t>
      </w:r>
      <w:r>
        <w:rPr>
          <w:rFonts w:ascii="Arial" w:hAnsi="Arial" w:cs="Arial"/>
          <w:b/>
          <w:bCs/>
          <w:sz w:val="22"/>
          <w:szCs w:val="22"/>
        </w:rPr>
        <w:t>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3</w:t>
      </w:r>
    </w:p>
    <w:p w14:paraId="1598E7E3" w14:textId="0D82939F" w:rsidR="00C049AB" w:rsidRDefault="00C049AB">
      <w:pPr>
        <w:spacing w:line="360" w:lineRule="auto"/>
        <w:rPr>
          <w:rFonts w:ascii="Arial" w:hAnsi="Arial" w:cs="Arial"/>
          <w:sz w:val="22"/>
          <w:szCs w:val="22"/>
        </w:rPr>
      </w:pPr>
      <w:r w:rsidRPr="00C049AB">
        <w:rPr>
          <w:rFonts w:ascii="Arial" w:hAnsi="Arial" w:cs="Arial"/>
          <w:b/>
          <w:bCs/>
          <w:sz w:val="22"/>
          <w:szCs w:val="22"/>
        </w:rPr>
        <w:t>Good Administrative Skills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4</w:t>
      </w:r>
    </w:p>
    <w:p w14:paraId="22884599" w14:textId="2E19689F" w:rsidR="00C049AB" w:rsidRPr="00C049AB" w:rsidRDefault="00C049AB">
      <w:pPr>
        <w:spacing w:line="360" w:lineRule="auto"/>
        <w:rPr>
          <w:rFonts w:ascii="Arial" w:hAnsi="Arial" w:cs="Arial"/>
          <w:b/>
          <w:bCs/>
          <w:sz w:val="22"/>
          <w:szCs w:val="22"/>
        </w:rPr>
      </w:pPr>
      <w:r w:rsidRPr="006A7989">
        <w:rPr>
          <w:rFonts w:ascii="Arial" w:hAnsi="Arial" w:cs="Arial"/>
          <w:b/>
          <w:bCs/>
          <w:sz w:val="22"/>
          <w:szCs w:val="22"/>
        </w:rPr>
        <w:t>Collaborative Working</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5</w:t>
      </w:r>
    </w:p>
    <w:p w14:paraId="1FCF7621" w14:textId="2619804D" w:rsidR="00C049AB" w:rsidRDefault="00C049AB" w:rsidP="00C049AB">
      <w:pPr>
        <w:spacing w:line="360" w:lineRule="auto"/>
        <w:jc w:val="both"/>
        <w:rPr>
          <w:rFonts w:ascii="Arial" w:hAnsi="Arial" w:cs="Arial"/>
          <w:b/>
          <w:bCs/>
          <w:sz w:val="22"/>
          <w:szCs w:val="22"/>
        </w:rPr>
      </w:pPr>
      <w:r w:rsidRPr="0083023E">
        <w:rPr>
          <w:rFonts w:ascii="Arial" w:hAnsi="Arial" w:cs="Arial"/>
          <w:b/>
          <w:bCs/>
          <w:sz w:val="22"/>
          <w:szCs w:val="22"/>
        </w:rPr>
        <w:t>Conclusion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6</w:t>
      </w:r>
    </w:p>
    <w:p w14:paraId="4C9912C1" w14:textId="25569E13" w:rsidR="00C049AB" w:rsidRPr="0083023E" w:rsidRDefault="00C049AB" w:rsidP="00C049AB">
      <w:pPr>
        <w:spacing w:line="360" w:lineRule="auto"/>
        <w:jc w:val="both"/>
        <w:rPr>
          <w:rFonts w:ascii="Arial" w:hAnsi="Arial" w:cs="Arial"/>
          <w:b/>
          <w:bCs/>
          <w:sz w:val="22"/>
          <w:szCs w:val="22"/>
        </w:rPr>
      </w:pPr>
      <w:r>
        <w:rPr>
          <w:rFonts w:ascii="Arial" w:hAnsi="Arial" w:cs="Arial"/>
          <w:b/>
          <w:bCs/>
          <w:sz w:val="22"/>
          <w:szCs w:val="22"/>
        </w:rPr>
        <w:t>References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7</w:t>
      </w:r>
    </w:p>
    <w:p w14:paraId="7451558F" w14:textId="77777777" w:rsidR="00C049AB" w:rsidRDefault="00C049AB">
      <w:pPr>
        <w:spacing w:line="360" w:lineRule="auto"/>
        <w:rPr>
          <w:rFonts w:ascii="Arial" w:hAnsi="Arial" w:cs="Arial"/>
          <w:sz w:val="22"/>
          <w:szCs w:val="22"/>
        </w:rPr>
      </w:pPr>
    </w:p>
    <w:p w14:paraId="59E4E69C" w14:textId="77777777" w:rsidR="00C049AB" w:rsidRDefault="00C049AB">
      <w:pPr>
        <w:spacing w:line="360" w:lineRule="auto"/>
        <w:rPr>
          <w:rFonts w:ascii="Arial" w:hAnsi="Arial" w:cs="Arial"/>
          <w:sz w:val="22"/>
          <w:szCs w:val="22"/>
        </w:rPr>
      </w:pPr>
    </w:p>
    <w:p w14:paraId="085FEDBE" w14:textId="77777777" w:rsidR="00C049AB" w:rsidRDefault="00C049AB">
      <w:pPr>
        <w:spacing w:line="360" w:lineRule="auto"/>
        <w:rPr>
          <w:rFonts w:ascii="Arial" w:hAnsi="Arial" w:cs="Arial"/>
          <w:sz w:val="22"/>
          <w:szCs w:val="22"/>
        </w:rPr>
      </w:pPr>
    </w:p>
    <w:p w14:paraId="4EE9C588" w14:textId="77777777" w:rsidR="00C049AB" w:rsidRDefault="00C049AB">
      <w:pPr>
        <w:spacing w:line="360" w:lineRule="auto"/>
        <w:rPr>
          <w:rFonts w:ascii="Arial" w:hAnsi="Arial" w:cs="Arial"/>
          <w:sz w:val="22"/>
          <w:szCs w:val="22"/>
        </w:rPr>
      </w:pPr>
    </w:p>
    <w:p w14:paraId="6DBEC959" w14:textId="77777777" w:rsidR="00C049AB" w:rsidRDefault="00C049AB">
      <w:pPr>
        <w:spacing w:line="360" w:lineRule="auto"/>
        <w:rPr>
          <w:rFonts w:ascii="Arial" w:hAnsi="Arial" w:cs="Arial"/>
          <w:sz w:val="22"/>
          <w:szCs w:val="22"/>
        </w:rPr>
      </w:pPr>
    </w:p>
    <w:p w14:paraId="550F91E6" w14:textId="77777777" w:rsidR="00C049AB" w:rsidRDefault="00C049AB">
      <w:pPr>
        <w:spacing w:line="360" w:lineRule="auto"/>
        <w:rPr>
          <w:rFonts w:ascii="Arial" w:hAnsi="Arial" w:cs="Arial"/>
          <w:sz w:val="22"/>
          <w:szCs w:val="22"/>
        </w:rPr>
      </w:pPr>
    </w:p>
    <w:p w14:paraId="7ABA3647" w14:textId="77777777" w:rsidR="00C049AB" w:rsidRDefault="00C049AB">
      <w:pPr>
        <w:spacing w:line="360" w:lineRule="auto"/>
        <w:rPr>
          <w:rFonts w:ascii="Arial" w:hAnsi="Arial" w:cs="Arial"/>
          <w:sz w:val="22"/>
          <w:szCs w:val="22"/>
        </w:rPr>
      </w:pPr>
    </w:p>
    <w:p w14:paraId="15278426" w14:textId="77777777" w:rsidR="00C049AB" w:rsidRDefault="00C049AB">
      <w:pPr>
        <w:spacing w:line="360" w:lineRule="auto"/>
        <w:rPr>
          <w:rFonts w:ascii="Arial" w:hAnsi="Arial" w:cs="Arial"/>
          <w:sz w:val="22"/>
          <w:szCs w:val="22"/>
        </w:rPr>
      </w:pPr>
    </w:p>
    <w:p w14:paraId="705E8F67" w14:textId="77777777" w:rsidR="00C049AB" w:rsidRDefault="00C049AB">
      <w:pPr>
        <w:spacing w:line="360" w:lineRule="auto"/>
        <w:rPr>
          <w:rFonts w:ascii="Arial" w:hAnsi="Arial" w:cs="Arial"/>
          <w:sz w:val="22"/>
          <w:szCs w:val="22"/>
        </w:rPr>
      </w:pPr>
    </w:p>
    <w:p w14:paraId="66A7AC3C" w14:textId="77777777" w:rsidR="00C049AB" w:rsidRDefault="00C049AB">
      <w:pPr>
        <w:spacing w:line="360" w:lineRule="auto"/>
        <w:rPr>
          <w:rFonts w:ascii="Arial" w:hAnsi="Arial" w:cs="Arial"/>
          <w:sz w:val="22"/>
          <w:szCs w:val="22"/>
        </w:rPr>
      </w:pPr>
    </w:p>
    <w:p w14:paraId="6B383C80" w14:textId="77777777" w:rsidR="00C049AB" w:rsidRDefault="00C049AB">
      <w:pPr>
        <w:spacing w:line="360" w:lineRule="auto"/>
        <w:rPr>
          <w:rFonts w:ascii="Arial" w:hAnsi="Arial" w:cs="Arial"/>
          <w:sz w:val="22"/>
          <w:szCs w:val="22"/>
        </w:rPr>
      </w:pPr>
    </w:p>
    <w:p w14:paraId="31E676BF" w14:textId="77777777" w:rsidR="00C049AB" w:rsidRDefault="00C049AB">
      <w:pPr>
        <w:spacing w:line="360" w:lineRule="auto"/>
        <w:rPr>
          <w:rFonts w:ascii="Arial" w:hAnsi="Arial" w:cs="Arial"/>
          <w:sz w:val="22"/>
          <w:szCs w:val="22"/>
        </w:rPr>
      </w:pPr>
    </w:p>
    <w:p w14:paraId="7AF422DB" w14:textId="77777777" w:rsidR="00C049AB" w:rsidRDefault="00C049AB">
      <w:pPr>
        <w:spacing w:line="360" w:lineRule="auto"/>
        <w:rPr>
          <w:rFonts w:ascii="Arial" w:hAnsi="Arial" w:cs="Arial"/>
          <w:sz w:val="22"/>
          <w:szCs w:val="22"/>
        </w:rPr>
      </w:pPr>
    </w:p>
    <w:p w14:paraId="7EFBCEC3" w14:textId="77777777" w:rsidR="00C049AB" w:rsidRDefault="00C049AB">
      <w:pPr>
        <w:spacing w:line="360" w:lineRule="auto"/>
        <w:rPr>
          <w:rFonts w:ascii="Arial" w:hAnsi="Arial" w:cs="Arial"/>
          <w:sz w:val="22"/>
          <w:szCs w:val="22"/>
        </w:rPr>
      </w:pPr>
    </w:p>
    <w:p w14:paraId="2AF345AD" w14:textId="77777777" w:rsidR="00681517" w:rsidRDefault="00681517">
      <w:pPr>
        <w:spacing w:line="360" w:lineRule="auto"/>
        <w:rPr>
          <w:rFonts w:ascii="Arial" w:hAnsi="Arial" w:cs="Arial"/>
          <w:sz w:val="22"/>
          <w:szCs w:val="22"/>
        </w:rPr>
      </w:pPr>
    </w:p>
    <w:p w14:paraId="51C4B5D1" w14:textId="4411B17E" w:rsidR="00681517" w:rsidRPr="007E6760" w:rsidRDefault="007E6760" w:rsidP="0083023E">
      <w:pPr>
        <w:spacing w:line="360" w:lineRule="auto"/>
        <w:jc w:val="both"/>
        <w:rPr>
          <w:rFonts w:ascii="Arial" w:hAnsi="Arial" w:cs="Arial"/>
          <w:b/>
          <w:bCs/>
          <w:sz w:val="22"/>
          <w:szCs w:val="22"/>
        </w:rPr>
      </w:pPr>
      <w:bookmarkStart w:id="0" w:name="_Hlk236963927"/>
      <w:bookmarkStart w:id="1" w:name="_Hlk237340640"/>
      <w:r w:rsidRPr="007E6760">
        <w:rPr>
          <w:rFonts w:ascii="Arial" w:hAnsi="Arial" w:cs="Arial"/>
          <w:b/>
          <w:bCs/>
          <w:sz w:val="22"/>
          <w:szCs w:val="22"/>
        </w:rPr>
        <w:t>INTRODUCTION</w:t>
      </w:r>
    </w:p>
    <w:p w14:paraId="049BDF7C" w14:textId="4170C18A" w:rsidR="00681517" w:rsidRDefault="007E6760" w:rsidP="0083023E">
      <w:pPr>
        <w:spacing w:line="360" w:lineRule="auto"/>
        <w:jc w:val="both"/>
        <w:rPr>
          <w:rFonts w:ascii="Arial" w:hAnsi="Arial" w:cs="Arial"/>
          <w:sz w:val="22"/>
          <w:szCs w:val="22"/>
        </w:rPr>
      </w:pPr>
      <w:r w:rsidRPr="007E6760">
        <w:rPr>
          <w:rFonts w:ascii="Arial" w:hAnsi="Arial" w:cs="Arial"/>
          <w:sz w:val="22"/>
          <w:szCs w:val="22"/>
        </w:rPr>
        <w:t>Effective communication, accurate administration, and collaborative working are essential for safe and person-cent</w:t>
      </w:r>
      <w:r>
        <w:rPr>
          <w:rFonts w:ascii="Arial" w:hAnsi="Arial" w:cs="Arial"/>
          <w:sz w:val="22"/>
          <w:szCs w:val="22"/>
        </w:rPr>
        <w:t>r</w:t>
      </w:r>
      <w:r w:rsidRPr="007E6760">
        <w:rPr>
          <w:rFonts w:ascii="Arial" w:hAnsi="Arial" w:cs="Arial"/>
          <w:sz w:val="22"/>
          <w:szCs w:val="22"/>
        </w:rPr>
        <w:t xml:space="preserve">ed health and social care. These areas are especially important when helping vulnerable older adults with complex health and social care needs. Mrs Thompson, an 84-year-old woman, was recently discharged from the hospital </w:t>
      </w:r>
      <w:r w:rsidR="00A42C3C" w:rsidRPr="00A42C3C">
        <w:rPr>
          <w:rFonts w:ascii="Arial" w:hAnsi="Arial" w:cs="Arial"/>
          <w:sz w:val="22"/>
          <w:szCs w:val="22"/>
        </w:rPr>
        <w:t>following an admission for pneumonia.</w:t>
      </w:r>
      <w:r w:rsidRPr="007E6760">
        <w:rPr>
          <w:rFonts w:ascii="Arial" w:hAnsi="Arial" w:cs="Arial"/>
          <w:sz w:val="22"/>
          <w:szCs w:val="22"/>
        </w:rPr>
        <w:t xml:space="preserve"> She lives alone in sheltered housing, </w:t>
      </w:r>
      <w:r w:rsidR="00644154" w:rsidRPr="00644154">
        <w:rPr>
          <w:rFonts w:ascii="Arial" w:hAnsi="Arial" w:cs="Arial"/>
          <w:sz w:val="22"/>
          <w:szCs w:val="22"/>
        </w:rPr>
        <w:t>receives domiciliary care twice a day</w:t>
      </w:r>
      <w:r w:rsidRPr="007E6760">
        <w:rPr>
          <w:rFonts w:ascii="Arial" w:hAnsi="Arial" w:cs="Arial"/>
          <w:sz w:val="22"/>
          <w:szCs w:val="22"/>
        </w:rPr>
        <w:t>, and has mild dementia. Her recent</w:t>
      </w:r>
      <w:r w:rsidR="00644154">
        <w:rPr>
          <w:rFonts w:ascii="Arial" w:hAnsi="Arial" w:cs="Arial"/>
          <w:sz w:val="22"/>
          <w:szCs w:val="22"/>
        </w:rPr>
        <w:t>ly</w:t>
      </w:r>
      <w:r w:rsidRPr="007E6760">
        <w:rPr>
          <w:rFonts w:ascii="Arial" w:hAnsi="Arial" w:cs="Arial"/>
          <w:sz w:val="22"/>
          <w:szCs w:val="22"/>
        </w:rPr>
        <w:t xml:space="preserve"> missed medication</w:t>
      </w:r>
      <w:r w:rsidR="00644154">
        <w:rPr>
          <w:rFonts w:ascii="Arial" w:hAnsi="Arial" w:cs="Arial"/>
          <w:sz w:val="22"/>
          <w:szCs w:val="22"/>
        </w:rPr>
        <w:t xml:space="preserve"> doses</w:t>
      </w:r>
      <w:r w:rsidRPr="007E6760">
        <w:rPr>
          <w:rFonts w:ascii="Arial" w:hAnsi="Arial" w:cs="Arial"/>
          <w:sz w:val="22"/>
          <w:szCs w:val="22"/>
        </w:rPr>
        <w:t xml:space="preserve"> and the incident in which she was discovered outside without proper clothing pose potential threats to her health, safety, and well-being. Person-centred dementia care should focus on the individual's </w:t>
      </w:r>
      <w:r w:rsidR="00644154">
        <w:rPr>
          <w:rFonts w:ascii="Arial" w:hAnsi="Arial" w:cs="Arial"/>
          <w:sz w:val="22"/>
          <w:szCs w:val="22"/>
        </w:rPr>
        <w:t>needs</w:t>
      </w:r>
      <w:r w:rsidRPr="007E6760">
        <w:rPr>
          <w:rFonts w:ascii="Arial" w:hAnsi="Arial" w:cs="Arial"/>
          <w:sz w:val="22"/>
          <w:szCs w:val="22"/>
        </w:rPr>
        <w:t xml:space="preserve">, perspective, relationships, and personal circumstances rather than just their diagnosis (NICE, 2018). This report will therefore </w:t>
      </w:r>
      <w:r w:rsidR="00644154">
        <w:rPr>
          <w:rFonts w:ascii="Arial" w:hAnsi="Arial" w:cs="Arial"/>
          <w:sz w:val="22"/>
          <w:szCs w:val="22"/>
        </w:rPr>
        <w:t>examine</w:t>
      </w:r>
      <w:r w:rsidRPr="007E6760">
        <w:rPr>
          <w:rFonts w:ascii="Arial" w:hAnsi="Arial" w:cs="Arial"/>
          <w:sz w:val="22"/>
          <w:szCs w:val="22"/>
        </w:rPr>
        <w:t xml:space="preserve"> effective communication using Berlo's communication model, administrative and record-keeping responsibilities, and collaborative working among the professionals involved in Mrs Thompson's care.</w:t>
      </w:r>
    </w:p>
    <w:p w14:paraId="21C0466C" w14:textId="77777777" w:rsidR="007E6760" w:rsidRDefault="007E6760" w:rsidP="0083023E">
      <w:pPr>
        <w:spacing w:line="360" w:lineRule="auto"/>
        <w:jc w:val="both"/>
        <w:rPr>
          <w:rFonts w:ascii="Arial" w:hAnsi="Arial" w:cs="Arial"/>
          <w:sz w:val="22"/>
          <w:szCs w:val="22"/>
        </w:rPr>
      </w:pPr>
    </w:p>
    <w:p w14:paraId="6AD95663" w14:textId="70B6AFA9" w:rsidR="00681517" w:rsidRPr="007E6760" w:rsidRDefault="007E6760" w:rsidP="0083023E">
      <w:pPr>
        <w:spacing w:line="360" w:lineRule="auto"/>
        <w:jc w:val="both"/>
        <w:rPr>
          <w:rFonts w:ascii="Arial" w:hAnsi="Arial" w:cs="Arial"/>
          <w:b/>
          <w:bCs/>
          <w:sz w:val="22"/>
          <w:szCs w:val="22"/>
        </w:rPr>
      </w:pPr>
      <w:r w:rsidRPr="007E6760">
        <w:rPr>
          <w:rFonts w:ascii="Arial" w:hAnsi="Arial" w:cs="Arial"/>
          <w:b/>
          <w:bCs/>
          <w:sz w:val="22"/>
          <w:szCs w:val="22"/>
        </w:rPr>
        <w:t xml:space="preserve">THE IMPORTANCE OF EFFECTIVE COMMUNICATION IN MRS THOMPSON’S CARE </w:t>
      </w:r>
    </w:p>
    <w:p w14:paraId="479F6402" w14:textId="1DE99924" w:rsidR="007E6760" w:rsidRPr="007E6760" w:rsidRDefault="0083023E" w:rsidP="0083023E">
      <w:pPr>
        <w:spacing w:line="360" w:lineRule="auto"/>
        <w:jc w:val="both"/>
        <w:rPr>
          <w:rFonts w:ascii="Arial" w:hAnsi="Arial" w:cs="Arial"/>
          <w:sz w:val="22"/>
          <w:szCs w:val="22"/>
          <w:lang w:val="en-US"/>
        </w:rPr>
      </w:pPr>
      <w:bookmarkStart w:id="2" w:name="_Hlk237337301"/>
      <w:r w:rsidRPr="007E6760">
        <w:rPr>
          <w:rFonts w:ascii="Arial" w:hAnsi="Arial" w:cs="Arial"/>
          <w:sz w:val="22"/>
          <w:szCs w:val="22"/>
          <w:lang w:val="en-US"/>
        </w:rPr>
        <w:t>Mrs.</w:t>
      </w:r>
      <w:r w:rsidR="007E6760" w:rsidRPr="007E6760">
        <w:rPr>
          <w:rFonts w:ascii="Arial" w:hAnsi="Arial" w:cs="Arial"/>
          <w:sz w:val="22"/>
          <w:szCs w:val="22"/>
          <w:lang w:val="en-US"/>
        </w:rPr>
        <w:t xml:space="preserve"> Thompson's mild dementia may impair her ability to understand, remember, and respond to information, so effective communication is essential when caring for her. Communication should therefore be clear, respectful, person-</w:t>
      </w:r>
      <w:proofErr w:type="spellStart"/>
      <w:r w:rsidR="007E6760" w:rsidRPr="007E6760">
        <w:rPr>
          <w:rFonts w:ascii="Arial" w:hAnsi="Arial" w:cs="Arial"/>
          <w:sz w:val="22"/>
          <w:szCs w:val="22"/>
          <w:lang w:val="en-US"/>
        </w:rPr>
        <w:t>centred</w:t>
      </w:r>
      <w:proofErr w:type="spellEnd"/>
      <w:r w:rsidR="007E6760" w:rsidRPr="007E6760">
        <w:rPr>
          <w:rFonts w:ascii="Arial" w:hAnsi="Arial" w:cs="Arial"/>
          <w:sz w:val="22"/>
          <w:szCs w:val="22"/>
          <w:lang w:val="en-US"/>
        </w:rPr>
        <w:t xml:space="preserve">, and tailored to her specific needs. Professionals should speak calmly, use straightforward language, avoid providing too much information at once, and give </w:t>
      </w:r>
      <w:r w:rsidR="006D6641" w:rsidRPr="007E6760">
        <w:rPr>
          <w:rFonts w:ascii="Arial" w:hAnsi="Arial" w:cs="Arial"/>
          <w:sz w:val="22"/>
          <w:szCs w:val="22"/>
          <w:lang w:val="en-US"/>
        </w:rPr>
        <w:t>them</w:t>
      </w:r>
      <w:r w:rsidR="007E6760" w:rsidRPr="007E6760">
        <w:rPr>
          <w:rFonts w:ascii="Arial" w:hAnsi="Arial" w:cs="Arial"/>
          <w:sz w:val="22"/>
          <w:szCs w:val="22"/>
          <w:lang w:val="en-US"/>
        </w:rPr>
        <w:t xml:space="preserve"> enough time to process it and respond. Her comprehension should also be validated rather than assumed. NICE (2018) emphasizes that dementia care should recognize the person's individuality and perspective, as well as the importance of relationships and interactions in promoting wellbeing.</w:t>
      </w:r>
    </w:p>
    <w:p w14:paraId="48CC72C6" w14:textId="3E1DDEA8" w:rsidR="007E6760" w:rsidRPr="007E6760" w:rsidRDefault="007E6760" w:rsidP="0083023E">
      <w:pPr>
        <w:spacing w:line="360" w:lineRule="auto"/>
        <w:jc w:val="both"/>
        <w:rPr>
          <w:rFonts w:ascii="Arial" w:hAnsi="Arial" w:cs="Arial"/>
          <w:sz w:val="22"/>
          <w:szCs w:val="22"/>
          <w:lang w:val="en-US"/>
        </w:rPr>
      </w:pPr>
      <w:r w:rsidRPr="007E6760">
        <w:rPr>
          <w:rFonts w:ascii="Arial" w:hAnsi="Arial" w:cs="Arial"/>
          <w:sz w:val="22"/>
          <w:szCs w:val="22"/>
          <w:lang w:val="en-US"/>
        </w:rPr>
        <w:t xml:space="preserve">Berlo's SMCR communication model offers a useful framework for comprehending communication in this context. Berlo (1960) identifies four major components: source, message, channel, and receiver (SMCR). </w:t>
      </w:r>
      <w:r w:rsidR="0083023E">
        <w:rPr>
          <w:rFonts w:ascii="Arial" w:hAnsi="Arial" w:cs="Arial"/>
          <w:sz w:val="22"/>
          <w:szCs w:val="22"/>
          <w:lang w:val="en-US"/>
        </w:rPr>
        <w:t>Mrs.</w:t>
      </w:r>
      <w:r w:rsidRPr="007E6760">
        <w:rPr>
          <w:rFonts w:ascii="Arial" w:hAnsi="Arial" w:cs="Arial"/>
          <w:sz w:val="22"/>
          <w:szCs w:val="22"/>
          <w:lang w:val="en-US"/>
        </w:rPr>
        <w:t xml:space="preserve"> Thompson's care could come from a domiciliary care worker, a nurse, or her general practitioner. To communicate effectively, the professional must have the necessary skills, knowledge, and </w:t>
      </w:r>
      <w:r w:rsidR="006D6641" w:rsidRPr="007E6760">
        <w:rPr>
          <w:rFonts w:ascii="Arial" w:hAnsi="Arial" w:cs="Arial"/>
          <w:sz w:val="22"/>
          <w:szCs w:val="22"/>
          <w:lang w:val="en-US"/>
        </w:rPr>
        <w:t>attitude</w:t>
      </w:r>
      <w:r w:rsidRPr="007E6760">
        <w:rPr>
          <w:rFonts w:ascii="Arial" w:hAnsi="Arial" w:cs="Arial"/>
          <w:sz w:val="22"/>
          <w:szCs w:val="22"/>
          <w:lang w:val="en-US"/>
        </w:rPr>
        <w:t xml:space="preserve">. The message could be about medication, personal safety, or an appointment. This information should be straightforward and unambiguous, as </w:t>
      </w:r>
      <w:r w:rsidR="00644154" w:rsidRPr="007E6760">
        <w:rPr>
          <w:rFonts w:ascii="Arial" w:hAnsi="Arial" w:cs="Arial"/>
          <w:sz w:val="22"/>
          <w:szCs w:val="22"/>
          <w:lang w:val="en-US"/>
        </w:rPr>
        <w:t>Mrs.</w:t>
      </w:r>
      <w:r w:rsidRPr="007E6760">
        <w:rPr>
          <w:rFonts w:ascii="Arial" w:hAnsi="Arial" w:cs="Arial"/>
          <w:sz w:val="22"/>
          <w:szCs w:val="22"/>
          <w:lang w:val="en-US"/>
        </w:rPr>
        <w:t xml:space="preserve"> Thompson's dementia may make complex messages difficult to remember. The channel may consist of face-to-face verbal communication as well as written information or appropriate visual reminders. </w:t>
      </w:r>
      <w:r w:rsidR="00644154">
        <w:rPr>
          <w:rFonts w:ascii="Arial" w:hAnsi="Arial" w:cs="Arial"/>
          <w:sz w:val="22"/>
          <w:szCs w:val="22"/>
          <w:lang w:val="en-US"/>
        </w:rPr>
        <w:t>Mrs.</w:t>
      </w:r>
      <w:r w:rsidRPr="007E6760">
        <w:rPr>
          <w:rFonts w:ascii="Arial" w:hAnsi="Arial" w:cs="Arial"/>
          <w:sz w:val="22"/>
          <w:szCs w:val="22"/>
          <w:lang w:val="en-US"/>
        </w:rPr>
        <w:t xml:space="preserve"> Thompson is the receiver, and professionals must consider her cognitive needs and circumstances when </w:t>
      </w:r>
      <w:r w:rsidRPr="007E6760">
        <w:rPr>
          <w:rFonts w:ascii="Arial" w:hAnsi="Arial" w:cs="Arial"/>
          <w:sz w:val="22"/>
          <w:szCs w:val="22"/>
          <w:lang w:val="en-US"/>
        </w:rPr>
        <w:lastRenderedPageBreak/>
        <w:t>communicating with her. Berlo's model encourages professionals to tailor their message and method of communication to the individual receiving it (Berlo, 1960).</w:t>
      </w:r>
    </w:p>
    <w:p w14:paraId="2E4F2566" w14:textId="5BE112CE" w:rsidR="007E6760" w:rsidRPr="007E6760" w:rsidRDefault="007E6760" w:rsidP="0083023E">
      <w:pPr>
        <w:spacing w:line="360" w:lineRule="auto"/>
        <w:jc w:val="both"/>
        <w:rPr>
          <w:rFonts w:ascii="Arial" w:hAnsi="Arial" w:cs="Arial"/>
          <w:sz w:val="22"/>
          <w:szCs w:val="22"/>
          <w:lang w:val="en-US"/>
        </w:rPr>
      </w:pPr>
      <w:r w:rsidRPr="007E6760">
        <w:rPr>
          <w:rFonts w:ascii="Arial" w:hAnsi="Arial" w:cs="Arial"/>
          <w:sz w:val="22"/>
          <w:szCs w:val="22"/>
          <w:lang w:val="en-US"/>
        </w:rPr>
        <w:t xml:space="preserve">Communication should also reflect the Equality Act 2010, which protects people from discrimination, including disability discrimination, and establishes duties regarding reasonable adjustments (Equality Act 2010). When </w:t>
      </w:r>
      <w:r w:rsidR="00644154">
        <w:rPr>
          <w:rFonts w:ascii="Arial" w:hAnsi="Arial" w:cs="Arial"/>
          <w:sz w:val="22"/>
          <w:szCs w:val="22"/>
          <w:lang w:val="en-US"/>
        </w:rPr>
        <w:t>Mrs.</w:t>
      </w:r>
      <w:r w:rsidRPr="007E6760">
        <w:rPr>
          <w:rFonts w:ascii="Arial" w:hAnsi="Arial" w:cs="Arial"/>
          <w:sz w:val="22"/>
          <w:szCs w:val="22"/>
          <w:lang w:val="en-US"/>
        </w:rPr>
        <w:t xml:space="preserve"> Thompson's dementia meets the legal definition of disability, reasonable</w:t>
      </w:r>
      <w:r w:rsidR="00644154" w:rsidRPr="00644154">
        <w:rPr>
          <w:rFonts w:ascii="Arial" w:hAnsi="Arial" w:cs="Arial"/>
          <w:sz w:val="22"/>
          <w:szCs w:val="22"/>
        </w:rPr>
        <w:t xml:space="preserve"> adjustments to communication</w:t>
      </w:r>
      <w:r w:rsidR="00644154">
        <w:rPr>
          <w:rFonts w:ascii="Arial" w:hAnsi="Arial" w:cs="Arial"/>
          <w:sz w:val="22"/>
          <w:szCs w:val="22"/>
        </w:rPr>
        <w:t xml:space="preserve"> </w:t>
      </w:r>
      <w:r w:rsidRPr="007E6760">
        <w:rPr>
          <w:rFonts w:ascii="Arial" w:hAnsi="Arial" w:cs="Arial"/>
          <w:sz w:val="22"/>
          <w:szCs w:val="22"/>
          <w:lang w:val="en-US"/>
        </w:rPr>
        <w:t>may include providing</w:t>
      </w:r>
      <w:r>
        <w:rPr>
          <w:rFonts w:ascii="Arial" w:hAnsi="Arial" w:cs="Arial"/>
          <w:sz w:val="22"/>
          <w:szCs w:val="22"/>
          <w:lang w:val="en-US"/>
        </w:rPr>
        <w:t xml:space="preserve"> </w:t>
      </w:r>
      <w:r w:rsidRPr="007E6760">
        <w:rPr>
          <w:rFonts w:ascii="Arial" w:hAnsi="Arial" w:cs="Arial"/>
          <w:sz w:val="22"/>
          <w:szCs w:val="22"/>
          <w:lang w:val="en-US"/>
        </w:rPr>
        <w:t>information in an accessible format, repeating important information, allowing extra time, and using remind</w:t>
      </w:r>
      <w:r w:rsidR="00644154">
        <w:rPr>
          <w:rFonts w:ascii="Arial" w:hAnsi="Arial" w:cs="Arial"/>
          <w:sz w:val="22"/>
          <w:szCs w:val="22"/>
          <w:lang w:val="en-US"/>
        </w:rPr>
        <w:t>er</w:t>
      </w:r>
      <w:r w:rsidRPr="007E6760">
        <w:rPr>
          <w:rFonts w:ascii="Arial" w:hAnsi="Arial" w:cs="Arial"/>
          <w:sz w:val="22"/>
          <w:szCs w:val="22"/>
          <w:lang w:val="en-US"/>
        </w:rPr>
        <w:t>s. These changes promote equality because treating people fairly does not imply communicating with everyone in the same way.</w:t>
      </w:r>
    </w:p>
    <w:p w14:paraId="2D5A9372" w14:textId="4C98B147" w:rsidR="007E6760" w:rsidRPr="007E6760" w:rsidRDefault="007E6760" w:rsidP="0083023E">
      <w:pPr>
        <w:spacing w:line="360" w:lineRule="auto"/>
        <w:jc w:val="both"/>
        <w:rPr>
          <w:rFonts w:ascii="Arial" w:hAnsi="Arial" w:cs="Arial"/>
          <w:sz w:val="22"/>
          <w:szCs w:val="22"/>
          <w:lang w:val="en-US"/>
        </w:rPr>
      </w:pPr>
      <w:r w:rsidRPr="007E6760">
        <w:rPr>
          <w:rFonts w:ascii="Arial" w:hAnsi="Arial" w:cs="Arial"/>
          <w:sz w:val="22"/>
          <w:szCs w:val="22"/>
          <w:lang w:val="en-US"/>
        </w:rPr>
        <w:t xml:space="preserve">Family involvement may also help to ensure continuity of care, particularly in terms of medication and changes in </w:t>
      </w:r>
      <w:r w:rsidR="00644154" w:rsidRPr="007E6760">
        <w:rPr>
          <w:rFonts w:ascii="Arial" w:hAnsi="Arial" w:cs="Arial"/>
          <w:sz w:val="22"/>
          <w:szCs w:val="22"/>
          <w:lang w:val="en-US"/>
        </w:rPr>
        <w:t>Mrs.</w:t>
      </w:r>
      <w:r w:rsidRPr="007E6760">
        <w:rPr>
          <w:rFonts w:ascii="Arial" w:hAnsi="Arial" w:cs="Arial"/>
          <w:sz w:val="22"/>
          <w:szCs w:val="22"/>
          <w:lang w:val="en-US"/>
        </w:rPr>
        <w:t xml:space="preserve"> Thompson's </w:t>
      </w:r>
      <w:r w:rsidR="00FC2683" w:rsidRPr="007E6760">
        <w:rPr>
          <w:rFonts w:ascii="Arial" w:hAnsi="Arial" w:cs="Arial"/>
          <w:sz w:val="22"/>
          <w:szCs w:val="22"/>
          <w:lang w:val="en-US"/>
        </w:rPr>
        <w:t>behavio</w:t>
      </w:r>
      <w:r w:rsidR="00FC2683">
        <w:rPr>
          <w:rFonts w:ascii="Arial" w:hAnsi="Arial" w:cs="Arial"/>
          <w:sz w:val="22"/>
          <w:szCs w:val="22"/>
          <w:lang w:val="en-US"/>
        </w:rPr>
        <w:t>r</w:t>
      </w:r>
      <w:r w:rsidRPr="007E6760">
        <w:rPr>
          <w:rFonts w:ascii="Arial" w:hAnsi="Arial" w:cs="Arial"/>
          <w:sz w:val="22"/>
          <w:szCs w:val="22"/>
          <w:lang w:val="en-US"/>
        </w:rPr>
        <w:t xml:space="preserve">. </w:t>
      </w:r>
      <w:r w:rsidR="00644154" w:rsidRPr="007E6760">
        <w:rPr>
          <w:rFonts w:ascii="Arial" w:hAnsi="Arial" w:cs="Arial"/>
          <w:sz w:val="22"/>
          <w:szCs w:val="22"/>
          <w:lang w:val="en-US"/>
        </w:rPr>
        <w:t>Professionals</w:t>
      </w:r>
      <w:r w:rsidRPr="007E6760">
        <w:rPr>
          <w:rFonts w:ascii="Arial" w:hAnsi="Arial" w:cs="Arial"/>
          <w:sz w:val="22"/>
          <w:szCs w:val="22"/>
          <w:lang w:val="en-US"/>
        </w:rPr>
        <w:t xml:space="preserve">, on the other hand, should communicate directly with </w:t>
      </w:r>
      <w:r w:rsidR="00644154" w:rsidRPr="007E6760">
        <w:rPr>
          <w:rFonts w:ascii="Arial" w:hAnsi="Arial" w:cs="Arial"/>
          <w:sz w:val="22"/>
          <w:szCs w:val="22"/>
          <w:lang w:val="en-US"/>
        </w:rPr>
        <w:t>Mrs.</w:t>
      </w:r>
      <w:r w:rsidRPr="007E6760">
        <w:rPr>
          <w:rFonts w:ascii="Arial" w:hAnsi="Arial" w:cs="Arial"/>
          <w:sz w:val="22"/>
          <w:szCs w:val="22"/>
          <w:lang w:val="en-US"/>
        </w:rPr>
        <w:t xml:space="preserve"> Thompson whenever possible and not rely on relatives to do so. Her wishes, confidentiality, and decision-making abilities must be respected. Relevant information can be shared with family and professionals when it is necessary for her care or safety, with appropriate consent or another legal basis. Effective communication can thus reduce </w:t>
      </w:r>
      <w:r w:rsidR="00644154" w:rsidRPr="00644154">
        <w:rPr>
          <w:rFonts w:ascii="Arial" w:hAnsi="Arial" w:cs="Arial"/>
          <w:sz w:val="22"/>
          <w:szCs w:val="22"/>
        </w:rPr>
        <w:t>misunderstandings and distress-related behaviours</w:t>
      </w:r>
      <w:r w:rsidRPr="007E6760">
        <w:rPr>
          <w:rFonts w:ascii="Arial" w:hAnsi="Arial" w:cs="Arial"/>
          <w:sz w:val="22"/>
          <w:szCs w:val="22"/>
          <w:lang w:val="en-US"/>
        </w:rPr>
        <w:t xml:space="preserve">, detect deterioration earlier, promote medication safety, and allow </w:t>
      </w:r>
      <w:r w:rsidR="00644154" w:rsidRPr="007E6760">
        <w:rPr>
          <w:rFonts w:ascii="Arial" w:hAnsi="Arial" w:cs="Arial"/>
          <w:sz w:val="22"/>
          <w:szCs w:val="22"/>
          <w:lang w:val="en-US"/>
        </w:rPr>
        <w:t>Mrs.</w:t>
      </w:r>
      <w:r w:rsidRPr="007E6760">
        <w:rPr>
          <w:rFonts w:ascii="Arial" w:hAnsi="Arial" w:cs="Arial"/>
          <w:sz w:val="22"/>
          <w:szCs w:val="22"/>
          <w:lang w:val="en-US"/>
        </w:rPr>
        <w:t xml:space="preserve"> Thompson to continue making decisions about her own care.</w:t>
      </w:r>
    </w:p>
    <w:bookmarkEnd w:id="2"/>
    <w:p w14:paraId="665BEBCC" w14:textId="06D74AA5" w:rsidR="007E6760" w:rsidRPr="007E6760" w:rsidRDefault="007E6760" w:rsidP="0083023E">
      <w:pPr>
        <w:spacing w:line="360" w:lineRule="auto"/>
        <w:jc w:val="both"/>
        <w:rPr>
          <w:rFonts w:ascii="Arial" w:hAnsi="Arial" w:cs="Arial"/>
          <w:sz w:val="22"/>
          <w:szCs w:val="22"/>
          <w:lang w:val="en-US"/>
        </w:rPr>
      </w:pPr>
    </w:p>
    <w:p w14:paraId="4918AF5F" w14:textId="77777777" w:rsidR="00681517" w:rsidRPr="00C049AB" w:rsidRDefault="00681517" w:rsidP="0083023E">
      <w:pPr>
        <w:spacing w:line="360" w:lineRule="auto"/>
        <w:jc w:val="both"/>
        <w:rPr>
          <w:rFonts w:ascii="Arial" w:hAnsi="Arial" w:cs="Arial"/>
          <w:b/>
          <w:bCs/>
          <w:sz w:val="22"/>
          <w:szCs w:val="22"/>
        </w:rPr>
      </w:pPr>
    </w:p>
    <w:p w14:paraId="530C9E8F" w14:textId="62E0BE18" w:rsidR="00681517" w:rsidRPr="00C049AB" w:rsidRDefault="00C049AB" w:rsidP="0083023E">
      <w:pPr>
        <w:spacing w:line="360" w:lineRule="auto"/>
        <w:jc w:val="both"/>
        <w:rPr>
          <w:rFonts w:ascii="Arial" w:hAnsi="Arial" w:cs="Arial"/>
          <w:b/>
          <w:bCs/>
          <w:sz w:val="22"/>
          <w:szCs w:val="22"/>
        </w:rPr>
      </w:pPr>
      <w:r w:rsidRPr="00C049AB">
        <w:rPr>
          <w:rFonts w:ascii="Arial" w:hAnsi="Arial" w:cs="Arial"/>
          <w:b/>
          <w:bCs/>
          <w:sz w:val="22"/>
          <w:szCs w:val="22"/>
        </w:rPr>
        <w:t>THE IMPORTANCE OF GOOD ADMINISTRATIVE SKILLS IN MRS THOMPSON'S CARE</w:t>
      </w:r>
    </w:p>
    <w:p w14:paraId="3CE20533" w14:textId="77777777" w:rsidR="00BA024C" w:rsidRDefault="00085654" w:rsidP="0083023E">
      <w:pPr>
        <w:spacing w:line="360" w:lineRule="auto"/>
        <w:jc w:val="both"/>
        <w:rPr>
          <w:rFonts w:ascii="Arial" w:hAnsi="Arial" w:cs="Arial"/>
          <w:sz w:val="22"/>
          <w:szCs w:val="22"/>
        </w:rPr>
      </w:pPr>
      <w:bookmarkStart w:id="3" w:name="_Hlk237338619"/>
      <w:r w:rsidRPr="00085654">
        <w:rPr>
          <w:rFonts w:ascii="Arial" w:hAnsi="Arial" w:cs="Arial"/>
          <w:sz w:val="22"/>
          <w:szCs w:val="22"/>
        </w:rPr>
        <w:t xml:space="preserve">Good administrative skills are essential for safe professional practice because health and social care decisions rely on accurate and easily accessible information. Mrs Thompson's case requires accurate records because several professionals may be involved, and she has already missed two days of medication. Records should clearly document medication support, changes in confusion, communication with other professionals, an incident involving inappropriate clothing, and any actions taken in response to safeguarding concerns. Medication records are particularly important. According to the Care Quality Commission, adult social care providers should keep secure, accurate, and up-to-date medication records, and homecare workers should document medicines support provided on a regular basis. As a result, when visiting Mrs Thompson, the domiciliary care worker should accurately document whether medication was requested or administered, and whether it was taken or declined. This establishes accountability and enables future workers to quickly identify missed doses rather than relying on memory or assumptions. </w:t>
      </w:r>
    </w:p>
    <w:p w14:paraId="706B92DC" w14:textId="48073FD9" w:rsidR="00681517" w:rsidRDefault="00085654" w:rsidP="0083023E">
      <w:pPr>
        <w:spacing w:line="360" w:lineRule="auto"/>
        <w:jc w:val="both"/>
        <w:rPr>
          <w:rFonts w:ascii="Arial" w:hAnsi="Arial" w:cs="Arial"/>
          <w:sz w:val="22"/>
          <w:szCs w:val="22"/>
        </w:rPr>
      </w:pPr>
      <w:r w:rsidRPr="00085654">
        <w:rPr>
          <w:rFonts w:ascii="Arial" w:hAnsi="Arial" w:cs="Arial"/>
          <w:sz w:val="22"/>
          <w:szCs w:val="22"/>
        </w:rPr>
        <w:lastRenderedPageBreak/>
        <w:t xml:space="preserve">Professional records must be factual, accurate, timely, and clearly written. </w:t>
      </w:r>
      <w:r w:rsidR="00BA024C" w:rsidRPr="00BA024C">
        <w:rPr>
          <w:rFonts w:ascii="Arial" w:hAnsi="Arial" w:cs="Arial"/>
          <w:sz w:val="22"/>
          <w:szCs w:val="22"/>
        </w:rPr>
        <w:t>Rather than stating that Mrs Thompson was ‘acting strangely’, a worker should objectively document observable information, such as increased confusion, disorientation, or difficulty recalling whether medication had been taken.</w:t>
      </w:r>
      <w:r w:rsidRPr="00085654">
        <w:rPr>
          <w:rFonts w:ascii="Arial" w:hAnsi="Arial" w:cs="Arial"/>
          <w:sz w:val="22"/>
          <w:szCs w:val="22"/>
        </w:rPr>
        <w:t xml:space="preserve"> The incident in which she was found outside </w:t>
      </w:r>
      <w:r w:rsidR="00BA024C" w:rsidRPr="00BA024C">
        <w:rPr>
          <w:rFonts w:ascii="Arial" w:hAnsi="Arial" w:cs="Arial"/>
          <w:sz w:val="22"/>
          <w:szCs w:val="22"/>
        </w:rPr>
        <w:t>without appropriate clothing</w:t>
      </w:r>
      <w:r w:rsidR="00BA024C">
        <w:rPr>
          <w:rFonts w:ascii="Arial" w:hAnsi="Arial" w:cs="Arial"/>
          <w:sz w:val="22"/>
          <w:szCs w:val="22"/>
        </w:rPr>
        <w:t xml:space="preserve"> </w:t>
      </w:r>
      <w:r w:rsidRPr="00085654">
        <w:rPr>
          <w:rFonts w:ascii="Arial" w:hAnsi="Arial" w:cs="Arial"/>
          <w:sz w:val="22"/>
          <w:szCs w:val="22"/>
        </w:rPr>
        <w:t xml:space="preserve">should also include relevant </w:t>
      </w:r>
      <w:r w:rsidR="006D005A" w:rsidRPr="00085654">
        <w:rPr>
          <w:rFonts w:ascii="Arial" w:hAnsi="Arial" w:cs="Arial"/>
          <w:sz w:val="22"/>
          <w:szCs w:val="22"/>
        </w:rPr>
        <w:t>information</w:t>
      </w:r>
      <w:r w:rsidRPr="00085654">
        <w:rPr>
          <w:rFonts w:ascii="Arial" w:hAnsi="Arial" w:cs="Arial"/>
          <w:sz w:val="22"/>
          <w:szCs w:val="22"/>
        </w:rPr>
        <w:t>, actions taken, and referrals or notifications sent.</w:t>
      </w:r>
    </w:p>
    <w:p w14:paraId="0812AAAB" w14:textId="46ACE9C6" w:rsidR="0083023E" w:rsidRDefault="00085654" w:rsidP="0083023E">
      <w:pPr>
        <w:spacing w:line="360" w:lineRule="auto"/>
        <w:jc w:val="both"/>
        <w:rPr>
          <w:rFonts w:ascii="Arial" w:hAnsi="Arial" w:cs="Arial"/>
          <w:sz w:val="22"/>
          <w:szCs w:val="22"/>
        </w:rPr>
      </w:pPr>
      <w:r w:rsidRPr="00085654">
        <w:rPr>
          <w:rFonts w:ascii="Arial" w:hAnsi="Arial" w:cs="Arial"/>
          <w:sz w:val="22"/>
          <w:szCs w:val="22"/>
        </w:rPr>
        <w:t>The Data Protection Act 2018, along with UK data-protection requirements, establishes an important legal framework for personal information. Health information requires extra care. In practice, Mrs Thompson's records should only be accessed by authori</w:t>
      </w:r>
      <w:r w:rsidR="00BA024C">
        <w:rPr>
          <w:rFonts w:ascii="Arial" w:hAnsi="Arial" w:cs="Arial"/>
          <w:sz w:val="22"/>
          <w:szCs w:val="22"/>
        </w:rPr>
        <w:t>s</w:t>
      </w:r>
      <w:r w:rsidRPr="00085654">
        <w:rPr>
          <w:rFonts w:ascii="Arial" w:hAnsi="Arial" w:cs="Arial"/>
          <w:sz w:val="22"/>
          <w:szCs w:val="22"/>
        </w:rPr>
        <w:t xml:space="preserve">ed individuals, stored securely, and shared when there </w:t>
      </w:r>
      <w:r w:rsidR="005B18C5" w:rsidRPr="00085654">
        <w:rPr>
          <w:rFonts w:ascii="Arial" w:hAnsi="Arial" w:cs="Arial"/>
          <w:sz w:val="22"/>
          <w:szCs w:val="22"/>
        </w:rPr>
        <w:t>are</w:t>
      </w:r>
      <w:r w:rsidRPr="00085654">
        <w:rPr>
          <w:rFonts w:ascii="Arial" w:hAnsi="Arial" w:cs="Arial"/>
          <w:sz w:val="22"/>
          <w:szCs w:val="22"/>
        </w:rPr>
        <w:t xml:space="preserve"> a legitimate purpose and legal basis. Staff should avoid discussing her personal information in front of unauthori</w:t>
      </w:r>
      <w:r w:rsidR="00BA024C">
        <w:rPr>
          <w:rFonts w:ascii="Arial" w:hAnsi="Arial" w:cs="Arial"/>
          <w:sz w:val="22"/>
          <w:szCs w:val="22"/>
        </w:rPr>
        <w:t>s</w:t>
      </w:r>
      <w:r w:rsidRPr="00085654">
        <w:rPr>
          <w:rFonts w:ascii="Arial" w:hAnsi="Arial" w:cs="Arial"/>
          <w:sz w:val="22"/>
          <w:szCs w:val="22"/>
        </w:rPr>
        <w:t>ed individuals and should adhere to organi</w:t>
      </w:r>
      <w:r w:rsidR="00A42C3C">
        <w:rPr>
          <w:rFonts w:ascii="Arial" w:hAnsi="Arial" w:cs="Arial"/>
          <w:sz w:val="22"/>
          <w:szCs w:val="22"/>
        </w:rPr>
        <w:t>s</w:t>
      </w:r>
      <w:r w:rsidRPr="00085654">
        <w:rPr>
          <w:rFonts w:ascii="Arial" w:hAnsi="Arial" w:cs="Arial"/>
          <w:sz w:val="22"/>
          <w:szCs w:val="22"/>
        </w:rPr>
        <w:t>ational procedures when accessing electronic or paper records. The Caldicott Principles also apply to confidentiality and information sharing in health and social care. They emphasize the importance of using confidential information appropriately, while also acknowledging that sharing information for individual care can be just as important as</w:t>
      </w:r>
      <w:r>
        <w:rPr>
          <w:rFonts w:ascii="Arial" w:hAnsi="Arial" w:cs="Arial"/>
          <w:sz w:val="22"/>
          <w:szCs w:val="22"/>
        </w:rPr>
        <w:t xml:space="preserve"> </w:t>
      </w:r>
      <w:r w:rsidRPr="00085654">
        <w:rPr>
          <w:rFonts w:ascii="Arial" w:hAnsi="Arial" w:cs="Arial"/>
          <w:sz w:val="22"/>
          <w:szCs w:val="22"/>
        </w:rPr>
        <w:t xml:space="preserve">maintaining confidentiality (National Data Guardian, 2020). </w:t>
      </w:r>
    </w:p>
    <w:p w14:paraId="57A9E6DC" w14:textId="56C96ACA" w:rsidR="00085654" w:rsidRDefault="00085654" w:rsidP="0083023E">
      <w:pPr>
        <w:spacing w:line="360" w:lineRule="auto"/>
        <w:jc w:val="both"/>
        <w:rPr>
          <w:rFonts w:ascii="Arial" w:hAnsi="Arial" w:cs="Arial"/>
          <w:sz w:val="22"/>
          <w:szCs w:val="22"/>
        </w:rPr>
      </w:pPr>
      <w:r w:rsidRPr="00085654">
        <w:rPr>
          <w:rFonts w:ascii="Arial" w:hAnsi="Arial" w:cs="Arial"/>
          <w:sz w:val="22"/>
          <w:szCs w:val="22"/>
        </w:rPr>
        <w:t xml:space="preserve">This balance is especially important for Mrs Thompson because failing to share information about missed medication or safety concerns may expose her to further harm. Furthermore, Regulation 17 of the Health and Social Care Act 2008 (Regulated Activities) Regulations 2014 requires providers to use effective governance systems, such as securely keeping accurate and complete records (CQC, 2023). Good administration is thus more than just paperwork; it directly promotes continuity, accountability, safeguarding, and safe decision-making. In Mrs Thompson's case, effective documentation can assist professionals in </w:t>
      </w:r>
      <w:r w:rsidR="00BA024C">
        <w:rPr>
          <w:rFonts w:ascii="Arial" w:hAnsi="Arial" w:cs="Arial"/>
          <w:sz w:val="22"/>
          <w:szCs w:val="22"/>
        </w:rPr>
        <w:t>i</w:t>
      </w:r>
      <w:r w:rsidRPr="00085654">
        <w:rPr>
          <w:rFonts w:ascii="Arial" w:hAnsi="Arial" w:cs="Arial"/>
          <w:sz w:val="22"/>
          <w:szCs w:val="22"/>
        </w:rPr>
        <w:t>dentifying patterns of missed medication or confusion and determining whether her care plan</w:t>
      </w:r>
      <w:r>
        <w:rPr>
          <w:rFonts w:ascii="Arial" w:hAnsi="Arial" w:cs="Arial"/>
          <w:sz w:val="22"/>
          <w:szCs w:val="22"/>
        </w:rPr>
        <w:t xml:space="preserve"> </w:t>
      </w:r>
      <w:r w:rsidRPr="00085654">
        <w:rPr>
          <w:rFonts w:ascii="Arial" w:hAnsi="Arial" w:cs="Arial"/>
          <w:sz w:val="22"/>
          <w:szCs w:val="22"/>
        </w:rPr>
        <w:t>requires reassessment.</w:t>
      </w:r>
      <w:r>
        <w:rPr>
          <w:rFonts w:ascii="Arial" w:hAnsi="Arial" w:cs="Arial"/>
          <w:sz w:val="22"/>
          <w:szCs w:val="22"/>
        </w:rPr>
        <w:t xml:space="preserve"> </w:t>
      </w:r>
    </w:p>
    <w:bookmarkEnd w:id="3"/>
    <w:p w14:paraId="14F725C6" w14:textId="77777777" w:rsidR="00085654" w:rsidRDefault="00085654" w:rsidP="0083023E">
      <w:pPr>
        <w:spacing w:line="360" w:lineRule="auto"/>
        <w:jc w:val="both"/>
        <w:rPr>
          <w:rFonts w:ascii="Arial" w:hAnsi="Arial" w:cs="Arial"/>
          <w:sz w:val="22"/>
          <w:szCs w:val="22"/>
        </w:rPr>
      </w:pPr>
    </w:p>
    <w:p w14:paraId="69EDF323" w14:textId="6718EC82" w:rsidR="00681517" w:rsidRPr="006A7989" w:rsidRDefault="006A7989" w:rsidP="0083023E">
      <w:pPr>
        <w:spacing w:line="360" w:lineRule="auto"/>
        <w:jc w:val="both"/>
        <w:rPr>
          <w:rFonts w:ascii="Arial" w:hAnsi="Arial" w:cs="Arial"/>
          <w:b/>
          <w:bCs/>
          <w:sz w:val="22"/>
          <w:szCs w:val="22"/>
        </w:rPr>
      </w:pPr>
      <w:r w:rsidRPr="006A7989">
        <w:rPr>
          <w:rFonts w:ascii="Arial" w:hAnsi="Arial" w:cs="Arial"/>
          <w:b/>
          <w:bCs/>
          <w:sz w:val="22"/>
          <w:szCs w:val="22"/>
        </w:rPr>
        <w:t>THE IMPORTANCE OF COLLABORATIVE WORKING IN MRS THOMPSON'S CARE</w:t>
      </w:r>
    </w:p>
    <w:p w14:paraId="1AAB55DB" w14:textId="77777777" w:rsidR="0083023E" w:rsidRDefault="00455FE1" w:rsidP="0083023E">
      <w:pPr>
        <w:spacing w:line="360" w:lineRule="auto"/>
        <w:jc w:val="both"/>
        <w:rPr>
          <w:rFonts w:ascii="Arial" w:hAnsi="Arial" w:cs="Arial"/>
          <w:sz w:val="22"/>
          <w:szCs w:val="22"/>
        </w:rPr>
      </w:pPr>
      <w:r w:rsidRPr="00455FE1">
        <w:rPr>
          <w:rFonts w:ascii="Arial" w:hAnsi="Arial" w:cs="Arial"/>
          <w:sz w:val="22"/>
          <w:szCs w:val="22"/>
        </w:rPr>
        <w:t>Mrs Thompson's needs cannot be effectively managed by a single professional, so collaborat</w:t>
      </w:r>
      <w:r>
        <w:rPr>
          <w:rFonts w:ascii="Arial" w:hAnsi="Arial" w:cs="Arial"/>
          <w:sz w:val="22"/>
          <w:szCs w:val="22"/>
        </w:rPr>
        <w:t>ion</w:t>
      </w:r>
      <w:r w:rsidRPr="00455FE1">
        <w:rPr>
          <w:rFonts w:ascii="Arial" w:hAnsi="Arial" w:cs="Arial"/>
          <w:sz w:val="22"/>
          <w:szCs w:val="22"/>
        </w:rPr>
        <w:t xml:space="preserve"> is essential. Her GP, community nurse, domiciliary care workers, social care professionals, pharmacist, and local authority may all have different but important information. Effective collaboration enables these professionals to pool their expertise and create a coordinated, person-centred approach. For example, domiciliary care workers may notice that Mrs Thompson frequently forgets her medication, whereas the GP or pharmacist can assess whether her medication is still appropriate and whether the medication</w:t>
      </w:r>
      <w:r>
        <w:rPr>
          <w:rFonts w:ascii="Arial" w:hAnsi="Arial" w:cs="Arial"/>
          <w:sz w:val="22"/>
          <w:szCs w:val="22"/>
        </w:rPr>
        <w:t xml:space="preserve"> </w:t>
      </w:r>
      <w:r w:rsidRPr="00455FE1">
        <w:rPr>
          <w:rFonts w:ascii="Arial" w:hAnsi="Arial" w:cs="Arial"/>
          <w:sz w:val="22"/>
          <w:szCs w:val="22"/>
        </w:rPr>
        <w:t xml:space="preserve">administration arrangements should be changed. Community nurses can monitor her progress after </w:t>
      </w:r>
      <w:r w:rsidRPr="00455FE1">
        <w:rPr>
          <w:rFonts w:ascii="Arial" w:hAnsi="Arial" w:cs="Arial"/>
          <w:sz w:val="22"/>
          <w:szCs w:val="22"/>
        </w:rPr>
        <w:lastRenderedPageBreak/>
        <w:t xml:space="preserve">pneumonia and detect deterioration. Social care professionals can assess whether twice-daily visits are still adequate, especially </w:t>
      </w:r>
      <w:proofErr w:type="gramStart"/>
      <w:r w:rsidRPr="00455FE1">
        <w:rPr>
          <w:rFonts w:ascii="Arial" w:hAnsi="Arial" w:cs="Arial"/>
          <w:sz w:val="22"/>
          <w:szCs w:val="22"/>
        </w:rPr>
        <w:t>in light of</w:t>
      </w:r>
      <w:proofErr w:type="gramEnd"/>
      <w:r w:rsidRPr="00455FE1">
        <w:rPr>
          <w:rFonts w:ascii="Arial" w:hAnsi="Arial" w:cs="Arial"/>
          <w:sz w:val="22"/>
          <w:szCs w:val="22"/>
        </w:rPr>
        <w:t xml:space="preserve"> the incident in which she was found outside in inadequate clothing. The Care Act</w:t>
      </w:r>
      <w:r>
        <w:rPr>
          <w:rFonts w:ascii="Arial" w:hAnsi="Arial" w:cs="Arial"/>
          <w:sz w:val="22"/>
          <w:szCs w:val="22"/>
        </w:rPr>
        <w:t xml:space="preserve"> of</w:t>
      </w:r>
      <w:r w:rsidRPr="00455FE1">
        <w:rPr>
          <w:rFonts w:ascii="Arial" w:hAnsi="Arial" w:cs="Arial"/>
          <w:sz w:val="22"/>
          <w:szCs w:val="22"/>
        </w:rPr>
        <w:t xml:space="preserve"> 2014 is especially relevant because local authorities</w:t>
      </w:r>
      <w:r>
        <w:rPr>
          <w:rFonts w:ascii="Arial" w:hAnsi="Arial" w:cs="Arial"/>
          <w:sz w:val="22"/>
          <w:szCs w:val="22"/>
        </w:rPr>
        <w:t xml:space="preserve"> </w:t>
      </w:r>
      <w:r w:rsidRPr="00455FE1">
        <w:rPr>
          <w:rFonts w:ascii="Arial" w:hAnsi="Arial" w:cs="Arial"/>
          <w:sz w:val="22"/>
          <w:szCs w:val="22"/>
        </w:rPr>
        <w:t xml:space="preserve">have safeguarding responsibilities when an adult with care and support needs is experiencing, or is at risk of, abuse or neglect and is unable to protect themselves. </w:t>
      </w:r>
    </w:p>
    <w:p w14:paraId="22EA4F21" w14:textId="4F2A0915" w:rsidR="00455FE1" w:rsidRDefault="00455FE1" w:rsidP="0083023E">
      <w:pPr>
        <w:spacing w:line="360" w:lineRule="auto"/>
        <w:jc w:val="both"/>
        <w:rPr>
          <w:rFonts w:ascii="Arial" w:hAnsi="Arial" w:cs="Arial"/>
          <w:sz w:val="22"/>
          <w:szCs w:val="22"/>
        </w:rPr>
      </w:pPr>
      <w:r w:rsidRPr="00455FE1">
        <w:rPr>
          <w:rFonts w:ascii="Arial" w:hAnsi="Arial" w:cs="Arial"/>
          <w:sz w:val="22"/>
          <w:szCs w:val="22"/>
        </w:rPr>
        <w:t xml:space="preserve">Mrs Thompson's situation may necessitate the consideration of safeguarding risks, including potential self-neglect. Information sharing between agencies is critical. According to SCIE, effective adult safeguarding relies on sharing the right information with the right people at the right time. However, multi-agency collaboration can be difficult due to poor communication, unclear professional responsibilities, delayed information sharing, </w:t>
      </w:r>
      <w:r w:rsidR="0083023E" w:rsidRPr="0083023E">
        <w:rPr>
          <w:rFonts w:ascii="Arial" w:hAnsi="Arial" w:cs="Arial"/>
          <w:sz w:val="22"/>
          <w:szCs w:val="22"/>
        </w:rPr>
        <w:t>different organisational procedures</w:t>
      </w:r>
      <w:r w:rsidRPr="00455FE1">
        <w:rPr>
          <w:rFonts w:ascii="Arial" w:hAnsi="Arial" w:cs="Arial"/>
          <w:sz w:val="22"/>
          <w:szCs w:val="22"/>
        </w:rPr>
        <w:t>, and concerns about confidentiality. These barriers can be overcome with clear care plans, agreed-upon responsibilities, multidisciplinary meetings, accurate records, and appropriate information-sharing procedures. Collaboration should not imply simply delegating responsibility to another service; professionals should continue to collaborate around the individual's needs. Coordinated efforts among these professionals</w:t>
      </w:r>
      <w:r>
        <w:rPr>
          <w:rFonts w:ascii="Arial" w:hAnsi="Arial" w:cs="Arial"/>
          <w:sz w:val="22"/>
          <w:szCs w:val="22"/>
        </w:rPr>
        <w:t xml:space="preserve"> </w:t>
      </w:r>
      <w:r w:rsidRPr="00455FE1">
        <w:rPr>
          <w:rFonts w:ascii="Arial" w:hAnsi="Arial" w:cs="Arial"/>
          <w:sz w:val="22"/>
          <w:szCs w:val="22"/>
        </w:rPr>
        <w:t>could result in a medication review, a reassessment of her care package, and an updated risk-management plan, all while maintaining her independence wherever possible.</w:t>
      </w:r>
    </w:p>
    <w:p w14:paraId="5189D763" w14:textId="77777777" w:rsidR="0064644A" w:rsidRDefault="0064644A" w:rsidP="0083023E">
      <w:pPr>
        <w:spacing w:line="360" w:lineRule="auto"/>
        <w:jc w:val="both"/>
        <w:rPr>
          <w:rFonts w:ascii="Arial" w:hAnsi="Arial" w:cs="Arial"/>
          <w:b/>
          <w:bCs/>
          <w:sz w:val="22"/>
          <w:szCs w:val="22"/>
        </w:rPr>
      </w:pPr>
    </w:p>
    <w:p w14:paraId="209B6163" w14:textId="0A8954E0" w:rsidR="00681517" w:rsidRPr="0083023E" w:rsidRDefault="0083023E" w:rsidP="0083023E">
      <w:pPr>
        <w:spacing w:line="360" w:lineRule="auto"/>
        <w:jc w:val="both"/>
        <w:rPr>
          <w:rFonts w:ascii="Arial" w:hAnsi="Arial" w:cs="Arial"/>
          <w:b/>
          <w:bCs/>
          <w:sz w:val="22"/>
          <w:szCs w:val="22"/>
        </w:rPr>
      </w:pPr>
      <w:r w:rsidRPr="0083023E">
        <w:rPr>
          <w:rFonts w:ascii="Arial" w:hAnsi="Arial" w:cs="Arial"/>
          <w:b/>
          <w:bCs/>
          <w:sz w:val="22"/>
          <w:szCs w:val="22"/>
        </w:rPr>
        <w:t>CONCLUSION</w:t>
      </w:r>
    </w:p>
    <w:bookmarkEnd w:id="0"/>
    <w:p w14:paraId="5C79DD53" w14:textId="796CD2A9" w:rsidR="00A42C3C" w:rsidRPr="0083023E" w:rsidRDefault="00A42C3C" w:rsidP="0083023E">
      <w:pPr>
        <w:spacing w:line="360" w:lineRule="auto"/>
        <w:rPr>
          <w:rFonts w:ascii="Arial" w:hAnsi="Arial" w:cs="Arial"/>
          <w:sz w:val="22"/>
          <w:szCs w:val="22"/>
        </w:rPr>
      </w:pPr>
      <w:r w:rsidRPr="0083023E">
        <w:rPr>
          <w:rFonts w:ascii="Arial" w:hAnsi="Arial" w:cs="Arial"/>
          <w:sz w:val="22"/>
          <w:szCs w:val="22"/>
        </w:rPr>
        <w:t xml:space="preserve">Finally, Mrs Thompson's case demonstrates the importance of communication, administration, and collaboration in providing safe and person-centred care. Effective communication should acknowledge the potential impact of dementia and make reasonable adjustments so that Mrs Thompson remains involved in decisions about her care. Berlo's SMCR model demonstrates how professionals can consider the source, message, channel, and receiver when tailoring communication to Mrs Thompson's specific needs (Berlo, 1960). Accurate and timely record keeping is also critical because medication errors, cognitive changes, and safety concerns must be documented and communicated effectively. The Data Protection Act 2018 and the Caldicott Principles require professionals to protect confidential information while allowing for appropriate information sharing to ensure safe patient care. Finally, collaboration among domiciliary </w:t>
      </w:r>
      <w:r w:rsidR="0083023E" w:rsidRPr="0083023E">
        <w:rPr>
          <w:rFonts w:ascii="Arial" w:hAnsi="Arial" w:cs="Arial"/>
          <w:sz w:val="22"/>
          <w:szCs w:val="22"/>
        </w:rPr>
        <w:t xml:space="preserve">care </w:t>
      </w:r>
      <w:r w:rsidRPr="0083023E">
        <w:rPr>
          <w:rFonts w:ascii="Arial" w:hAnsi="Arial" w:cs="Arial"/>
          <w:sz w:val="22"/>
          <w:szCs w:val="22"/>
        </w:rPr>
        <w:t>workers, the GP, the community nurse, and the local authority can result in a more comprehensive response to Mrs Thompson's needs. Together, these approaches can improve her safety, dignity, independence, and well-being.</w:t>
      </w:r>
    </w:p>
    <w:bookmarkEnd w:id="1"/>
    <w:p w14:paraId="3E213FE8" w14:textId="77777777" w:rsidR="00681517" w:rsidRDefault="00681517" w:rsidP="00644154">
      <w:pPr>
        <w:spacing w:line="360" w:lineRule="auto"/>
        <w:jc w:val="both"/>
        <w:rPr>
          <w:rFonts w:ascii="Arial" w:hAnsi="Arial" w:cs="Arial"/>
          <w:sz w:val="22"/>
          <w:szCs w:val="22"/>
        </w:rPr>
      </w:pPr>
    </w:p>
    <w:p w14:paraId="1C9D8505" w14:textId="77777777" w:rsidR="00681517" w:rsidRDefault="00681517" w:rsidP="00644154">
      <w:pPr>
        <w:spacing w:line="360" w:lineRule="auto"/>
        <w:jc w:val="both"/>
        <w:rPr>
          <w:rFonts w:ascii="Arial" w:hAnsi="Arial" w:cs="Arial"/>
          <w:sz w:val="22"/>
          <w:szCs w:val="22"/>
        </w:rPr>
      </w:pPr>
    </w:p>
    <w:p w14:paraId="1EE215AB" w14:textId="77777777" w:rsidR="0064644A" w:rsidRDefault="0064644A" w:rsidP="00644154">
      <w:pPr>
        <w:spacing w:line="360" w:lineRule="auto"/>
        <w:jc w:val="both"/>
        <w:rPr>
          <w:rFonts w:ascii="Arial" w:hAnsi="Arial" w:cs="Arial"/>
          <w:sz w:val="22"/>
          <w:szCs w:val="22"/>
        </w:rPr>
      </w:pPr>
    </w:p>
    <w:p w14:paraId="114127DC" w14:textId="527515F4" w:rsidR="0064644A" w:rsidRDefault="0064644A" w:rsidP="0064644A">
      <w:pPr>
        <w:spacing w:line="360" w:lineRule="auto"/>
        <w:jc w:val="both"/>
        <w:rPr>
          <w:rFonts w:ascii="Arial" w:hAnsi="Arial" w:cs="Arial"/>
          <w:b/>
          <w:bCs/>
          <w:sz w:val="22"/>
          <w:szCs w:val="22"/>
        </w:rPr>
      </w:pPr>
      <w:r w:rsidRPr="0064644A">
        <w:rPr>
          <w:rFonts w:ascii="Arial" w:hAnsi="Arial" w:cs="Arial"/>
          <w:b/>
          <w:bCs/>
          <w:sz w:val="22"/>
          <w:szCs w:val="22"/>
        </w:rPr>
        <w:t>REFERENCES</w:t>
      </w:r>
    </w:p>
    <w:p w14:paraId="1EBFAC0D" w14:textId="72A92F5E" w:rsidR="0064644A" w:rsidRDefault="0064644A" w:rsidP="0064644A">
      <w:pPr>
        <w:spacing w:line="360" w:lineRule="auto"/>
        <w:rPr>
          <w:rFonts w:ascii="Arial" w:hAnsi="Arial" w:cs="Arial"/>
          <w:b/>
          <w:bCs/>
          <w:sz w:val="22"/>
          <w:szCs w:val="22"/>
        </w:rPr>
      </w:pPr>
      <w:r w:rsidRPr="0064644A">
        <w:rPr>
          <w:rFonts w:ascii="Arial" w:hAnsi="Arial" w:cs="Arial"/>
          <w:b/>
          <w:bCs/>
          <w:sz w:val="22"/>
          <w:szCs w:val="22"/>
        </w:rPr>
        <w:t xml:space="preserve">Berlo, D.K. (1960) </w:t>
      </w:r>
      <w:r w:rsidRPr="0064644A">
        <w:rPr>
          <w:rFonts w:ascii="Arial" w:hAnsi="Arial" w:cs="Arial"/>
          <w:b/>
          <w:bCs/>
          <w:i/>
          <w:iCs/>
          <w:sz w:val="22"/>
          <w:szCs w:val="22"/>
        </w:rPr>
        <w:t>The Process of Communication: An Introduction to Theory and Practice</w:t>
      </w:r>
      <w:r w:rsidRPr="0064644A">
        <w:rPr>
          <w:rFonts w:ascii="Arial" w:hAnsi="Arial" w:cs="Arial"/>
          <w:b/>
          <w:bCs/>
          <w:sz w:val="22"/>
          <w:szCs w:val="22"/>
        </w:rPr>
        <w:t xml:space="preserve">. New York: Holt, Rinehart and Winston. Available at: </w:t>
      </w:r>
      <w:hyperlink r:id="rId7" w:history="1">
        <w:r w:rsidRPr="0064644A">
          <w:rPr>
            <w:rStyle w:val="Hyperlink"/>
            <w:rFonts w:ascii="Arial" w:hAnsi="Arial" w:cs="Arial"/>
            <w:b/>
            <w:bCs/>
            <w:sz w:val="22"/>
            <w:szCs w:val="22"/>
          </w:rPr>
          <w:t>https://openlibrary.org/books/OL5795955M/The_process_of_communication</w:t>
        </w:r>
      </w:hyperlink>
      <w:r w:rsidRPr="0064644A">
        <w:rPr>
          <w:rFonts w:ascii="Arial" w:hAnsi="Arial" w:cs="Arial"/>
          <w:b/>
          <w:bCs/>
          <w:sz w:val="22"/>
          <w:szCs w:val="22"/>
        </w:rPr>
        <w:t xml:space="preserve"> (Accessed: </w:t>
      </w:r>
      <w:r>
        <w:rPr>
          <w:rFonts w:ascii="Arial" w:hAnsi="Arial" w:cs="Arial"/>
          <w:b/>
          <w:bCs/>
          <w:sz w:val="22"/>
          <w:szCs w:val="22"/>
        </w:rPr>
        <w:t>20 June</w:t>
      </w:r>
      <w:r w:rsidRPr="0064644A">
        <w:rPr>
          <w:rFonts w:ascii="Arial" w:hAnsi="Arial" w:cs="Arial"/>
          <w:b/>
          <w:bCs/>
          <w:sz w:val="22"/>
          <w:szCs w:val="22"/>
        </w:rPr>
        <w:t xml:space="preserve"> 2026).</w:t>
      </w:r>
    </w:p>
    <w:p w14:paraId="799F071A" w14:textId="4D6E6258" w:rsidR="0064644A" w:rsidRPr="0064644A" w:rsidRDefault="0064644A" w:rsidP="0064644A">
      <w:pPr>
        <w:spacing w:line="360" w:lineRule="auto"/>
        <w:rPr>
          <w:rFonts w:ascii="Arial" w:hAnsi="Arial" w:cs="Arial"/>
          <w:b/>
          <w:bCs/>
          <w:sz w:val="22"/>
          <w:szCs w:val="22"/>
          <w:lang w:val="en-US"/>
        </w:rPr>
      </w:pPr>
      <w:r w:rsidRPr="0064644A">
        <w:rPr>
          <w:rFonts w:ascii="Arial" w:hAnsi="Arial" w:cs="Arial"/>
          <w:b/>
          <w:bCs/>
          <w:sz w:val="22"/>
          <w:szCs w:val="22"/>
          <w:lang w:val="en-US"/>
        </w:rPr>
        <w:t xml:space="preserve">Care Quality Commission (CQC) (2025) </w:t>
      </w:r>
      <w:r w:rsidRPr="0064644A">
        <w:rPr>
          <w:rFonts w:ascii="Arial" w:hAnsi="Arial" w:cs="Arial"/>
          <w:b/>
          <w:bCs/>
          <w:i/>
          <w:iCs/>
          <w:sz w:val="22"/>
          <w:szCs w:val="22"/>
          <w:lang w:val="en-US"/>
        </w:rPr>
        <w:t>Regulation 17: Good governance</w:t>
      </w:r>
      <w:r w:rsidRPr="0064644A">
        <w:rPr>
          <w:rFonts w:ascii="Arial" w:hAnsi="Arial" w:cs="Arial"/>
          <w:b/>
          <w:bCs/>
          <w:sz w:val="22"/>
          <w:szCs w:val="22"/>
          <w:lang w:val="en-US"/>
        </w:rPr>
        <w:t xml:space="preserve">. Available at: </w:t>
      </w:r>
      <w:hyperlink r:id="rId8" w:history="1">
        <w:r w:rsidRPr="0064644A">
          <w:rPr>
            <w:rStyle w:val="Hyperlink"/>
            <w:rFonts w:ascii="Arial" w:hAnsi="Arial" w:cs="Arial"/>
            <w:b/>
            <w:bCs/>
            <w:sz w:val="22"/>
            <w:szCs w:val="22"/>
            <w:lang w:val="en-US"/>
          </w:rPr>
          <w:t>https://www.cqc.org.uk/guidance-providers/regulations/regulation-17-good-governance</w:t>
        </w:r>
      </w:hyperlink>
      <w:r w:rsidRPr="0064644A">
        <w:rPr>
          <w:rFonts w:ascii="Arial" w:hAnsi="Arial" w:cs="Arial"/>
          <w:b/>
          <w:bCs/>
          <w:sz w:val="22"/>
          <w:szCs w:val="22"/>
          <w:lang w:val="en-US"/>
        </w:rPr>
        <w:t xml:space="preserve"> (Accessed: 25 July 2026).</w:t>
      </w:r>
    </w:p>
    <w:p w14:paraId="64E06A47" w14:textId="77777777" w:rsidR="0064644A" w:rsidRPr="0064644A" w:rsidRDefault="0064644A" w:rsidP="0064644A">
      <w:pPr>
        <w:spacing w:line="360" w:lineRule="auto"/>
        <w:rPr>
          <w:rFonts w:ascii="Arial" w:hAnsi="Arial" w:cs="Arial"/>
          <w:b/>
          <w:bCs/>
          <w:sz w:val="22"/>
          <w:szCs w:val="22"/>
          <w:lang w:val="en-US"/>
        </w:rPr>
      </w:pPr>
      <w:r w:rsidRPr="0064644A">
        <w:rPr>
          <w:rFonts w:ascii="Arial" w:hAnsi="Arial" w:cs="Arial"/>
          <w:b/>
          <w:bCs/>
          <w:sz w:val="22"/>
          <w:szCs w:val="22"/>
          <w:lang w:val="en-US"/>
        </w:rPr>
        <w:t xml:space="preserve">Data Protection Act 2018 (c.12). London: The Stationery Office. Available at: </w:t>
      </w:r>
      <w:hyperlink r:id="rId9" w:history="1">
        <w:r w:rsidRPr="0064644A">
          <w:rPr>
            <w:rStyle w:val="Hyperlink"/>
            <w:rFonts w:ascii="Arial" w:hAnsi="Arial" w:cs="Arial"/>
            <w:b/>
            <w:bCs/>
            <w:sz w:val="22"/>
            <w:szCs w:val="22"/>
            <w:lang w:val="en-US"/>
          </w:rPr>
          <w:t>https://www.legislation.gov.uk/ukpga/2018/12/contents</w:t>
        </w:r>
      </w:hyperlink>
      <w:r w:rsidRPr="0064644A">
        <w:rPr>
          <w:rFonts w:ascii="Arial" w:hAnsi="Arial" w:cs="Arial"/>
          <w:b/>
          <w:bCs/>
          <w:sz w:val="22"/>
          <w:szCs w:val="22"/>
          <w:lang w:val="en-US"/>
        </w:rPr>
        <w:t xml:space="preserve"> (Accessed: 5 August 2026).</w:t>
      </w:r>
    </w:p>
    <w:p w14:paraId="105A0D1F" w14:textId="77777777" w:rsidR="0064644A" w:rsidRPr="0064644A" w:rsidRDefault="0064644A" w:rsidP="0064644A">
      <w:pPr>
        <w:spacing w:line="360" w:lineRule="auto"/>
        <w:rPr>
          <w:rFonts w:ascii="Arial" w:hAnsi="Arial" w:cs="Arial"/>
          <w:b/>
          <w:bCs/>
          <w:sz w:val="22"/>
          <w:szCs w:val="22"/>
          <w:lang w:val="en-US"/>
        </w:rPr>
      </w:pPr>
      <w:r w:rsidRPr="0064644A">
        <w:rPr>
          <w:rFonts w:ascii="Arial" w:hAnsi="Arial" w:cs="Arial"/>
          <w:b/>
          <w:bCs/>
          <w:sz w:val="22"/>
          <w:szCs w:val="22"/>
          <w:lang w:val="en-US"/>
        </w:rPr>
        <w:t xml:space="preserve">Department of Health and Social Care (2014) </w:t>
      </w:r>
      <w:r w:rsidRPr="0064644A">
        <w:rPr>
          <w:rFonts w:ascii="Arial" w:hAnsi="Arial" w:cs="Arial"/>
          <w:b/>
          <w:bCs/>
          <w:i/>
          <w:iCs/>
          <w:sz w:val="22"/>
          <w:szCs w:val="22"/>
          <w:lang w:val="en-US"/>
        </w:rPr>
        <w:t>The Care Act 2014</w:t>
      </w:r>
      <w:r w:rsidRPr="0064644A">
        <w:rPr>
          <w:rFonts w:ascii="Arial" w:hAnsi="Arial" w:cs="Arial"/>
          <w:b/>
          <w:bCs/>
          <w:sz w:val="22"/>
          <w:szCs w:val="22"/>
          <w:lang w:val="en-US"/>
        </w:rPr>
        <w:t xml:space="preserve">. London: The Stationery Office. Available at: </w:t>
      </w:r>
      <w:hyperlink r:id="rId10" w:history="1">
        <w:r w:rsidRPr="0064644A">
          <w:rPr>
            <w:rStyle w:val="Hyperlink"/>
            <w:rFonts w:ascii="Arial" w:hAnsi="Arial" w:cs="Arial"/>
            <w:b/>
            <w:bCs/>
            <w:sz w:val="22"/>
            <w:szCs w:val="22"/>
            <w:lang w:val="en-US"/>
          </w:rPr>
          <w:t>https://www.legislation.gov.uk/ukpga/2014/23/contents</w:t>
        </w:r>
      </w:hyperlink>
      <w:r w:rsidRPr="0064644A">
        <w:rPr>
          <w:rFonts w:ascii="Arial" w:hAnsi="Arial" w:cs="Arial"/>
          <w:b/>
          <w:bCs/>
          <w:sz w:val="22"/>
          <w:szCs w:val="22"/>
          <w:lang w:val="en-US"/>
        </w:rPr>
        <w:t xml:space="preserve"> (Accessed: 18 July 2026).</w:t>
      </w:r>
    </w:p>
    <w:p w14:paraId="69B6243E" w14:textId="77777777" w:rsidR="0064644A" w:rsidRPr="0064644A" w:rsidRDefault="0064644A" w:rsidP="0064644A">
      <w:pPr>
        <w:spacing w:line="360" w:lineRule="auto"/>
        <w:rPr>
          <w:rFonts w:ascii="Arial" w:hAnsi="Arial" w:cs="Arial"/>
          <w:b/>
          <w:bCs/>
          <w:sz w:val="22"/>
          <w:szCs w:val="22"/>
          <w:lang w:val="en-US"/>
        </w:rPr>
      </w:pPr>
      <w:r w:rsidRPr="0064644A">
        <w:rPr>
          <w:rFonts w:ascii="Arial" w:hAnsi="Arial" w:cs="Arial"/>
          <w:b/>
          <w:bCs/>
          <w:sz w:val="22"/>
          <w:szCs w:val="22"/>
          <w:lang w:val="en-US"/>
        </w:rPr>
        <w:t xml:space="preserve">Equality Act 2010 (c.15). London: The Stationery Office. Available at: </w:t>
      </w:r>
      <w:hyperlink r:id="rId11" w:history="1">
        <w:r w:rsidRPr="0064644A">
          <w:rPr>
            <w:rStyle w:val="Hyperlink"/>
            <w:rFonts w:ascii="Arial" w:hAnsi="Arial" w:cs="Arial"/>
            <w:b/>
            <w:bCs/>
            <w:sz w:val="22"/>
            <w:szCs w:val="22"/>
            <w:lang w:val="en-US"/>
          </w:rPr>
          <w:t>https://www.legislation.gov.uk/ukpga/2010/15/contents</w:t>
        </w:r>
      </w:hyperlink>
      <w:r w:rsidRPr="0064644A">
        <w:rPr>
          <w:rFonts w:ascii="Arial" w:hAnsi="Arial" w:cs="Arial"/>
          <w:b/>
          <w:bCs/>
          <w:sz w:val="22"/>
          <w:szCs w:val="22"/>
          <w:lang w:val="en-US"/>
        </w:rPr>
        <w:t xml:space="preserve"> (Accessed: 24 July 2026).</w:t>
      </w:r>
    </w:p>
    <w:p w14:paraId="0B995164" w14:textId="77777777" w:rsidR="0064644A" w:rsidRPr="0064644A" w:rsidRDefault="0064644A" w:rsidP="0064644A">
      <w:pPr>
        <w:spacing w:line="360" w:lineRule="auto"/>
        <w:rPr>
          <w:rFonts w:ascii="Arial" w:hAnsi="Arial" w:cs="Arial"/>
          <w:b/>
          <w:bCs/>
          <w:sz w:val="22"/>
          <w:szCs w:val="22"/>
          <w:lang w:val="en-US"/>
        </w:rPr>
      </w:pPr>
      <w:r w:rsidRPr="0064644A">
        <w:rPr>
          <w:rFonts w:ascii="Arial" w:hAnsi="Arial" w:cs="Arial"/>
          <w:b/>
          <w:bCs/>
          <w:sz w:val="22"/>
          <w:szCs w:val="22"/>
          <w:lang w:val="en-US"/>
        </w:rPr>
        <w:t xml:space="preserve">Health and Social Care Act 2008 (Regulated Activities) Regulations 2014 (SI 2014/2936). London: The Stationery Office. Available at: </w:t>
      </w:r>
      <w:hyperlink r:id="rId12" w:history="1">
        <w:r w:rsidRPr="0064644A">
          <w:rPr>
            <w:rStyle w:val="Hyperlink"/>
            <w:rFonts w:ascii="Arial" w:hAnsi="Arial" w:cs="Arial"/>
            <w:b/>
            <w:bCs/>
            <w:sz w:val="22"/>
            <w:szCs w:val="22"/>
            <w:lang w:val="en-US"/>
          </w:rPr>
          <w:t>https://www.legislation.gov.uk/uksi/2014/2936/contents</w:t>
        </w:r>
      </w:hyperlink>
      <w:r w:rsidRPr="0064644A">
        <w:rPr>
          <w:rFonts w:ascii="Arial" w:hAnsi="Arial" w:cs="Arial"/>
          <w:b/>
          <w:bCs/>
          <w:sz w:val="22"/>
          <w:szCs w:val="22"/>
          <w:lang w:val="en-US"/>
        </w:rPr>
        <w:t xml:space="preserve"> (Accessed: 29 June 2026).</w:t>
      </w:r>
    </w:p>
    <w:p w14:paraId="13D42E44" w14:textId="77777777" w:rsidR="0064644A" w:rsidRPr="0064644A" w:rsidRDefault="0064644A" w:rsidP="0064644A">
      <w:pPr>
        <w:spacing w:line="360" w:lineRule="auto"/>
        <w:rPr>
          <w:rFonts w:ascii="Arial" w:hAnsi="Arial" w:cs="Arial"/>
          <w:b/>
          <w:bCs/>
          <w:sz w:val="22"/>
          <w:szCs w:val="22"/>
          <w:lang w:val="en-US"/>
        </w:rPr>
      </w:pPr>
      <w:r w:rsidRPr="0064644A">
        <w:rPr>
          <w:rFonts w:ascii="Arial" w:hAnsi="Arial" w:cs="Arial"/>
          <w:b/>
          <w:bCs/>
          <w:sz w:val="22"/>
          <w:szCs w:val="22"/>
          <w:lang w:val="en-US"/>
        </w:rPr>
        <w:t xml:space="preserve">National Data Guardian (2020) </w:t>
      </w:r>
      <w:r w:rsidRPr="0064644A">
        <w:rPr>
          <w:rFonts w:ascii="Arial" w:hAnsi="Arial" w:cs="Arial"/>
          <w:b/>
          <w:bCs/>
          <w:i/>
          <w:iCs/>
          <w:sz w:val="22"/>
          <w:szCs w:val="22"/>
          <w:lang w:val="en-US"/>
        </w:rPr>
        <w:t>The Caldicott Principles</w:t>
      </w:r>
      <w:r w:rsidRPr="0064644A">
        <w:rPr>
          <w:rFonts w:ascii="Arial" w:hAnsi="Arial" w:cs="Arial"/>
          <w:b/>
          <w:bCs/>
          <w:sz w:val="22"/>
          <w:szCs w:val="22"/>
          <w:lang w:val="en-US"/>
        </w:rPr>
        <w:t xml:space="preserve">. Available at: </w:t>
      </w:r>
      <w:hyperlink r:id="rId13" w:history="1">
        <w:r w:rsidRPr="0064644A">
          <w:rPr>
            <w:rStyle w:val="Hyperlink"/>
            <w:rFonts w:ascii="Arial" w:hAnsi="Arial" w:cs="Arial"/>
            <w:b/>
            <w:bCs/>
            <w:sz w:val="22"/>
            <w:szCs w:val="22"/>
            <w:lang w:val="en-US"/>
          </w:rPr>
          <w:t>https://www.gov.uk/government/publications/the-caldicott-principles</w:t>
        </w:r>
      </w:hyperlink>
      <w:r w:rsidRPr="0064644A">
        <w:rPr>
          <w:rFonts w:ascii="Arial" w:hAnsi="Arial" w:cs="Arial"/>
          <w:b/>
          <w:bCs/>
          <w:sz w:val="22"/>
          <w:szCs w:val="22"/>
          <w:lang w:val="en-US"/>
        </w:rPr>
        <w:t xml:space="preserve"> (Accessed: 17 July 2026).</w:t>
      </w:r>
    </w:p>
    <w:p w14:paraId="4DFF9E60" w14:textId="77777777" w:rsidR="0064644A" w:rsidRPr="0064644A" w:rsidRDefault="0064644A" w:rsidP="0064644A">
      <w:pPr>
        <w:spacing w:line="360" w:lineRule="auto"/>
        <w:rPr>
          <w:rFonts w:ascii="Arial" w:hAnsi="Arial" w:cs="Arial"/>
          <w:b/>
          <w:bCs/>
          <w:sz w:val="22"/>
          <w:szCs w:val="22"/>
          <w:lang w:val="en-US"/>
        </w:rPr>
      </w:pPr>
      <w:r w:rsidRPr="0064644A">
        <w:rPr>
          <w:rFonts w:ascii="Arial" w:hAnsi="Arial" w:cs="Arial"/>
          <w:b/>
          <w:bCs/>
          <w:sz w:val="22"/>
          <w:szCs w:val="22"/>
          <w:lang w:val="en-US"/>
        </w:rPr>
        <w:t xml:space="preserve">National Institute for Health and Care Excellence (NICE) (2018) </w:t>
      </w:r>
      <w:r w:rsidRPr="0064644A">
        <w:rPr>
          <w:rFonts w:ascii="Arial" w:hAnsi="Arial" w:cs="Arial"/>
          <w:b/>
          <w:bCs/>
          <w:i/>
          <w:iCs/>
          <w:sz w:val="22"/>
          <w:szCs w:val="22"/>
          <w:lang w:val="en-US"/>
        </w:rPr>
        <w:t>Dementia: assessment, management and support for people living with dementia and their carers (NG97)</w:t>
      </w:r>
      <w:r w:rsidRPr="0064644A">
        <w:rPr>
          <w:rFonts w:ascii="Arial" w:hAnsi="Arial" w:cs="Arial"/>
          <w:b/>
          <w:bCs/>
          <w:sz w:val="22"/>
          <w:szCs w:val="22"/>
          <w:lang w:val="en-US"/>
        </w:rPr>
        <w:t xml:space="preserve">. Available at: </w:t>
      </w:r>
      <w:hyperlink r:id="rId14" w:history="1">
        <w:r w:rsidRPr="0064644A">
          <w:rPr>
            <w:rStyle w:val="Hyperlink"/>
            <w:rFonts w:ascii="Arial" w:hAnsi="Arial" w:cs="Arial"/>
            <w:b/>
            <w:bCs/>
            <w:sz w:val="22"/>
            <w:szCs w:val="22"/>
            <w:lang w:val="en-US"/>
          </w:rPr>
          <w:t>https://www.nice.org.uk/guidance/ng97</w:t>
        </w:r>
      </w:hyperlink>
      <w:r w:rsidRPr="0064644A">
        <w:rPr>
          <w:rFonts w:ascii="Arial" w:hAnsi="Arial" w:cs="Arial"/>
          <w:b/>
          <w:bCs/>
          <w:sz w:val="22"/>
          <w:szCs w:val="22"/>
          <w:lang w:val="en-US"/>
        </w:rPr>
        <w:t xml:space="preserve"> (Accessed: 3 August 2026).</w:t>
      </w:r>
    </w:p>
    <w:p w14:paraId="626BA124" w14:textId="77777777" w:rsidR="0064644A" w:rsidRPr="0064644A" w:rsidRDefault="0064644A" w:rsidP="0064644A">
      <w:pPr>
        <w:spacing w:line="360" w:lineRule="auto"/>
        <w:rPr>
          <w:rFonts w:ascii="Arial" w:hAnsi="Arial" w:cs="Arial"/>
          <w:b/>
          <w:bCs/>
          <w:sz w:val="22"/>
          <w:szCs w:val="22"/>
          <w:lang w:val="en-US"/>
        </w:rPr>
      </w:pPr>
      <w:r w:rsidRPr="0064644A">
        <w:rPr>
          <w:rFonts w:ascii="Arial" w:hAnsi="Arial" w:cs="Arial"/>
          <w:b/>
          <w:bCs/>
          <w:sz w:val="22"/>
          <w:szCs w:val="22"/>
          <w:lang w:val="en-US"/>
        </w:rPr>
        <w:t xml:space="preserve">Social Care Institute for Excellence (SCIE) (2019) </w:t>
      </w:r>
      <w:r w:rsidRPr="0064644A">
        <w:rPr>
          <w:rFonts w:ascii="Arial" w:hAnsi="Arial" w:cs="Arial"/>
          <w:b/>
          <w:bCs/>
          <w:i/>
          <w:iCs/>
          <w:sz w:val="22"/>
          <w:szCs w:val="22"/>
          <w:lang w:val="en-US"/>
        </w:rPr>
        <w:t>Safeguarding adults: sharing information</w:t>
      </w:r>
      <w:r w:rsidRPr="0064644A">
        <w:rPr>
          <w:rFonts w:ascii="Arial" w:hAnsi="Arial" w:cs="Arial"/>
          <w:b/>
          <w:bCs/>
          <w:sz w:val="22"/>
          <w:szCs w:val="22"/>
          <w:lang w:val="en-US"/>
        </w:rPr>
        <w:t xml:space="preserve">. Available at: </w:t>
      </w:r>
      <w:hyperlink r:id="rId15" w:history="1">
        <w:r w:rsidRPr="0064644A">
          <w:rPr>
            <w:rStyle w:val="Hyperlink"/>
            <w:rFonts w:ascii="Arial" w:hAnsi="Arial" w:cs="Arial"/>
            <w:b/>
            <w:bCs/>
            <w:sz w:val="22"/>
            <w:szCs w:val="22"/>
            <w:lang w:val="en-US"/>
          </w:rPr>
          <w:t>https://www.scie.org.uk/safeguarding/adults/practice/sharing-information/</w:t>
        </w:r>
      </w:hyperlink>
      <w:r w:rsidRPr="0064644A">
        <w:rPr>
          <w:rFonts w:ascii="Arial" w:hAnsi="Arial" w:cs="Arial"/>
          <w:b/>
          <w:bCs/>
          <w:sz w:val="22"/>
          <w:szCs w:val="22"/>
          <w:lang w:val="en-US"/>
        </w:rPr>
        <w:t xml:space="preserve"> (Accessed: 10 August 2026).</w:t>
      </w:r>
    </w:p>
    <w:p w14:paraId="6204CD35" w14:textId="77777777" w:rsidR="00681517" w:rsidRDefault="00681517" w:rsidP="00644154">
      <w:pPr>
        <w:spacing w:line="360" w:lineRule="auto"/>
        <w:jc w:val="both"/>
        <w:rPr>
          <w:rFonts w:ascii="Arial" w:hAnsi="Arial" w:cs="Arial"/>
          <w:sz w:val="22"/>
          <w:szCs w:val="22"/>
        </w:rPr>
      </w:pPr>
    </w:p>
    <w:p w14:paraId="6D415387" w14:textId="77777777" w:rsidR="00681517" w:rsidRDefault="00681517" w:rsidP="00644154">
      <w:pPr>
        <w:spacing w:line="360" w:lineRule="auto"/>
        <w:jc w:val="both"/>
        <w:rPr>
          <w:rFonts w:ascii="Arial" w:hAnsi="Arial" w:cs="Arial"/>
          <w:sz w:val="22"/>
          <w:szCs w:val="22"/>
        </w:rPr>
      </w:pPr>
    </w:p>
    <w:sectPr w:rsidR="00681517">
      <w:footerReference w:type="default" r:id="rId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4AC76" w14:textId="77777777" w:rsidR="00B04F92" w:rsidRDefault="00B04F92">
      <w:pPr>
        <w:spacing w:after="0" w:line="240" w:lineRule="auto"/>
      </w:pPr>
      <w:r>
        <w:separator/>
      </w:r>
    </w:p>
  </w:endnote>
  <w:endnote w:type="continuationSeparator" w:id="0">
    <w:p w14:paraId="60AB2201" w14:textId="77777777" w:rsidR="00B04F92" w:rsidRDefault="00B04F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4745586"/>
      <w:docPartObj>
        <w:docPartGallery w:val="Page Numbers (Bottom of Page)"/>
        <w:docPartUnique/>
      </w:docPartObj>
    </w:sdtPr>
    <w:sdtEndPr>
      <w:rPr>
        <w:noProof/>
      </w:rPr>
    </w:sdtEndPr>
    <w:sdtContent>
      <w:p w14:paraId="61B2C914" w14:textId="787F38EE" w:rsidR="00C049AB" w:rsidRDefault="00C049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028A67" w14:textId="77777777" w:rsidR="00C049AB" w:rsidRDefault="00C04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33699D" w14:textId="77777777" w:rsidR="00B04F92" w:rsidRDefault="00B04F92">
      <w:pPr>
        <w:spacing w:after="0" w:line="240" w:lineRule="auto"/>
      </w:pPr>
      <w:r>
        <w:rPr>
          <w:color w:val="000000"/>
        </w:rPr>
        <w:separator/>
      </w:r>
    </w:p>
  </w:footnote>
  <w:footnote w:type="continuationSeparator" w:id="0">
    <w:p w14:paraId="117EBD6B" w14:textId="77777777" w:rsidR="00B04F92" w:rsidRDefault="00B04F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1517"/>
    <w:rsid w:val="00085654"/>
    <w:rsid w:val="001D2C51"/>
    <w:rsid w:val="001F4243"/>
    <w:rsid w:val="00222D39"/>
    <w:rsid w:val="0023298E"/>
    <w:rsid w:val="002D30E0"/>
    <w:rsid w:val="00455FE1"/>
    <w:rsid w:val="004D5D1B"/>
    <w:rsid w:val="005B18C5"/>
    <w:rsid w:val="00644154"/>
    <w:rsid w:val="0064644A"/>
    <w:rsid w:val="0065065F"/>
    <w:rsid w:val="00681517"/>
    <w:rsid w:val="006A7989"/>
    <w:rsid w:val="006D005A"/>
    <w:rsid w:val="006D6641"/>
    <w:rsid w:val="006F4DA6"/>
    <w:rsid w:val="007E6760"/>
    <w:rsid w:val="0083023E"/>
    <w:rsid w:val="009241D5"/>
    <w:rsid w:val="00A42C3C"/>
    <w:rsid w:val="00B04F92"/>
    <w:rsid w:val="00B70402"/>
    <w:rsid w:val="00BA024C"/>
    <w:rsid w:val="00C049AB"/>
    <w:rsid w:val="00C97423"/>
    <w:rsid w:val="00E5444E"/>
    <w:rsid w:val="00EA6A77"/>
    <w:rsid w:val="00F032B9"/>
    <w:rsid w:val="00F37B9F"/>
    <w:rsid w:val="00F7453F"/>
    <w:rsid w:val="00FC26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F94AE"/>
  <w15:docId w15:val="{F2BFBB0F-17BB-4D99-A329-DE2E6F969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AB"/>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unhideWhenUsed/>
    <w:rsid w:val="0064644A"/>
    <w:rPr>
      <w:color w:val="0563C1" w:themeColor="hyperlink"/>
      <w:u w:val="single"/>
    </w:rPr>
  </w:style>
  <w:style w:type="character" w:styleId="UnresolvedMention">
    <w:name w:val="Unresolved Mention"/>
    <w:basedOn w:val="DefaultParagraphFont"/>
    <w:uiPriority w:val="99"/>
    <w:semiHidden/>
    <w:unhideWhenUsed/>
    <w:rsid w:val="0064644A"/>
    <w:rPr>
      <w:color w:val="605E5C"/>
      <w:shd w:val="clear" w:color="auto" w:fill="E1DFDD"/>
    </w:rPr>
  </w:style>
  <w:style w:type="paragraph" w:styleId="Header">
    <w:name w:val="header"/>
    <w:basedOn w:val="Normal"/>
    <w:link w:val="HeaderChar"/>
    <w:uiPriority w:val="99"/>
    <w:unhideWhenUsed/>
    <w:rsid w:val="00C049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49AB"/>
  </w:style>
  <w:style w:type="paragraph" w:styleId="Footer">
    <w:name w:val="footer"/>
    <w:basedOn w:val="Normal"/>
    <w:link w:val="FooterChar"/>
    <w:uiPriority w:val="99"/>
    <w:unhideWhenUsed/>
    <w:rsid w:val="00C049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49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qc.org.uk/guidance-providers/regulations/regulation-17-good-governance" TargetMode="External"/><Relationship Id="rId13" Type="http://schemas.openxmlformats.org/officeDocument/2006/relationships/hyperlink" Target="https://www.gov.uk/government/publications/the-caldicott-principle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openlibrary.org/books/OL5795955M/The_process_of_communication" TargetMode="External"/><Relationship Id="rId12" Type="http://schemas.openxmlformats.org/officeDocument/2006/relationships/hyperlink" Target="https://www.legislation.gov.uk/uksi/2014/2936/content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10/15/contents" TargetMode="External"/><Relationship Id="rId5" Type="http://schemas.openxmlformats.org/officeDocument/2006/relationships/endnotes" Target="endnotes.xml"/><Relationship Id="rId15" Type="http://schemas.openxmlformats.org/officeDocument/2006/relationships/hyperlink" Target="https://www.scie.org.uk/safeguarding/adults/practice/sharing-information/" TargetMode="External"/><Relationship Id="rId10" Type="http://schemas.openxmlformats.org/officeDocument/2006/relationships/hyperlink" Target="https://www.legislation.gov.uk/ukpga/2014/23/contents" TargetMode="External"/><Relationship Id="rId4" Type="http://schemas.openxmlformats.org/officeDocument/2006/relationships/footnotes" Target="footnotes.xml"/><Relationship Id="rId9" Type="http://schemas.openxmlformats.org/officeDocument/2006/relationships/hyperlink" Target="https://www.legislation.gov.uk/ukpga/2018/12/contents" TargetMode="External"/><Relationship Id="rId14" Type="http://schemas.openxmlformats.org/officeDocument/2006/relationships/hyperlink" Target="https://www.nice.org.uk/guidance/ng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2048</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Amalia Gayla Prepose (2527559)</dc:creator>
  <dc:description/>
  <cp:lastModifiedBy>Amalia Gayla Prepose (2527559)</cp:lastModifiedBy>
  <cp:revision>11</cp:revision>
  <dcterms:created xsi:type="dcterms:W3CDTF">2026-08-11T04:42:00Z</dcterms:created>
  <dcterms:modified xsi:type="dcterms:W3CDTF">2026-08-14T18:41:00Z</dcterms:modified>
</cp:coreProperties>
</file>